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3E19" w14:textId="090C31BF" w:rsidR="00BA5FB0" w:rsidRPr="00BA5FB0" w:rsidRDefault="006B4125" w:rsidP="00BA5FB0">
      <w:pPr>
        <w:pStyle w:val="NormalText"/>
        <w:rPr>
          <w:rStyle w:val="Hyperlink"/>
          <w:rFonts w:asciiTheme="majorHAnsi" w:hAnsiTheme="majorHAnsi"/>
          <w:color w:val="auto"/>
          <w:sz w:val="22"/>
          <w:szCs w:val="22"/>
        </w:rPr>
      </w:pPr>
      <w:r>
        <w:rPr>
          <w:noProof/>
          <w:lang w:val="en-AU" w:eastAsia="en-AU"/>
        </w:rPr>
        <mc:AlternateContent>
          <mc:Choice Requires="wps">
            <w:drawing>
              <wp:anchor distT="0" distB="0" distL="114300" distR="114300" simplePos="0" relativeHeight="251658240" behindDoc="1" locked="0" layoutInCell="1" allowOverlap="1" wp14:anchorId="5FAF6098" wp14:editId="182273D2">
                <wp:simplePos x="0" y="0"/>
                <wp:positionH relativeFrom="margin">
                  <wp:posOffset>7951</wp:posOffset>
                </wp:positionH>
                <wp:positionV relativeFrom="margin">
                  <wp:posOffset>-15903</wp:posOffset>
                </wp:positionV>
                <wp:extent cx="359410" cy="431800"/>
                <wp:effectExtent l="0" t="0" r="2540" b="635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E764E5" w14:textId="77777777" w:rsidR="006B4125" w:rsidRPr="00BF4968" w:rsidRDefault="006B4125" w:rsidP="006B4125">
                            <w:pPr>
                              <w:spacing w:before="40"/>
                              <w:rPr>
                                <w:rFonts w:ascii="Wingdings 3" w:hAnsi="Wingdings 3"/>
                                <w:sz w:val="40"/>
                              </w:rPr>
                            </w:pPr>
                            <w:r w:rsidRPr="00BF4968">
                              <w:rPr>
                                <w:rFonts w:ascii="SimSun" w:eastAsia="SimSun" w:hAnsi="SimSun" w:cs="Arial" w:hint="eastAsia"/>
                                <w:sz w:val="56"/>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AF6098" id="_x0000_t202" coordsize="21600,21600" o:spt="202" path="m,l,21600r21600,l21600,xe">
                <v:stroke joinstyle="miter"/>
                <v:path gradientshapeok="t" o:connecttype="rect"/>
              </v:shapetype>
              <v:shape id="Text Box 2" o:spid="_x0000_s1026" type="#_x0000_t202" alt="&quot;&quot;" style="position:absolute;margin-left:.65pt;margin-top:-1.25pt;width:28.3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dQ6AEAALkDAAAOAAAAZHJzL2Uyb0RvYy54bWysU1Fv0zAQfkfiP1h+p2m3gUbUdBqdipAG&#10;Qxr8AMdxEgvHZ+7cJuPXc3baDo03RB6ss8/3+b7vvqxvpsGJg0Gy4Cu5WiylMF5DY31Xye/fdm+u&#10;paCofKMceFPJJ0PyZvP61XoMpbmAHlxjUDCIp3IMlexjDGVRkO7NoGgBwXhOtoCDirzFrmhQjYw+&#10;uOJiuXxXjIBNQNCGiE/v5qTcZPy2NTo+tC2ZKFwlubeYV8xrndZis1Zlhyr0Vh/bUP/QxaCs50fP&#10;UHcqKrFH+xfUYDUCQRsXGoYC2tZqkzkwm9XyBZvHXgWTubA4FM4y0f+D1V8Oj+Erijh9gIkHmElQ&#10;uAf9g4SHba98Z24RYeyNavjhVZKsGAOVx9IkNZWUQOrxMzQ8ZLWPkIGmFoekCvMUjM4DeDqLbqYo&#10;NB9evn1/teKM5tTV5ep6mYdSqPJUHJDiRwODSEElkWeawdXhnmJqRpWnK+ktAmebnXUub7Crtw7F&#10;QfH8d/nL/b+45ny67CGVzYjpJLNMxGaKcaonTia2NTRPzBdh9hP7n4Me8JcUI3upkvRzr9BI4T55&#10;1iwZ7xTgKahPgfKaSysZpZjDbZwNug9ou56R56l4uGVdW5s5P3dx7JP9kaU4ejkZ8M99vvX8x21+&#10;AwAA//8DAFBLAwQUAAYACAAAACEAISRHUdsAAAAGAQAADwAAAGRycy9kb3ducmV2LnhtbEyOwU7D&#10;MBBE70j8g7VIXFDrEJRC0zgVtHCDQ0vV8zY2SUS8jmynSf+e5QTH0YzevGI92U6cjQ+tIwX38wSE&#10;ocrplmoFh8+32ROIEJE0do6MgosJsC6vrwrMtRtpZ877WAuGUMhRQRNjn0sZqsZYDHPXG+Luy3mL&#10;kaOvpfY4Mtx2Mk2ShbTYEj802JtNY6rv/WAVLLZ+GHe0udseXt/xo6/T48vlqNTtzfS8AhHNFP/G&#10;8KvP6lCy08kNpIPoOD/wUMEszUBwnT0uQZwYnWUgy0L+1y9/AAAA//8DAFBLAQItABQABgAIAAAA&#10;IQC2gziS/gAAAOEBAAATAAAAAAAAAAAAAAAAAAAAAABbQ29udGVudF9UeXBlc10ueG1sUEsBAi0A&#10;FAAGAAgAAAAhADj9If/WAAAAlAEAAAsAAAAAAAAAAAAAAAAALwEAAF9yZWxzLy5yZWxzUEsBAi0A&#10;FAAGAAgAAAAhAJR091DoAQAAuQMAAA4AAAAAAAAAAAAAAAAALgIAAGRycy9lMm9Eb2MueG1sUEsB&#10;Ai0AFAAGAAgAAAAhACEkR1HbAAAABgEAAA8AAAAAAAAAAAAAAAAAQgQAAGRycy9kb3ducmV2Lnht&#10;bFBLBQYAAAAABAAEAPMAAABKBQAAAAA=&#10;" stroked="f">
                <v:textbox inset="0,0,0,0">
                  <w:txbxContent>
                    <w:p w14:paraId="55E764E5" w14:textId="77777777" w:rsidR="006B4125" w:rsidRPr="00BF4968" w:rsidRDefault="006B4125" w:rsidP="006B4125">
                      <w:pPr>
                        <w:spacing w:before="40"/>
                        <w:rPr>
                          <w:rFonts w:ascii="Wingdings 3" w:hAnsi="Wingdings 3"/>
                          <w:sz w:val="40"/>
                        </w:rPr>
                      </w:pPr>
                      <w:r w:rsidRPr="00BF4968">
                        <w:rPr>
                          <w:rFonts w:ascii="SimSun" w:eastAsia="SimSun" w:hAnsi="SimSun" w:cs="Arial" w:hint="eastAsia"/>
                          <w:sz w:val="56"/>
                        </w:rPr>
                        <w:t>▼</w:t>
                      </w:r>
                    </w:p>
                  </w:txbxContent>
                </v:textbox>
                <w10:wrap type="square" anchorx="margin" anchory="margin"/>
              </v:shape>
            </w:pict>
          </mc:Fallback>
        </mc:AlternateContent>
      </w:r>
      <w:r w:rsidR="00BA5FB0" w:rsidRPr="00BA5FB0">
        <w:rPr>
          <w:rFonts w:asciiTheme="majorHAnsi" w:hAnsiTheme="majorHAnsi"/>
          <w:sz w:val="22"/>
          <w:szCs w:val="22"/>
        </w:rPr>
        <w:t xml:space="preserve">This </w:t>
      </w:r>
      <w:r w:rsidR="003B6647">
        <w:rPr>
          <w:rFonts w:asciiTheme="majorHAnsi" w:hAnsiTheme="majorHAnsi"/>
          <w:sz w:val="22"/>
          <w:szCs w:val="22"/>
        </w:rPr>
        <w:t xml:space="preserve">medicinal </w:t>
      </w:r>
      <w:r w:rsidR="003B6647" w:rsidRPr="003B6647">
        <w:rPr>
          <w:rFonts w:asciiTheme="majorHAnsi" w:hAnsiTheme="majorHAnsi"/>
          <w:sz w:val="22"/>
          <w:szCs w:val="22"/>
        </w:rPr>
        <w:t xml:space="preserve">product is subject to additional monitoring in Australia. This will allow quick identification of new safety information. Healthcare professionals are asked to report any suspected adverse events at </w:t>
      </w:r>
      <w:hyperlink r:id="rId11" w:history="1">
        <w:r w:rsidR="003B6647" w:rsidRPr="005D7D79">
          <w:rPr>
            <w:rStyle w:val="Hyperlink"/>
            <w:rFonts w:asciiTheme="majorHAnsi" w:hAnsiTheme="majorHAnsi"/>
            <w:sz w:val="22"/>
            <w:szCs w:val="22"/>
          </w:rPr>
          <w:t>www.tga.gov.au/reporting-problems</w:t>
        </w:r>
      </w:hyperlink>
      <w:r w:rsidR="003B6647" w:rsidRPr="003B6647">
        <w:rPr>
          <w:rFonts w:asciiTheme="majorHAnsi" w:hAnsiTheme="majorHAnsi"/>
          <w:sz w:val="22"/>
          <w:szCs w:val="22"/>
        </w:rPr>
        <w:t>.</w:t>
      </w:r>
    </w:p>
    <w:p w14:paraId="05C4E20D" w14:textId="56D115B7" w:rsidR="004032BD" w:rsidRPr="00497C85" w:rsidRDefault="004032BD" w:rsidP="00DF5E99">
      <w:pPr>
        <w:pStyle w:val="Heading1"/>
        <w:numPr>
          <w:ilvl w:val="0"/>
          <w:numId w:val="0"/>
        </w:numPr>
        <w:spacing w:after="240"/>
        <w:rPr>
          <w:rFonts w:eastAsia="SimSun" w:cstheme="minorHAnsi"/>
        </w:rPr>
      </w:pPr>
      <w:r w:rsidRPr="00497C85">
        <w:rPr>
          <w:rFonts w:eastAsia="SimSun" w:cstheme="minorHAnsi"/>
        </w:rPr>
        <w:t>Australian P</w:t>
      </w:r>
      <w:r w:rsidR="00677840">
        <w:rPr>
          <w:rFonts w:eastAsia="SimSun" w:cstheme="minorHAnsi"/>
        </w:rPr>
        <w:t xml:space="preserve">roduct </w:t>
      </w:r>
      <w:r w:rsidRPr="00497C85">
        <w:rPr>
          <w:rFonts w:eastAsia="SimSun" w:cstheme="minorHAnsi"/>
        </w:rPr>
        <w:t>I</w:t>
      </w:r>
      <w:r w:rsidR="00677840">
        <w:rPr>
          <w:rFonts w:eastAsia="SimSun" w:cstheme="minorHAnsi"/>
        </w:rPr>
        <w:t>nformation</w:t>
      </w:r>
      <w:r w:rsidRPr="00497C85">
        <w:rPr>
          <w:rFonts w:eastAsia="SimSun" w:cstheme="minorHAnsi"/>
        </w:rPr>
        <w:t xml:space="preserve"> –</w:t>
      </w:r>
      <w:r w:rsidR="001E5356" w:rsidRPr="001E5356">
        <w:rPr>
          <w:rFonts w:eastAsia="SimSun" w:cstheme="minorHAnsi"/>
        </w:rPr>
        <w:t xml:space="preserve"> </w:t>
      </w:r>
      <w:r w:rsidR="00DE54F4">
        <w:rPr>
          <w:rFonts w:eastAsia="SimSun" w:cstheme="minorHAnsi"/>
        </w:rPr>
        <w:t>NUCEIVA</w:t>
      </w:r>
      <w:r w:rsidR="00DE54F4" w:rsidRPr="00497C85">
        <w:rPr>
          <w:rFonts w:eastAsia="SimSun" w:cstheme="minorHAnsi"/>
        </w:rPr>
        <w:t xml:space="preserve"> </w:t>
      </w:r>
      <w:r w:rsidRPr="00497C85">
        <w:rPr>
          <w:rFonts w:eastAsia="SimSun" w:cstheme="minorHAnsi"/>
        </w:rPr>
        <w:t>(</w:t>
      </w:r>
      <w:r w:rsidR="00DE54F4">
        <w:rPr>
          <w:rFonts w:eastAsia="SimSun" w:cstheme="minorHAnsi"/>
        </w:rPr>
        <w:t>PRABOTULINUMTOXINA</w:t>
      </w:r>
      <w:r w:rsidRPr="00497C85">
        <w:rPr>
          <w:rFonts w:eastAsia="SimSun" w:cstheme="minorHAnsi"/>
        </w:rPr>
        <w:t>)</w:t>
      </w:r>
      <w:r w:rsidR="00497C85" w:rsidRPr="00497C85">
        <w:rPr>
          <w:rFonts w:eastAsia="SimSun" w:cstheme="minorHAnsi"/>
        </w:rPr>
        <w:t xml:space="preserve"> </w:t>
      </w:r>
      <w:r w:rsidR="00165E2F" w:rsidRPr="001E5356">
        <w:rPr>
          <w:rFonts w:eastAsia="SimSun" w:cstheme="minorHAnsi"/>
        </w:rPr>
        <w:t>Powder for Solution for injection</w:t>
      </w:r>
    </w:p>
    <w:p w14:paraId="6D20C54B" w14:textId="6E81DBD6" w:rsidR="001A3992" w:rsidRDefault="001A3992" w:rsidP="00DF5E99">
      <w:pPr>
        <w:pStyle w:val="Heading1"/>
        <w:spacing w:before="0" w:after="120"/>
        <w:ind w:left="431" w:hanging="431"/>
        <w:rPr>
          <w:rFonts w:cstheme="minorHAnsi"/>
        </w:rPr>
      </w:pPr>
      <w:r w:rsidRPr="00497C85">
        <w:rPr>
          <w:rFonts w:cstheme="minorHAnsi"/>
        </w:rPr>
        <w:t>Name of the medicine</w:t>
      </w:r>
    </w:p>
    <w:p w14:paraId="06DBA033" w14:textId="637062D5" w:rsidR="002B25D6" w:rsidRDefault="002B25D6" w:rsidP="002B25D6">
      <w:pPr>
        <w:pStyle w:val="NormalIndent"/>
        <w:ind w:left="0"/>
        <w:rPr>
          <w:rFonts w:asciiTheme="majorHAnsi" w:hAnsiTheme="majorHAnsi"/>
        </w:rPr>
      </w:pPr>
      <w:r w:rsidRPr="002B25D6">
        <w:rPr>
          <w:rFonts w:asciiTheme="majorHAnsi" w:hAnsiTheme="majorHAnsi"/>
        </w:rPr>
        <w:t>NUCEIVA</w:t>
      </w:r>
      <w:r w:rsidR="004148FB">
        <w:rPr>
          <w:rFonts w:asciiTheme="majorHAnsi" w:hAnsiTheme="majorHAnsi"/>
        </w:rPr>
        <w:t xml:space="preserve"> (prabotulinumtoxinA)</w:t>
      </w:r>
      <w:r w:rsidRPr="002B25D6">
        <w:rPr>
          <w:rFonts w:asciiTheme="majorHAnsi" w:hAnsiTheme="majorHAnsi"/>
        </w:rPr>
        <w:t xml:space="preserve"> 100 Units powder for solution for injection</w:t>
      </w:r>
    </w:p>
    <w:p w14:paraId="1D3DAD68" w14:textId="77777777" w:rsidR="001A3992" w:rsidRPr="00497C85" w:rsidRDefault="001A3992" w:rsidP="001A3992">
      <w:pPr>
        <w:pStyle w:val="Heading1"/>
        <w:spacing w:before="0" w:after="120"/>
        <w:rPr>
          <w:rFonts w:cstheme="minorHAnsi"/>
        </w:rPr>
      </w:pPr>
      <w:r w:rsidRPr="00497C85">
        <w:rPr>
          <w:rFonts w:cstheme="minorHAnsi"/>
        </w:rPr>
        <w:t>Qualitative and quantitative composition</w:t>
      </w:r>
    </w:p>
    <w:p w14:paraId="2787DF91" w14:textId="4E158800" w:rsidR="002B25D6" w:rsidRPr="002B25D6" w:rsidRDefault="002B25D6" w:rsidP="00497C85">
      <w:pPr>
        <w:rPr>
          <w:rFonts w:asciiTheme="majorHAnsi" w:hAnsiTheme="majorHAnsi" w:cstheme="minorHAnsi"/>
          <w:lang w:val="en-GB"/>
        </w:rPr>
      </w:pPr>
      <w:r w:rsidRPr="002B25D6">
        <w:rPr>
          <w:rFonts w:asciiTheme="majorHAnsi" w:hAnsiTheme="majorHAnsi" w:cstheme="minorHAnsi"/>
          <w:lang w:val="en-GB"/>
        </w:rPr>
        <w:t xml:space="preserve">Each vial contains 100 Units </w:t>
      </w:r>
      <w:r w:rsidR="003310E1">
        <w:rPr>
          <w:rFonts w:asciiTheme="majorHAnsi" w:hAnsiTheme="majorHAnsi" w:cstheme="minorHAnsi"/>
          <w:lang w:val="en-GB"/>
        </w:rPr>
        <w:t>prabotulinumtoxin</w:t>
      </w:r>
      <w:r w:rsidRPr="002B25D6">
        <w:rPr>
          <w:rFonts w:asciiTheme="majorHAnsi" w:hAnsiTheme="majorHAnsi" w:cstheme="minorHAnsi"/>
          <w:lang w:val="en-GB"/>
        </w:rPr>
        <w:t xml:space="preserve">A produced by </w:t>
      </w:r>
      <w:r w:rsidRPr="001E5356">
        <w:rPr>
          <w:rFonts w:asciiTheme="majorHAnsi" w:hAnsiTheme="majorHAnsi" w:cstheme="minorHAnsi"/>
          <w:i/>
          <w:iCs/>
          <w:lang w:val="en-GB"/>
        </w:rPr>
        <w:t>Clostridium botulinum</w:t>
      </w:r>
      <w:r w:rsidRPr="002B25D6">
        <w:rPr>
          <w:rFonts w:asciiTheme="majorHAnsi" w:hAnsiTheme="majorHAnsi" w:cstheme="minorHAnsi"/>
          <w:lang w:val="en-GB"/>
        </w:rPr>
        <w:t>.</w:t>
      </w:r>
    </w:p>
    <w:p w14:paraId="62323CA1" w14:textId="75B26E08" w:rsidR="00497C85" w:rsidRPr="00497C85" w:rsidRDefault="00497C85" w:rsidP="00497C85">
      <w:pPr>
        <w:rPr>
          <w:rFonts w:asciiTheme="majorHAnsi" w:hAnsiTheme="majorHAnsi" w:cstheme="minorHAnsi"/>
        </w:rPr>
      </w:pPr>
      <w:r w:rsidRPr="00497C85">
        <w:rPr>
          <w:rFonts w:asciiTheme="majorHAnsi" w:hAnsiTheme="majorHAnsi" w:cstheme="minorHAnsi"/>
          <w:lang w:val="en"/>
        </w:rPr>
        <w:t xml:space="preserve">For the full list of excipients, see Section 6.1 List of excipients. </w:t>
      </w:r>
    </w:p>
    <w:p w14:paraId="3C4CE220" w14:textId="33F93AE9" w:rsidR="001A3992" w:rsidRDefault="001A3992" w:rsidP="001A3992">
      <w:pPr>
        <w:pStyle w:val="Heading1"/>
        <w:spacing w:before="0" w:after="120"/>
        <w:rPr>
          <w:rFonts w:cstheme="minorHAnsi"/>
        </w:rPr>
      </w:pPr>
      <w:r w:rsidRPr="00497C85">
        <w:rPr>
          <w:rFonts w:cstheme="minorHAnsi"/>
        </w:rPr>
        <w:t>Pharmaceutical form</w:t>
      </w:r>
    </w:p>
    <w:p w14:paraId="6193F6DF" w14:textId="51E0348B" w:rsidR="002B25D6" w:rsidRPr="00A21699" w:rsidRDefault="002B25D6" w:rsidP="002B25D6">
      <w:pPr>
        <w:rPr>
          <w:rFonts w:asciiTheme="majorHAnsi" w:hAnsiTheme="majorHAnsi"/>
          <w:lang w:val="en-GB"/>
        </w:rPr>
      </w:pPr>
      <w:r w:rsidRPr="00A21699">
        <w:rPr>
          <w:rFonts w:asciiTheme="majorHAnsi" w:hAnsiTheme="majorHAnsi"/>
          <w:lang w:val="en-GB"/>
        </w:rPr>
        <w:t xml:space="preserve">Powder for solution for injection. </w:t>
      </w:r>
    </w:p>
    <w:p w14:paraId="0472A255" w14:textId="428D1776" w:rsidR="002B25D6" w:rsidRPr="00A21699" w:rsidRDefault="002B25D6" w:rsidP="002B25D6">
      <w:pPr>
        <w:rPr>
          <w:rFonts w:asciiTheme="majorHAnsi" w:hAnsiTheme="majorHAnsi"/>
          <w:lang w:val="en-GB"/>
        </w:rPr>
      </w:pPr>
      <w:r w:rsidRPr="00A21699">
        <w:rPr>
          <w:rFonts w:asciiTheme="majorHAnsi" w:hAnsiTheme="majorHAnsi"/>
          <w:lang w:val="en-GB"/>
        </w:rPr>
        <w:t>NUCEIVA is a</w:t>
      </w:r>
      <w:r w:rsidRPr="00A21699">
        <w:rPr>
          <w:rFonts w:asciiTheme="majorHAnsi" w:hAnsiTheme="majorHAnsi"/>
          <w:lang w:val="en-US"/>
        </w:rPr>
        <w:t xml:space="preserve"> white to yellowish</w:t>
      </w:r>
      <w:r w:rsidR="00BA4D57">
        <w:rPr>
          <w:rFonts w:asciiTheme="majorHAnsi" w:hAnsiTheme="majorHAnsi"/>
          <w:lang w:val="en-US"/>
        </w:rPr>
        <w:t xml:space="preserve"> </w:t>
      </w:r>
      <w:r w:rsidRPr="00A21699">
        <w:rPr>
          <w:rFonts w:asciiTheme="majorHAnsi" w:hAnsiTheme="majorHAnsi"/>
          <w:lang w:val="en-US"/>
        </w:rPr>
        <w:t xml:space="preserve">vacuum dried powder in a colorless and transparent vial. </w:t>
      </w:r>
      <w:r w:rsidR="00043D16">
        <w:rPr>
          <w:rFonts w:asciiTheme="majorHAnsi" w:hAnsiTheme="majorHAnsi"/>
          <w:lang w:val="en-US"/>
        </w:rPr>
        <w:t xml:space="preserve">When </w:t>
      </w:r>
      <w:r w:rsidRPr="00A21699">
        <w:rPr>
          <w:rFonts w:asciiTheme="majorHAnsi" w:hAnsiTheme="majorHAnsi"/>
          <w:lang w:val="en-US"/>
        </w:rPr>
        <w:t>reconstituted</w:t>
      </w:r>
      <w:r w:rsidR="00043D16">
        <w:rPr>
          <w:rFonts w:asciiTheme="majorHAnsi" w:hAnsiTheme="majorHAnsi"/>
          <w:lang w:val="en-US"/>
        </w:rPr>
        <w:t xml:space="preserve"> in sodium chloride (solution for) injection</w:t>
      </w:r>
      <w:r w:rsidRPr="00A21699">
        <w:rPr>
          <w:rFonts w:asciiTheme="majorHAnsi" w:hAnsiTheme="majorHAnsi"/>
          <w:lang w:val="en-US"/>
        </w:rPr>
        <w:t xml:space="preserve">, </w:t>
      </w:r>
      <w:r w:rsidR="00043D16">
        <w:rPr>
          <w:rFonts w:asciiTheme="majorHAnsi" w:hAnsiTheme="majorHAnsi"/>
          <w:lang w:val="en-US"/>
        </w:rPr>
        <w:t xml:space="preserve">it is a clear and transparent solution. </w:t>
      </w:r>
    </w:p>
    <w:p w14:paraId="6C8BC635" w14:textId="77777777" w:rsidR="001A3992" w:rsidRPr="00497C85" w:rsidRDefault="001A3992" w:rsidP="001A3992">
      <w:pPr>
        <w:pStyle w:val="Heading1"/>
        <w:spacing w:before="0" w:after="120"/>
        <w:rPr>
          <w:rFonts w:cstheme="minorHAnsi"/>
        </w:rPr>
      </w:pPr>
      <w:r w:rsidRPr="00497C85">
        <w:rPr>
          <w:rFonts w:cstheme="minorHAnsi"/>
        </w:rPr>
        <w:t>Clinical particulars</w:t>
      </w:r>
    </w:p>
    <w:p w14:paraId="493FBE43" w14:textId="06D8813E" w:rsidR="001A3992" w:rsidRDefault="001A3992" w:rsidP="001A3992">
      <w:pPr>
        <w:pStyle w:val="Heading2"/>
        <w:spacing w:before="0" w:after="120"/>
        <w:rPr>
          <w:rFonts w:cstheme="minorHAnsi"/>
        </w:rPr>
      </w:pPr>
      <w:r w:rsidRPr="00497C85">
        <w:rPr>
          <w:rFonts w:cstheme="minorHAnsi"/>
        </w:rPr>
        <w:t xml:space="preserve">Therapeutic indications </w:t>
      </w:r>
    </w:p>
    <w:p w14:paraId="3AE2DC20" w14:textId="747D5E24" w:rsidR="002B25D6" w:rsidRPr="002B25D6" w:rsidRDefault="002B25D6" w:rsidP="002B25D6">
      <w:pPr>
        <w:rPr>
          <w:rFonts w:asciiTheme="majorHAnsi" w:hAnsiTheme="majorHAnsi"/>
        </w:rPr>
      </w:pPr>
      <w:r w:rsidRPr="002B25D6">
        <w:rPr>
          <w:rFonts w:asciiTheme="majorHAnsi" w:hAnsiTheme="majorHAnsi"/>
        </w:rPr>
        <w:t xml:space="preserve">NUCEIVA is indicated for the temporary improvement in the appearance of moderate to severe </w:t>
      </w:r>
      <w:r w:rsidR="00BF6C40">
        <w:rPr>
          <w:rFonts w:asciiTheme="majorHAnsi" w:hAnsiTheme="majorHAnsi"/>
        </w:rPr>
        <w:t xml:space="preserve">glabellar lines in adult patients. </w:t>
      </w:r>
    </w:p>
    <w:p w14:paraId="2D72F678" w14:textId="1CA7F8E8" w:rsidR="001A3992" w:rsidRDefault="001A3992" w:rsidP="001A3992">
      <w:pPr>
        <w:pStyle w:val="Heading2"/>
        <w:spacing w:before="0" w:after="120"/>
        <w:rPr>
          <w:rFonts w:cstheme="minorHAnsi"/>
        </w:rPr>
      </w:pPr>
      <w:r w:rsidRPr="00497C85">
        <w:rPr>
          <w:rFonts w:cstheme="minorHAnsi"/>
        </w:rPr>
        <w:t xml:space="preserve">Dose and method of administration </w:t>
      </w:r>
    </w:p>
    <w:p w14:paraId="7E070471" w14:textId="2DAE7382" w:rsidR="00A21699" w:rsidRPr="006847AA" w:rsidRDefault="006847AA" w:rsidP="00A21699">
      <w:pPr>
        <w:pStyle w:val="NormalIndent"/>
        <w:ind w:left="0"/>
        <w:rPr>
          <w:rFonts w:asciiTheme="majorHAnsi" w:hAnsiTheme="majorHAnsi"/>
        </w:rPr>
      </w:pPr>
      <w:r w:rsidRPr="006847AA">
        <w:rPr>
          <w:rFonts w:asciiTheme="majorHAnsi" w:hAnsiTheme="majorHAnsi"/>
          <w:b/>
          <w:bCs/>
        </w:rPr>
        <w:t>General</w:t>
      </w:r>
      <w:r w:rsidRPr="006847AA">
        <w:rPr>
          <w:rFonts w:asciiTheme="majorHAnsi" w:hAnsiTheme="majorHAnsi"/>
          <w:b/>
          <w:bCs/>
        </w:rPr>
        <w:br/>
      </w:r>
      <w:r w:rsidR="00A21699" w:rsidRPr="00A21699">
        <w:rPr>
          <w:rFonts w:asciiTheme="majorHAnsi" w:hAnsiTheme="majorHAnsi"/>
        </w:rPr>
        <w:t xml:space="preserve">NUCEIVA should only be administered by </w:t>
      </w:r>
      <w:r w:rsidR="00EC03A3">
        <w:rPr>
          <w:rFonts w:asciiTheme="majorHAnsi" w:hAnsiTheme="majorHAnsi"/>
        </w:rPr>
        <w:t xml:space="preserve">physicians </w:t>
      </w:r>
      <w:r w:rsidR="00A21699" w:rsidRPr="00A21699">
        <w:rPr>
          <w:rFonts w:asciiTheme="majorHAnsi" w:hAnsiTheme="majorHAnsi"/>
        </w:rPr>
        <w:t>with appropriate qualifications and expertise in the treatment of glabellar lines and the use of required equipment.</w:t>
      </w:r>
    </w:p>
    <w:p w14:paraId="63749D86" w14:textId="451690F9" w:rsidR="002C774A" w:rsidRDefault="00A21699" w:rsidP="00A21699">
      <w:pPr>
        <w:pStyle w:val="NormalIndent"/>
        <w:ind w:left="0"/>
        <w:rPr>
          <w:rFonts w:asciiTheme="majorHAnsi" w:hAnsiTheme="majorHAnsi"/>
          <w:u w:val="single"/>
        </w:rPr>
      </w:pPr>
      <w:r w:rsidRPr="00277F33">
        <w:rPr>
          <w:rFonts w:asciiTheme="majorHAnsi" w:hAnsiTheme="majorHAnsi"/>
          <w:u w:val="single"/>
        </w:rPr>
        <w:t xml:space="preserve">Once reconstituted, NUCEIVA should only be used to treat a single patient, during a single session. </w:t>
      </w:r>
    </w:p>
    <w:p w14:paraId="4359C9B4" w14:textId="73307D0C" w:rsidR="002C774A" w:rsidRPr="00277F33" w:rsidRDefault="002C774A" w:rsidP="00A21699">
      <w:pPr>
        <w:pStyle w:val="NormalIndent"/>
        <w:ind w:left="0"/>
        <w:rPr>
          <w:rFonts w:asciiTheme="majorHAnsi" w:hAnsiTheme="majorHAnsi"/>
          <w:u w:val="single"/>
        </w:rPr>
      </w:pPr>
      <w:r>
        <w:rPr>
          <w:rFonts w:asciiTheme="majorHAnsi" w:hAnsiTheme="majorHAnsi"/>
          <w:u w:val="single"/>
        </w:rPr>
        <w:t>The units of biological activity of NUCEIVA (prabotulinumtoxinA) are specific to the preparation and assay method utilized.</w:t>
      </w:r>
    </w:p>
    <w:p w14:paraId="4E1401BD" w14:textId="6DC2A4C1" w:rsidR="0002762D" w:rsidRDefault="00A4756D" w:rsidP="0002762D">
      <w:pPr>
        <w:pStyle w:val="NormalIndent"/>
        <w:ind w:left="0"/>
        <w:rPr>
          <w:rFonts w:asciiTheme="majorHAnsi" w:hAnsiTheme="majorHAnsi"/>
        </w:rPr>
      </w:pPr>
      <w:r w:rsidRPr="00A4756D">
        <w:rPr>
          <w:rFonts w:asciiTheme="majorHAnsi" w:hAnsiTheme="majorHAnsi"/>
        </w:rPr>
        <w:t>Botulinum toxin units are not interchangeable from one product to another. Doses recommended are different from other botulinum toxin preparations.</w:t>
      </w:r>
    </w:p>
    <w:p w14:paraId="6A927CB1" w14:textId="77777777" w:rsidR="0002762D" w:rsidRDefault="0002762D" w:rsidP="00A21699">
      <w:pPr>
        <w:pStyle w:val="NormalIndent"/>
        <w:ind w:left="0"/>
        <w:rPr>
          <w:rFonts w:asciiTheme="majorHAnsi" w:hAnsiTheme="majorHAnsi"/>
        </w:rPr>
      </w:pPr>
    </w:p>
    <w:p w14:paraId="29E73EA6" w14:textId="21F97241" w:rsidR="0002762D" w:rsidRDefault="0002762D" w:rsidP="00A21699">
      <w:pPr>
        <w:pStyle w:val="NormalIndent"/>
        <w:ind w:left="0"/>
        <w:rPr>
          <w:rFonts w:asciiTheme="majorHAnsi" w:hAnsiTheme="majorHAnsi"/>
        </w:rPr>
      </w:pPr>
      <w:r w:rsidRPr="0002762D">
        <w:rPr>
          <w:rFonts w:asciiTheme="majorHAnsi" w:hAnsiTheme="majorHAnsi"/>
          <w:b/>
          <w:bCs/>
        </w:rPr>
        <w:t>Dilution Technique</w:t>
      </w:r>
      <w:r w:rsidRPr="0002762D">
        <w:rPr>
          <w:rFonts w:asciiTheme="majorHAnsi" w:hAnsiTheme="majorHAnsi"/>
          <w:b/>
          <w:bCs/>
        </w:rPr>
        <w:br/>
      </w:r>
      <w:r w:rsidR="00755138">
        <w:rPr>
          <w:rFonts w:asciiTheme="majorHAnsi" w:hAnsiTheme="majorHAnsi"/>
        </w:rPr>
        <w:t>NUCEIVA</w:t>
      </w:r>
      <w:r w:rsidRPr="0002762D">
        <w:rPr>
          <w:rFonts w:asciiTheme="majorHAnsi" w:hAnsiTheme="majorHAnsi"/>
        </w:rPr>
        <w:t xml:space="preserve"> is supplied in a single</w:t>
      </w:r>
      <w:r w:rsidR="007568C0">
        <w:rPr>
          <w:rFonts w:asciiTheme="majorHAnsi" w:hAnsiTheme="majorHAnsi"/>
        </w:rPr>
        <w:t xml:space="preserve"> use</w:t>
      </w:r>
      <w:r w:rsidRPr="0002762D">
        <w:rPr>
          <w:rFonts w:asciiTheme="majorHAnsi" w:hAnsiTheme="majorHAnsi"/>
        </w:rPr>
        <w:t xml:space="preserve"> 100 Unit vial. Prior to intramuscular injection, reconstitute each vacuum-dried vial of </w:t>
      </w:r>
      <w:r w:rsidR="00755138">
        <w:rPr>
          <w:rFonts w:asciiTheme="majorHAnsi" w:hAnsiTheme="majorHAnsi"/>
        </w:rPr>
        <w:t>NUCEIVA</w:t>
      </w:r>
      <w:r w:rsidRPr="0002762D">
        <w:rPr>
          <w:rFonts w:asciiTheme="majorHAnsi" w:hAnsiTheme="majorHAnsi"/>
        </w:rPr>
        <w:t xml:space="preserve"> with only sterile, preservative-free 0.9% Sodium Chloride Injection, USP to obtain a reconstituted solution at a concentration of 4 Units/0.1 mL and a total treatment dose of 20 Units in 0.5 mL (see </w:t>
      </w:r>
      <w:r w:rsidRPr="0002762D">
        <w:rPr>
          <w:rFonts w:asciiTheme="majorHAnsi" w:hAnsiTheme="majorHAnsi"/>
          <w:color w:val="0432FF"/>
        </w:rPr>
        <w:t>Table 1</w:t>
      </w:r>
      <w:r w:rsidRPr="0002762D">
        <w:rPr>
          <w:rFonts w:asciiTheme="majorHAnsi" w:hAnsiTheme="majorHAnsi"/>
        </w:rPr>
        <w:t xml:space="preserve">). </w:t>
      </w:r>
    </w:p>
    <w:p w14:paraId="5C9FC4B1" w14:textId="5E981124" w:rsidR="002B4ADF" w:rsidRDefault="00C476C8" w:rsidP="00A21699">
      <w:pPr>
        <w:pStyle w:val="NormalIndent"/>
        <w:ind w:left="0"/>
        <w:rPr>
          <w:rFonts w:asciiTheme="majorHAnsi" w:hAnsiTheme="majorHAnsi"/>
        </w:rPr>
      </w:pPr>
      <w:r>
        <w:rPr>
          <w:rFonts w:asciiTheme="majorHAnsi" w:hAnsiTheme="majorHAnsi"/>
        </w:rPr>
        <w:lastRenderedPageBreak/>
        <w:t xml:space="preserve">Draw up the proper amount of </w:t>
      </w:r>
      <w:r w:rsidR="001A42A4" w:rsidRPr="001E5356">
        <w:rPr>
          <w:rFonts w:asciiTheme="majorHAnsi" w:hAnsiTheme="majorHAnsi"/>
        </w:rPr>
        <w:t>0.9% Sodium Chloride Injection</w:t>
      </w:r>
      <w:r w:rsidR="001A42A4">
        <w:rPr>
          <w:rFonts w:asciiTheme="majorHAnsi" w:hAnsiTheme="majorHAnsi"/>
        </w:rPr>
        <w:t>,</w:t>
      </w:r>
      <w:r w:rsidR="001A42A4" w:rsidRPr="001E5356">
        <w:rPr>
          <w:rFonts w:asciiTheme="majorHAnsi" w:hAnsiTheme="majorHAnsi"/>
        </w:rPr>
        <w:t xml:space="preserve"> USP </w:t>
      </w:r>
      <w:r>
        <w:rPr>
          <w:rFonts w:asciiTheme="majorHAnsi" w:hAnsiTheme="majorHAnsi"/>
        </w:rPr>
        <w:t xml:space="preserve">diluent in the appropriate size syringe and inject the diluent into the vial gently. </w:t>
      </w:r>
      <w:r w:rsidR="0002762D" w:rsidRPr="0002762D">
        <w:rPr>
          <w:rFonts w:asciiTheme="majorHAnsi" w:hAnsiTheme="majorHAnsi"/>
        </w:rPr>
        <w:t xml:space="preserve">Discard the vial if a vacuum does not pull the </w:t>
      </w:r>
      <w:r w:rsidR="0002762D" w:rsidRPr="00C947AF">
        <w:rPr>
          <w:rFonts w:asciiTheme="majorHAnsi" w:hAnsiTheme="majorHAnsi"/>
        </w:rPr>
        <w:t>diluent</w:t>
      </w:r>
      <w:r w:rsidR="00A72A6E" w:rsidRPr="00C947AF">
        <w:rPr>
          <w:rFonts w:asciiTheme="majorHAnsi" w:hAnsiTheme="majorHAnsi"/>
        </w:rPr>
        <w:t xml:space="preserve"> </w:t>
      </w:r>
      <w:r w:rsidR="0002762D" w:rsidRPr="0002762D">
        <w:rPr>
          <w:rFonts w:asciiTheme="majorHAnsi" w:hAnsiTheme="majorHAnsi"/>
        </w:rPr>
        <w:t xml:space="preserve">into the vial. Gently mix </w:t>
      </w:r>
      <w:r w:rsidR="00755138">
        <w:rPr>
          <w:rFonts w:asciiTheme="majorHAnsi" w:hAnsiTheme="majorHAnsi"/>
        </w:rPr>
        <w:t>NUCEIVA</w:t>
      </w:r>
      <w:r w:rsidR="0002762D" w:rsidRPr="0002762D">
        <w:rPr>
          <w:rFonts w:asciiTheme="majorHAnsi" w:hAnsiTheme="majorHAnsi"/>
        </w:rPr>
        <w:t xml:space="preserve"> with </w:t>
      </w:r>
      <w:r w:rsidR="00FC0453">
        <w:rPr>
          <w:rFonts w:asciiTheme="majorHAnsi" w:hAnsiTheme="majorHAnsi"/>
        </w:rPr>
        <w:t xml:space="preserve">the </w:t>
      </w:r>
      <w:r w:rsidR="001A42A4">
        <w:rPr>
          <w:rFonts w:asciiTheme="majorHAnsi" w:hAnsiTheme="majorHAnsi"/>
        </w:rPr>
        <w:t xml:space="preserve">diluent </w:t>
      </w:r>
      <w:r w:rsidR="0002762D" w:rsidRPr="0002762D">
        <w:rPr>
          <w:rFonts w:asciiTheme="majorHAnsi" w:hAnsiTheme="majorHAnsi"/>
        </w:rPr>
        <w:t xml:space="preserve">by rotating the vial. </w:t>
      </w:r>
    </w:p>
    <w:p w14:paraId="3C2A6E8B" w14:textId="77777777" w:rsidR="0002762D" w:rsidRPr="0037224B" w:rsidRDefault="0002762D" w:rsidP="0002762D">
      <w:pPr>
        <w:pStyle w:val="Caption"/>
        <w:keepNext w:val="0"/>
        <w:spacing w:before="0"/>
        <w:rPr>
          <w:rFonts w:ascii="Arial" w:hAnsi="Arial" w:cs="Arial"/>
          <w:sz w:val="16"/>
          <w:szCs w:val="16"/>
        </w:rPr>
      </w:pPr>
      <w:bookmarkStart w:id="0" w:name="_Ref457212100"/>
    </w:p>
    <w:p w14:paraId="42DFA2C3" w14:textId="2198F07F" w:rsidR="0002762D" w:rsidRPr="002B4ADF" w:rsidRDefault="0002762D" w:rsidP="0002762D">
      <w:pPr>
        <w:pStyle w:val="Caption"/>
        <w:keepNext w:val="0"/>
        <w:spacing w:before="0"/>
        <w:rPr>
          <w:rFonts w:asciiTheme="majorHAnsi" w:hAnsiTheme="majorHAnsi" w:cs="Arial"/>
          <w:b w:val="0"/>
          <w:sz w:val="22"/>
          <w:szCs w:val="22"/>
        </w:rPr>
      </w:pPr>
      <w:r w:rsidRPr="002B4ADF">
        <w:rPr>
          <w:rFonts w:asciiTheme="majorHAnsi" w:hAnsiTheme="majorHAnsi" w:cs="Arial"/>
          <w:sz w:val="22"/>
          <w:szCs w:val="22"/>
        </w:rPr>
        <w:t xml:space="preserve">Table </w:t>
      </w:r>
      <w:r w:rsidRPr="002B4ADF">
        <w:rPr>
          <w:rFonts w:asciiTheme="majorHAnsi" w:hAnsiTheme="majorHAnsi" w:cs="Arial"/>
          <w:sz w:val="22"/>
          <w:szCs w:val="22"/>
        </w:rPr>
        <w:fldChar w:fldCharType="begin"/>
      </w:r>
      <w:r w:rsidRPr="002B4ADF">
        <w:rPr>
          <w:rFonts w:asciiTheme="majorHAnsi" w:hAnsiTheme="majorHAnsi" w:cs="Arial"/>
          <w:sz w:val="22"/>
          <w:szCs w:val="22"/>
        </w:rPr>
        <w:instrText xml:space="preserve"> SEQ Table \* ARABIC </w:instrText>
      </w:r>
      <w:r w:rsidRPr="002B4ADF">
        <w:rPr>
          <w:rFonts w:asciiTheme="majorHAnsi" w:hAnsiTheme="majorHAnsi" w:cs="Arial"/>
          <w:sz w:val="22"/>
          <w:szCs w:val="22"/>
        </w:rPr>
        <w:fldChar w:fldCharType="separate"/>
      </w:r>
      <w:r w:rsidR="00685B8C">
        <w:rPr>
          <w:rFonts w:asciiTheme="majorHAnsi" w:hAnsiTheme="majorHAnsi" w:cs="Arial"/>
          <w:noProof/>
          <w:sz w:val="22"/>
          <w:szCs w:val="22"/>
        </w:rPr>
        <w:t>1</w:t>
      </w:r>
      <w:r w:rsidRPr="002B4ADF">
        <w:rPr>
          <w:rFonts w:asciiTheme="majorHAnsi" w:hAnsiTheme="majorHAnsi" w:cs="Arial"/>
          <w:noProof/>
          <w:sz w:val="22"/>
          <w:szCs w:val="22"/>
        </w:rPr>
        <w:fldChar w:fldCharType="end"/>
      </w:r>
      <w:bookmarkEnd w:id="0"/>
      <w:r w:rsidRPr="002B4ADF">
        <w:rPr>
          <w:rFonts w:asciiTheme="majorHAnsi" w:hAnsiTheme="majorHAnsi" w:cs="Arial"/>
          <w:noProof/>
          <w:sz w:val="22"/>
          <w:szCs w:val="22"/>
        </w:rPr>
        <w:t>.</w:t>
      </w:r>
      <w:r w:rsidRPr="002B4ADF">
        <w:rPr>
          <w:rFonts w:asciiTheme="majorHAnsi" w:hAnsiTheme="majorHAnsi" w:cs="Arial"/>
          <w:b w:val="0"/>
          <w:sz w:val="22"/>
          <w:szCs w:val="22"/>
        </w:rPr>
        <w:t xml:space="preserve">  </w:t>
      </w:r>
      <w:r w:rsidRPr="002B4ADF">
        <w:rPr>
          <w:rFonts w:asciiTheme="majorHAnsi" w:hAnsiTheme="majorHAnsi" w:cs="Arial"/>
          <w:sz w:val="22"/>
          <w:szCs w:val="22"/>
        </w:rPr>
        <w:t xml:space="preserve">Dilution Instructions for </w:t>
      </w:r>
      <w:r w:rsidR="00755138">
        <w:rPr>
          <w:rFonts w:asciiTheme="majorHAnsi" w:hAnsiTheme="majorHAnsi" w:cs="Arial"/>
          <w:sz w:val="22"/>
          <w:szCs w:val="22"/>
        </w:rPr>
        <w:t>NUCEIVA</w:t>
      </w:r>
      <w:r w:rsidRPr="002B4ADF">
        <w:rPr>
          <w:rFonts w:asciiTheme="majorHAnsi" w:hAnsiTheme="majorHAnsi" w:cs="Arial"/>
          <w:sz w:val="22"/>
          <w:szCs w:val="22"/>
        </w:rPr>
        <w:t xml:space="preserve"> Vials (100 Units)</w:t>
      </w:r>
    </w:p>
    <w:tbl>
      <w:tblPr>
        <w:tblStyle w:val="TableGrid"/>
        <w:tblW w:w="0" w:type="auto"/>
        <w:tblInd w:w="108" w:type="dxa"/>
        <w:tblLook w:val="04A0" w:firstRow="1" w:lastRow="0" w:firstColumn="1" w:lastColumn="0" w:noHBand="0" w:noVBand="1"/>
      </w:tblPr>
      <w:tblGrid>
        <w:gridCol w:w="3420"/>
        <w:gridCol w:w="3600"/>
      </w:tblGrid>
      <w:tr w:rsidR="0002762D" w:rsidRPr="002B4ADF" w14:paraId="128E0D06" w14:textId="77777777" w:rsidTr="008A7390">
        <w:tc>
          <w:tcPr>
            <w:tcW w:w="3420" w:type="dxa"/>
          </w:tcPr>
          <w:p w14:paraId="1873EBA2" w14:textId="77777777" w:rsidR="0002762D" w:rsidRPr="002B4ADF" w:rsidRDefault="0002762D" w:rsidP="008A7390">
            <w:pPr>
              <w:pStyle w:val="BodyText"/>
              <w:tabs>
                <w:tab w:val="left" w:pos="7740"/>
              </w:tabs>
              <w:spacing w:after="120"/>
              <w:jc w:val="center"/>
              <w:rPr>
                <w:rFonts w:asciiTheme="majorHAnsi" w:hAnsiTheme="majorHAnsi" w:cs="Arial"/>
                <w:b/>
                <w:sz w:val="22"/>
                <w:szCs w:val="22"/>
              </w:rPr>
            </w:pPr>
            <w:r w:rsidRPr="002B4ADF">
              <w:rPr>
                <w:rFonts w:asciiTheme="majorHAnsi" w:hAnsiTheme="majorHAnsi" w:cs="Arial"/>
                <w:b/>
                <w:sz w:val="22"/>
                <w:szCs w:val="22"/>
              </w:rPr>
              <w:t>Diluent* Added to 100 Unit Vial</w:t>
            </w:r>
          </w:p>
        </w:tc>
        <w:tc>
          <w:tcPr>
            <w:tcW w:w="3600" w:type="dxa"/>
          </w:tcPr>
          <w:p w14:paraId="322362B2" w14:textId="77777777" w:rsidR="0002762D" w:rsidRPr="002B4ADF" w:rsidRDefault="0002762D" w:rsidP="008A7390">
            <w:pPr>
              <w:pStyle w:val="BodyText"/>
              <w:tabs>
                <w:tab w:val="left" w:pos="7740"/>
              </w:tabs>
              <w:spacing w:after="120"/>
              <w:jc w:val="center"/>
              <w:rPr>
                <w:rFonts w:asciiTheme="majorHAnsi" w:hAnsiTheme="majorHAnsi" w:cs="Arial"/>
                <w:b/>
                <w:sz w:val="22"/>
                <w:szCs w:val="22"/>
              </w:rPr>
            </w:pPr>
            <w:r w:rsidRPr="002B4ADF">
              <w:rPr>
                <w:rFonts w:asciiTheme="majorHAnsi" w:hAnsiTheme="majorHAnsi" w:cs="Arial"/>
                <w:b/>
                <w:sz w:val="22"/>
                <w:szCs w:val="22"/>
              </w:rPr>
              <w:t>Resulting Dose Units per 0.1 mL</w:t>
            </w:r>
          </w:p>
        </w:tc>
      </w:tr>
      <w:tr w:rsidR="0002762D" w:rsidRPr="002B4ADF" w14:paraId="392A317A" w14:textId="77777777" w:rsidTr="008A7390">
        <w:tc>
          <w:tcPr>
            <w:tcW w:w="3420" w:type="dxa"/>
          </w:tcPr>
          <w:p w14:paraId="6E966828" w14:textId="77777777" w:rsidR="0002762D" w:rsidRPr="002B4ADF" w:rsidRDefault="0002762D" w:rsidP="008A7390">
            <w:pPr>
              <w:pStyle w:val="BodyText"/>
              <w:tabs>
                <w:tab w:val="left" w:pos="7740"/>
              </w:tabs>
              <w:spacing w:after="120"/>
              <w:jc w:val="center"/>
              <w:rPr>
                <w:rFonts w:asciiTheme="majorHAnsi" w:hAnsiTheme="majorHAnsi" w:cs="Arial"/>
                <w:sz w:val="22"/>
                <w:szCs w:val="22"/>
              </w:rPr>
            </w:pPr>
            <w:r w:rsidRPr="002B4ADF">
              <w:rPr>
                <w:rFonts w:asciiTheme="majorHAnsi" w:hAnsiTheme="majorHAnsi" w:cs="Arial"/>
                <w:sz w:val="22"/>
                <w:szCs w:val="22"/>
              </w:rPr>
              <w:t>2.5 mL</w:t>
            </w:r>
          </w:p>
        </w:tc>
        <w:tc>
          <w:tcPr>
            <w:tcW w:w="3600" w:type="dxa"/>
          </w:tcPr>
          <w:p w14:paraId="1B26C397" w14:textId="77777777" w:rsidR="0002762D" w:rsidRPr="002B4ADF" w:rsidRDefault="0002762D" w:rsidP="008A7390">
            <w:pPr>
              <w:pStyle w:val="BodyText"/>
              <w:tabs>
                <w:tab w:val="left" w:pos="7740"/>
              </w:tabs>
              <w:spacing w:after="120"/>
              <w:jc w:val="center"/>
              <w:rPr>
                <w:rFonts w:asciiTheme="majorHAnsi" w:hAnsiTheme="majorHAnsi" w:cs="Arial"/>
                <w:sz w:val="22"/>
                <w:szCs w:val="22"/>
              </w:rPr>
            </w:pPr>
            <w:r w:rsidRPr="002B4ADF">
              <w:rPr>
                <w:rFonts w:asciiTheme="majorHAnsi" w:hAnsiTheme="majorHAnsi" w:cs="Arial"/>
                <w:sz w:val="22"/>
                <w:szCs w:val="22"/>
              </w:rPr>
              <w:t>4 Units</w:t>
            </w:r>
          </w:p>
        </w:tc>
      </w:tr>
    </w:tbl>
    <w:p w14:paraId="04A9ADC1" w14:textId="367C6006" w:rsidR="0002762D" w:rsidRPr="00FA345A" w:rsidRDefault="00C9680C" w:rsidP="00C9680C">
      <w:pPr>
        <w:pStyle w:val="NormalIndent"/>
        <w:ind w:left="0"/>
        <w:rPr>
          <w:rFonts w:asciiTheme="majorHAnsi" w:hAnsiTheme="majorHAnsi"/>
          <w:sz w:val="20"/>
          <w:szCs w:val="16"/>
        </w:rPr>
      </w:pPr>
      <w:r>
        <w:rPr>
          <w:rFonts w:asciiTheme="majorHAnsi" w:hAnsiTheme="majorHAnsi"/>
          <w:sz w:val="20"/>
          <w:szCs w:val="16"/>
        </w:rPr>
        <w:t xml:space="preserve">  </w:t>
      </w:r>
      <w:r w:rsidRPr="00FA345A">
        <w:rPr>
          <w:rFonts w:asciiTheme="majorHAnsi" w:hAnsiTheme="majorHAnsi"/>
          <w:sz w:val="20"/>
          <w:szCs w:val="16"/>
        </w:rPr>
        <w:t>*Preservative-free 0.9% Sodium Chloride Injection, USP</w:t>
      </w:r>
    </w:p>
    <w:p w14:paraId="481D71E8" w14:textId="77777777" w:rsidR="00C9680C" w:rsidRDefault="00C9680C" w:rsidP="00A21699">
      <w:pPr>
        <w:pStyle w:val="NormalIndent"/>
        <w:ind w:left="0"/>
        <w:rPr>
          <w:rFonts w:asciiTheme="majorHAnsi" w:hAnsiTheme="majorHAnsi"/>
        </w:rPr>
      </w:pPr>
    </w:p>
    <w:p w14:paraId="4CB52A00" w14:textId="43DE1FAE" w:rsidR="002B4ADF" w:rsidRDefault="00755138" w:rsidP="002B4ADF">
      <w:pPr>
        <w:pStyle w:val="NormalIndent"/>
        <w:ind w:left="0"/>
        <w:rPr>
          <w:rFonts w:asciiTheme="majorHAnsi" w:hAnsiTheme="majorHAnsi"/>
        </w:rPr>
      </w:pPr>
      <w:r>
        <w:rPr>
          <w:rFonts w:asciiTheme="majorHAnsi" w:hAnsiTheme="majorHAnsi"/>
        </w:rPr>
        <w:t>NUCEIVA</w:t>
      </w:r>
      <w:r w:rsidR="002B4ADF" w:rsidRPr="0002762D">
        <w:rPr>
          <w:rFonts w:asciiTheme="majorHAnsi" w:hAnsiTheme="majorHAnsi"/>
        </w:rPr>
        <w:t xml:space="preserve"> should be administered within 24 hours after reconstitution. During this time period, unused reconstituted </w:t>
      </w:r>
      <w:r>
        <w:rPr>
          <w:rFonts w:asciiTheme="majorHAnsi" w:hAnsiTheme="majorHAnsi"/>
        </w:rPr>
        <w:t>NUCEIVA</w:t>
      </w:r>
      <w:r w:rsidR="002B4ADF" w:rsidRPr="0002762D">
        <w:rPr>
          <w:rFonts w:asciiTheme="majorHAnsi" w:hAnsiTheme="majorHAnsi"/>
        </w:rPr>
        <w:t xml:space="preserve"> should be stored in a refrigerator between 2° to 8°C (36°F to 46°F) in the original carton to protect from light for up to 24 hours until time of use. </w:t>
      </w:r>
      <w:r w:rsidR="00C9680C">
        <w:rPr>
          <w:rFonts w:asciiTheme="majorHAnsi" w:hAnsiTheme="majorHAnsi"/>
        </w:rPr>
        <w:t>Do not freeze reconstituted NUCEIVA.</w:t>
      </w:r>
      <w:r w:rsidR="007127FD">
        <w:rPr>
          <w:rFonts w:asciiTheme="majorHAnsi" w:hAnsiTheme="majorHAnsi"/>
        </w:rPr>
        <w:t xml:space="preserve"> Discard any remaining solution after administration. </w:t>
      </w:r>
    </w:p>
    <w:p w14:paraId="5D857F22" w14:textId="77777777" w:rsidR="00592F08" w:rsidRPr="0002762D" w:rsidRDefault="00592F08" w:rsidP="00A21699">
      <w:pPr>
        <w:rPr>
          <w:rFonts w:asciiTheme="majorHAnsi" w:hAnsiTheme="majorHAnsi" w:cstheme="minorHAnsi"/>
          <w:lang w:val="en-GB"/>
        </w:rPr>
      </w:pPr>
    </w:p>
    <w:p w14:paraId="247F08C3" w14:textId="77777777" w:rsidR="00592F08" w:rsidRDefault="00A21699" w:rsidP="00592F08">
      <w:pPr>
        <w:rPr>
          <w:rFonts w:asciiTheme="majorHAnsi" w:hAnsiTheme="majorHAnsi" w:cstheme="minorHAnsi"/>
        </w:rPr>
      </w:pPr>
      <w:r w:rsidRPr="00592F08">
        <w:rPr>
          <w:rFonts w:asciiTheme="majorHAnsi" w:hAnsiTheme="majorHAnsi" w:cstheme="minorHAnsi"/>
          <w:b/>
          <w:bCs/>
        </w:rPr>
        <w:t>Method of Administration</w:t>
      </w:r>
      <w:r w:rsidRPr="0002762D">
        <w:rPr>
          <w:rFonts w:asciiTheme="majorHAnsi" w:hAnsiTheme="majorHAnsi" w:cstheme="minorHAnsi"/>
        </w:rPr>
        <w:t xml:space="preserve"> </w:t>
      </w:r>
      <w:r w:rsidR="0002762D">
        <w:rPr>
          <w:rFonts w:asciiTheme="majorHAnsi" w:hAnsiTheme="majorHAnsi" w:cstheme="minorHAnsi"/>
        </w:rPr>
        <w:br/>
        <w:t>For intramuscular use.</w:t>
      </w:r>
      <w:r w:rsidR="00592F08">
        <w:rPr>
          <w:rFonts w:asciiTheme="majorHAnsi" w:hAnsiTheme="majorHAnsi" w:cstheme="minorHAnsi"/>
        </w:rPr>
        <w:t xml:space="preserve"> </w:t>
      </w:r>
    </w:p>
    <w:p w14:paraId="6E8BA149" w14:textId="701EF000" w:rsidR="001C33BF" w:rsidRDefault="001C33BF" w:rsidP="00592F08">
      <w:pPr>
        <w:rPr>
          <w:rFonts w:asciiTheme="majorHAnsi" w:hAnsiTheme="majorHAnsi" w:cstheme="minorHAnsi"/>
          <w:lang w:val="en-US"/>
        </w:rPr>
      </w:pPr>
      <w:r>
        <w:rPr>
          <w:rFonts w:asciiTheme="majorHAnsi" w:hAnsiTheme="majorHAnsi" w:cstheme="minorHAnsi"/>
          <w:lang w:val="en-US"/>
        </w:rPr>
        <w:t>D</w:t>
      </w:r>
      <w:r w:rsidR="00592F08" w:rsidRPr="001C33BF">
        <w:rPr>
          <w:rFonts w:asciiTheme="majorHAnsi" w:hAnsiTheme="majorHAnsi" w:cstheme="minorHAnsi"/>
          <w:lang w:val="en-US"/>
        </w:rPr>
        <w:t>raw</w:t>
      </w:r>
      <w:r w:rsidR="00592F08" w:rsidRPr="00592F08">
        <w:rPr>
          <w:rFonts w:asciiTheme="majorHAnsi" w:hAnsiTheme="majorHAnsi" w:cstheme="minorHAnsi"/>
          <w:lang w:val="en-US"/>
        </w:rPr>
        <w:t xml:space="preserve"> at least 0.5 mL of the properly reconstituted </w:t>
      </w:r>
      <w:r w:rsidR="00755138">
        <w:rPr>
          <w:rFonts w:asciiTheme="majorHAnsi" w:hAnsiTheme="majorHAnsi" w:cstheme="minorHAnsi"/>
          <w:lang w:val="en-US"/>
        </w:rPr>
        <w:t>NUCEIVA</w:t>
      </w:r>
      <w:r w:rsidR="00592F08" w:rsidRPr="00592F08">
        <w:rPr>
          <w:rFonts w:asciiTheme="majorHAnsi" w:hAnsiTheme="majorHAnsi" w:cstheme="minorHAnsi"/>
          <w:lang w:val="en-US"/>
        </w:rPr>
        <w:t xml:space="preserve"> into a sterile syringe</w:t>
      </w:r>
      <w:r>
        <w:rPr>
          <w:rFonts w:asciiTheme="majorHAnsi" w:hAnsiTheme="majorHAnsi" w:cstheme="minorHAnsi"/>
          <w:lang w:val="en-US"/>
        </w:rPr>
        <w:t>.</w:t>
      </w:r>
      <w:r w:rsidR="00592F08" w:rsidRPr="00592F08">
        <w:rPr>
          <w:rFonts w:asciiTheme="majorHAnsi" w:hAnsiTheme="majorHAnsi" w:cstheme="minorHAnsi"/>
          <w:lang w:val="en-US"/>
        </w:rPr>
        <w:t xml:space="preserve"> </w:t>
      </w:r>
      <w:r>
        <w:rPr>
          <w:rFonts w:asciiTheme="majorHAnsi" w:hAnsiTheme="majorHAnsi" w:cstheme="minorHAnsi"/>
          <w:lang w:val="en-US"/>
        </w:rPr>
        <w:t xml:space="preserve">Attach the syringe to a </w:t>
      </w:r>
      <w:r w:rsidR="00125B53">
        <w:rPr>
          <w:rFonts w:asciiTheme="majorHAnsi" w:hAnsiTheme="majorHAnsi" w:cstheme="minorHAnsi"/>
          <w:lang w:val="en-US"/>
        </w:rPr>
        <w:t>30–33-gauge</w:t>
      </w:r>
      <w:r>
        <w:rPr>
          <w:rFonts w:asciiTheme="majorHAnsi" w:hAnsiTheme="majorHAnsi" w:cstheme="minorHAnsi"/>
          <w:lang w:val="en-US"/>
        </w:rPr>
        <w:t xml:space="preserve"> injection needle </w:t>
      </w:r>
      <w:r w:rsidR="00592F08" w:rsidRPr="001C33BF">
        <w:rPr>
          <w:rFonts w:asciiTheme="majorHAnsi" w:hAnsiTheme="majorHAnsi" w:cstheme="minorHAnsi"/>
          <w:lang w:val="en-US"/>
        </w:rPr>
        <w:t xml:space="preserve">and expel any air bubbles in the syringe barrel. </w:t>
      </w:r>
      <w:r w:rsidR="00592F08" w:rsidRPr="00592F08">
        <w:rPr>
          <w:rFonts w:asciiTheme="majorHAnsi" w:hAnsiTheme="majorHAnsi" w:cstheme="minorHAnsi"/>
          <w:lang w:val="en-US"/>
        </w:rPr>
        <w:t xml:space="preserve">Confirm the patency of the needle. Inject a dose of 0.1 mL (4 Units) intramuscularly into each of five sites: the inferomedial and superior middle of each corrugator, and one in the mid-line of the procerus muscle for a total dose of 20 Units (See </w:t>
      </w:r>
      <w:r w:rsidR="00592F08" w:rsidRPr="00592F08">
        <w:rPr>
          <w:rFonts w:asciiTheme="majorHAnsi" w:hAnsiTheme="majorHAnsi" w:cstheme="minorHAnsi"/>
          <w:color w:val="0432FF"/>
          <w:lang w:val="en-US"/>
        </w:rPr>
        <w:t>Figure 1</w:t>
      </w:r>
      <w:r w:rsidR="00592F08" w:rsidRPr="00592F08">
        <w:rPr>
          <w:rFonts w:asciiTheme="majorHAnsi" w:hAnsiTheme="majorHAnsi" w:cstheme="minorHAnsi"/>
          <w:lang w:val="en-US"/>
        </w:rPr>
        <w:t>).</w:t>
      </w:r>
      <w:r>
        <w:rPr>
          <w:rFonts w:asciiTheme="majorHAnsi" w:hAnsiTheme="majorHAnsi" w:cstheme="minorHAnsi"/>
          <w:lang w:val="en-US"/>
        </w:rPr>
        <w:t xml:space="preserve"> </w:t>
      </w:r>
      <w:r w:rsidR="00527287" w:rsidRPr="00527287">
        <w:rPr>
          <w:rFonts w:asciiTheme="majorHAnsi" w:hAnsiTheme="majorHAnsi" w:cstheme="minorHAnsi"/>
          <w:lang w:val="en-US"/>
        </w:rPr>
        <w:t>Care should be taken to ensure that NUCEIVA is not injected into a blood vessel</w:t>
      </w:r>
      <w:r w:rsidR="009A0D21">
        <w:rPr>
          <w:rFonts w:asciiTheme="majorHAnsi" w:hAnsiTheme="majorHAnsi" w:cstheme="minorHAnsi"/>
          <w:lang w:val="en-US"/>
        </w:rPr>
        <w:t>.</w:t>
      </w:r>
      <w:r w:rsidR="00527287" w:rsidRPr="00527287">
        <w:rPr>
          <w:rFonts w:asciiTheme="majorHAnsi" w:hAnsiTheme="majorHAnsi" w:cstheme="minorHAnsi"/>
          <w:lang w:val="en-US"/>
        </w:rPr>
        <w:t xml:space="preserve">   </w:t>
      </w:r>
    </w:p>
    <w:p w14:paraId="5555862A" w14:textId="77777777" w:rsidR="001C33BF" w:rsidRDefault="001C33BF" w:rsidP="001C33BF">
      <w:pPr>
        <w:rPr>
          <w:rFonts w:asciiTheme="majorHAnsi" w:hAnsiTheme="majorHAnsi" w:cstheme="minorHAnsi"/>
          <w:lang w:val="en-US"/>
        </w:rPr>
      </w:pPr>
      <w:r>
        <w:rPr>
          <w:rFonts w:asciiTheme="majorHAnsi" w:hAnsiTheme="majorHAnsi" w:cstheme="minorHAnsi"/>
          <w:lang w:val="en-US"/>
        </w:rPr>
        <w:t xml:space="preserve">In order to reduce the complication of eyelid ptosis, the following steps should be taken: </w:t>
      </w:r>
    </w:p>
    <w:p w14:paraId="698575FF" w14:textId="77777777" w:rsidR="001C33BF" w:rsidRDefault="001C33BF" w:rsidP="001C33BF">
      <w:pPr>
        <w:pStyle w:val="ListParagraph"/>
        <w:numPr>
          <w:ilvl w:val="0"/>
          <w:numId w:val="15"/>
        </w:numPr>
        <w:rPr>
          <w:rFonts w:asciiTheme="majorHAnsi" w:hAnsiTheme="majorHAnsi" w:cstheme="minorHAnsi"/>
          <w:lang w:val="en-US"/>
        </w:rPr>
      </w:pPr>
      <w:r>
        <w:rPr>
          <w:rFonts w:asciiTheme="majorHAnsi" w:hAnsiTheme="majorHAnsi" w:cstheme="minorHAnsi"/>
          <w:lang w:val="en-US"/>
        </w:rPr>
        <w:t>Physical manipulation (such as rubbing) of the injection site in the immediate post-administration period should be avoided</w:t>
      </w:r>
    </w:p>
    <w:p w14:paraId="400CB5F7" w14:textId="62AC6CC1" w:rsidR="001C33BF" w:rsidRPr="00747C14" w:rsidRDefault="001C33BF" w:rsidP="001C33BF">
      <w:pPr>
        <w:pStyle w:val="ListParagraph"/>
        <w:numPr>
          <w:ilvl w:val="0"/>
          <w:numId w:val="15"/>
        </w:numPr>
        <w:rPr>
          <w:rFonts w:asciiTheme="majorHAnsi" w:hAnsiTheme="majorHAnsi" w:cstheme="minorHAnsi"/>
          <w:lang w:val="en-US"/>
        </w:rPr>
      </w:pPr>
      <w:r>
        <w:rPr>
          <w:rFonts w:asciiTheme="majorHAnsi" w:hAnsiTheme="majorHAnsi" w:cstheme="minorHAnsi"/>
          <w:lang w:val="en-US"/>
        </w:rPr>
        <w:t>I</w:t>
      </w:r>
      <w:r w:rsidRPr="00747C14">
        <w:rPr>
          <w:rFonts w:asciiTheme="majorHAnsi" w:hAnsiTheme="majorHAnsi" w:cstheme="minorHAnsi"/>
          <w:lang w:val="en-US"/>
        </w:rPr>
        <w:t>njection near</w:t>
      </w:r>
      <w:r>
        <w:rPr>
          <w:rFonts w:asciiTheme="majorHAnsi" w:hAnsiTheme="majorHAnsi" w:cstheme="minorHAnsi"/>
          <w:lang w:val="en-US"/>
        </w:rPr>
        <w:t xml:space="preserve"> the</w:t>
      </w:r>
      <w:r w:rsidRPr="00747C14">
        <w:rPr>
          <w:rFonts w:asciiTheme="majorHAnsi" w:hAnsiTheme="majorHAnsi" w:cstheme="minorHAnsi"/>
          <w:lang w:val="en-US"/>
        </w:rPr>
        <w:t xml:space="preserve"> </w:t>
      </w:r>
      <w:proofErr w:type="spellStart"/>
      <w:r w:rsidRPr="00747C14">
        <w:rPr>
          <w:rFonts w:asciiTheme="majorHAnsi" w:hAnsiTheme="majorHAnsi" w:cstheme="minorHAnsi"/>
          <w:lang w:val="en-US"/>
        </w:rPr>
        <w:t>levator</w:t>
      </w:r>
      <w:proofErr w:type="spellEnd"/>
      <w:r w:rsidRPr="00747C14">
        <w:rPr>
          <w:rFonts w:asciiTheme="majorHAnsi" w:hAnsiTheme="majorHAnsi" w:cstheme="minorHAnsi"/>
          <w:lang w:val="en-US"/>
        </w:rPr>
        <w:t xml:space="preserve"> palpebrae superioris</w:t>
      </w:r>
      <w:r>
        <w:rPr>
          <w:rFonts w:asciiTheme="majorHAnsi" w:hAnsiTheme="majorHAnsi" w:cstheme="minorHAnsi"/>
          <w:lang w:val="en-US"/>
        </w:rPr>
        <w:t xml:space="preserve"> should be avoided, particularly</w:t>
      </w:r>
      <w:r w:rsidR="002A47DD">
        <w:rPr>
          <w:rFonts w:asciiTheme="majorHAnsi" w:hAnsiTheme="majorHAnsi" w:cstheme="minorHAnsi"/>
          <w:lang w:val="en-US"/>
        </w:rPr>
        <w:t xml:space="preserve"> </w:t>
      </w:r>
      <w:r w:rsidRPr="00747C14">
        <w:rPr>
          <w:rFonts w:asciiTheme="majorHAnsi" w:hAnsiTheme="majorHAnsi" w:cstheme="minorHAnsi"/>
          <w:lang w:val="en-US"/>
        </w:rPr>
        <w:t>in patients with larger brow depressor complexes</w:t>
      </w:r>
    </w:p>
    <w:p w14:paraId="42ADA803" w14:textId="77777777" w:rsidR="001C33BF" w:rsidRPr="001C33BF" w:rsidRDefault="001C33BF" w:rsidP="001C33BF">
      <w:pPr>
        <w:pStyle w:val="ListParagraph"/>
        <w:numPr>
          <w:ilvl w:val="0"/>
          <w:numId w:val="15"/>
        </w:numPr>
        <w:rPr>
          <w:rFonts w:asciiTheme="majorHAnsi" w:hAnsiTheme="majorHAnsi" w:cstheme="minorHAnsi"/>
          <w:lang w:val="en-US"/>
        </w:rPr>
      </w:pPr>
      <w:r w:rsidRPr="00747C14">
        <w:rPr>
          <w:rFonts w:asciiTheme="majorHAnsi" w:hAnsiTheme="majorHAnsi" w:cstheme="minorHAnsi"/>
          <w:lang w:val="en-US"/>
        </w:rPr>
        <w:t>Lateral corrugator injections should be placed at least 1cm above the bony supraorbital ridge</w:t>
      </w:r>
    </w:p>
    <w:p w14:paraId="1E119747" w14:textId="3FCDBDC4" w:rsidR="00C56C9F" w:rsidRPr="00C56C9F" w:rsidRDefault="00C56C9F" w:rsidP="00C56C9F">
      <w:pPr>
        <w:pStyle w:val="Caption"/>
        <w:rPr>
          <w:rFonts w:asciiTheme="majorHAnsi" w:hAnsiTheme="majorHAnsi" w:cstheme="minorHAnsi"/>
          <w:sz w:val="22"/>
          <w:szCs w:val="22"/>
        </w:rPr>
      </w:pPr>
      <w:r w:rsidRPr="00C56C9F">
        <w:rPr>
          <w:rFonts w:asciiTheme="majorHAnsi" w:hAnsiTheme="majorHAnsi"/>
          <w:sz w:val="22"/>
          <w:szCs w:val="22"/>
        </w:rPr>
        <w:lastRenderedPageBreak/>
        <w:t xml:space="preserve">Figure </w:t>
      </w:r>
      <w:r w:rsidRPr="00C56C9F">
        <w:rPr>
          <w:rFonts w:asciiTheme="majorHAnsi" w:hAnsiTheme="majorHAnsi"/>
          <w:sz w:val="22"/>
          <w:szCs w:val="22"/>
        </w:rPr>
        <w:fldChar w:fldCharType="begin"/>
      </w:r>
      <w:r w:rsidRPr="00C56C9F">
        <w:rPr>
          <w:rFonts w:asciiTheme="majorHAnsi" w:hAnsiTheme="majorHAnsi"/>
          <w:sz w:val="22"/>
          <w:szCs w:val="22"/>
        </w:rPr>
        <w:instrText xml:space="preserve"> SEQ Figure \* ARABIC </w:instrText>
      </w:r>
      <w:r w:rsidRPr="00C56C9F">
        <w:rPr>
          <w:rFonts w:asciiTheme="majorHAnsi" w:hAnsiTheme="majorHAnsi"/>
          <w:sz w:val="22"/>
          <w:szCs w:val="22"/>
        </w:rPr>
        <w:fldChar w:fldCharType="separate"/>
      </w:r>
      <w:r w:rsidRPr="00C56C9F">
        <w:rPr>
          <w:rFonts w:asciiTheme="majorHAnsi" w:hAnsiTheme="majorHAnsi"/>
          <w:noProof/>
          <w:sz w:val="22"/>
          <w:szCs w:val="22"/>
        </w:rPr>
        <w:t>1</w:t>
      </w:r>
      <w:r w:rsidRPr="00C56C9F">
        <w:rPr>
          <w:rFonts w:asciiTheme="majorHAnsi" w:hAnsiTheme="majorHAnsi"/>
          <w:sz w:val="22"/>
          <w:szCs w:val="22"/>
        </w:rPr>
        <w:fldChar w:fldCharType="end"/>
      </w:r>
      <w:r w:rsidRPr="00C56C9F">
        <w:rPr>
          <w:rFonts w:asciiTheme="majorHAnsi" w:hAnsiTheme="majorHAnsi"/>
          <w:sz w:val="22"/>
          <w:szCs w:val="22"/>
        </w:rPr>
        <w:t>. Injection Points</w:t>
      </w:r>
    </w:p>
    <w:p w14:paraId="033B3371" w14:textId="583110B4" w:rsidR="00592F08" w:rsidRPr="00592F08" w:rsidRDefault="00592F08" w:rsidP="00A21699">
      <w:pPr>
        <w:rPr>
          <w:rFonts w:asciiTheme="majorHAnsi" w:hAnsiTheme="majorHAnsi" w:cstheme="minorHAnsi"/>
          <w:lang w:val="en-US"/>
        </w:rPr>
      </w:pPr>
      <w:r w:rsidRPr="000818E3">
        <w:rPr>
          <w:noProof/>
          <w:color w:val="C00000"/>
        </w:rPr>
        <w:drawing>
          <wp:inline distT="0" distB="0" distL="0" distR="0" wp14:anchorId="6D5AC0F9" wp14:editId="79C31C7B">
            <wp:extent cx="3736975" cy="2150384"/>
            <wp:effectExtent l="0" t="0" r="0" b="0"/>
            <wp:docPr id="1" name="Picture 13" descr="A picture containing sky, photo, open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sky, photo, opener&#10;&#10;Description automatically generated"/>
                    <pic:cNvPicPr>
                      <a:picLocks/>
                    </pic:cNvPicPr>
                  </pic:nvPicPr>
                  <pic:blipFill rotWithShape="1">
                    <a:blip r:embed="rId12" cstate="print">
                      <a:extLst>
                        <a:ext uri="{28A0092B-C50C-407E-A947-70E740481C1C}">
                          <a14:useLocalDpi xmlns:a14="http://schemas.microsoft.com/office/drawing/2010/main" val="0"/>
                        </a:ext>
                      </a:extLst>
                    </a:blip>
                    <a:srcRect t="5776"/>
                    <a:stretch/>
                  </pic:blipFill>
                  <pic:spPr bwMode="auto">
                    <a:xfrm>
                      <a:off x="0" y="0"/>
                      <a:ext cx="3736975" cy="2150384"/>
                    </a:xfrm>
                    <a:prstGeom prst="rect">
                      <a:avLst/>
                    </a:prstGeom>
                    <a:noFill/>
                    <a:ln>
                      <a:noFill/>
                    </a:ln>
                    <a:extLst>
                      <a:ext uri="{53640926-AAD7-44D8-BBD7-CCE9431645EC}">
                        <a14:shadowObscured xmlns:a14="http://schemas.microsoft.com/office/drawing/2010/main"/>
                      </a:ext>
                    </a:extLst>
                  </pic:spPr>
                </pic:pic>
              </a:graphicData>
            </a:graphic>
          </wp:inline>
        </w:drawing>
      </w:r>
    </w:p>
    <w:p w14:paraId="447D8AEF" w14:textId="1F47BF2E" w:rsidR="00592F08" w:rsidRDefault="00592F08" w:rsidP="00A21699">
      <w:pPr>
        <w:rPr>
          <w:rFonts w:asciiTheme="majorHAnsi" w:hAnsiTheme="majorHAnsi" w:cstheme="minorHAnsi"/>
        </w:rPr>
      </w:pPr>
    </w:p>
    <w:p w14:paraId="686EB1FA" w14:textId="77777777" w:rsidR="00592F08" w:rsidRDefault="00592F08" w:rsidP="00592F08">
      <w:pPr>
        <w:rPr>
          <w:rFonts w:asciiTheme="majorHAnsi" w:hAnsiTheme="majorHAnsi" w:cstheme="minorHAnsi"/>
        </w:rPr>
      </w:pPr>
      <w:r w:rsidRPr="00592F08">
        <w:rPr>
          <w:rFonts w:asciiTheme="majorHAnsi" w:hAnsiTheme="majorHAnsi" w:cstheme="minorHAnsi"/>
          <w:b/>
          <w:bCs/>
        </w:rPr>
        <w:t>Lack of Response</w:t>
      </w:r>
      <w:r>
        <w:rPr>
          <w:rFonts w:asciiTheme="majorHAnsi" w:hAnsiTheme="majorHAnsi" w:cstheme="minorHAnsi"/>
        </w:rPr>
        <w:br/>
      </w:r>
      <w:r w:rsidRPr="00592F08">
        <w:rPr>
          <w:rFonts w:asciiTheme="majorHAnsi" w:hAnsiTheme="majorHAnsi" w:cstheme="minorHAnsi"/>
        </w:rPr>
        <w:t xml:space="preserve">In the event of treatment failure (no visible improvement of glabellar lines at maximum frown) one month after the first course of treatment, the following approaches may be considered: </w:t>
      </w:r>
    </w:p>
    <w:p w14:paraId="0AD8498D" w14:textId="666FE792" w:rsidR="00592F08" w:rsidRPr="00592F08" w:rsidRDefault="00592F08" w:rsidP="00592F08">
      <w:pPr>
        <w:pStyle w:val="ListParagraph"/>
        <w:numPr>
          <w:ilvl w:val="0"/>
          <w:numId w:val="12"/>
        </w:numPr>
        <w:rPr>
          <w:rFonts w:asciiTheme="majorHAnsi" w:hAnsiTheme="majorHAnsi" w:cstheme="minorHAnsi"/>
        </w:rPr>
      </w:pPr>
      <w:r w:rsidRPr="00592F08">
        <w:rPr>
          <w:rFonts w:asciiTheme="majorHAnsi" w:hAnsiTheme="majorHAnsi" w:cstheme="minorHAnsi"/>
        </w:rPr>
        <w:t>Examination of the causes of failure, e.g.</w:t>
      </w:r>
      <w:r>
        <w:rPr>
          <w:rFonts w:asciiTheme="majorHAnsi" w:hAnsiTheme="majorHAnsi" w:cstheme="minorHAnsi"/>
        </w:rPr>
        <w:t>,</w:t>
      </w:r>
      <w:r w:rsidRPr="00592F08">
        <w:rPr>
          <w:rFonts w:asciiTheme="majorHAnsi" w:hAnsiTheme="majorHAnsi" w:cstheme="minorHAnsi"/>
        </w:rPr>
        <w:t xml:space="preserve"> inappropriate injection technique, incorrect muscles injected, and formation of botulinum toxin-neutralising antibodies.</w:t>
      </w:r>
    </w:p>
    <w:p w14:paraId="6736229D" w14:textId="0DEAFC28" w:rsidR="00592F08" w:rsidRPr="00592F08" w:rsidRDefault="00592F08" w:rsidP="00592F08">
      <w:pPr>
        <w:pStyle w:val="ListParagraph"/>
        <w:numPr>
          <w:ilvl w:val="0"/>
          <w:numId w:val="12"/>
        </w:numPr>
        <w:rPr>
          <w:rFonts w:asciiTheme="majorHAnsi" w:hAnsiTheme="majorHAnsi" w:cstheme="minorHAnsi"/>
        </w:rPr>
      </w:pPr>
      <w:r w:rsidRPr="00592F08">
        <w:rPr>
          <w:rFonts w:asciiTheme="majorHAnsi" w:hAnsiTheme="majorHAnsi" w:cstheme="minorHAnsi"/>
        </w:rPr>
        <w:t>Re-evaluation of the appropriateness of treatment with botulinum toxin type A.</w:t>
      </w:r>
    </w:p>
    <w:p w14:paraId="0CC38923" w14:textId="60F8DB6C" w:rsidR="0002762D" w:rsidRDefault="00DE0442" w:rsidP="00A21699">
      <w:pPr>
        <w:rPr>
          <w:lang w:val="en-GB"/>
        </w:rPr>
      </w:pPr>
      <w:r>
        <w:rPr>
          <w:rFonts w:asciiTheme="majorHAnsi" w:hAnsiTheme="majorHAnsi" w:cstheme="minorHAnsi"/>
          <w:b/>
          <w:bCs/>
        </w:rPr>
        <w:t>Retreatment</w:t>
      </w:r>
      <w:r>
        <w:rPr>
          <w:rFonts w:asciiTheme="majorHAnsi" w:hAnsiTheme="majorHAnsi" w:cstheme="minorHAnsi"/>
        </w:rPr>
        <w:br/>
      </w:r>
      <w:proofErr w:type="spellStart"/>
      <w:r w:rsidR="00950FE8" w:rsidRPr="0002762D">
        <w:rPr>
          <w:rFonts w:asciiTheme="majorHAnsi" w:hAnsiTheme="majorHAnsi"/>
        </w:rPr>
        <w:t>Retreatment</w:t>
      </w:r>
      <w:proofErr w:type="spellEnd"/>
      <w:r w:rsidR="00950FE8">
        <w:rPr>
          <w:rFonts w:asciiTheme="majorHAnsi" w:hAnsiTheme="majorHAnsi"/>
        </w:rPr>
        <w:t xml:space="preserve"> with</w:t>
      </w:r>
      <w:r w:rsidR="00950FE8" w:rsidRPr="0002762D">
        <w:rPr>
          <w:rFonts w:asciiTheme="majorHAnsi" w:hAnsiTheme="majorHAnsi"/>
        </w:rPr>
        <w:t xml:space="preserve"> </w:t>
      </w:r>
      <w:r w:rsidR="00950FE8">
        <w:rPr>
          <w:rFonts w:asciiTheme="majorHAnsi" w:hAnsiTheme="majorHAnsi"/>
        </w:rPr>
        <w:t>NUCEIVA</w:t>
      </w:r>
      <w:r w:rsidR="00950FE8" w:rsidRPr="0002762D">
        <w:rPr>
          <w:rFonts w:asciiTheme="majorHAnsi" w:hAnsiTheme="majorHAnsi"/>
        </w:rPr>
        <w:t xml:space="preserve"> should be administered no more frequently than every three months. Consideration of the cumulative dose is necessary when treating adult patients with </w:t>
      </w:r>
      <w:r w:rsidR="00950FE8">
        <w:rPr>
          <w:rFonts w:asciiTheme="majorHAnsi" w:hAnsiTheme="majorHAnsi"/>
        </w:rPr>
        <w:t>NUCEIVA</w:t>
      </w:r>
      <w:r w:rsidR="00950FE8" w:rsidRPr="0002762D">
        <w:rPr>
          <w:rFonts w:asciiTheme="majorHAnsi" w:hAnsiTheme="majorHAnsi"/>
        </w:rPr>
        <w:t xml:space="preserve"> for glabellar lines if other botulinum toxin products are or have been used.</w:t>
      </w:r>
    </w:p>
    <w:p w14:paraId="5BFF13A3" w14:textId="77777777" w:rsidR="00DE0442" w:rsidRPr="0002762D" w:rsidRDefault="00DE0442" w:rsidP="00DE0442">
      <w:pPr>
        <w:rPr>
          <w:rFonts w:asciiTheme="majorHAnsi" w:hAnsiTheme="majorHAnsi" w:cstheme="minorHAnsi"/>
        </w:rPr>
      </w:pPr>
      <w:r w:rsidRPr="00592F08">
        <w:rPr>
          <w:rFonts w:asciiTheme="majorHAnsi" w:hAnsiTheme="majorHAnsi" w:cstheme="minorHAnsi"/>
        </w:rPr>
        <w:t>The efficacy and safety of repeat injections beyond 12 months</w:t>
      </w:r>
      <w:r>
        <w:rPr>
          <w:rFonts w:asciiTheme="majorHAnsi" w:hAnsiTheme="majorHAnsi" w:cstheme="minorHAnsi"/>
        </w:rPr>
        <w:t xml:space="preserve"> have</w:t>
      </w:r>
      <w:r w:rsidRPr="00592F08">
        <w:rPr>
          <w:rFonts w:asciiTheme="majorHAnsi" w:hAnsiTheme="majorHAnsi" w:cstheme="minorHAnsi"/>
        </w:rPr>
        <w:t xml:space="preserve"> not been evaluated.</w:t>
      </w:r>
    </w:p>
    <w:p w14:paraId="2E66232D" w14:textId="7C5571A3" w:rsidR="001A3992" w:rsidRDefault="001A3992" w:rsidP="001A3992">
      <w:pPr>
        <w:pStyle w:val="Heading2"/>
        <w:spacing w:before="0" w:after="120"/>
        <w:rPr>
          <w:rFonts w:cstheme="minorHAnsi"/>
        </w:rPr>
      </w:pPr>
      <w:r w:rsidRPr="00497C85">
        <w:rPr>
          <w:rFonts w:cstheme="minorHAnsi"/>
        </w:rPr>
        <w:t>Contraindications</w:t>
      </w:r>
    </w:p>
    <w:p w14:paraId="577445D3" w14:textId="365AE821" w:rsidR="00FC413A" w:rsidRPr="00FC413A" w:rsidRDefault="00FC413A" w:rsidP="00FC413A">
      <w:pPr>
        <w:rPr>
          <w:rFonts w:asciiTheme="majorHAnsi" w:hAnsiTheme="majorHAnsi"/>
        </w:rPr>
      </w:pPr>
      <w:r w:rsidRPr="00FC413A">
        <w:rPr>
          <w:rFonts w:asciiTheme="majorHAnsi" w:hAnsiTheme="majorHAnsi"/>
        </w:rPr>
        <w:t xml:space="preserve">NUCEIVA is contraindicated in </w:t>
      </w:r>
      <w:r w:rsidR="007A315E">
        <w:rPr>
          <w:rFonts w:asciiTheme="majorHAnsi" w:hAnsiTheme="majorHAnsi"/>
        </w:rPr>
        <w:t>individuals with known</w:t>
      </w:r>
      <w:r w:rsidR="007A315E" w:rsidRPr="00FC413A">
        <w:rPr>
          <w:rFonts w:asciiTheme="majorHAnsi" w:hAnsiTheme="majorHAnsi"/>
        </w:rPr>
        <w:t xml:space="preserve"> </w:t>
      </w:r>
      <w:r w:rsidRPr="00FC413A">
        <w:rPr>
          <w:rFonts w:asciiTheme="majorHAnsi" w:hAnsiTheme="majorHAnsi"/>
        </w:rPr>
        <w:t>hypersensitivity to</w:t>
      </w:r>
      <w:r w:rsidR="00182682">
        <w:rPr>
          <w:rFonts w:asciiTheme="majorHAnsi" w:hAnsiTheme="majorHAnsi"/>
        </w:rPr>
        <w:t xml:space="preserve"> any botulinum toxin preparation </w:t>
      </w:r>
      <w:r w:rsidRPr="00FC413A">
        <w:rPr>
          <w:rFonts w:asciiTheme="majorHAnsi" w:hAnsiTheme="majorHAnsi"/>
        </w:rPr>
        <w:t xml:space="preserve">or to any of the </w:t>
      </w:r>
      <w:r w:rsidR="00182682">
        <w:rPr>
          <w:rFonts w:asciiTheme="majorHAnsi" w:hAnsiTheme="majorHAnsi"/>
        </w:rPr>
        <w:t>components</w:t>
      </w:r>
      <w:r w:rsidRPr="00FC413A">
        <w:rPr>
          <w:rFonts w:asciiTheme="majorHAnsi" w:hAnsiTheme="majorHAnsi"/>
        </w:rPr>
        <w:t xml:space="preserve"> listed in section 6.1 List of excipients.</w:t>
      </w:r>
    </w:p>
    <w:p w14:paraId="74F567AF" w14:textId="1DDC5D13" w:rsidR="00FC413A" w:rsidRDefault="00FC413A" w:rsidP="00FC413A">
      <w:pPr>
        <w:rPr>
          <w:rFonts w:asciiTheme="majorHAnsi" w:hAnsiTheme="majorHAnsi"/>
        </w:rPr>
      </w:pPr>
      <w:r w:rsidRPr="00FC413A">
        <w:rPr>
          <w:rFonts w:asciiTheme="majorHAnsi" w:hAnsiTheme="majorHAnsi"/>
        </w:rPr>
        <w:t>NUCEIVA is contraindicated in the presence of infection or inflammation at the proposed injection sites.</w:t>
      </w:r>
    </w:p>
    <w:p w14:paraId="29EB6F15" w14:textId="174A0556" w:rsidR="000762CA" w:rsidRPr="00FC413A" w:rsidRDefault="000762CA" w:rsidP="00FC413A">
      <w:pPr>
        <w:rPr>
          <w:rFonts w:asciiTheme="majorHAnsi" w:hAnsiTheme="majorHAnsi"/>
        </w:rPr>
      </w:pPr>
      <w:r>
        <w:rPr>
          <w:rFonts w:asciiTheme="majorHAnsi" w:hAnsiTheme="majorHAnsi"/>
        </w:rPr>
        <w:t xml:space="preserve">NUCEIVA is contraindicated in patients with generalised disorders of muscle activity (e.g., myasthenia gravis, Lambert-Eaton syndrome, </w:t>
      </w:r>
      <w:proofErr w:type="spellStart"/>
      <w:r>
        <w:rPr>
          <w:rFonts w:asciiTheme="majorHAnsi" w:hAnsiTheme="majorHAnsi"/>
        </w:rPr>
        <w:t>amylotrophic</w:t>
      </w:r>
      <w:proofErr w:type="spellEnd"/>
      <w:r>
        <w:rPr>
          <w:rFonts w:asciiTheme="majorHAnsi" w:hAnsiTheme="majorHAnsi"/>
        </w:rPr>
        <w:t xml:space="preserve"> lateral sclerosis).</w:t>
      </w:r>
    </w:p>
    <w:p w14:paraId="1F603710" w14:textId="77777777" w:rsidR="001A3992" w:rsidRPr="00497C85" w:rsidRDefault="00E74A56" w:rsidP="001A3992">
      <w:pPr>
        <w:pStyle w:val="Heading2"/>
        <w:spacing w:before="0" w:after="120"/>
        <w:rPr>
          <w:rFonts w:cstheme="minorHAnsi"/>
        </w:rPr>
      </w:pPr>
      <w:r w:rsidRPr="00497C85">
        <w:rPr>
          <w:rFonts w:cstheme="minorHAnsi"/>
        </w:rPr>
        <w:t>Special warnings and p</w:t>
      </w:r>
      <w:r w:rsidR="001A3992" w:rsidRPr="00497C85">
        <w:rPr>
          <w:rFonts w:cstheme="minorHAnsi"/>
        </w:rPr>
        <w:t xml:space="preserve">recautions </w:t>
      </w:r>
      <w:r w:rsidRPr="00497C85">
        <w:rPr>
          <w:rFonts w:cstheme="minorHAnsi"/>
        </w:rPr>
        <w:t>for use</w:t>
      </w:r>
    </w:p>
    <w:p w14:paraId="6327F8C4" w14:textId="5F471828" w:rsidR="001A3992" w:rsidRPr="005B7CAD" w:rsidRDefault="005B7CAD" w:rsidP="001A3992">
      <w:pPr>
        <w:pStyle w:val="Heading3"/>
        <w:spacing w:before="0" w:after="120"/>
        <w:rPr>
          <w:rFonts w:ascii="Cambria" w:hAnsi="Cambria" w:cstheme="minorHAnsi"/>
        </w:rPr>
      </w:pPr>
      <w:r w:rsidRPr="005B7CAD">
        <w:rPr>
          <w:rFonts w:ascii="Cambria" w:hAnsi="Cambria" w:cstheme="minorHAnsi"/>
        </w:rPr>
        <w:t>Lack of Interchangeability between Botulinum Toxin Products</w:t>
      </w:r>
    </w:p>
    <w:p w14:paraId="4576AECB" w14:textId="09B5C2E4" w:rsidR="005B7CAD" w:rsidRPr="001E5356" w:rsidRDefault="00591F35" w:rsidP="001E5356">
      <w:pPr>
        <w:pStyle w:val="NormalIndent"/>
        <w:ind w:left="0"/>
        <w:rPr>
          <w:rFonts w:asciiTheme="majorHAnsi" w:hAnsiTheme="majorHAnsi"/>
          <w:u w:val="single"/>
        </w:rPr>
      </w:pPr>
      <w:r w:rsidRPr="00C329F1">
        <w:rPr>
          <w:rFonts w:asciiTheme="majorHAnsi" w:hAnsiTheme="majorHAnsi"/>
        </w:rPr>
        <w:t xml:space="preserve">THE UNITS OF BIOLOGICAL ACTIVITY OF NUCEIVA (PRABOTULINUMTOXINA) ARE SPECIFIC TO THE PREPARATION AND ASSAY METHOD UTILIZED. </w:t>
      </w:r>
      <w:r w:rsidR="0006729E" w:rsidRPr="00C329F1">
        <w:rPr>
          <w:rFonts w:asciiTheme="majorHAnsi" w:hAnsiTheme="majorHAnsi"/>
        </w:rPr>
        <w:t xml:space="preserve">BOTULINUM TOXIN UNITS ARE NOT </w:t>
      </w:r>
      <w:r w:rsidR="0006729E" w:rsidRPr="00A4756D">
        <w:rPr>
          <w:rFonts w:asciiTheme="majorHAnsi" w:hAnsiTheme="majorHAnsi"/>
        </w:rPr>
        <w:t>INTERCHANGEABLE FROM ONE PRODUCT TO ANOTHER. DOSES RECOMMENDED ARE DIFFERENT FROM OTHER BOTULINUM TOXIN PREPARATIONS.</w:t>
      </w:r>
    </w:p>
    <w:p w14:paraId="33CF0B86" w14:textId="77777777" w:rsidR="004148FB" w:rsidRDefault="004148FB" w:rsidP="004148FB">
      <w:pPr>
        <w:pStyle w:val="Heading3"/>
        <w:spacing w:before="0" w:after="120"/>
        <w:rPr>
          <w:rFonts w:cstheme="minorHAnsi"/>
        </w:rPr>
      </w:pPr>
      <w:r>
        <w:rPr>
          <w:rFonts w:cstheme="minorHAnsi"/>
        </w:rPr>
        <w:lastRenderedPageBreak/>
        <w:t>Spread of Toxin Effect</w:t>
      </w:r>
    </w:p>
    <w:p w14:paraId="35F5DA93" w14:textId="46EEEDA2" w:rsidR="004148FB" w:rsidRDefault="004148FB" w:rsidP="005B7CAD">
      <w:pPr>
        <w:rPr>
          <w:rFonts w:ascii="Cambria" w:hAnsi="Cambria"/>
        </w:rPr>
      </w:pPr>
      <w:proofErr w:type="spellStart"/>
      <w:r w:rsidRPr="005B7CAD">
        <w:rPr>
          <w:rFonts w:ascii="Cambria" w:hAnsi="Cambria"/>
        </w:rPr>
        <w:t>Postmarketing</w:t>
      </w:r>
      <w:proofErr w:type="spellEnd"/>
      <w:r w:rsidRPr="005B7CAD">
        <w:rPr>
          <w:rFonts w:ascii="Cambria" w:hAnsi="Cambria"/>
        </w:rPr>
        <w:t xml:space="preserve"> safety data from other approved botulinum toxins suggest that botulinum toxin effects may be observed beyond the site of local injection. The symptoms are consistent with the mechanism of action of botulinum toxin and may include asthenia, generalized muscle weakness, diplopia, ptosis, dysphagia, dysphonia, dysarthria, urinary incontinence, blurred vision, and breathing difficulties. These symptoms have been reported hours to weeks after injection. Swallowing and breathing difficulties can be life threatening and there have been reports of death related to spread of toxin effects. </w:t>
      </w:r>
      <w:r w:rsidR="00F006F3" w:rsidRPr="00F006F3">
        <w:rPr>
          <w:rFonts w:ascii="Cambria" w:hAnsi="Cambria"/>
        </w:rPr>
        <w:t xml:space="preserve">The risk of symptoms is probably greatest in children treated for </w:t>
      </w:r>
      <w:proofErr w:type="gramStart"/>
      <w:r w:rsidR="00F006F3" w:rsidRPr="00F006F3">
        <w:rPr>
          <w:rFonts w:ascii="Cambria" w:hAnsi="Cambria"/>
        </w:rPr>
        <w:t>spasticity</w:t>
      </w:r>
      <w:proofErr w:type="gramEnd"/>
      <w:r w:rsidR="00F006F3" w:rsidRPr="00F006F3">
        <w:rPr>
          <w:rFonts w:ascii="Cambria" w:hAnsi="Cambria"/>
        </w:rPr>
        <w:t xml:space="preserve"> but symptoms can also occur in adults treated for spasticity and other conditions, and particularly in those patients who have an underlying condition that would predispose them to these symptoms. In unapproved uses and in approved indications, symptoms consistent with spread of toxin effect have been reported at doses comparable to or lower than doses used to treat cervical dystonia and spasticity.</w:t>
      </w:r>
      <w:r w:rsidR="00F006F3">
        <w:rPr>
          <w:rFonts w:ascii="Cambria" w:hAnsi="Cambria"/>
        </w:rPr>
        <w:t xml:space="preserve"> </w:t>
      </w:r>
      <w:r>
        <w:rPr>
          <w:rFonts w:ascii="Cambria" w:hAnsi="Cambria"/>
        </w:rPr>
        <w:t>NUCEIVA</w:t>
      </w:r>
      <w:r w:rsidRPr="005B7CAD">
        <w:rPr>
          <w:rFonts w:ascii="Cambria" w:hAnsi="Cambria"/>
        </w:rPr>
        <w:t xml:space="preserve"> is not approved for the treatment of spasticity or any conditions other than glabellar lines. Patients or caregivers should be advised to seek immediate medical care if swallowing, speech, or respiratory difficulties occur.</w:t>
      </w:r>
    </w:p>
    <w:p w14:paraId="5A8E5069" w14:textId="77777777" w:rsidR="004148FB" w:rsidRPr="005B7CAD" w:rsidRDefault="004148FB" w:rsidP="004148FB">
      <w:pPr>
        <w:pStyle w:val="Heading3"/>
        <w:spacing w:before="0" w:after="120"/>
        <w:rPr>
          <w:rFonts w:ascii="Cambria" w:hAnsi="Cambria" w:cstheme="minorHAnsi"/>
        </w:rPr>
      </w:pPr>
      <w:r w:rsidRPr="005B7CAD">
        <w:rPr>
          <w:rFonts w:ascii="Cambria" w:hAnsi="Cambria" w:cstheme="minorHAnsi"/>
        </w:rPr>
        <w:t>Increased Risk of Clinically Significant Effects with Pre-Existing Neuromuscular Disorders</w:t>
      </w:r>
    </w:p>
    <w:p w14:paraId="20AFB93E" w14:textId="2198DDA3" w:rsidR="004148FB" w:rsidRDefault="004148FB" w:rsidP="004148FB">
      <w:pPr>
        <w:rPr>
          <w:rFonts w:ascii="Cambria" w:hAnsi="Cambria"/>
        </w:rPr>
      </w:pPr>
      <w:r w:rsidRPr="005B7CAD">
        <w:rPr>
          <w:rFonts w:ascii="Cambria" w:hAnsi="Cambria"/>
        </w:rPr>
        <w:t xml:space="preserve">Individuals with peripheral motor neuropathic diseases, amyotrophic lateral sclerosis, or neuromuscular junction disorders (e.g., myasthenia gravis or Lambert-Eaton syndrome) were excluded from the clinical studies of </w:t>
      </w:r>
      <w:r>
        <w:rPr>
          <w:rFonts w:ascii="Cambria" w:hAnsi="Cambria"/>
        </w:rPr>
        <w:t>NUCEIVA</w:t>
      </w:r>
      <w:r w:rsidRPr="005B7CAD">
        <w:rPr>
          <w:rFonts w:ascii="Cambria" w:hAnsi="Cambria"/>
        </w:rPr>
        <w:t xml:space="preserve">. Patients with neuromuscular disorders may be at increased risk of clinically significant effects including generalized muscle weakness, diplopia, ptosis, dysphonia, dysarthria, severe dysphagia, and respiratory compromise from typical doses of </w:t>
      </w:r>
      <w:r>
        <w:rPr>
          <w:rFonts w:ascii="Cambria" w:hAnsi="Cambria"/>
        </w:rPr>
        <w:t>NUCEIVA</w:t>
      </w:r>
      <w:r w:rsidRPr="005B7CAD">
        <w:rPr>
          <w:rFonts w:ascii="Cambria" w:hAnsi="Cambria"/>
        </w:rPr>
        <w:t>.</w:t>
      </w:r>
    </w:p>
    <w:p w14:paraId="19CEDA42" w14:textId="77777777" w:rsidR="004148FB" w:rsidRPr="005B7CAD" w:rsidRDefault="004148FB" w:rsidP="004148FB">
      <w:pPr>
        <w:pStyle w:val="Heading3"/>
        <w:spacing w:before="0" w:after="120"/>
        <w:rPr>
          <w:rFonts w:ascii="Cambria" w:hAnsi="Cambria" w:cstheme="minorHAnsi"/>
        </w:rPr>
      </w:pPr>
      <w:r w:rsidRPr="005B7CAD">
        <w:rPr>
          <w:rFonts w:ascii="Cambria" w:hAnsi="Cambria" w:cstheme="minorHAnsi"/>
        </w:rPr>
        <w:t>Hypersensitivity Reactions</w:t>
      </w:r>
    </w:p>
    <w:p w14:paraId="2F97E58E" w14:textId="040AFF67" w:rsidR="004148FB" w:rsidRDefault="004148FB" w:rsidP="004148FB">
      <w:pPr>
        <w:rPr>
          <w:rFonts w:ascii="Cambria" w:hAnsi="Cambria"/>
          <w:lang w:val="en-US"/>
        </w:rPr>
      </w:pPr>
      <w:r w:rsidRPr="005B7CAD">
        <w:rPr>
          <w:rFonts w:ascii="Cambria" w:hAnsi="Cambria"/>
          <w:lang w:val="en-US"/>
        </w:rPr>
        <w:t xml:space="preserve">Serious and/or immediate hypersensitivity reactions have been reported for botulinum toxin products. These reactions include anaphylaxis, serum sickness, urticaria, soft tissue edema, and dyspnea. If such a reaction occurs, further injection of </w:t>
      </w:r>
      <w:r>
        <w:rPr>
          <w:rFonts w:ascii="Cambria" w:hAnsi="Cambria"/>
          <w:lang w:val="en-US"/>
        </w:rPr>
        <w:t>NUCEIVA</w:t>
      </w:r>
      <w:r w:rsidRPr="005B7CAD">
        <w:rPr>
          <w:rFonts w:ascii="Cambria" w:hAnsi="Cambria"/>
          <w:lang w:val="en-US"/>
        </w:rPr>
        <w:t xml:space="preserve"> should be discontinued and appropriate medical therapy immediately instituted. The use of </w:t>
      </w:r>
      <w:r>
        <w:rPr>
          <w:rFonts w:ascii="Cambria" w:hAnsi="Cambria"/>
          <w:lang w:val="en-US"/>
        </w:rPr>
        <w:t>NUCEIVA</w:t>
      </w:r>
      <w:r w:rsidRPr="005B7CAD">
        <w:rPr>
          <w:rFonts w:ascii="Cambria" w:hAnsi="Cambria"/>
          <w:lang w:val="en-US"/>
        </w:rPr>
        <w:t xml:space="preserve"> in patients with a known hypersensitivity to any botulinum neurotoxin or to any of the components in the formulation could lead to a life-threatening allergic reaction </w:t>
      </w:r>
      <w:r>
        <w:rPr>
          <w:rFonts w:ascii="Cambria" w:hAnsi="Cambria"/>
          <w:lang w:val="en-US"/>
        </w:rPr>
        <w:t>(s</w:t>
      </w:r>
      <w:r w:rsidRPr="004148FB">
        <w:rPr>
          <w:rFonts w:ascii="Cambria" w:hAnsi="Cambria"/>
          <w:lang w:val="en-US"/>
        </w:rPr>
        <w:t xml:space="preserve">ee </w:t>
      </w:r>
      <w:r w:rsidRPr="004148FB">
        <w:rPr>
          <w:rFonts w:ascii="Cambria" w:hAnsi="Cambria"/>
          <w:b/>
          <w:bCs/>
          <w:lang w:val="en-US"/>
        </w:rPr>
        <w:t>4.3 Contraindications</w:t>
      </w:r>
      <w:r w:rsidRPr="004148FB">
        <w:rPr>
          <w:rFonts w:ascii="Cambria" w:hAnsi="Cambria"/>
          <w:lang w:val="en-US"/>
        </w:rPr>
        <w:t>).</w:t>
      </w:r>
    </w:p>
    <w:p w14:paraId="2AC6717B" w14:textId="77777777" w:rsidR="004148FB" w:rsidRPr="005B7CAD" w:rsidRDefault="004148FB" w:rsidP="004148FB">
      <w:pPr>
        <w:pStyle w:val="Heading3"/>
        <w:spacing w:before="0" w:after="120"/>
        <w:rPr>
          <w:rFonts w:ascii="Cambria" w:hAnsi="Cambria" w:cstheme="minorHAnsi"/>
        </w:rPr>
      </w:pPr>
      <w:r>
        <w:rPr>
          <w:rFonts w:ascii="Cambria" w:hAnsi="Cambria" w:cstheme="minorHAnsi"/>
        </w:rPr>
        <w:t>Immunogenicity</w:t>
      </w:r>
    </w:p>
    <w:p w14:paraId="2110B5B9" w14:textId="77777777" w:rsidR="00412D6F" w:rsidRDefault="00412D6F" w:rsidP="00412D6F">
      <w:pPr>
        <w:rPr>
          <w:rFonts w:ascii="Cambria" w:hAnsi="Cambria"/>
        </w:rPr>
      </w:pPr>
      <w:r w:rsidRPr="00B04E2E">
        <w:rPr>
          <w:rFonts w:ascii="Cambria" w:hAnsi="Cambria"/>
        </w:rPr>
        <w:t>Antibodies to botulinum toxin type A may develop during treatment with botulinum toxin. Some of the</w:t>
      </w:r>
      <w:r>
        <w:rPr>
          <w:rFonts w:ascii="Cambria" w:hAnsi="Cambria"/>
        </w:rPr>
        <w:t>se</w:t>
      </w:r>
      <w:r w:rsidRPr="00B04E2E">
        <w:rPr>
          <w:rFonts w:ascii="Cambria" w:hAnsi="Cambria"/>
        </w:rPr>
        <w:t xml:space="preserve"> antibodies</w:t>
      </w:r>
      <w:r>
        <w:rPr>
          <w:rFonts w:ascii="Cambria" w:hAnsi="Cambria"/>
        </w:rPr>
        <w:t xml:space="preserve"> may be</w:t>
      </w:r>
      <w:r w:rsidRPr="00B04E2E">
        <w:rPr>
          <w:rFonts w:ascii="Cambria" w:hAnsi="Cambria"/>
        </w:rPr>
        <w:t xml:space="preserve"> neutralising which may lead to treatment failure of botulinum toxin type A.</w:t>
      </w:r>
    </w:p>
    <w:p w14:paraId="0DFD2610" w14:textId="77777777" w:rsidR="004148FB" w:rsidRPr="00CC1462" w:rsidRDefault="004148FB" w:rsidP="004148FB">
      <w:pPr>
        <w:pStyle w:val="Heading3"/>
        <w:spacing w:before="0" w:after="120"/>
        <w:rPr>
          <w:rFonts w:ascii="Cambria" w:hAnsi="Cambria" w:cstheme="minorHAnsi"/>
        </w:rPr>
      </w:pPr>
      <w:r w:rsidRPr="00CC1462">
        <w:rPr>
          <w:rFonts w:ascii="Cambria" w:hAnsi="Cambria" w:cstheme="minorHAnsi"/>
        </w:rPr>
        <w:t>Cardiovascular System</w:t>
      </w:r>
    </w:p>
    <w:p w14:paraId="4260933B" w14:textId="7D92ECAA" w:rsidR="004148FB" w:rsidRPr="00CC1462" w:rsidRDefault="004148FB" w:rsidP="004148FB">
      <w:pPr>
        <w:rPr>
          <w:rFonts w:ascii="Cambria" w:hAnsi="Cambria"/>
        </w:rPr>
      </w:pPr>
      <w:r w:rsidRPr="00CC1462">
        <w:rPr>
          <w:rFonts w:ascii="Cambria" w:hAnsi="Cambria"/>
        </w:rPr>
        <w:t>There have been reports following administration of botulinum toxins of adverse events involving the cardiovascular system, including arrhythmia and myocardial infarction, some with fatal outcomes. Some of these patients had risk factors including pre-existing cardiovascular disease. Use caution when administering to patients with pre-existing cardiovascular disease.</w:t>
      </w:r>
    </w:p>
    <w:p w14:paraId="54BB790A" w14:textId="459F96D2" w:rsidR="004148FB" w:rsidRPr="00CC1462" w:rsidRDefault="004148FB" w:rsidP="004148FB">
      <w:pPr>
        <w:pStyle w:val="Heading3"/>
        <w:spacing w:before="0" w:after="120"/>
        <w:rPr>
          <w:rFonts w:ascii="Cambria" w:hAnsi="Cambria" w:cstheme="minorHAnsi"/>
        </w:rPr>
      </w:pPr>
      <w:r w:rsidRPr="00CC1462">
        <w:rPr>
          <w:rFonts w:ascii="Cambria" w:hAnsi="Cambria" w:cstheme="minorHAnsi"/>
        </w:rPr>
        <w:lastRenderedPageBreak/>
        <w:t>Albumin and Transmission of Viral Diseases</w:t>
      </w:r>
    </w:p>
    <w:p w14:paraId="371F5331" w14:textId="1F14827D" w:rsidR="004148FB" w:rsidRDefault="004148FB" w:rsidP="004148FB">
      <w:pPr>
        <w:rPr>
          <w:rFonts w:ascii="Cambria" w:hAnsi="Cambria"/>
        </w:rPr>
      </w:pPr>
      <w:r w:rsidRPr="00CC1462">
        <w:rPr>
          <w:rFonts w:ascii="Cambria" w:hAnsi="Cambria"/>
        </w:rPr>
        <w:t>This product contains albumin, a derivative of human blood. Based on effective donor screening and product manufacturing processes, it carries an extremely remote risk for transmission of viral diseases and variant Creutzfeldt-Jakob disease (</w:t>
      </w:r>
      <w:proofErr w:type="spellStart"/>
      <w:r w:rsidRPr="00CC1462">
        <w:rPr>
          <w:rFonts w:ascii="Cambria" w:hAnsi="Cambria"/>
        </w:rPr>
        <w:t>vCJD</w:t>
      </w:r>
      <w:proofErr w:type="spellEnd"/>
      <w:r w:rsidRPr="00CC1462">
        <w:rPr>
          <w:rFonts w:ascii="Cambria" w:hAnsi="Cambria"/>
        </w:rPr>
        <w:t xml:space="preserve">). There is a theoretical risk for transmission of Creutzfeldt-Jakob disease (CJD), but if that risk actually exists, the risk of transmission would also be considered extremely remote. No cases of transmission of viral diseases, CJD, or </w:t>
      </w:r>
      <w:proofErr w:type="spellStart"/>
      <w:r w:rsidRPr="00CC1462">
        <w:rPr>
          <w:rFonts w:ascii="Cambria" w:hAnsi="Cambria"/>
        </w:rPr>
        <w:t>vCJD</w:t>
      </w:r>
      <w:proofErr w:type="spellEnd"/>
      <w:r w:rsidRPr="00CC1462">
        <w:rPr>
          <w:rFonts w:ascii="Cambria" w:hAnsi="Cambria"/>
        </w:rPr>
        <w:t xml:space="preserve"> have ever been identified for licensed albumin or albumin contained in other licensed products.</w:t>
      </w:r>
    </w:p>
    <w:p w14:paraId="2D0CAF95" w14:textId="77777777" w:rsidR="004148FB" w:rsidRPr="005B7CAD" w:rsidRDefault="004148FB" w:rsidP="004148FB">
      <w:pPr>
        <w:pStyle w:val="Heading3"/>
        <w:spacing w:before="0" w:after="120"/>
        <w:rPr>
          <w:rFonts w:ascii="Cambria" w:hAnsi="Cambria" w:cstheme="minorHAnsi"/>
        </w:rPr>
      </w:pPr>
      <w:r w:rsidRPr="005B7CAD">
        <w:rPr>
          <w:rFonts w:ascii="Cambria" w:hAnsi="Cambria" w:cstheme="minorHAnsi"/>
        </w:rPr>
        <w:t>Dysphagia and Breathing Difficulties</w:t>
      </w:r>
    </w:p>
    <w:p w14:paraId="5AB8A6E4" w14:textId="2B660890" w:rsidR="004148FB" w:rsidRPr="005B7CAD" w:rsidRDefault="004148FB" w:rsidP="004148FB">
      <w:pPr>
        <w:rPr>
          <w:rFonts w:ascii="Cambria" w:hAnsi="Cambria"/>
        </w:rPr>
      </w:pPr>
      <w:r w:rsidRPr="005B7CAD">
        <w:rPr>
          <w:rFonts w:ascii="Cambria" w:hAnsi="Cambria"/>
        </w:rPr>
        <w:t xml:space="preserve">Treatment with botulinum toxin products, including </w:t>
      </w:r>
      <w:r>
        <w:rPr>
          <w:rFonts w:ascii="Cambria" w:hAnsi="Cambria"/>
        </w:rPr>
        <w:t>NUCEIVA</w:t>
      </w:r>
      <w:r w:rsidRPr="005B7CAD">
        <w:rPr>
          <w:rFonts w:ascii="Cambria" w:hAnsi="Cambria"/>
        </w:rPr>
        <w:t>, can result in swallowing or breathing difficulties. Patients with pre</w:t>
      </w:r>
      <w:r w:rsidR="002A47DD">
        <w:rPr>
          <w:rFonts w:ascii="Cambria" w:hAnsi="Cambria"/>
        </w:rPr>
        <w:t>-</w:t>
      </w:r>
      <w:r w:rsidRPr="005B7CAD">
        <w:rPr>
          <w:rFonts w:ascii="Cambria" w:hAnsi="Cambria"/>
        </w:rPr>
        <w:t>existing swallowing or breathing difficulties may be more susceptible to these complications. In most cases, this has been a consequence of weakening of muscles in the area of injection that are involved in breathing or oropharyngeal muscles that control swallowing or breathing</w:t>
      </w:r>
      <w:r w:rsidR="00CC1462" w:rsidRPr="00CC1462">
        <w:rPr>
          <w:rFonts w:ascii="Cambria" w:hAnsi="Cambria" w:cs="Arial"/>
          <w:iCs/>
        </w:rPr>
        <w:t>.</w:t>
      </w:r>
    </w:p>
    <w:p w14:paraId="78E768C5" w14:textId="77777777" w:rsidR="004148FB" w:rsidRPr="005B7CAD" w:rsidRDefault="004148FB" w:rsidP="004148FB">
      <w:pPr>
        <w:rPr>
          <w:rFonts w:ascii="Cambria" w:hAnsi="Cambria"/>
        </w:rPr>
      </w:pPr>
      <w:r w:rsidRPr="005B7CAD">
        <w:rPr>
          <w:rFonts w:ascii="Cambria" w:hAnsi="Cambria"/>
        </w:rPr>
        <w:t xml:space="preserve">Deaths as a complication of severe dysphagia have been reported after treatment with botulinum toxin. Dysphagia may persist for several </w:t>
      </w:r>
      <w:proofErr w:type="gramStart"/>
      <w:r w:rsidRPr="005B7CAD">
        <w:rPr>
          <w:rFonts w:ascii="Cambria" w:hAnsi="Cambria"/>
        </w:rPr>
        <w:t>months, and</w:t>
      </w:r>
      <w:proofErr w:type="gramEnd"/>
      <w:r w:rsidRPr="005B7CAD">
        <w:rPr>
          <w:rFonts w:ascii="Cambria" w:hAnsi="Cambria"/>
        </w:rPr>
        <w:t xml:space="preserve"> require use of a feeding tube to maintain adequate nutrition and hydration. Aspiration may result from severe dysphagia and is a particular risk when treating patients in whom swallowing or respiratory function is already compromised.</w:t>
      </w:r>
    </w:p>
    <w:p w14:paraId="60AB35A4" w14:textId="77777777" w:rsidR="004148FB" w:rsidRPr="005B7CAD" w:rsidRDefault="004148FB" w:rsidP="004148FB">
      <w:pPr>
        <w:rPr>
          <w:rFonts w:ascii="Cambria" w:hAnsi="Cambria"/>
        </w:rPr>
      </w:pPr>
      <w:r w:rsidRPr="005B7CAD">
        <w:rPr>
          <w:rFonts w:ascii="Cambria" w:hAnsi="Cambria"/>
        </w:rPr>
        <w:t xml:space="preserve">Treatment with botulinum toxins, including </w:t>
      </w:r>
      <w:r>
        <w:rPr>
          <w:rFonts w:ascii="Cambria" w:hAnsi="Cambria"/>
        </w:rPr>
        <w:t>NUCEIVA</w:t>
      </w:r>
      <w:r w:rsidRPr="005B7CAD">
        <w:rPr>
          <w:rFonts w:ascii="Cambria" w:hAnsi="Cambria"/>
        </w:rPr>
        <w:t xml:space="preserve">, may weaken neck muscles that serve as accessory muscles of ventilation. This may result in a critical loss of breathing capacity in patients with respiratory disorders who may have become dependent upon these accessory muscles. There have been </w:t>
      </w:r>
      <w:proofErr w:type="spellStart"/>
      <w:r w:rsidRPr="005B7CAD">
        <w:rPr>
          <w:rFonts w:ascii="Cambria" w:hAnsi="Cambria"/>
        </w:rPr>
        <w:t>postmarketing</w:t>
      </w:r>
      <w:proofErr w:type="spellEnd"/>
      <w:r w:rsidRPr="005B7CAD">
        <w:rPr>
          <w:rFonts w:ascii="Cambria" w:hAnsi="Cambria"/>
        </w:rPr>
        <w:t xml:space="preserve"> reports from other botulinum toxin products of serious breathing difficulties, including respiratory failure.</w:t>
      </w:r>
    </w:p>
    <w:p w14:paraId="2335B9F5" w14:textId="4415EE86" w:rsidR="004148FB" w:rsidRPr="00CC1462" w:rsidRDefault="004148FB" w:rsidP="004148FB">
      <w:pPr>
        <w:rPr>
          <w:rFonts w:ascii="Cambria" w:hAnsi="Cambria"/>
        </w:rPr>
      </w:pPr>
      <w:r w:rsidRPr="00CC1462">
        <w:rPr>
          <w:rFonts w:ascii="Cambria" w:hAnsi="Cambria"/>
        </w:rPr>
        <w:t>NUCEIVA is not approved for the treatment of cervical dystonia.</w:t>
      </w:r>
    </w:p>
    <w:p w14:paraId="5F2BBCA0" w14:textId="11AA851B" w:rsidR="004148FB" w:rsidRDefault="004148FB" w:rsidP="004148FB">
      <w:pPr>
        <w:rPr>
          <w:rFonts w:ascii="Cambria" w:hAnsi="Cambria"/>
        </w:rPr>
      </w:pPr>
      <w:r w:rsidRPr="00CC1462">
        <w:rPr>
          <w:rFonts w:ascii="Cambria" w:hAnsi="Cambria"/>
        </w:rPr>
        <w:t>Patients treated with botulinum toxin products, including NUCEIVA, may require immediate medical attention should they develop problems with swallowing, speech, or breathing. These reactions can occur within hours t</w:t>
      </w:r>
      <w:r w:rsidRPr="005B7CAD">
        <w:rPr>
          <w:rFonts w:ascii="Cambria" w:hAnsi="Cambria"/>
        </w:rPr>
        <w:t>o weeks after injection with botulinum</w:t>
      </w:r>
      <w:r w:rsidR="00CC1462">
        <w:rPr>
          <w:rFonts w:ascii="Cambria" w:hAnsi="Cambria"/>
        </w:rPr>
        <w:t>.</w:t>
      </w:r>
    </w:p>
    <w:p w14:paraId="6C274058" w14:textId="77777777" w:rsidR="00CC1462" w:rsidRPr="005B7CAD" w:rsidRDefault="00CC1462" w:rsidP="00CC1462">
      <w:pPr>
        <w:pStyle w:val="Heading3"/>
        <w:spacing w:before="0" w:after="120"/>
        <w:rPr>
          <w:rFonts w:ascii="Cambria" w:hAnsi="Cambria" w:cstheme="minorHAnsi"/>
        </w:rPr>
      </w:pPr>
      <w:r w:rsidRPr="005B7CAD">
        <w:rPr>
          <w:rFonts w:ascii="Cambria" w:hAnsi="Cambria" w:cstheme="minorHAnsi"/>
        </w:rPr>
        <w:t>Ophthalmic Adverse Reactions in Patients Treated with Botulinum Toxin Products</w:t>
      </w:r>
    </w:p>
    <w:p w14:paraId="38DC501A" w14:textId="19121FB8" w:rsidR="00CC1462" w:rsidRPr="005B7CAD" w:rsidRDefault="00CC1462" w:rsidP="00CC1462">
      <w:pPr>
        <w:rPr>
          <w:rFonts w:ascii="Cambria" w:hAnsi="Cambria"/>
        </w:rPr>
      </w:pPr>
      <w:r w:rsidRPr="005B7CAD">
        <w:rPr>
          <w:rFonts w:ascii="Cambria" w:hAnsi="Cambria"/>
        </w:rPr>
        <w:t xml:space="preserve">Dry eye has been reported with the use of botulinum toxin products in the treatment of glabellar lines. Reduced tear production, reduced blinking, and corneal disorders may occur with use of botulinum toxins, including </w:t>
      </w:r>
      <w:r>
        <w:rPr>
          <w:rFonts w:ascii="Cambria" w:hAnsi="Cambria"/>
        </w:rPr>
        <w:t>NUCEIVA</w:t>
      </w:r>
      <w:r w:rsidRPr="005B7CAD">
        <w:rPr>
          <w:rFonts w:ascii="Cambria" w:hAnsi="Cambria"/>
        </w:rPr>
        <w:t>. If symptoms of dry eye (e.g., eye irritation, photophobia, or visual changes) persist, consider referring patients to an ophthalmologist</w:t>
      </w:r>
      <w:r>
        <w:rPr>
          <w:rFonts w:ascii="Cambria" w:hAnsi="Cambria"/>
        </w:rPr>
        <w:t xml:space="preserve">. </w:t>
      </w:r>
    </w:p>
    <w:p w14:paraId="4B4D9491" w14:textId="0E020A09" w:rsidR="005B7CAD" w:rsidRPr="005B7CAD" w:rsidRDefault="005B7CAD" w:rsidP="005B7CAD">
      <w:pPr>
        <w:pStyle w:val="Heading3"/>
        <w:spacing w:before="0" w:after="120"/>
        <w:rPr>
          <w:rFonts w:ascii="Cambria" w:hAnsi="Cambria" w:cstheme="minorHAnsi"/>
        </w:rPr>
      </w:pPr>
      <w:r w:rsidRPr="005B7CAD">
        <w:rPr>
          <w:rFonts w:ascii="Cambria" w:hAnsi="Cambria" w:cstheme="minorHAnsi"/>
        </w:rPr>
        <w:t>Serious Adverse Reactions with Unapproved Use</w:t>
      </w:r>
    </w:p>
    <w:p w14:paraId="7F47AAFF" w14:textId="6CE55B47" w:rsidR="005B7CAD" w:rsidRDefault="005B7CAD" w:rsidP="005B7CAD">
      <w:pPr>
        <w:rPr>
          <w:rFonts w:ascii="Cambria" w:hAnsi="Cambria"/>
        </w:rPr>
      </w:pPr>
      <w:r w:rsidRPr="005B7CAD">
        <w:rPr>
          <w:rFonts w:ascii="Cambria" w:hAnsi="Cambria"/>
        </w:rPr>
        <w:t xml:space="preserve">Serious adverse reactions, including excessive weakness, dysphagia, and aspiration pneumonia, with some adverse reactions associated with fatal outcomes, have been reported in patients who received botulinum toxin injections for unapproved uses. In these cases, the adverse reactions were not necessarily related to distant spread of </w:t>
      </w:r>
      <w:proofErr w:type="gramStart"/>
      <w:r w:rsidRPr="005B7CAD">
        <w:rPr>
          <w:rFonts w:ascii="Cambria" w:hAnsi="Cambria"/>
        </w:rPr>
        <w:t>toxin, but</w:t>
      </w:r>
      <w:proofErr w:type="gramEnd"/>
      <w:r w:rsidRPr="005B7CAD">
        <w:rPr>
          <w:rFonts w:ascii="Cambria" w:hAnsi="Cambria"/>
        </w:rPr>
        <w:t xml:space="preserve"> may have resulted from the </w:t>
      </w:r>
      <w:r w:rsidRPr="005B7CAD">
        <w:rPr>
          <w:rFonts w:ascii="Cambria" w:hAnsi="Cambria"/>
        </w:rPr>
        <w:lastRenderedPageBreak/>
        <w:t>administration of botulinum toxin products to the site of injection and/or adjacent structures. In several of the cases, patients had pre-existing dysphagia or other significant disabilities. There is insufficient information to identify factors associated with an increased risk for adverse reactions associated with the unapproved uses of botulinum toxin products.</w:t>
      </w:r>
    </w:p>
    <w:p w14:paraId="057CCEB8" w14:textId="72C0A70A" w:rsidR="00940C97" w:rsidRPr="005B7CAD" w:rsidRDefault="00940C97" w:rsidP="00940C97">
      <w:pPr>
        <w:pStyle w:val="Heading3"/>
        <w:spacing w:before="0" w:after="120"/>
        <w:rPr>
          <w:rFonts w:ascii="Cambria" w:hAnsi="Cambria" w:cstheme="minorHAnsi"/>
        </w:rPr>
      </w:pPr>
      <w:r>
        <w:rPr>
          <w:rFonts w:ascii="Cambria" w:hAnsi="Cambria" w:cstheme="minorHAnsi"/>
        </w:rPr>
        <w:t>Bleeding Disorders</w:t>
      </w:r>
    </w:p>
    <w:p w14:paraId="35EBB76B" w14:textId="4763993F" w:rsidR="00940C97" w:rsidRPr="009E65E2" w:rsidRDefault="0015363C" w:rsidP="005B7CAD">
      <w:pPr>
        <w:rPr>
          <w:rFonts w:ascii="Cambria" w:hAnsi="Cambria"/>
        </w:rPr>
      </w:pPr>
      <w:r w:rsidRPr="00D536A3">
        <w:rPr>
          <w:rFonts w:ascii="Cambria" w:hAnsi="Cambria"/>
          <w:lang w:val="en-US"/>
        </w:rPr>
        <w:t>Caution should be exercised when NUCEIVA is used in patients with bleeding disorders as injection may lead to bruising</w:t>
      </w:r>
      <w:r w:rsidR="00FA663E" w:rsidRPr="009E65E2">
        <w:rPr>
          <w:rFonts w:ascii="Cambria" w:hAnsi="Cambria"/>
        </w:rPr>
        <w:t>.</w:t>
      </w:r>
      <w:r w:rsidR="0002453B" w:rsidRPr="009E65E2">
        <w:rPr>
          <w:rFonts w:ascii="Cambria" w:hAnsi="Cambria"/>
        </w:rPr>
        <w:t xml:space="preserve"> </w:t>
      </w:r>
    </w:p>
    <w:p w14:paraId="55E56073" w14:textId="12E5098E" w:rsidR="005B7CAD" w:rsidRPr="005B7CAD" w:rsidRDefault="005B7CAD" w:rsidP="005B7CAD">
      <w:pPr>
        <w:pStyle w:val="Heading3"/>
        <w:spacing w:before="0" w:after="120"/>
        <w:rPr>
          <w:rFonts w:ascii="Cambria" w:hAnsi="Cambria" w:cstheme="minorHAnsi"/>
        </w:rPr>
      </w:pPr>
      <w:r w:rsidRPr="005B7CAD">
        <w:rPr>
          <w:rFonts w:ascii="Cambria" w:hAnsi="Cambria" w:cstheme="minorHAnsi"/>
        </w:rPr>
        <w:t>Pre-existing Conditions at the Injection Site</w:t>
      </w:r>
    </w:p>
    <w:p w14:paraId="20AA94A7" w14:textId="2B1B4A54" w:rsidR="005B7CAD" w:rsidRPr="005B7CAD" w:rsidRDefault="005B7CAD" w:rsidP="005B7CAD">
      <w:pPr>
        <w:rPr>
          <w:rFonts w:ascii="Cambria" w:hAnsi="Cambria"/>
        </w:rPr>
      </w:pPr>
      <w:r w:rsidRPr="005B7CAD">
        <w:rPr>
          <w:rFonts w:ascii="Cambria" w:hAnsi="Cambria"/>
        </w:rPr>
        <w:t xml:space="preserve">Caution should be used when </w:t>
      </w:r>
      <w:r w:rsidR="00755138">
        <w:rPr>
          <w:rFonts w:ascii="Cambria" w:hAnsi="Cambria"/>
        </w:rPr>
        <w:t>NUCEIVA</w:t>
      </w:r>
      <w:r w:rsidRPr="005B7CAD">
        <w:rPr>
          <w:rFonts w:ascii="Cambria" w:hAnsi="Cambria"/>
        </w:rPr>
        <w:t xml:space="preserve"> treatment is used </w:t>
      </w:r>
      <w:r w:rsidRPr="003F5780">
        <w:rPr>
          <w:rFonts w:ascii="Cambria" w:hAnsi="Cambria"/>
        </w:rPr>
        <w:t>when</w:t>
      </w:r>
      <w:r w:rsidRPr="005B7CAD">
        <w:rPr>
          <w:rFonts w:ascii="Cambria" w:hAnsi="Cambria"/>
        </w:rPr>
        <w:t xml:space="preserve"> excessive weakness or atrophy is present in the target muscle(s).</w:t>
      </w:r>
    </w:p>
    <w:p w14:paraId="77AC4F58" w14:textId="21780DE9" w:rsidR="005B7CAD" w:rsidRPr="005B7CAD" w:rsidRDefault="005B7CAD" w:rsidP="005B7CAD">
      <w:pPr>
        <w:rPr>
          <w:rFonts w:ascii="Cambria" w:hAnsi="Cambria"/>
        </w:rPr>
      </w:pPr>
      <w:r w:rsidRPr="005B7CAD">
        <w:rPr>
          <w:rFonts w:ascii="Cambria" w:hAnsi="Cambria"/>
        </w:rPr>
        <w:t xml:space="preserve">Caution should be used when </w:t>
      </w:r>
      <w:r w:rsidR="00755138">
        <w:rPr>
          <w:rFonts w:ascii="Cambria" w:hAnsi="Cambria"/>
        </w:rPr>
        <w:t>NUCEIVA</w:t>
      </w:r>
      <w:r w:rsidRPr="005B7CAD">
        <w:rPr>
          <w:rFonts w:ascii="Cambria" w:hAnsi="Cambria"/>
        </w:rPr>
        <w:t xml:space="preserve"> treatment is used in patients who have marked facial asymmetry, ptosis, excessive dermatochalasis, deep dermal scarring, thick sebaceous skin, or when subjects do not respond to 20 Units of botulinum toxin (e.g., the inability to substantially lessen glabellar lines even by physically spreading them apart). Do not exceed the recommended dosage and frequency of administration of </w:t>
      </w:r>
      <w:r w:rsidR="00755138">
        <w:rPr>
          <w:rFonts w:ascii="Cambria" w:hAnsi="Cambria"/>
        </w:rPr>
        <w:t>NUCEIVA</w:t>
      </w:r>
      <w:r w:rsidRPr="005B7CAD">
        <w:rPr>
          <w:rFonts w:ascii="Cambria" w:hAnsi="Cambria"/>
        </w:rPr>
        <w:t>.</w:t>
      </w:r>
    </w:p>
    <w:p w14:paraId="25826012" w14:textId="7C5B69C6" w:rsidR="001A3992" w:rsidRDefault="001A3992" w:rsidP="001A3992">
      <w:pPr>
        <w:pStyle w:val="Heading3"/>
        <w:spacing w:before="0" w:after="120"/>
        <w:rPr>
          <w:rFonts w:cstheme="minorHAnsi"/>
        </w:rPr>
      </w:pPr>
      <w:r w:rsidRPr="00497C85">
        <w:rPr>
          <w:rFonts w:cstheme="minorHAnsi"/>
        </w:rPr>
        <w:t>Use in the elderly</w:t>
      </w:r>
    </w:p>
    <w:p w14:paraId="2DB5ECA7" w14:textId="6D271FC5" w:rsidR="00FE1CC7" w:rsidRPr="009955C3" w:rsidRDefault="00FE1CC7" w:rsidP="00731FFC">
      <w:pPr>
        <w:rPr>
          <w:rFonts w:ascii="Cambria" w:hAnsi="Cambria"/>
          <w:lang w:val="en-US"/>
        </w:rPr>
      </w:pPr>
      <w:r w:rsidRPr="00FE1CC7">
        <w:rPr>
          <w:rFonts w:ascii="Cambria" w:hAnsi="Cambria"/>
          <w:lang w:val="en-US"/>
        </w:rPr>
        <w:t>There were 154 subjects ≥ 65 years old included in the safety analysis as a result of pooling the 3 phase III studies and the two Phase II long term studies. Age did not appear to impact</w:t>
      </w:r>
      <w:r w:rsidR="002000FD">
        <w:rPr>
          <w:rFonts w:ascii="Cambria" w:hAnsi="Cambria"/>
          <w:lang w:val="en-US"/>
        </w:rPr>
        <w:t xml:space="preserve"> </w:t>
      </w:r>
      <w:r w:rsidRPr="00FE1CC7">
        <w:rPr>
          <w:rFonts w:ascii="Cambria" w:hAnsi="Cambria"/>
          <w:lang w:val="en-US"/>
        </w:rPr>
        <w:t>overall</w:t>
      </w:r>
      <w:r w:rsidR="002000FD">
        <w:rPr>
          <w:rFonts w:ascii="Cambria" w:hAnsi="Cambria"/>
          <w:lang w:val="en-US"/>
        </w:rPr>
        <w:t xml:space="preserve"> </w:t>
      </w:r>
      <w:r w:rsidRPr="00FE1CC7">
        <w:rPr>
          <w:rFonts w:ascii="Cambria" w:hAnsi="Cambria"/>
          <w:lang w:val="en-US"/>
        </w:rPr>
        <w:t>safety, however there seemed to be</w:t>
      </w:r>
      <w:r w:rsidR="00B31382">
        <w:rPr>
          <w:rFonts w:ascii="Cambria" w:hAnsi="Cambria"/>
          <w:lang w:val="en-US"/>
        </w:rPr>
        <w:t xml:space="preserve"> </w:t>
      </w:r>
      <w:r w:rsidRPr="00FE1CC7">
        <w:rPr>
          <w:rFonts w:ascii="Cambria" w:hAnsi="Cambria"/>
          <w:lang w:val="en-US"/>
        </w:rPr>
        <w:t>a slightly higher</w:t>
      </w:r>
      <w:r w:rsidR="004945BC">
        <w:rPr>
          <w:rFonts w:ascii="Cambria" w:hAnsi="Cambria"/>
          <w:lang w:val="en-US"/>
        </w:rPr>
        <w:t xml:space="preserve"> </w:t>
      </w:r>
      <w:r w:rsidRPr="00FE1CC7">
        <w:rPr>
          <w:rFonts w:ascii="Cambria" w:hAnsi="Cambria"/>
          <w:lang w:val="en-US"/>
        </w:rPr>
        <w:t>frequency of AEs of special interest that were considered related in the elderly population vs the adult population.  These included (in alphabetical order) blepharospasm (1 in each population, 0.6% vs. &lt;0.1%), eyelid ptosis (2 in the elderly, 1.3% vs. 16 adults, 1.1%), vision blurred (2 in the elderly, 1.3% vs. 1 adult, &lt;0.1%), and speech disorder (1 in each population, 0.6% vs. &lt;0.1%).</w:t>
      </w:r>
    </w:p>
    <w:p w14:paraId="15AC5C92" w14:textId="737AE6E1" w:rsidR="001A3992" w:rsidRDefault="001A3992" w:rsidP="001A3992">
      <w:pPr>
        <w:pStyle w:val="Heading3"/>
        <w:spacing w:before="0" w:after="120"/>
        <w:rPr>
          <w:rFonts w:cstheme="minorHAnsi"/>
        </w:rPr>
      </w:pPr>
      <w:r w:rsidRPr="00497C85">
        <w:rPr>
          <w:rFonts w:cstheme="minorHAnsi"/>
        </w:rPr>
        <w:t>Paediatric use</w:t>
      </w:r>
    </w:p>
    <w:p w14:paraId="4CF82CB0" w14:textId="712055D9" w:rsidR="00A306D6" w:rsidRPr="00A306D6" w:rsidRDefault="00A306D6" w:rsidP="00A306D6">
      <w:pPr>
        <w:rPr>
          <w:rFonts w:ascii="Cambria" w:hAnsi="Cambria"/>
        </w:rPr>
      </w:pPr>
      <w:r w:rsidRPr="00A306D6">
        <w:rPr>
          <w:rFonts w:ascii="Cambria" w:hAnsi="Cambria"/>
        </w:rPr>
        <w:t xml:space="preserve">There is no relevant use of NUCEIVA in the paediatric population. </w:t>
      </w:r>
      <w:r w:rsidRPr="000E0209">
        <w:rPr>
          <w:rFonts w:ascii="Cambria" w:hAnsi="Cambria"/>
        </w:rPr>
        <w:t>No data available.</w:t>
      </w:r>
    </w:p>
    <w:p w14:paraId="10681233" w14:textId="7409F884" w:rsidR="001A3992" w:rsidRDefault="001A3992" w:rsidP="001A3992">
      <w:pPr>
        <w:pStyle w:val="Heading3"/>
        <w:spacing w:before="0" w:after="120"/>
        <w:rPr>
          <w:rFonts w:cstheme="minorHAnsi"/>
        </w:rPr>
      </w:pPr>
      <w:r w:rsidRPr="00497C85">
        <w:rPr>
          <w:rFonts w:cstheme="minorHAnsi"/>
        </w:rPr>
        <w:t>Effects on laboratory tests</w:t>
      </w:r>
    </w:p>
    <w:p w14:paraId="3D8FD358" w14:textId="68E4FEBF" w:rsidR="00A306D6" w:rsidRPr="00A306D6" w:rsidRDefault="00041005" w:rsidP="00A306D6">
      <w:r>
        <w:rPr>
          <w:rFonts w:ascii="Cambria" w:hAnsi="Cambria"/>
        </w:rPr>
        <w:t>No data available.</w:t>
      </w:r>
    </w:p>
    <w:p w14:paraId="038EFB1C" w14:textId="474B81A8" w:rsidR="001A3992" w:rsidRDefault="001A3992" w:rsidP="001A3992">
      <w:pPr>
        <w:pStyle w:val="Heading2"/>
        <w:keepNext/>
        <w:keepLines/>
        <w:spacing w:before="0" w:after="120"/>
        <w:rPr>
          <w:rFonts w:cstheme="minorHAnsi"/>
        </w:rPr>
      </w:pPr>
      <w:r w:rsidRPr="00497C85">
        <w:rPr>
          <w:rFonts w:cstheme="minorHAnsi"/>
        </w:rPr>
        <w:t>Interactions with other medicines and other forms of interactions</w:t>
      </w:r>
    </w:p>
    <w:p w14:paraId="354E1507" w14:textId="6635FE4B" w:rsidR="001C40EC" w:rsidRDefault="001C40EC" w:rsidP="001C40EC">
      <w:pPr>
        <w:rPr>
          <w:rFonts w:ascii="Cambria" w:hAnsi="Cambria"/>
        </w:rPr>
      </w:pPr>
      <w:r w:rsidRPr="001C40EC">
        <w:rPr>
          <w:rFonts w:ascii="Cambria" w:hAnsi="Cambria"/>
        </w:rPr>
        <w:t xml:space="preserve">No formal drug interaction studies have been conducted with </w:t>
      </w:r>
      <w:r w:rsidR="00755138">
        <w:rPr>
          <w:rFonts w:ascii="Cambria" w:hAnsi="Cambria"/>
        </w:rPr>
        <w:t>NUCEIVA</w:t>
      </w:r>
      <w:r w:rsidRPr="001C40EC">
        <w:rPr>
          <w:rFonts w:ascii="Cambria" w:hAnsi="Cambria"/>
        </w:rPr>
        <w:t xml:space="preserve"> (prabotulinumtoxinA). However, the potential for certain drugs to potentiate the effects of </w:t>
      </w:r>
      <w:r w:rsidR="00755138">
        <w:rPr>
          <w:rFonts w:ascii="Cambria" w:hAnsi="Cambria"/>
        </w:rPr>
        <w:t>NUCEIVA</w:t>
      </w:r>
      <w:r w:rsidRPr="001C40EC">
        <w:rPr>
          <w:rFonts w:ascii="Cambria" w:hAnsi="Cambria"/>
        </w:rPr>
        <w:t xml:space="preserve"> warrant consideration given the potential risks involved and should be used with caution.</w:t>
      </w:r>
    </w:p>
    <w:p w14:paraId="11B38876" w14:textId="62EE6494" w:rsidR="001C40EC" w:rsidRDefault="001C40EC" w:rsidP="001C40EC">
      <w:pPr>
        <w:pStyle w:val="ListParagraph"/>
        <w:numPr>
          <w:ilvl w:val="0"/>
          <w:numId w:val="13"/>
        </w:numPr>
      </w:pPr>
      <w:r w:rsidRPr="001C40EC">
        <w:t>Aminoglycosides or other agents interfering with neuromuscular transmission</w:t>
      </w:r>
    </w:p>
    <w:p w14:paraId="0A804FF1" w14:textId="77777777" w:rsidR="001C40EC" w:rsidRDefault="001C40EC" w:rsidP="001C40EC">
      <w:pPr>
        <w:pStyle w:val="ListParagraph"/>
        <w:numPr>
          <w:ilvl w:val="0"/>
          <w:numId w:val="13"/>
        </w:numPr>
      </w:pPr>
      <w:r w:rsidRPr="001C40EC">
        <w:t xml:space="preserve">Anticholinergic drugs </w:t>
      </w:r>
    </w:p>
    <w:p w14:paraId="37B6846B" w14:textId="77877723" w:rsidR="001C40EC" w:rsidRDefault="001C40EC" w:rsidP="001C40EC">
      <w:pPr>
        <w:pStyle w:val="ListParagraph"/>
        <w:numPr>
          <w:ilvl w:val="0"/>
          <w:numId w:val="13"/>
        </w:numPr>
      </w:pPr>
      <w:r w:rsidRPr="001C40EC">
        <w:t>Botulinum neurotoxin products</w:t>
      </w:r>
    </w:p>
    <w:p w14:paraId="36B9D389" w14:textId="2852CC5A" w:rsidR="001C40EC" w:rsidRDefault="001C40EC" w:rsidP="001C40EC">
      <w:pPr>
        <w:pStyle w:val="ListParagraph"/>
        <w:numPr>
          <w:ilvl w:val="0"/>
          <w:numId w:val="13"/>
        </w:numPr>
      </w:pPr>
      <w:r w:rsidRPr="001C40EC">
        <w:t>Muscle relaxant</w:t>
      </w:r>
    </w:p>
    <w:p w14:paraId="0B76582A" w14:textId="77777777" w:rsidR="00F7539E" w:rsidRPr="001C40EC" w:rsidRDefault="00F7539E" w:rsidP="00F7539E">
      <w:pPr>
        <w:pStyle w:val="ListParagraph"/>
      </w:pPr>
    </w:p>
    <w:p w14:paraId="1F4406B7" w14:textId="77777777" w:rsidR="001A3992" w:rsidRPr="00497C85" w:rsidRDefault="001A3992" w:rsidP="001A3992">
      <w:pPr>
        <w:pStyle w:val="Heading2"/>
        <w:spacing w:before="0" w:after="120"/>
        <w:rPr>
          <w:rFonts w:cstheme="minorHAnsi"/>
        </w:rPr>
      </w:pPr>
      <w:r w:rsidRPr="00497C85">
        <w:rPr>
          <w:rFonts w:cstheme="minorHAnsi"/>
        </w:rPr>
        <w:lastRenderedPageBreak/>
        <w:t xml:space="preserve">Fertility, pregnancy and lactation </w:t>
      </w:r>
    </w:p>
    <w:p w14:paraId="1C4ABE05" w14:textId="77777777" w:rsidR="007F7CCC" w:rsidRPr="00CA27F1" w:rsidRDefault="007F7CCC" w:rsidP="007F7CCC">
      <w:pPr>
        <w:pStyle w:val="Heading3"/>
        <w:spacing w:before="0" w:after="120"/>
        <w:rPr>
          <w:rFonts w:ascii="Cambria" w:hAnsi="Cambria" w:cstheme="minorHAnsi"/>
          <w:i/>
          <w:iCs/>
        </w:rPr>
      </w:pPr>
      <w:r w:rsidRPr="00CA27F1">
        <w:rPr>
          <w:rFonts w:ascii="Cambria" w:hAnsi="Cambria" w:cstheme="minorHAnsi"/>
          <w:i/>
          <w:iCs/>
        </w:rPr>
        <w:t>Effects on fertility</w:t>
      </w:r>
    </w:p>
    <w:p w14:paraId="7A6889B3" w14:textId="1A03B9AF" w:rsidR="007F7CCC" w:rsidRDefault="007F7CCC" w:rsidP="007F7CCC">
      <w:pPr>
        <w:rPr>
          <w:rFonts w:ascii="Cambria" w:hAnsi="Cambria"/>
        </w:rPr>
      </w:pPr>
      <w:r w:rsidRPr="00A25749">
        <w:rPr>
          <w:rFonts w:ascii="Cambria" w:hAnsi="Cambria"/>
        </w:rPr>
        <w:t xml:space="preserve">The effect of NUCEIVA on human fertility is unknown. </w:t>
      </w:r>
      <w:r w:rsidRPr="007F7CCC">
        <w:rPr>
          <w:rFonts w:ascii="Cambria" w:hAnsi="Cambria"/>
          <w:lang w:val="en-US"/>
        </w:rPr>
        <w:t xml:space="preserve">No animal fertility studies have been conducted with prabotulinumtoxinA. Intramuscular doses of 4 U/kg (males) and 8 U/kg (females) of a similar drug did not affect rat fertility. Decreased fertility occurred with higher doses, which also resulted in signs of toxicity. The relevance of these findings to human fertility is not known. </w:t>
      </w:r>
    </w:p>
    <w:p w14:paraId="1209ECEC" w14:textId="08251663" w:rsidR="00D37F9D" w:rsidRPr="00CA27F1" w:rsidRDefault="007F7CCC" w:rsidP="00D37F9D">
      <w:pPr>
        <w:pStyle w:val="Heading3"/>
        <w:spacing w:before="0" w:after="120"/>
        <w:rPr>
          <w:rFonts w:ascii="Cambria" w:hAnsi="Cambria" w:cstheme="minorHAnsi"/>
          <w:i/>
          <w:iCs/>
        </w:rPr>
      </w:pPr>
      <w:r w:rsidRPr="00CA27F1">
        <w:rPr>
          <w:rFonts w:ascii="Cambria" w:hAnsi="Cambria" w:cstheme="minorHAnsi"/>
          <w:i/>
          <w:iCs/>
        </w:rPr>
        <w:t xml:space="preserve">Use in pregnancy (Pregnancy </w:t>
      </w:r>
      <w:r w:rsidR="00D37F9D" w:rsidRPr="00CA27F1">
        <w:rPr>
          <w:rFonts w:ascii="Cambria" w:hAnsi="Cambria" w:cstheme="minorHAnsi"/>
          <w:i/>
          <w:iCs/>
        </w:rPr>
        <w:t>Category B3</w:t>
      </w:r>
      <w:r w:rsidRPr="00CA27F1">
        <w:rPr>
          <w:rFonts w:ascii="Cambria" w:hAnsi="Cambria" w:cstheme="minorHAnsi"/>
          <w:i/>
          <w:iCs/>
        </w:rPr>
        <w:t>)</w:t>
      </w:r>
    </w:p>
    <w:p w14:paraId="53A25005" w14:textId="11D88B57" w:rsidR="007F7CCC" w:rsidRDefault="00D37F9D" w:rsidP="00D37F9D">
      <w:pPr>
        <w:rPr>
          <w:rFonts w:ascii="Cambria" w:hAnsi="Cambria"/>
        </w:rPr>
      </w:pPr>
      <w:r w:rsidRPr="00A25749">
        <w:rPr>
          <w:rFonts w:ascii="Cambria" w:hAnsi="Cambria"/>
        </w:rPr>
        <w:t xml:space="preserve">There are no adequate data from the use of botulinum toxin type A in pregnant women. </w:t>
      </w:r>
    </w:p>
    <w:p w14:paraId="74B63431" w14:textId="1AC2B806" w:rsidR="007F7CCC" w:rsidRDefault="007F7CCC" w:rsidP="00D37F9D">
      <w:pPr>
        <w:rPr>
          <w:rFonts w:ascii="Cambria" w:hAnsi="Cambria"/>
        </w:rPr>
      </w:pPr>
      <w:r w:rsidRPr="007F7CCC">
        <w:rPr>
          <w:rFonts w:ascii="Cambria" w:hAnsi="Cambria"/>
          <w:lang w:val="en-US"/>
        </w:rPr>
        <w:t xml:space="preserve">In an embryofetal developmental study, intramuscular doses up to 4 U/kg prabotulinumtoxinA were administered to pregnant rats once daily during the period of organogenesis. No adverse embryofetal toxicities were observed. However, adverse embryofetal development effects have been seen in rat and rabbit studies with other botulinum toxins (lower fetal weights, delayed ossification, abortions and embryofetal development lethality). These adverse embryofetal development effects occurred in the context of </w:t>
      </w:r>
      <w:proofErr w:type="spellStart"/>
      <w:r w:rsidRPr="007F7CCC">
        <w:rPr>
          <w:rFonts w:ascii="Cambria" w:hAnsi="Cambria"/>
          <w:lang w:val="en-US"/>
        </w:rPr>
        <w:t>maternotoxicity</w:t>
      </w:r>
      <w:proofErr w:type="spellEnd"/>
      <w:r w:rsidRPr="007F7CCC">
        <w:rPr>
          <w:rFonts w:ascii="Cambria" w:hAnsi="Cambria"/>
          <w:lang w:val="en-US"/>
        </w:rPr>
        <w:t>.</w:t>
      </w:r>
    </w:p>
    <w:p w14:paraId="21D2D53B" w14:textId="75BD280B" w:rsidR="00D37F9D" w:rsidRPr="00A25749" w:rsidRDefault="00D37F9D" w:rsidP="00D37F9D">
      <w:pPr>
        <w:rPr>
          <w:rFonts w:ascii="Cambria" w:hAnsi="Cambria"/>
        </w:rPr>
      </w:pPr>
      <w:r w:rsidRPr="00A25749">
        <w:rPr>
          <w:rFonts w:ascii="Cambria" w:hAnsi="Cambria"/>
        </w:rPr>
        <w:t>NUCEIVA is not recommended during pregnancy and in women of childbearing potential not using contraception.</w:t>
      </w:r>
    </w:p>
    <w:p w14:paraId="304AF474" w14:textId="3B664500" w:rsidR="00D37F9D" w:rsidRPr="00CA27F1" w:rsidRDefault="007F7CCC" w:rsidP="00D37F9D">
      <w:pPr>
        <w:pStyle w:val="Heading3"/>
        <w:spacing w:before="0" w:after="120"/>
        <w:rPr>
          <w:rFonts w:ascii="Cambria" w:hAnsi="Cambria" w:cstheme="minorHAnsi"/>
          <w:strike/>
        </w:rPr>
      </w:pPr>
      <w:r w:rsidRPr="00CA27F1">
        <w:rPr>
          <w:rFonts w:ascii="Cambria" w:hAnsi="Cambria" w:cstheme="minorHAnsi"/>
          <w:i/>
          <w:iCs/>
        </w:rPr>
        <w:t xml:space="preserve">Use in lactation </w:t>
      </w:r>
    </w:p>
    <w:p w14:paraId="4690CC93" w14:textId="5D71D3E9" w:rsidR="00D37F9D" w:rsidRPr="00A25749" w:rsidRDefault="00D37F9D" w:rsidP="00D37F9D">
      <w:pPr>
        <w:rPr>
          <w:rFonts w:ascii="Cambria" w:hAnsi="Cambria"/>
        </w:rPr>
      </w:pPr>
      <w:r w:rsidRPr="00A25749">
        <w:rPr>
          <w:rFonts w:ascii="Cambria" w:hAnsi="Cambria"/>
        </w:rPr>
        <w:t xml:space="preserve">There is no information on whether </w:t>
      </w:r>
      <w:r w:rsidR="007F7CCC">
        <w:rPr>
          <w:rFonts w:ascii="Cambria" w:hAnsi="Cambria"/>
        </w:rPr>
        <w:t xml:space="preserve">prabotulinumtoxinA </w:t>
      </w:r>
      <w:r w:rsidRPr="00A25749">
        <w:rPr>
          <w:rFonts w:ascii="Cambria" w:hAnsi="Cambria"/>
        </w:rPr>
        <w:t>is excreted in human breast milk. NUCEIVA should not be used during breast-feeding.</w:t>
      </w:r>
    </w:p>
    <w:p w14:paraId="321B7997" w14:textId="77777777" w:rsidR="001A3992" w:rsidRPr="00497C85" w:rsidRDefault="001A3992" w:rsidP="001A3992">
      <w:pPr>
        <w:pStyle w:val="Heading2"/>
        <w:spacing w:before="0" w:after="120"/>
        <w:rPr>
          <w:rFonts w:cstheme="minorHAnsi"/>
        </w:rPr>
      </w:pPr>
      <w:r w:rsidRPr="00497C85">
        <w:rPr>
          <w:rFonts w:cstheme="minorHAnsi"/>
        </w:rPr>
        <w:t xml:space="preserve">Effects on ability to drive and use machines </w:t>
      </w:r>
    </w:p>
    <w:p w14:paraId="63145E16" w14:textId="3D0D187D" w:rsidR="00497C85" w:rsidRPr="00497C85" w:rsidRDefault="000A0EC4" w:rsidP="00497C85">
      <w:pPr>
        <w:rPr>
          <w:rFonts w:asciiTheme="majorHAnsi" w:hAnsiTheme="majorHAnsi" w:cstheme="minorHAnsi"/>
        </w:rPr>
      </w:pPr>
      <w:r w:rsidRPr="000A0EC4">
        <w:rPr>
          <w:rFonts w:asciiTheme="majorHAnsi" w:hAnsiTheme="majorHAnsi" w:cstheme="minorHAnsi"/>
          <w:lang w:val="en"/>
        </w:rPr>
        <w:t>NUCEIVA has a minor or moderate influence on the ability to drive and use machines. There is a potential risk for asthenia, muscle weakness, dizziness and visual disturbance, which could affect driving and the operation of machinery</w:t>
      </w:r>
      <w:r>
        <w:rPr>
          <w:rFonts w:asciiTheme="majorHAnsi" w:hAnsiTheme="majorHAnsi" w:cstheme="minorHAnsi"/>
          <w:lang w:val="en"/>
        </w:rPr>
        <w:t>.</w:t>
      </w:r>
    </w:p>
    <w:p w14:paraId="1F6A4FBB" w14:textId="3A7157F7" w:rsidR="001A3992" w:rsidRPr="00E13D16" w:rsidRDefault="001A3992" w:rsidP="001A3992">
      <w:pPr>
        <w:pStyle w:val="Heading2"/>
        <w:keepNext/>
        <w:keepLines/>
        <w:spacing w:before="0" w:after="120"/>
        <w:rPr>
          <w:rFonts w:cstheme="minorHAnsi"/>
        </w:rPr>
      </w:pPr>
      <w:r w:rsidRPr="00E13D16">
        <w:rPr>
          <w:rFonts w:cstheme="minorHAnsi"/>
        </w:rPr>
        <w:t>Adverse effects (Undesirable effects)</w:t>
      </w:r>
    </w:p>
    <w:p w14:paraId="0A89CE44" w14:textId="1930E324" w:rsidR="00820DDE" w:rsidRPr="00E13D16" w:rsidRDefault="00820DDE" w:rsidP="00820DDE">
      <w:pPr>
        <w:rPr>
          <w:rFonts w:ascii="Cambria" w:hAnsi="Cambria"/>
        </w:rPr>
      </w:pPr>
      <w:r w:rsidRPr="00E13D16">
        <w:rPr>
          <w:rFonts w:ascii="Cambria" w:hAnsi="Cambria"/>
        </w:rPr>
        <w:t>Local weakness of the injected muscle(s) represents the expected pharmacological action of botulinum toxin. However, weakness of nearby muscles may also occur due to spread of toxin effect</w:t>
      </w:r>
      <w:r>
        <w:rPr>
          <w:rFonts w:ascii="Cambria" w:hAnsi="Cambria"/>
        </w:rPr>
        <w:t xml:space="preserve"> [see Warnings and Precautions]</w:t>
      </w:r>
      <w:r w:rsidRPr="00E13D16">
        <w:rPr>
          <w:rFonts w:ascii="Cambria" w:hAnsi="Cambria"/>
        </w:rPr>
        <w:t>.</w:t>
      </w:r>
    </w:p>
    <w:p w14:paraId="123B4B98" w14:textId="7DD8B9EC" w:rsidR="00B95DE5" w:rsidRPr="00B95DE5" w:rsidRDefault="000115B8" w:rsidP="00B95DE5">
      <w:pPr>
        <w:rPr>
          <w:rFonts w:ascii="Cambria" w:hAnsi="Cambria"/>
        </w:rPr>
      </w:pPr>
      <w:bookmarkStart w:id="1" w:name="_Hlk122431189"/>
      <w:r>
        <w:rPr>
          <w:rFonts w:ascii="Cambria" w:hAnsi="Cambria"/>
        </w:rPr>
        <w:t>Treatment emergen</w:t>
      </w:r>
      <w:r w:rsidR="00543C2B">
        <w:rPr>
          <w:rFonts w:ascii="Cambria" w:hAnsi="Cambria"/>
        </w:rPr>
        <w:t xml:space="preserve">t </w:t>
      </w:r>
      <w:r>
        <w:rPr>
          <w:rFonts w:ascii="Cambria" w:hAnsi="Cambria"/>
        </w:rPr>
        <w:t xml:space="preserve">adverse events represent untoward changes in health irrespective of a causal </w:t>
      </w:r>
      <w:r w:rsidR="00E9682C">
        <w:rPr>
          <w:rFonts w:ascii="Cambria" w:hAnsi="Cambria"/>
        </w:rPr>
        <w:t>association</w:t>
      </w:r>
      <w:r>
        <w:rPr>
          <w:rFonts w:ascii="Cambria" w:hAnsi="Cambria"/>
        </w:rPr>
        <w:t xml:space="preserve"> after exposure to a medicinal product. </w:t>
      </w:r>
      <w:r w:rsidR="00B95DE5" w:rsidRPr="00B95DE5">
        <w:rPr>
          <w:rFonts w:ascii="Cambria" w:hAnsi="Cambria"/>
        </w:rPr>
        <w:t>Table 2 presents treatment-emergent adverse events occurring at an incidence of &gt;1% in the 1659 subjects with exposure to NUCEIVA in the overall pooled population from the single and multiple dose trials in the development program, along with those subjects in the control groups.</w:t>
      </w:r>
    </w:p>
    <w:p w14:paraId="68C844B1" w14:textId="28F4F735" w:rsidR="00B73883" w:rsidRDefault="00B95DE5" w:rsidP="008027EC">
      <w:pPr>
        <w:rPr>
          <w:rFonts w:ascii="Cambria" w:hAnsi="Cambria"/>
        </w:rPr>
      </w:pPr>
      <w:r w:rsidRPr="00B95DE5">
        <w:rPr>
          <w:rFonts w:ascii="Cambria" w:hAnsi="Cambria"/>
        </w:rPr>
        <w:t xml:space="preserve">As also presented in Table 2, a subtotal of 922 healthy subjects (ranging in age from 19 to 83) had exposure to NUCEIVA in two multi-center, open label, 1-year repeat dose safety trials. Both trials evaluated repeat treatments of 20 units of NUCEIVA for the treatment of moderate to severe glabellar lines. All subjects received NUCEIVA and could receive up to 4 treatments (i.e., </w:t>
      </w:r>
      <w:r w:rsidRPr="00B95DE5">
        <w:rPr>
          <w:rFonts w:ascii="Cambria" w:hAnsi="Cambria"/>
        </w:rPr>
        <w:lastRenderedPageBreak/>
        <w:t>maximum total of 80 Units). Of the 922 subjects enrolled, the median number of treatments was three.  The adverse event profile in the multiple dose trials was similar to that reported in single dose trials.</w:t>
      </w:r>
      <w:r w:rsidR="008027EC" w:rsidRPr="008027EC" w:rsidDel="008027EC">
        <w:rPr>
          <w:rFonts w:ascii="Cambria" w:hAnsi="Cambria"/>
          <w:strike/>
        </w:rPr>
        <w:t xml:space="preserve"> </w:t>
      </w:r>
    </w:p>
    <w:bookmarkEnd w:id="1"/>
    <w:p w14:paraId="67EAB892" w14:textId="57389150" w:rsidR="008D2E63" w:rsidRPr="003361F3" w:rsidRDefault="00685B8C" w:rsidP="003361F3">
      <w:pPr>
        <w:pStyle w:val="Caption"/>
        <w:rPr>
          <w:rFonts w:asciiTheme="majorHAnsi" w:hAnsiTheme="majorHAnsi" w:cstheme="minorHAnsi"/>
        </w:rPr>
      </w:pPr>
      <w:r w:rsidRPr="003361F3">
        <w:rPr>
          <w:rFonts w:asciiTheme="majorHAnsi" w:hAnsiTheme="majorHAnsi" w:cstheme="minorHAnsi"/>
          <w:sz w:val="22"/>
          <w:szCs w:val="22"/>
        </w:rPr>
        <w:t xml:space="preserve">Table </w:t>
      </w:r>
      <w:r w:rsidRPr="003361F3">
        <w:rPr>
          <w:rFonts w:asciiTheme="majorHAnsi" w:hAnsiTheme="majorHAnsi" w:cstheme="minorHAnsi"/>
          <w:sz w:val="22"/>
          <w:szCs w:val="22"/>
        </w:rPr>
        <w:fldChar w:fldCharType="begin"/>
      </w:r>
      <w:r w:rsidRPr="003361F3">
        <w:rPr>
          <w:rFonts w:asciiTheme="majorHAnsi" w:hAnsiTheme="majorHAnsi" w:cstheme="minorHAnsi"/>
          <w:sz w:val="22"/>
          <w:szCs w:val="22"/>
        </w:rPr>
        <w:instrText xml:space="preserve"> SEQ Table \* ARABIC </w:instrText>
      </w:r>
      <w:r w:rsidRPr="003361F3">
        <w:rPr>
          <w:rFonts w:asciiTheme="majorHAnsi" w:hAnsiTheme="majorHAnsi" w:cstheme="minorHAnsi"/>
          <w:sz w:val="22"/>
          <w:szCs w:val="22"/>
        </w:rPr>
        <w:fldChar w:fldCharType="separate"/>
      </w:r>
      <w:r w:rsidRPr="003361F3">
        <w:rPr>
          <w:rFonts w:asciiTheme="majorHAnsi" w:hAnsiTheme="majorHAnsi" w:cstheme="minorHAnsi"/>
          <w:noProof/>
          <w:sz w:val="22"/>
          <w:szCs w:val="22"/>
        </w:rPr>
        <w:t>2</w:t>
      </w:r>
      <w:r w:rsidRPr="003361F3">
        <w:rPr>
          <w:rFonts w:asciiTheme="majorHAnsi" w:hAnsiTheme="majorHAnsi" w:cstheme="minorHAnsi"/>
          <w:sz w:val="22"/>
          <w:szCs w:val="22"/>
        </w:rPr>
        <w:fldChar w:fldCharType="end"/>
      </w:r>
      <w:r w:rsidRPr="003361F3">
        <w:rPr>
          <w:rFonts w:asciiTheme="majorHAnsi" w:hAnsiTheme="majorHAnsi" w:cstheme="minorHAnsi"/>
          <w:sz w:val="22"/>
          <w:szCs w:val="22"/>
        </w:rPr>
        <w:t>.</w:t>
      </w:r>
      <w:r w:rsidR="00B73883" w:rsidRPr="003361F3">
        <w:rPr>
          <w:rFonts w:asciiTheme="majorHAnsi" w:hAnsiTheme="majorHAnsi" w:cstheme="minorHAnsi"/>
          <w:sz w:val="22"/>
          <w:szCs w:val="22"/>
        </w:rPr>
        <w:t xml:space="preserve"> Treatment Emergent Adverse Events </w:t>
      </w:r>
      <w:r w:rsidR="00C26784" w:rsidRPr="003361F3">
        <w:rPr>
          <w:rFonts w:asciiTheme="majorHAnsi" w:hAnsiTheme="majorHAnsi" w:cstheme="minorHAnsi"/>
          <w:sz w:val="22"/>
          <w:szCs w:val="22"/>
        </w:rPr>
        <w:t xml:space="preserve">Where </w:t>
      </w:r>
      <w:r w:rsidR="00C26784" w:rsidRPr="002A47DD">
        <w:rPr>
          <w:rFonts w:asciiTheme="majorHAnsi" w:hAnsiTheme="majorHAnsi" w:cstheme="minorHAnsi"/>
          <w:sz w:val="22"/>
          <w:szCs w:val="22"/>
        </w:rPr>
        <w:t xml:space="preserve">Preferred Term is </w:t>
      </w:r>
      <w:r w:rsidR="00C26784" w:rsidRPr="002A47DD">
        <w:rPr>
          <w:rFonts w:asciiTheme="majorHAnsi" w:hAnsiTheme="majorHAnsi" w:cstheme="minorHAnsi"/>
          <w:sz w:val="22"/>
          <w:szCs w:val="22"/>
          <w:lang w:val="en-GB"/>
        </w:rPr>
        <w:t>≥1% - Safety Population</w:t>
      </w:r>
    </w:p>
    <w:tbl>
      <w:tblPr>
        <w:tblStyle w:val="TableGrid"/>
        <w:tblW w:w="0" w:type="auto"/>
        <w:tblLook w:val="04A0" w:firstRow="1" w:lastRow="0" w:firstColumn="1" w:lastColumn="0" w:noHBand="0" w:noVBand="1"/>
      </w:tblPr>
      <w:tblGrid>
        <w:gridCol w:w="1627"/>
        <w:gridCol w:w="1441"/>
        <w:gridCol w:w="1442"/>
        <w:gridCol w:w="1442"/>
        <w:gridCol w:w="1442"/>
        <w:gridCol w:w="1455"/>
      </w:tblGrid>
      <w:tr w:rsidR="00CF0C33" w:rsidRPr="00562292" w14:paraId="754F073A" w14:textId="77777777" w:rsidTr="00835AA0">
        <w:trPr>
          <w:tblHeader/>
        </w:trPr>
        <w:tc>
          <w:tcPr>
            <w:tcW w:w="1627" w:type="dxa"/>
          </w:tcPr>
          <w:p w14:paraId="00EE5C03" w14:textId="77777777" w:rsidR="00D1093D" w:rsidRPr="00562292" w:rsidRDefault="00D1093D" w:rsidP="00562292">
            <w:pPr>
              <w:rPr>
                <w:rFonts w:ascii="Cambria" w:hAnsi="Cambria"/>
                <w:b/>
                <w:bCs/>
                <w:sz w:val="20"/>
                <w:szCs w:val="20"/>
              </w:rPr>
            </w:pPr>
          </w:p>
        </w:tc>
        <w:tc>
          <w:tcPr>
            <w:tcW w:w="2883" w:type="dxa"/>
            <w:gridSpan w:val="2"/>
          </w:tcPr>
          <w:p w14:paraId="534C9CAE"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Controls</w:t>
            </w:r>
          </w:p>
        </w:tc>
        <w:tc>
          <w:tcPr>
            <w:tcW w:w="4339" w:type="dxa"/>
            <w:gridSpan w:val="3"/>
          </w:tcPr>
          <w:p w14:paraId="3D23A4E4"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NUCEIVA</w:t>
            </w:r>
          </w:p>
        </w:tc>
      </w:tr>
      <w:tr w:rsidR="00CF0C33" w:rsidRPr="00562292" w14:paraId="50EE0348" w14:textId="77777777" w:rsidTr="00835AA0">
        <w:trPr>
          <w:tblHeader/>
        </w:trPr>
        <w:tc>
          <w:tcPr>
            <w:tcW w:w="1627" w:type="dxa"/>
          </w:tcPr>
          <w:p w14:paraId="21A67805" w14:textId="77777777" w:rsidR="00D1093D" w:rsidRPr="00562292" w:rsidRDefault="00D1093D" w:rsidP="00562292">
            <w:pPr>
              <w:rPr>
                <w:rFonts w:ascii="Cambria" w:hAnsi="Cambria"/>
                <w:b/>
                <w:bCs/>
                <w:sz w:val="20"/>
                <w:szCs w:val="20"/>
              </w:rPr>
            </w:pPr>
            <w:r w:rsidRPr="00562292">
              <w:rPr>
                <w:rFonts w:ascii="Cambria" w:hAnsi="Cambria"/>
                <w:b/>
                <w:bCs/>
                <w:sz w:val="20"/>
                <w:szCs w:val="20"/>
              </w:rPr>
              <w:t>System Organ Class and Preferred Term</w:t>
            </w:r>
          </w:p>
        </w:tc>
        <w:tc>
          <w:tcPr>
            <w:tcW w:w="1441" w:type="dxa"/>
          </w:tcPr>
          <w:p w14:paraId="0A572A2B"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Pooled Placebo (N=211)</w:t>
            </w:r>
          </w:p>
          <w:p w14:paraId="4CF958A3"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n (%)</w:t>
            </w:r>
          </w:p>
        </w:tc>
        <w:tc>
          <w:tcPr>
            <w:tcW w:w="1442" w:type="dxa"/>
          </w:tcPr>
          <w:p w14:paraId="14CA34B7" w14:textId="77777777" w:rsidR="00D1093D" w:rsidRPr="00562292" w:rsidRDefault="00D1093D" w:rsidP="00562292">
            <w:pPr>
              <w:jc w:val="center"/>
              <w:rPr>
                <w:rFonts w:ascii="Cambria" w:hAnsi="Cambria"/>
                <w:b/>
                <w:bCs/>
                <w:sz w:val="20"/>
                <w:szCs w:val="20"/>
                <w:lang w:val="en-AU"/>
              </w:rPr>
            </w:pPr>
            <w:r w:rsidRPr="00562292">
              <w:rPr>
                <w:rFonts w:ascii="Cambria" w:hAnsi="Cambria"/>
                <w:b/>
                <w:bCs/>
                <w:sz w:val="20"/>
                <w:szCs w:val="20"/>
                <w:lang w:val="en-AU"/>
              </w:rPr>
              <w:t>BOTOX (N=246)</w:t>
            </w:r>
          </w:p>
          <w:p w14:paraId="2C551F9B"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lang w:val="en-AU"/>
              </w:rPr>
              <w:t>n (%)</w:t>
            </w:r>
          </w:p>
        </w:tc>
        <w:tc>
          <w:tcPr>
            <w:tcW w:w="1442" w:type="dxa"/>
          </w:tcPr>
          <w:p w14:paraId="58AA4FF4"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Pooled Single Dose (N=737)</w:t>
            </w:r>
          </w:p>
          <w:p w14:paraId="18CA2AE5"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n (%)</w:t>
            </w:r>
          </w:p>
        </w:tc>
        <w:tc>
          <w:tcPr>
            <w:tcW w:w="1442" w:type="dxa"/>
          </w:tcPr>
          <w:p w14:paraId="1EDC5235"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Pooled Multiple Dose (N=922)</w:t>
            </w:r>
          </w:p>
          <w:p w14:paraId="054A8BE1"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n (%)</w:t>
            </w:r>
          </w:p>
        </w:tc>
        <w:tc>
          <w:tcPr>
            <w:tcW w:w="1455" w:type="dxa"/>
          </w:tcPr>
          <w:p w14:paraId="17E4FB4D"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Pooled All (N=1659)</w:t>
            </w:r>
          </w:p>
          <w:p w14:paraId="4689742A"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n (%)</w:t>
            </w:r>
          </w:p>
        </w:tc>
      </w:tr>
      <w:tr w:rsidR="00CF0C33" w:rsidRPr="00562292" w14:paraId="5B5E265C" w14:textId="77777777" w:rsidTr="00835AA0">
        <w:tc>
          <w:tcPr>
            <w:tcW w:w="1627" w:type="dxa"/>
          </w:tcPr>
          <w:p w14:paraId="33ED34E8" w14:textId="77777777" w:rsidR="00D1093D" w:rsidRPr="00562292" w:rsidRDefault="00D1093D" w:rsidP="00562292">
            <w:pPr>
              <w:rPr>
                <w:rFonts w:ascii="Cambria" w:hAnsi="Cambria"/>
                <w:b/>
                <w:bCs/>
                <w:sz w:val="20"/>
                <w:szCs w:val="20"/>
              </w:rPr>
            </w:pPr>
            <w:r w:rsidRPr="00562292">
              <w:rPr>
                <w:rFonts w:ascii="Cambria" w:hAnsi="Cambria"/>
                <w:b/>
                <w:bCs/>
                <w:sz w:val="20"/>
                <w:szCs w:val="20"/>
              </w:rPr>
              <w:t xml:space="preserve">All AEs in </w:t>
            </w:r>
            <w:r w:rsidRPr="00562292">
              <w:rPr>
                <w:rFonts w:ascii="Cambria" w:hAnsi="Cambria"/>
                <w:b/>
                <w:bCs/>
                <w:sz w:val="20"/>
                <w:szCs w:val="20"/>
                <w:lang w:val="en-GB"/>
              </w:rPr>
              <w:t>≥1% of subjects</w:t>
            </w:r>
          </w:p>
        </w:tc>
        <w:tc>
          <w:tcPr>
            <w:tcW w:w="1441" w:type="dxa"/>
          </w:tcPr>
          <w:p w14:paraId="2E1376BC" w14:textId="77777777" w:rsidR="00D1093D" w:rsidRPr="00562292" w:rsidRDefault="00D1093D" w:rsidP="00562292">
            <w:pPr>
              <w:jc w:val="center"/>
              <w:rPr>
                <w:rFonts w:ascii="Cambria" w:hAnsi="Cambria"/>
                <w:sz w:val="20"/>
                <w:szCs w:val="20"/>
              </w:rPr>
            </w:pPr>
            <w:r w:rsidRPr="00562292">
              <w:rPr>
                <w:rFonts w:ascii="Cambria" w:hAnsi="Cambria"/>
                <w:sz w:val="20"/>
                <w:szCs w:val="20"/>
              </w:rPr>
              <w:t>46 (21.8)</w:t>
            </w:r>
          </w:p>
        </w:tc>
        <w:tc>
          <w:tcPr>
            <w:tcW w:w="1442" w:type="dxa"/>
          </w:tcPr>
          <w:p w14:paraId="3BBEC497" w14:textId="77777777" w:rsidR="00D1093D" w:rsidRPr="00562292" w:rsidRDefault="00D1093D" w:rsidP="00562292">
            <w:pPr>
              <w:jc w:val="center"/>
              <w:rPr>
                <w:rFonts w:ascii="Cambria" w:hAnsi="Cambria"/>
                <w:sz w:val="20"/>
                <w:szCs w:val="20"/>
              </w:rPr>
            </w:pPr>
            <w:r w:rsidRPr="00562292">
              <w:rPr>
                <w:rFonts w:ascii="Cambria" w:hAnsi="Cambria"/>
                <w:sz w:val="20"/>
                <w:szCs w:val="20"/>
              </w:rPr>
              <w:t>69 (28.0)</w:t>
            </w:r>
          </w:p>
        </w:tc>
        <w:tc>
          <w:tcPr>
            <w:tcW w:w="1442" w:type="dxa"/>
          </w:tcPr>
          <w:p w14:paraId="2088BAD6" w14:textId="77777777" w:rsidR="00D1093D" w:rsidRPr="00562292" w:rsidRDefault="00D1093D" w:rsidP="00562292">
            <w:pPr>
              <w:jc w:val="center"/>
              <w:rPr>
                <w:rFonts w:ascii="Cambria" w:hAnsi="Cambria"/>
                <w:sz w:val="20"/>
                <w:szCs w:val="20"/>
              </w:rPr>
            </w:pPr>
            <w:r w:rsidRPr="00562292">
              <w:rPr>
                <w:rFonts w:ascii="Cambria" w:hAnsi="Cambria"/>
                <w:sz w:val="20"/>
                <w:szCs w:val="20"/>
              </w:rPr>
              <w:t>167 (22.7)</w:t>
            </w:r>
          </w:p>
        </w:tc>
        <w:tc>
          <w:tcPr>
            <w:tcW w:w="1442" w:type="dxa"/>
          </w:tcPr>
          <w:p w14:paraId="38745F63" w14:textId="77777777" w:rsidR="00D1093D" w:rsidRPr="00562292" w:rsidRDefault="00D1093D" w:rsidP="00562292">
            <w:pPr>
              <w:jc w:val="center"/>
              <w:rPr>
                <w:rFonts w:ascii="Cambria" w:hAnsi="Cambria"/>
                <w:sz w:val="20"/>
                <w:szCs w:val="20"/>
              </w:rPr>
            </w:pPr>
            <w:r w:rsidRPr="00562292">
              <w:rPr>
                <w:rFonts w:ascii="Cambria" w:hAnsi="Cambria"/>
                <w:sz w:val="20"/>
                <w:szCs w:val="20"/>
              </w:rPr>
              <w:t>243 (26.4)</w:t>
            </w:r>
          </w:p>
        </w:tc>
        <w:tc>
          <w:tcPr>
            <w:tcW w:w="1455" w:type="dxa"/>
          </w:tcPr>
          <w:p w14:paraId="637C22EB" w14:textId="77777777" w:rsidR="00D1093D" w:rsidRPr="00562292" w:rsidRDefault="00D1093D" w:rsidP="00562292">
            <w:pPr>
              <w:jc w:val="center"/>
              <w:rPr>
                <w:rFonts w:ascii="Cambria" w:hAnsi="Cambria"/>
                <w:sz w:val="20"/>
                <w:szCs w:val="20"/>
              </w:rPr>
            </w:pPr>
            <w:r w:rsidRPr="00562292">
              <w:rPr>
                <w:rFonts w:ascii="Cambria" w:hAnsi="Cambria"/>
                <w:sz w:val="20"/>
                <w:szCs w:val="20"/>
              </w:rPr>
              <w:t>410 (24.7)</w:t>
            </w:r>
          </w:p>
        </w:tc>
      </w:tr>
      <w:tr w:rsidR="00CF0C33" w:rsidRPr="00562292" w14:paraId="3903104A" w14:textId="77777777" w:rsidTr="00835AA0">
        <w:tc>
          <w:tcPr>
            <w:tcW w:w="1627" w:type="dxa"/>
          </w:tcPr>
          <w:p w14:paraId="3F3CD5CC" w14:textId="77777777" w:rsidR="00D1093D" w:rsidRPr="00562292" w:rsidRDefault="00D1093D" w:rsidP="00562292">
            <w:pPr>
              <w:rPr>
                <w:rFonts w:ascii="Cambria" w:hAnsi="Cambria"/>
                <w:b/>
                <w:bCs/>
                <w:sz w:val="20"/>
                <w:szCs w:val="20"/>
              </w:rPr>
            </w:pPr>
            <w:r w:rsidRPr="00562292">
              <w:rPr>
                <w:rFonts w:ascii="Cambria" w:hAnsi="Cambria"/>
                <w:b/>
                <w:bCs/>
                <w:sz w:val="20"/>
                <w:szCs w:val="20"/>
              </w:rPr>
              <w:t>Nervous System Disorders</w:t>
            </w:r>
          </w:p>
        </w:tc>
        <w:tc>
          <w:tcPr>
            <w:tcW w:w="1441" w:type="dxa"/>
          </w:tcPr>
          <w:p w14:paraId="1BE2BEA4"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28 (13.3)</w:t>
            </w:r>
          </w:p>
        </w:tc>
        <w:tc>
          <w:tcPr>
            <w:tcW w:w="1442" w:type="dxa"/>
          </w:tcPr>
          <w:p w14:paraId="64B850A6"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25 (10.2)</w:t>
            </w:r>
          </w:p>
        </w:tc>
        <w:tc>
          <w:tcPr>
            <w:tcW w:w="1442" w:type="dxa"/>
          </w:tcPr>
          <w:p w14:paraId="0DFADD8E"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91 (12.3)</w:t>
            </w:r>
          </w:p>
        </w:tc>
        <w:tc>
          <w:tcPr>
            <w:tcW w:w="1442" w:type="dxa"/>
          </w:tcPr>
          <w:p w14:paraId="6C123D9E"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129 (14.0)</w:t>
            </w:r>
          </w:p>
        </w:tc>
        <w:tc>
          <w:tcPr>
            <w:tcW w:w="1455" w:type="dxa"/>
          </w:tcPr>
          <w:p w14:paraId="12D2B69C"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220 (13.3)</w:t>
            </w:r>
          </w:p>
        </w:tc>
      </w:tr>
      <w:tr w:rsidR="00CF0C33" w:rsidRPr="00562292" w14:paraId="57236F25" w14:textId="77777777" w:rsidTr="00835AA0">
        <w:tc>
          <w:tcPr>
            <w:tcW w:w="1627" w:type="dxa"/>
          </w:tcPr>
          <w:p w14:paraId="75421E79" w14:textId="77777777" w:rsidR="00D1093D" w:rsidRPr="00562292" w:rsidRDefault="00D1093D" w:rsidP="00562292">
            <w:pPr>
              <w:rPr>
                <w:rFonts w:ascii="Cambria" w:hAnsi="Cambria"/>
                <w:sz w:val="20"/>
                <w:szCs w:val="20"/>
              </w:rPr>
            </w:pPr>
            <w:r w:rsidRPr="00562292">
              <w:rPr>
                <w:rFonts w:ascii="Cambria" w:hAnsi="Cambria"/>
                <w:sz w:val="20"/>
                <w:szCs w:val="20"/>
              </w:rPr>
              <w:t>Headache</w:t>
            </w:r>
          </w:p>
        </w:tc>
        <w:tc>
          <w:tcPr>
            <w:tcW w:w="1441" w:type="dxa"/>
          </w:tcPr>
          <w:p w14:paraId="0497F608" w14:textId="77777777" w:rsidR="00D1093D" w:rsidRPr="00562292" w:rsidRDefault="00D1093D" w:rsidP="00562292">
            <w:pPr>
              <w:jc w:val="center"/>
              <w:rPr>
                <w:rFonts w:ascii="Cambria" w:hAnsi="Cambria"/>
                <w:sz w:val="20"/>
                <w:szCs w:val="20"/>
              </w:rPr>
            </w:pPr>
            <w:r w:rsidRPr="00562292">
              <w:rPr>
                <w:rFonts w:ascii="Cambria" w:hAnsi="Cambria"/>
                <w:sz w:val="20"/>
                <w:szCs w:val="20"/>
              </w:rPr>
              <w:t>28 (13.3)</w:t>
            </w:r>
          </w:p>
        </w:tc>
        <w:tc>
          <w:tcPr>
            <w:tcW w:w="1442" w:type="dxa"/>
          </w:tcPr>
          <w:p w14:paraId="54C63DF0" w14:textId="77777777" w:rsidR="00D1093D" w:rsidRPr="00562292" w:rsidRDefault="00D1093D" w:rsidP="00562292">
            <w:pPr>
              <w:jc w:val="center"/>
              <w:rPr>
                <w:rFonts w:ascii="Cambria" w:hAnsi="Cambria"/>
                <w:sz w:val="20"/>
                <w:szCs w:val="20"/>
              </w:rPr>
            </w:pPr>
            <w:r w:rsidRPr="00562292">
              <w:rPr>
                <w:rFonts w:ascii="Cambria" w:hAnsi="Cambria"/>
                <w:sz w:val="20"/>
                <w:szCs w:val="20"/>
              </w:rPr>
              <w:t>25 (10.2)</w:t>
            </w:r>
          </w:p>
        </w:tc>
        <w:tc>
          <w:tcPr>
            <w:tcW w:w="1442" w:type="dxa"/>
          </w:tcPr>
          <w:p w14:paraId="54430065" w14:textId="77777777" w:rsidR="00D1093D" w:rsidRPr="00562292" w:rsidRDefault="00D1093D" w:rsidP="00562292">
            <w:pPr>
              <w:jc w:val="center"/>
              <w:rPr>
                <w:rFonts w:ascii="Cambria" w:hAnsi="Cambria"/>
                <w:sz w:val="20"/>
                <w:szCs w:val="20"/>
              </w:rPr>
            </w:pPr>
            <w:r w:rsidRPr="00562292">
              <w:rPr>
                <w:rFonts w:ascii="Cambria" w:hAnsi="Cambria"/>
                <w:sz w:val="20"/>
                <w:szCs w:val="20"/>
              </w:rPr>
              <w:t>91 (12.3)</w:t>
            </w:r>
          </w:p>
        </w:tc>
        <w:tc>
          <w:tcPr>
            <w:tcW w:w="1442" w:type="dxa"/>
          </w:tcPr>
          <w:p w14:paraId="29730539" w14:textId="77777777" w:rsidR="00D1093D" w:rsidRPr="00562292" w:rsidRDefault="00D1093D" w:rsidP="00562292">
            <w:pPr>
              <w:jc w:val="center"/>
              <w:rPr>
                <w:rFonts w:ascii="Cambria" w:hAnsi="Cambria"/>
                <w:sz w:val="20"/>
                <w:szCs w:val="20"/>
              </w:rPr>
            </w:pPr>
            <w:r w:rsidRPr="00562292">
              <w:rPr>
                <w:rFonts w:ascii="Cambria" w:hAnsi="Cambria"/>
                <w:sz w:val="20"/>
                <w:szCs w:val="20"/>
              </w:rPr>
              <w:t>129 (14.0)</w:t>
            </w:r>
          </w:p>
        </w:tc>
        <w:tc>
          <w:tcPr>
            <w:tcW w:w="1455" w:type="dxa"/>
          </w:tcPr>
          <w:p w14:paraId="3C9C3014" w14:textId="77777777" w:rsidR="00D1093D" w:rsidRPr="00562292" w:rsidRDefault="00D1093D" w:rsidP="00562292">
            <w:pPr>
              <w:jc w:val="center"/>
              <w:rPr>
                <w:rFonts w:ascii="Cambria" w:hAnsi="Cambria"/>
                <w:sz w:val="20"/>
                <w:szCs w:val="20"/>
              </w:rPr>
            </w:pPr>
            <w:r w:rsidRPr="00562292">
              <w:rPr>
                <w:rFonts w:ascii="Cambria" w:hAnsi="Cambria"/>
                <w:sz w:val="20"/>
                <w:szCs w:val="20"/>
              </w:rPr>
              <w:t>220 (13.3)</w:t>
            </w:r>
          </w:p>
        </w:tc>
      </w:tr>
      <w:tr w:rsidR="00CF0C33" w:rsidRPr="00562292" w14:paraId="2A3548AB" w14:textId="77777777" w:rsidTr="00835AA0">
        <w:tc>
          <w:tcPr>
            <w:tcW w:w="1627" w:type="dxa"/>
          </w:tcPr>
          <w:p w14:paraId="7D62C1C6" w14:textId="77777777" w:rsidR="00D1093D" w:rsidRPr="00562292" w:rsidRDefault="00D1093D" w:rsidP="00562292">
            <w:pPr>
              <w:rPr>
                <w:rFonts w:ascii="Cambria" w:hAnsi="Cambria"/>
                <w:b/>
                <w:bCs/>
                <w:sz w:val="20"/>
                <w:szCs w:val="20"/>
              </w:rPr>
            </w:pPr>
            <w:r w:rsidRPr="00562292">
              <w:rPr>
                <w:rFonts w:ascii="Cambria" w:hAnsi="Cambria"/>
                <w:b/>
                <w:bCs/>
                <w:sz w:val="20"/>
                <w:szCs w:val="20"/>
              </w:rPr>
              <w:t>Infections and Infestations</w:t>
            </w:r>
          </w:p>
        </w:tc>
        <w:tc>
          <w:tcPr>
            <w:tcW w:w="1441" w:type="dxa"/>
          </w:tcPr>
          <w:p w14:paraId="50B0C888" w14:textId="78937F6D" w:rsidR="00D1093D" w:rsidRPr="00562292" w:rsidRDefault="004406D4" w:rsidP="00562292">
            <w:pPr>
              <w:jc w:val="center"/>
              <w:rPr>
                <w:rFonts w:ascii="Cambria" w:hAnsi="Cambria"/>
                <w:b/>
                <w:bCs/>
                <w:sz w:val="20"/>
                <w:szCs w:val="20"/>
              </w:rPr>
            </w:pPr>
            <w:r>
              <w:rPr>
                <w:rFonts w:ascii="Cambria" w:hAnsi="Cambria"/>
                <w:b/>
                <w:bCs/>
                <w:sz w:val="20"/>
                <w:szCs w:val="20"/>
              </w:rPr>
              <w:t>1</w:t>
            </w:r>
            <w:r w:rsidR="00D1093D" w:rsidRPr="00562292">
              <w:rPr>
                <w:rFonts w:ascii="Cambria" w:hAnsi="Cambria"/>
                <w:b/>
                <w:bCs/>
                <w:sz w:val="20"/>
                <w:szCs w:val="20"/>
              </w:rPr>
              <w:t>6 (7.6)</w:t>
            </w:r>
          </w:p>
        </w:tc>
        <w:tc>
          <w:tcPr>
            <w:tcW w:w="1442" w:type="dxa"/>
          </w:tcPr>
          <w:p w14:paraId="2909F022"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39 (15.9)</w:t>
            </w:r>
          </w:p>
        </w:tc>
        <w:tc>
          <w:tcPr>
            <w:tcW w:w="1442" w:type="dxa"/>
          </w:tcPr>
          <w:p w14:paraId="7D4E2350"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65 (8.8)</w:t>
            </w:r>
          </w:p>
        </w:tc>
        <w:tc>
          <w:tcPr>
            <w:tcW w:w="1442" w:type="dxa"/>
          </w:tcPr>
          <w:p w14:paraId="39ADA189"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105 (11.4)</w:t>
            </w:r>
          </w:p>
        </w:tc>
        <w:tc>
          <w:tcPr>
            <w:tcW w:w="1455" w:type="dxa"/>
          </w:tcPr>
          <w:p w14:paraId="551AC6C8"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170 (10.2)</w:t>
            </w:r>
          </w:p>
        </w:tc>
      </w:tr>
      <w:tr w:rsidR="00CF0C33" w:rsidRPr="00562292" w14:paraId="08E223F5" w14:textId="77777777" w:rsidTr="00835AA0">
        <w:tc>
          <w:tcPr>
            <w:tcW w:w="1627" w:type="dxa"/>
          </w:tcPr>
          <w:p w14:paraId="2532F821" w14:textId="77777777" w:rsidR="00D1093D" w:rsidRPr="00562292" w:rsidRDefault="00D1093D" w:rsidP="00562292">
            <w:pPr>
              <w:rPr>
                <w:rFonts w:ascii="Cambria" w:hAnsi="Cambria"/>
                <w:sz w:val="20"/>
                <w:szCs w:val="20"/>
              </w:rPr>
            </w:pPr>
            <w:r w:rsidRPr="00562292">
              <w:rPr>
                <w:rFonts w:ascii="Cambria" w:hAnsi="Cambria"/>
                <w:sz w:val="20"/>
                <w:szCs w:val="20"/>
              </w:rPr>
              <w:t>Bronchitis</w:t>
            </w:r>
          </w:p>
        </w:tc>
        <w:tc>
          <w:tcPr>
            <w:tcW w:w="1441" w:type="dxa"/>
          </w:tcPr>
          <w:p w14:paraId="2F65D43E" w14:textId="77777777" w:rsidR="00D1093D" w:rsidRPr="00562292" w:rsidRDefault="00D1093D" w:rsidP="00562292">
            <w:pPr>
              <w:jc w:val="center"/>
              <w:rPr>
                <w:rFonts w:ascii="Cambria" w:hAnsi="Cambria"/>
                <w:sz w:val="20"/>
                <w:szCs w:val="20"/>
              </w:rPr>
            </w:pPr>
            <w:r w:rsidRPr="00562292">
              <w:rPr>
                <w:rFonts w:ascii="Cambria" w:hAnsi="Cambria"/>
                <w:sz w:val="20"/>
                <w:szCs w:val="20"/>
              </w:rPr>
              <w:t>1 (0.5)</w:t>
            </w:r>
          </w:p>
        </w:tc>
        <w:tc>
          <w:tcPr>
            <w:tcW w:w="1442" w:type="dxa"/>
          </w:tcPr>
          <w:p w14:paraId="708C2896" w14:textId="77777777" w:rsidR="00D1093D" w:rsidRPr="00562292" w:rsidRDefault="00D1093D" w:rsidP="00562292">
            <w:pPr>
              <w:jc w:val="center"/>
              <w:rPr>
                <w:rFonts w:ascii="Cambria" w:hAnsi="Cambria"/>
                <w:sz w:val="20"/>
                <w:szCs w:val="20"/>
              </w:rPr>
            </w:pPr>
            <w:r w:rsidRPr="00562292">
              <w:rPr>
                <w:rFonts w:ascii="Cambria" w:hAnsi="Cambria"/>
                <w:sz w:val="20"/>
                <w:szCs w:val="20"/>
              </w:rPr>
              <w:t>3 (1.2)</w:t>
            </w:r>
          </w:p>
        </w:tc>
        <w:tc>
          <w:tcPr>
            <w:tcW w:w="1442" w:type="dxa"/>
          </w:tcPr>
          <w:p w14:paraId="4BFDE912" w14:textId="77777777" w:rsidR="00D1093D" w:rsidRPr="00562292" w:rsidRDefault="00D1093D" w:rsidP="00562292">
            <w:pPr>
              <w:jc w:val="center"/>
              <w:rPr>
                <w:rFonts w:ascii="Cambria" w:hAnsi="Cambria"/>
                <w:sz w:val="20"/>
                <w:szCs w:val="20"/>
              </w:rPr>
            </w:pPr>
            <w:r w:rsidRPr="00562292">
              <w:rPr>
                <w:rFonts w:ascii="Cambria" w:hAnsi="Cambria"/>
                <w:sz w:val="20"/>
                <w:szCs w:val="20"/>
              </w:rPr>
              <w:t>3 (0.4)</w:t>
            </w:r>
          </w:p>
        </w:tc>
        <w:tc>
          <w:tcPr>
            <w:tcW w:w="1442" w:type="dxa"/>
          </w:tcPr>
          <w:p w14:paraId="66E324A3" w14:textId="77777777" w:rsidR="00D1093D" w:rsidRPr="00562292" w:rsidRDefault="00D1093D" w:rsidP="00562292">
            <w:pPr>
              <w:jc w:val="center"/>
              <w:rPr>
                <w:rFonts w:ascii="Cambria" w:hAnsi="Cambria"/>
                <w:sz w:val="20"/>
                <w:szCs w:val="20"/>
              </w:rPr>
            </w:pPr>
            <w:r w:rsidRPr="00562292">
              <w:rPr>
                <w:rFonts w:ascii="Cambria" w:hAnsi="Cambria"/>
                <w:sz w:val="20"/>
                <w:szCs w:val="20"/>
              </w:rPr>
              <w:t>15 (1.6)</w:t>
            </w:r>
          </w:p>
        </w:tc>
        <w:tc>
          <w:tcPr>
            <w:tcW w:w="1455" w:type="dxa"/>
          </w:tcPr>
          <w:p w14:paraId="33017DE6" w14:textId="77777777" w:rsidR="00D1093D" w:rsidRPr="00562292" w:rsidRDefault="00D1093D" w:rsidP="00562292">
            <w:pPr>
              <w:jc w:val="center"/>
              <w:rPr>
                <w:rFonts w:ascii="Cambria" w:hAnsi="Cambria"/>
                <w:sz w:val="20"/>
                <w:szCs w:val="20"/>
              </w:rPr>
            </w:pPr>
            <w:r w:rsidRPr="00562292">
              <w:rPr>
                <w:rFonts w:ascii="Cambria" w:hAnsi="Cambria"/>
                <w:sz w:val="20"/>
                <w:szCs w:val="20"/>
              </w:rPr>
              <w:t>18 (1.1)</w:t>
            </w:r>
          </w:p>
        </w:tc>
      </w:tr>
      <w:tr w:rsidR="00CF0C33" w:rsidRPr="00562292" w14:paraId="58CA4CE8" w14:textId="77777777" w:rsidTr="00835AA0">
        <w:tc>
          <w:tcPr>
            <w:tcW w:w="1627" w:type="dxa"/>
          </w:tcPr>
          <w:p w14:paraId="6576B806" w14:textId="77777777" w:rsidR="00D1093D" w:rsidRPr="00562292" w:rsidRDefault="00D1093D" w:rsidP="00562292">
            <w:pPr>
              <w:rPr>
                <w:rFonts w:ascii="Cambria" w:hAnsi="Cambria"/>
                <w:sz w:val="20"/>
                <w:szCs w:val="20"/>
              </w:rPr>
            </w:pPr>
            <w:r w:rsidRPr="00562292">
              <w:rPr>
                <w:rFonts w:ascii="Cambria" w:hAnsi="Cambria"/>
                <w:sz w:val="20"/>
                <w:szCs w:val="20"/>
              </w:rPr>
              <w:t>Gastroenteritis viral</w:t>
            </w:r>
          </w:p>
        </w:tc>
        <w:tc>
          <w:tcPr>
            <w:tcW w:w="1441" w:type="dxa"/>
          </w:tcPr>
          <w:p w14:paraId="167EA12A" w14:textId="77777777" w:rsidR="00D1093D" w:rsidRPr="00562292" w:rsidRDefault="00D1093D" w:rsidP="00562292">
            <w:pPr>
              <w:jc w:val="center"/>
              <w:rPr>
                <w:rFonts w:ascii="Cambria" w:hAnsi="Cambria"/>
                <w:sz w:val="20"/>
                <w:szCs w:val="20"/>
              </w:rPr>
            </w:pPr>
            <w:r w:rsidRPr="00562292">
              <w:rPr>
                <w:rFonts w:ascii="Cambria" w:hAnsi="Cambria"/>
                <w:sz w:val="20"/>
                <w:szCs w:val="20"/>
              </w:rPr>
              <w:t>3 (1.4)</w:t>
            </w:r>
          </w:p>
        </w:tc>
        <w:tc>
          <w:tcPr>
            <w:tcW w:w="1442" w:type="dxa"/>
          </w:tcPr>
          <w:p w14:paraId="12F979B7"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07BF1077" w14:textId="77777777" w:rsidR="00D1093D" w:rsidRPr="00562292" w:rsidRDefault="00D1093D" w:rsidP="00562292">
            <w:pPr>
              <w:jc w:val="center"/>
              <w:rPr>
                <w:rFonts w:ascii="Cambria" w:hAnsi="Cambria"/>
                <w:sz w:val="20"/>
                <w:szCs w:val="20"/>
              </w:rPr>
            </w:pPr>
            <w:r w:rsidRPr="00562292">
              <w:rPr>
                <w:rFonts w:ascii="Cambria" w:hAnsi="Cambria"/>
                <w:sz w:val="20"/>
                <w:szCs w:val="20"/>
              </w:rPr>
              <w:t>3 (0.4)</w:t>
            </w:r>
          </w:p>
        </w:tc>
        <w:tc>
          <w:tcPr>
            <w:tcW w:w="1442" w:type="dxa"/>
          </w:tcPr>
          <w:p w14:paraId="47E7546F" w14:textId="77777777" w:rsidR="00D1093D" w:rsidRPr="00562292" w:rsidRDefault="00D1093D" w:rsidP="00562292">
            <w:pPr>
              <w:jc w:val="center"/>
              <w:rPr>
                <w:rFonts w:ascii="Cambria" w:hAnsi="Cambria"/>
                <w:sz w:val="20"/>
                <w:szCs w:val="20"/>
              </w:rPr>
            </w:pPr>
            <w:r w:rsidRPr="00562292">
              <w:rPr>
                <w:rFonts w:ascii="Cambria" w:hAnsi="Cambria"/>
                <w:sz w:val="20"/>
                <w:szCs w:val="20"/>
              </w:rPr>
              <w:t>5 (0.5)</w:t>
            </w:r>
          </w:p>
        </w:tc>
        <w:tc>
          <w:tcPr>
            <w:tcW w:w="1455" w:type="dxa"/>
          </w:tcPr>
          <w:p w14:paraId="109F10CD" w14:textId="77777777" w:rsidR="00D1093D" w:rsidRPr="00562292" w:rsidRDefault="00D1093D" w:rsidP="00562292">
            <w:pPr>
              <w:jc w:val="center"/>
              <w:rPr>
                <w:rFonts w:ascii="Cambria" w:hAnsi="Cambria"/>
                <w:sz w:val="20"/>
                <w:szCs w:val="20"/>
              </w:rPr>
            </w:pPr>
            <w:r w:rsidRPr="00562292">
              <w:rPr>
                <w:rFonts w:ascii="Cambria" w:hAnsi="Cambria"/>
                <w:sz w:val="20"/>
                <w:szCs w:val="20"/>
              </w:rPr>
              <w:t>8 (0.5)</w:t>
            </w:r>
          </w:p>
        </w:tc>
      </w:tr>
      <w:tr w:rsidR="00CF0C33" w:rsidRPr="00562292" w14:paraId="6D80829E" w14:textId="77777777" w:rsidTr="00835AA0">
        <w:tc>
          <w:tcPr>
            <w:tcW w:w="1627" w:type="dxa"/>
          </w:tcPr>
          <w:p w14:paraId="58308394" w14:textId="77777777" w:rsidR="00D1093D" w:rsidRPr="00562292" w:rsidRDefault="00D1093D" w:rsidP="00562292">
            <w:pPr>
              <w:rPr>
                <w:rFonts w:ascii="Cambria" w:hAnsi="Cambria"/>
                <w:sz w:val="20"/>
                <w:szCs w:val="20"/>
              </w:rPr>
            </w:pPr>
            <w:r w:rsidRPr="00562292">
              <w:rPr>
                <w:rFonts w:ascii="Cambria" w:hAnsi="Cambria"/>
                <w:sz w:val="20"/>
                <w:szCs w:val="20"/>
              </w:rPr>
              <w:t>Influenza</w:t>
            </w:r>
          </w:p>
        </w:tc>
        <w:tc>
          <w:tcPr>
            <w:tcW w:w="1441" w:type="dxa"/>
          </w:tcPr>
          <w:p w14:paraId="5834996F" w14:textId="77777777" w:rsidR="00D1093D" w:rsidRPr="00562292" w:rsidRDefault="00D1093D" w:rsidP="00562292">
            <w:pPr>
              <w:jc w:val="center"/>
              <w:rPr>
                <w:rFonts w:ascii="Cambria" w:hAnsi="Cambria"/>
                <w:sz w:val="20"/>
                <w:szCs w:val="20"/>
              </w:rPr>
            </w:pPr>
            <w:r w:rsidRPr="00562292">
              <w:rPr>
                <w:rFonts w:ascii="Cambria" w:hAnsi="Cambria"/>
                <w:sz w:val="20"/>
                <w:szCs w:val="20"/>
              </w:rPr>
              <w:t>2 (0.9)</w:t>
            </w:r>
          </w:p>
        </w:tc>
        <w:tc>
          <w:tcPr>
            <w:tcW w:w="1442" w:type="dxa"/>
          </w:tcPr>
          <w:p w14:paraId="74EF1AE7" w14:textId="77777777" w:rsidR="00D1093D" w:rsidRPr="00562292" w:rsidRDefault="00D1093D" w:rsidP="00562292">
            <w:pPr>
              <w:jc w:val="center"/>
              <w:rPr>
                <w:rFonts w:ascii="Cambria" w:hAnsi="Cambria"/>
                <w:sz w:val="20"/>
                <w:szCs w:val="20"/>
              </w:rPr>
            </w:pPr>
            <w:r w:rsidRPr="00562292">
              <w:rPr>
                <w:rFonts w:ascii="Cambria" w:hAnsi="Cambria"/>
                <w:sz w:val="20"/>
                <w:szCs w:val="20"/>
              </w:rPr>
              <w:t>5 (2.0)</w:t>
            </w:r>
          </w:p>
        </w:tc>
        <w:tc>
          <w:tcPr>
            <w:tcW w:w="1442" w:type="dxa"/>
          </w:tcPr>
          <w:p w14:paraId="13E7F91F" w14:textId="77777777" w:rsidR="00D1093D" w:rsidRPr="00562292" w:rsidRDefault="00D1093D" w:rsidP="00562292">
            <w:pPr>
              <w:jc w:val="center"/>
              <w:rPr>
                <w:rFonts w:ascii="Cambria" w:hAnsi="Cambria"/>
                <w:sz w:val="20"/>
                <w:szCs w:val="20"/>
              </w:rPr>
            </w:pPr>
            <w:r w:rsidRPr="00562292">
              <w:rPr>
                <w:rFonts w:ascii="Cambria" w:hAnsi="Cambria"/>
                <w:sz w:val="20"/>
                <w:szCs w:val="20"/>
              </w:rPr>
              <w:t>5 (0.7)</w:t>
            </w:r>
          </w:p>
        </w:tc>
        <w:tc>
          <w:tcPr>
            <w:tcW w:w="1442" w:type="dxa"/>
          </w:tcPr>
          <w:p w14:paraId="454CCEA3" w14:textId="77777777" w:rsidR="00D1093D" w:rsidRPr="00562292" w:rsidRDefault="00D1093D" w:rsidP="00562292">
            <w:pPr>
              <w:jc w:val="center"/>
              <w:rPr>
                <w:rFonts w:ascii="Cambria" w:hAnsi="Cambria"/>
                <w:sz w:val="20"/>
                <w:szCs w:val="20"/>
              </w:rPr>
            </w:pPr>
            <w:r w:rsidRPr="00562292">
              <w:rPr>
                <w:rFonts w:ascii="Cambria" w:hAnsi="Cambria"/>
                <w:sz w:val="20"/>
                <w:szCs w:val="20"/>
              </w:rPr>
              <w:t>14 (1.5)</w:t>
            </w:r>
          </w:p>
        </w:tc>
        <w:tc>
          <w:tcPr>
            <w:tcW w:w="1455" w:type="dxa"/>
          </w:tcPr>
          <w:p w14:paraId="2EA01BC8" w14:textId="77777777" w:rsidR="00D1093D" w:rsidRPr="00562292" w:rsidRDefault="00D1093D" w:rsidP="00562292">
            <w:pPr>
              <w:jc w:val="center"/>
              <w:rPr>
                <w:rFonts w:ascii="Cambria" w:hAnsi="Cambria"/>
                <w:sz w:val="20"/>
                <w:szCs w:val="20"/>
              </w:rPr>
            </w:pPr>
            <w:r w:rsidRPr="00562292">
              <w:rPr>
                <w:rFonts w:ascii="Cambria" w:hAnsi="Cambria"/>
                <w:sz w:val="20"/>
                <w:szCs w:val="20"/>
              </w:rPr>
              <w:t>19 (1.1)</w:t>
            </w:r>
          </w:p>
        </w:tc>
      </w:tr>
      <w:tr w:rsidR="00CF0C33" w:rsidRPr="00562292" w14:paraId="2A344821" w14:textId="77777777" w:rsidTr="00835AA0">
        <w:tc>
          <w:tcPr>
            <w:tcW w:w="1627" w:type="dxa"/>
          </w:tcPr>
          <w:p w14:paraId="47C3AAB9" w14:textId="77777777" w:rsidR="00D1093D" w:rsidRPr="00562292" w:rsidRDefault="00D1093D" w:rsidP="00562292">
            <w:pPr>
              <w:rPr>
                <w:rFonts w:ascii="Cambria" w:hAnsi="Cambria"/>
                <w:sz w:val="20"/>
                <w:szCs w:val="20"/>
              </w:rPr>
            </w:pPr>
            <w:r w:rsidRPr="00562292">
              <w:rPr>
                <w:rFonts w:ascii="Cambria" w:hAnsi="Cambria"/>
                <w:sz w:val="20"/>
                <w:szCs w:val="20"/>
              </w:rPr>
              <w:t>Nasopharyngitis</w:t>
            </w:r>
          </w:p>
        </w:tc>
        <w:tc>
          <w:tcPr>
            <w:tcW w:w="1441" w:type="dxa"/>
          </w:tcPr>
          <w:p w14:paraId="3879696D" w14:textId="77777777" w:rsidR="00D1093D" w:rsidRPr="00562292" w:rsidRDefault="00D1093D" w:rsidP="00562292">
            <w:pPr>
              <w:jc w:val="center"/>
              <w:rPr>
                <w:rFonts w:ascii="Cambria" w:hAnsi="Cambria"/>
                <w:sz w:val="20"/>
                <w:szCs w:val="20"/>
              </w:rPr>
            </w:pPr>
            <w:r w:rsidRPr="00562292">
              <w:rPr>
                <w:rFonts w:ascii="Cambria" w:hAnsi="Cambria"/>
                <w:sz w:val="20"/>
                <w:szCs w:val="20"/>
              </w:rPr>
              <w:t>3 (1.4)</w:t>
            </w:r>
          </w:p>
        </w:tc>
        <w:tc>
          <w:tcPr>
            <w:tcW w:w="1442" w:type="dxa"/>
          </w:tcPr>
          <w:p w14:paraId="24CE5BDB" w14:textId="77777777" w:rsidR="00D1093D" w:rsidRPr="00562292" w:rsidRDefault="00D1093D" w:rsidP="00562292">
            <w:pPr>
              <w:jc w:val="center"/>
              <w:rPr>
                <w:rFonts w:ascii="Cambria" w:hAnsi="Cambria"/>
                <w:sz w:val="20"/>
                <w:szCs w:val="20"/>
              </w:rPr>
            </w:pPr>
            <w:r w:rsidRPr="00562292">
              <w:rPr>
                <w:rFonts w:ascii="Cambria" w:hAnsi="Cambria"/>
                <w:sz w:val="20"/>
                <w:szCs w:val="20"/>
              </w:rPr>
              <w:t>28 (11.4)</w:t>
            </w:r>
          </w:p>
        </w:tc>
        <w:tc>
          <w:tcPr>
            <w:tcW w:w="1442" w:type="dxa"/>
          </w:tcPr>
          <w:p w14:paraId="1BA6B18F" w14:textId="77777777" w:rsidR="00D1093D" w:rsidRPr="00562292" w:rsidRDefault="00D1093D" w:rsidP="00562292">
            <w:pPr>
              <w:jc w:val="center"/>
              <w:rPr>
                <w:rFonts w:ascii="Cambria" w:hAnsi="Cambria"/>
                <w:sz w:val="20"/>
                <w:szCs w:val="20"/>
              </w:rPr>
            </w:pPr>
            <w:r w:rsidRPr="00562292">
              <w:rPr>
                <w:rFonts w:ascii="Cambria" w:hAnsi="Cambria"/>
                <w:sz w:val="20"/>
                <w:szCs w:val="20"/>
              </w:rPr>
              <w:t>26 (3.5)</w:t>
            </w:r>
          </w:p>
        </w:tc>
        <w:tc>
          <w:tcPr>
            <w:tcW w:w="1442" w:type="dxa"/>
          </w:tcPr>
          <w:p w14:paraId="64F67BFC" w14:textId="77777777" w:rsidR="00D1093D" w:rsidRPr="00562292" w:rsidRDefault="00D1093D" w:rsidP="00562292">
            <w:pPr>
              <w:jc w:val="center"/>
              <w:rPr>
                <w:rFonts w:ascii="Cambria" w:hAnsi="Cambria"/>
                <w:sz w:val="20"/>
                <w:szCs w:val="20"/>
              </w:rPr>
            </w:pPr>
            <w:r w:rsidRPr="00562292">
              <w:rPr>
                <w:rFonts w:ascii="Cambria" w:hAnsi="Cambria"/>
                <w:sz w:val="20"/>
                <w:szCs w:val="20"/>
              </w:rPr>
              <w:t>17 (1.8)</w:t>
            </w:r>
          </w:p>
        </w:tc>
        <w:tc>
          <w:tcPr>
            <w:tcW w:w="1455" w:type="dxa"/>
          </w:tcPr>
          <w:p w14:paraId="5EFF65DC" w14:textId="77777777" w:rsidR="00D1093D" w:rsidRPr="00562292" w:rsidRDefault="00D1093D" w:rsidP="00562292">
            <w:pPr>
              <w:jc w:val="center"/>
              <w:rPr>
                <w:rFonts w:ascii="Cambria" w:hAnsi="Cambria"/>
                <w:sz w:val="20"/>
                <w:szCs w:val="20"/>
              </w:rPr>
            </w:pPr>
            <w:r w:rsidRPr="00562292">
              <w:rPr>
                <w:rFonts w:ascii="Cambria" w:hAnsi="Cambria"/>
                <w:sz w:val="20"/>
                <w:szCs w:val="20"/>
              </w:rPr>
              <w:t>43 (2.6)</w:t>
            </w:r>
          </w:p>
        </w:tc>
      </w:tr>
      <w:tr w:rsidR="00CF0C33" w:rsidRPr="00562292" w14:paraId="751586FC" w14:textId="77777777" w:rsidTr="00835AA0">
        <w:tc>
          <w:tcPr>
            <w:tcW w:w="1627" w:type="dxa"/>
          </w:tcPr>
          <w:p w14:paraId="4A0E406E" w14:textId="77777777" w:rsidR="00D1093D" w:rsidRPr="00562292" w:rsidRDefault="00D1093D" w:rsidP="00562292">
            <w:pPr>
              <w:rPr>
                <w:rFonts w:ascii="Cambria" w:hAnsi="Cambria"/>
                <w:sz w:val="20"/>
                <w:szCs w:val="20"/>
              </w:rPr>
            </w:pPr>
            <w:r w:rsidRPr="00562292">
              <w:rPr>
                <w:rFonts w:ascii="Cambria" w:hAnsi="Cambria"/>
                <w:sz w:val="20"/>
                <w:szCs w:val="20"/>
              </w:rPr>
              <w:t>Oral Herpes</w:t>
            </w:r>
          </w:p>
        </w:tc>
        <w:tc>
          <w:tcPr>
            <w:tcW w:w="1441" w:type="dxa"/>
          </w:tcPr>
          <w:p w14:paraId="1FCA967A"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39FB89FB" w14:textId="77777777" w:rsidR="00D1093D" w:rsidRPr="00562292" w:rsidRDefault="00D1093D" w:rsidP="00562292">
            <w:pPr>
              <w:jc w:val="center"/>
              <w:rPr>
                <w:rFonts w:ascii="Cambria" w:hAnsi="Cambria"/>
                <w:sz w:val="20"/>
                <w:szCs w:val="20"/>
              </w:rPr>
            </w:pPr>
            <w:r w:rsidRPr="00562292">
              <w:rPr>
                <w:rFonts w:ascii="Cambria" w:hAnsi="Cambria"/>
                <w:sz w:val="20"/>
                <w:szCs w:val="20"/>
              </w:rPr>
              <w:t>4 (1.6)</w:t>
            </w:r>
          </w:p>
        </w:tc>
        <w:tc>
          <w:tcPr>
            <w:tcW w:w="1442" w:type="dxa"/>
          </w:tcPr>
          <w:p w14:paraId="01E93CDA" w14:textId="77777777" w:rsidR="00D1093D" w:rsidRPr="00562292" w:rsidRDefault="00D1093D" w:rsidP="00562292">
            <w:pPr>
              <w:jc w:val="center"/>
              <w:rPr>
                <w:rFonts w:ascii="Cambria" w:hAnsi="Cambria"/>
                <w:sz w:val="20"/>
                <w:szCs w:val="20"/>
              </w:rPr>
            </w:pPr>
            <w:r w:rsidRPr="00562292">
              <w:rPr>
                <w:rFonts w:ascii="Cambria" w:hAnsi="Cambria"/>
                <w:sz w:val="20"/>
                <w:szCs w:val="20"/>
              </w:rPr>
              <w:t>4 (0.5)</w:t>
            </w:r>
          </w:p>
        </w:tc>
        <w:tc>
          <w:tcPr>
            <w:tcW w:w="1442" w:type="dxa"/>
          </w:tcPr>
          <w:p w14:paraId="6BD0226D" w14:textId="77777777" w:rsidR="00D1093D" w:rsidRPr="00562292" w:rsidRDefault="00D1093D" w:rsidP="00562292">
            <w:pPr>
              <w:jc w:val="center"/>
              <w:rPr>
                <w:rFonts w:ascii="Cambria" w:hAnsi="Cambria"/>
                <w:sz w:val="20"/>
                <w:szCs w:val="20"/>
              </w:rPr>
            </w:pPr>
            <w:r w:rsidRPr="00562292">
              <w:rPr>
                <w:rFonts w:ascii="Cambria" w:hAnsi="Cambria"/>
                <w:sz w:val="20"/>
                <w:szCs w:val="20"/>
              </w:rPr>
              <w:t>2 (0.2)</w:t>
            </w:r>
          </w:p>
        </w:tc>
        <w:tc>
          <w:tcPr>
            <w:tcW w:w="1455" w:type="dxa"/>
          </w:tcPr>
          <w:p w14:paraId="2AC5A863" w14:textId="77777777" w:rsidR="00D1093D" w:rsidRPr="00562292" w:rsidRDefault="00D1093D" w:rsidP="00562292">
            <w:pPr>
              <w:jc w:val="center"/>
              <w:rPr>
                <w:rFonts w:ascii="Cambria" w:hAnsi="Cambria"/>
                <w:sz w:val="20"/>
                <w:szCs w:val="20"/>
              </w:rPr>
            </w:pPr>
            <w:r w:rsidRPr="00562292">
              <w:rPr>
                <w:rFonts w:ascii="Cambria" w:hAnsi="Cambria"/>
                <w:sz w:val="20"/>
                <w:szCs w:val="20"/>
              </w:rPr>
              <w:t>6 (0.4)</w:t>
            </w:r>
          </w:p>
        </w:tc>
      </w:tr>
      <w:tr w:rsidR="00CF0C33" w:rsidRPr="00562292" w14:paraId="0A83BE42" w14:textId="77777777" w:rsidTr="00835AA0">
        <w:tc>
          <w:tcPr>
            <w:tcW w:w="1627" w:type="dxa"/>
          </w:tcPr>
          <w:p w14:paraId="670352D2" w14:textId="77777777" w:rsidR="00D1093D" w:rsidRPr="00562292" w:rsidRDefault="00D1093D" w:rsidP="00562292">
            <w:pPr>
              <w:rPr>
                <w:rFonts w:ascii="Cambria" w:hAnsi="Cambria"/>
                <w:sz w:val="20"/>
                <w:szCs w:val="20"/>
              </w:rPr>
            </w:pPr>
            <w:r w:rsidRPr="00562292">
              <w:rPr>
                <w:rFonts w:ascii="Cambria" w:hAnsi="Cambria"/>
                <w:sz w:val="20"/>
                <w:szCs w:val="20"/>
              </w:rPr>
              <w:t>Sinusitis</w:t>
            </w:r>
          </w:p>
        </w:tc>
        <w:tc>
          <w:tcPr>
            <w:tcW w:w="1441" w:type="dxa"/>
          </w:tcPr>
          <w:p w14:paraId="058D3502" w14:textId="77777777" w:rsidR="00D1093D" w:rsidRPr="00562292" w:rsidRDefault="00D1093D" w:rsidP="00562292">
            <w:pPr>
              <w:jc w:val="center"/>
              <w:rPr>
                <w:rFonts w:ascii="Cambria" w:hAnsi="Cambria"/>
                <w:sz w:val="20"/>
                <w:szCs w:val="20"/>
              </w:rPr>
            </w:pPr>
            <w:r w:rsidRPr="00562292">
              <w:rPr>
                <w:rFonts w:ascii="Cambria" w:hAnsi="Cambria"/>
                <w:sz w:val="20"/>
                <w:szCs w:val="20"/>
              </w:rPr>
              <w:t>5 (2.4)</w:t>
            </w:r>
          </w:p>
        </w:tc>
        <w:tc>
          <w:tcPr>
            <w:tcW w:w="1442" w:type="dxa"/>
          </w:tcPr>
          <w:p w14:paraId="153744BA" w14:textId="77777777" w:rsidR="00D1093D" w:rsidRPr="00562292" w:rsidRDefault="00D1093D" w:rsidP="00562292">
            <w:pPr>
              <w:jc w:val="center"/>
              <w:rPr>
                <w:rFonts w:ascii="Cambria" w:hAnsi="Cambria"/>
                <w:sz w:val="20"/>
                <w:szCs w:val="20"/>
              </w:rPr>
            </w:pPr>
            <w:r w:rsidRPr="00562292">
              <w:rPr>
                <w:rFonts w:ascii="Cambria" w:hAnsi="Cambria"/>
                <w:sz w:val="20"/>
                <w:szCs w:val="20"/>
              </w:rPr>
              <w:t>1 (0.4)</w:t>
            </w:r>
          </w:p>
        </w:tc>
        <w:tc>
          <w:tcPr>
            <w:tcW w:w="1442" w:type="dxa"/>
          </w:tcPr>
          <w:p w14:paraId="0454537D" w14:textId="77777777" w:rsidR="00D1093D" w:rsidRPr="00562292" w:rsidRDefault="00D1093D" w:rsidP="00562292">
            <w:pPr>
              <w:jc w:val="center"/>
              <w:rPr>
                <w:rFonts w:ascii="Cambria" w:hAnsi="Cambria"/>
                <w:sz w:val="20"/>
                <w:szCs w:val="20"/>
              </w:rPr>
            </w:pPr>
            <w:r w:rsidRPr="00562292">
              <w:rPr>
                <w:rFonts w:ascii="Cambria" w:hAnsi="Cambria"/>
                <w:sz w:val="20"/>
                <w:szCs w:val="20"/>
              </w:rPr>
              <w:t>7 (0.9)</w:t>
            </w:r>
          </w:p>
        </w:tc>
        <w:tc>
          <w:tcPr>
            <w:tcW w:w="1442" w:type="dxa"/>
          </w:tcPr>
          <w:p w14:paraId="32139390" w14:textId="77777777" w:rsidR="00D1093D" w:rsidRPr="00562292" w:rsidRDefault="00D1093D" w:rsidP="00562292">
            <w:pPr>
              <w:jc w:val="center"/>
              <w:rPr>
                <w:rFonts w:ascii="Cambria" w:hAnsi="Cambria"/>
                <w:sz w:val="20"/>
                <w:szCs w:val="20"/>
              </w:rPr>
            </w:pPr>
            <w:r w:rsidRPr="00562292">
              <w:rPr>
                <w:rFonts w:ascii="Cambria" w:hAnsi="Cambria"/>
                <w:sz w:val="20"/>
                <w:szCs w:val="20"/>
              </w:rPr>
              <w:t>26 (2.8)</w:t>
            </w:r>
          </w:p>
        </w:tc>
        <w:tc>
          <w:tcPr>
            <w:tcW w:w="1455" w:type="dxa"/>
          </w:tcPr>
          <w:p w14:paraId="3410DB26" w14:textId="77777777" w:rsidR="00D1093D" w:rsidRPr="00562292" w:rsidRDefault="00D1093D" w:rsidP="00562292">
            <w:pPr>
              <w:jc w:val="center"/>
              <w:rPr>
                <w:rFonts w:ascii="Cambria" w:hAnsi="Cambria"/>
                <w:sz w:val="20"/>
                <w:szCs w:val="20"/>
              </w:rPr>
            </w:pPr>
            <w:r w:rsidRPr="00562292">
              <w:rPr>
                <w:rFonts w:ascii="Cambria" w:hAnsi="Cambria"/>
                <w:sz w:val="20"/>
                <w:szCs w:val="20"/>
              </w:rPr>
              <w:t>33 (2.0)</w:t>
            </w:r>
          </w:p>
        </w:tc>
      </w:tr>
      <w:tr w:rsidR="00CF0C33" w:rsidRPr="00562292" w14:paraId="368E78AD" w14:textId="77777777" w:rsidTr="00835AA0">
        <w:tc>
          <w:tcPr>
            <w:tcW w:w="1627" w:type="dxa"/>
          </w:tcPr>
          <w:p w14:paraId="6583CABF" w14:textId="77777777" w:rsidR="00D1093D" w:rsidRPr="00562292" w:rsidRDefault="00D1093D" w:rsidP="00562292">
            <w:pPr>
              <w:rPr>
                <w:rFonts w:ascii="Cambria" w:hAnsi="Cambria"/>
                <w:sz w:val="20"/>
                <w:szCs w:val="20"/>
              </w:rPr>
            </w:pPr>
            <w:r w:rsidRPr="00562292">
              <w:rPr>
                <w:rFonts w:ascii="Cambria" w:hAnsi="Cambria"/>
                <w:sz w:val="20"/>
                <w:szCs w:val="20"/>
              </w:rPr>
              <w:t>Upper respiratory tract infection</w:t>
            </w:r>
          </w:p>
        </w:tc>
        <w:tc>
          <w:tcPr>
            <w:tcW w:w="1441" w:type="dxa"/>
          </w:tcPr>
          <w:p w14:paraId="0C05ED96" w14:textId="77777777" w:rsidR="00D1093D" w:rsidRPr="00562292" w:rsidRDefault="00D1093D" w:rsidP="00562292">
            <w:pPr>
              <w:jc w:val="center"/>
              <w:rPr>
                <w:rFonts w:ascii="Cambria" w:hAnsi="Cambria"/>
                <w:sz w:val="20"/>
                <w:szCs w:val="20"/>
              </w:rPr>
            </w:pPr>
            <w:r w:rsidRPr="00562292">
              <w:rPr>
                <w:rFonts w:ascii="Cambria" w:hAnsi="Cambria"/>
                <w:sz w:val="20"/>
                <w:szCs w:val="20"/>
              </w:rPr>
              <w:t>3 (1.4)</w:t>
            </w:r>
          </w:p>
        </w:tc>
        <w:tc>
          <w:tcPr>
            <w:tcW w:w="1442" w:type="dxa"/>
          </w:tcPr>
          <w:p w14:paraId="5A78520E" w14:textId="77777777" w:rsidR="00D1093D" w:rsidRPr="00562292" w:rsidRDefault="00D1093D" w:rsidP="00562292">
            <w:pPr>
              <w:jc w:val="center"/>
              <w:rPr>
                <w:rFonts w:ascii="Cambria" w:hAnsi="Cambria"/>
                <w:sz w:val="20"/>
                <w:szCs w:val="20"/>
              </w:rPr>
            </w:pPr>
            <w:r w:rsidRPr="00562292">
              <w:rPr>
                <w:rFonts w:ascii="Cambria" w:hAnsi="Cambria"/>
                <w:sz w:val="20"/>
                <w:szCs w:val="20"/>
              </w:rPr>
              <w:t>1 (0.4)</w:t>
            </w:r>
          </w:p>
        </w:tc>
        <w:tc>
          <w:tcPr>
            <w:tcW w:w="1442" w:type="dxa"/>
          </w:tcPr>
          <w:p w14:paraId="54F0D6A0" w14:textId="77777777" w:rsidR="00D1093D" w:rsidRPr="00562292" w:rsidRDefault="00D1093D" w:rsidP="00562292">
            <w:pPr>
              <w:jc w:val="center"/>
              <w:rPr>
                <w:rFonts w:ascii="Cambria" w:hAnsi="Cambria"/>
                <w:sz w:val="20"/>
                <w:szCs w:val="20"/>
              </w:rPr>
            </w:pPr>
            <w:r w:rsidRPr="00562292">
              <w:rPr>
                <w:rFonts w:ascii="Cambria" w:hAnsi="Cambria"/>
                <w:sz w:val="20"/>
                <w:szCs w:val="20"/>
              </w:rPr>
              <w:t>13 (1.8)</w:t>
            </w:r>
          </w:p>
        </w:tc>
        <w:tc>
          <w:tcPr>
            <w:tcW w:w="1442" w:type="dxa"/>
          </w:tcPr>
          <w:p w14:paraId="36669569" w14:textId="77777777" w:rsidR="00D1093D" w:rsidRPr="00562292" w:rsidRDefault="00D1093D" w:rsidP="00562292">
            <w:pPr>
              <w:jc w:val="center"/>
              <w:rPr>
                <w:rFonts w:ascii="Cambria" w:hAnsi="Cambria"/>
                <w:sz w:val="20"/>
                <w:szCs w:val="20"/>
              </w:rPr>
            </w:pPr>
            <w:r w:rsidRPr="00562292">
              <w:rPr>
                <w:rFonts w:ascii="Cambria" w:hAnsi="Cambria"/>
                <w:sz w:val="20"/>
                <w:szCs w:val="20"/>
              </w:rPr>
              <w:t>20(2.2)</w:t>
            </w:r>
          </w:p>
        </w:tc>
        <w:tc>
          <w:tcPr>
            <w:tcW w:w="1455" w:type="dxa"/>
          </w:tcPr>
          <w:p w14:paraId="187EBC75" w14:textId="77777777" w:rsidR="00D1093D" w:rsidRPr="00562292" w:rsidRDefault="00D1093D" w:rsidP="00562292">
            <w:pPr>
              <w:jc w:val="center"/>
              <w:rPr>
                <w:rFonts w:ascii="Cambria" w:hAnsi="Cambria"/>
                <w:sz w:val="20"/>
                <w:szCs w:val="20"/>
              </w:rPr>
            </w:pPr>
            <w:r w:rsidRPr="00562292">
              <w:rPr>
                <w:rFonts w:ascii="Cambria" w:hAnsi="Cambria"/>
                <w:sz w:val="20"/>
                <w:szCs w:val="20"/>
              </w:rPr>
              <w:t>33 (2.0)</w:t>
            </w:r>
          </w:p>
        </w:tc>
      </w:tr>
      <w:tr w:rsidR="00CF0C33" w:rsidRPr="00562292" w14:paraId="38876B7A" w14:textId="77777777" w:rsidTr="00835AA0">
        <w:tc>
          <w:tcPr>
            <w:tcW w:w="1627" w:type="dxa"/>
          </w:tcPr>
          <w:p w14:paraId="028276C1" w14:textId="77777777" w:rsidR="00D1093D" w:rsidRPr="00562292" w:rsidRDefault="00D1093D" w:rsidP="00562292">
            <w:pPr>
              <w:rPr>
                <w:rFonts w:ascii="Cambria" w:hAnsi="Cambria"/>
                <w:sz w:val="20"/>
                <w:szCs w:val="20"/>
              </w:rPr>
            </w:pPr>
            <w:r w:rsidRPr="00562292">
              <w:rPr>
                <w:rFonts w:ascii="Cambria" w:hAnsi="Cambria"/>
                <w:sz w:val="20"/>
                <w:szCs w:val="20"/>
              </w:rPr>
              <w:t>Urinary tract infection</w:t>
            </w:r>
          </w:p>
        </w:tc>
        <w:tc>
          <w:tcPr>
            <w:tcW w:w="1441" w:type="dxa"/>
          </w:tcPr>
          <w:p w14:paraId="62128D52" w14:textId="77777777" w:rsidR="00D1093D" w:rsidRPr="00562292" w:rsidRDefault="00D1093D" w:rsidP="00562292">
            <w:pPr>
              <w:jc w:val="center"/>
              <w:rPr>
                <w:rFonts w:ascii="Cambria" w:hAnsi="Cambria"/>
                <w:sz w:val="20"/>
                <w:szCs w:val="20"/>
              </w:rPr>
            </w:pPr>
            <w:r w:rsidRPr="00562292">
              <w:rPr>
                <w:rFonts w:ascii="Cambria" w:hAnsi="Cambria"/>
                <w:sz w:val="20"/>
                <w:szCs w:val="20"/>
              </w:rPr>
              <w:t>1 (0.5)</w:t>
            </w:r>
          </w:p>
        </w:tc>
        <w:tc>
          <w:tcPr>
            <w:tcW w:w="1442" w:type="dxa"/>
          </w:tcPr>
          <w:p w14:paraId="7CC4805E" w14:textId="77777777" w:rsidR="00D1093D" w:rsidRPr="00562292" w:rsidRDefault="00D1093D" w:rsidP="00562292">
            <w:pPr>
              <w:jc w:val="center"/>
              <w:rPr>
                <w:rFonts w:ascii="Cambria" w:hAnsi="Cambria"/>
                <w:sz w:val="20"/>
                <w:szCs w:val="20"/>
              </w:rPr>
            </w:pPr>
            <w:r w:rsidRPr="00562292">
              <w:rPr>
                <w:rFonts w:ascii="Cambria" w:hAnsi="Cambria"/>
                <w:sz w:val="20"/>
                <w:szCs w:val="20"/>
              </w:rPr>
              <w:t>1 (0.4)</w:t>
            </w:r>
          </w:p>
        </w:tc>
        <w:tc>
          <w:tcPr>
            <w:tcW w:w="1442" w:type="dxa"/>
          </w:tcPr>
          <w:p w14:paraId="197D977A" w14:textId="77777777" w:rsidR="00D1093D" w:rsidRPr="00562292" w:rsidRDefault="00D1093D" w:rsidP="00562292">
            <w:pPr>
              <w:jc w:val="center"/>
              <w:rPr>
                <w:rFonts w:ascii="Cambria" w:hAnsi="Cambria"/>
                <w:sz w:val="20"/>
                <w:szCs w:val="20"/>
              </w:rPr>
            </w:pPr>
            <w:r w:rsidRPr="00562292">
              <w:rPr>
                <w:rFonts w:ascii="Cambria" w:hAnsi="Cambria"/>
                <w:sz w:val="20"/>
                <w:szCs w:val="20"/>
              </w:rPr>
              <w:t>6 (0.8)</w:t>
            </w:r>
          </w:p>
        </w:tc>
        <w:tc>
          <w:tcPr>
            <w:tcW w:w="1442" w:type="dxa"/>
          </w:tcPr>
          <w:p w14:paraId="0228EA95" w14:textId="77777777" w:rsidR="00D1093D" w:rsidRPr="00562292" w:rsidRDefault="00D1093D" w:rsidP="00562292">
            <w:pPr>
              <w:jc w:val="center"/>
              <w:rPr>
                <w:rFonts w:ascii="Cambria" w:hAnsi="Cambria"/>
                <w:sz w:val="20"/>
                <w:szCs w:val="20"/>
              </w:rPr>
            </w:pPr>
            <w:r w:rsidRPr="00562292">
              <w:rPr>
                <w:rFonts w:ascii="Cambria" w:hAnsi="Cambria"/>
                <w:sz w:val="20"/>
                <w:szCs w:val="20"/>
              </w:rPr>
              <w:t>19 (2.1)</w:t>
            </w:r>
          </w:p>
        </w:tc>
        <w:tc>
          <w:tcPr>
            <w:tcW w:w="1455" w:type="dxa"/>
          </w:tcPr>
          <w:p w14:paraId="76BBFFA3" w14:textId="77777777" w:rsidR="00D1093D" w:rsidRPr="00562292" w:rsidRDefault="00D1093D" w:rsidP="00562292">
            <w:pPr>
              <w:jc w:val="center"/>
              <w:rPr>
                <w:rFonts w:ascii="Cambria" w:hAnsi="Cambria"/>
                <w:sz w:val="20"/>
                <w:szCs w:val="20"/>
              </w:rPr>
            </w:pPr>
            <w:r w:rsidRPr="00562292">
              <w:rPr>
                <w:rFonts w:ascii="Cambria" w:hAnsi="Cambria"/>
                <w:sz w:val="20"/>
                <w:szCs w:val="20"/>
              </w:rPr>
              <w:t>25 (1.5)</w:t>
            </w:r>
          </w:p>
        </w:tc>
      </w:tr>
      <w:tr w:rsidR="00CF0C33" w:rsidRPr="00562292" w14:paraId="1374704F" w14:textId="77777777" w:rsidTr="00835AA0">
        <w:tc>
          <w:tcPr>
            <w:tcW w:w="1627" w:type="dxa"/>
          </w:tcPr>
          <w:p w14:paraId="499F9A1E" w14:textId="77777777" w:rsidR="00D1093D" w:rsidRPr="00562292" w:rsidRDefault="00D1093D" w:rsidP="00562292">
            <w:pPr>
              <w:rPr>
                <w:rFonts w:ascii="Cambria" w:hAnsi="Cambria"/>
                <w:b/>
                <w:bCs/>
                <w:sz w:val="20"/>
                <w:szCs w:val="20"/>
              </w:rPr>
            </w:pPr>
            <w:r w:rsidRPr="00562292">
              <w:rPr>
                <w:rFonts w:ascii="Cambria" w:hAnsi="Cambria"/>
                <w:b/>
                <w:bCs/>
                <w:sz w:val="20"/>
                <w:szCs w:val="20"/>
              </w:rPr>
              <w:t>Eye Disorders</w:t>
            </w:r>
          </w:p>
        </w:tc>
        <w:tc>
          <w:tcPr>
            <w:tcW w:w="1441" w:type="dxa"/>
          </w:tcPr>
          <w:p w14:paraId="0AE850F6"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0</w:t>
            </w:r>
          </w:p>
        </w:tc>
        <w:tc>
          <w:tcPr>
            <w:tcW w:w="1442" w:type="dxa"/>
          </w:tcPr>
          <w:p w14:paraId="0D769B9A"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4 (1.6)</w:t>
            </w:r>
          </w:p>
        </w:tc>
        <w:tc>
          <w:tcPr>
            <w:tcW w:w="1442" w:type="dxa"/>
          </w:tcPr>
          <w:p w14:paraId="1A3C1932"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12 (1.6)</w:t>
            </w:r>
          </w:p>
        </w:tc>
        <w:tc>
          <w:tcPr>
            <w:tcW w:w="1442" w:type="dxa"/>
          </w:tcPr>
          <w:p w14:paraId="0E9F5A20"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13 (1.4)</w:t>
            </w:r>
          </w:p>
        </w:tc>
        <w:tc>
          <w:tcPr>
            <w:tcW w:w="1455" w:type="dxa"/>
          </w:tcPr>
          <w:p w14:paraId="125131A1"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25 (1.5)</w:t>
            </w:r>
          </w:p>
        </w:tc>
      </w:tr>
      <w:tr w:rsidR="00CF0C33" w:rsidRPr="00562292" w14:paraId="0E63096A" w14:textId="77777777" w:rsidTr="00835AA0">
        <w:tc>
          <w:tcPr>
            <w:tcW w:w="1627" w:type="dxa"/>
          </w:tcPr>
          <w:p w14:paraId="51273186" w14:textId="77777777" w:rsidR="00D1093D" w:rsidRPr="00562292" w:rsidRDefault="00D1093D" w:rsidP="00562292">
            <w:pPr>
              <w:rPr>
                <w:rFonts w:ascii="Cambria" w:hAnsi="Cambria"/>
                <w:sz w:val="20"/>
                <w:szCs w:val="20"/>
              </w:rPr>
            </w:pPr>
            <w:r w:rsidRPr="00562292">
              <w:rPr>
                <w:rFonts w:ascii="Cambria" w:hAnsi="Cambria"/>
                <w:sz w:val="20"/>
                <w:szCs w:val="20"/>
              </w:rPr>
              <w:t>Eyelid ptosis</w:t>
            </w:r>
          </w:p>
        </w:tc>
        <w:tc>
          <w:tcPr>
            <w:tcW w:w="1441" w:type="dxa"/>
          </w:tcPr>
          <w:p w14:paraId="67A3B286"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0E04BE83"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670D566B" w14:textId="77777777" w:rsidR="00D1093D" w:rsidRPr="00562292" w:rsidRDefault="00D1093D" w:rsidP="00562292">
            <w:pPr>
              <w:jc w:val="center"/>
              <w:rPr>
                <w:rFonts w:ascii="Cambria" w:hAnsi="Cambria"/>
                <w:sz w:val="20"/>
                <w:szCs w:val="20"/>
              </w:rPr>
            </w:pPr>
            <w:r w:rsidRPr="00562292">
              <w:rPr>
                <w:rFonts w:ascii="Cambria" w:hAnsi="Cambria"/>
                <w:sz w:val="20"/>
                <w:szCs w:val="20"/>
              </w:rPr>
              <w:t>12 (1.6)</w:t>
            </w:r>
          </w:p>
        </w:tc>
        <w:tc>
          <w:tcPr>
            <w:tcW w:w="1442" w:type="dxa"/>
          </w:tcPr>
          <w:p w14:paraId="05B934DF" w14:textId="1D099001" w:rsidR="00D1093D" w:rsidRPr="00562292" w:rsidRDefault="00D1093D" w:rsidP="00562292">
            <w:pPr>
              <w:jc w:val="center"/>
              <w:rPr>
                <w:rFonts w:ascii="Cambria" w:hAnsi="Cambria"/>
                <w:sz w:val="20"/>
                <w:szCs w:val="20"/>
              </w:rPr>
            </w:pPr>
            <w:r w:rsidRPr="00562292">
              <w:rPr>
                <w:rFonts w:ascii="Cambria" w:hAnsi="Cambria"/>
                <w:sz w:val="20"/>
                <w:szCs w:val="20"/>
              </w:rPr>
              <w:t>1</w:t>
            </w:r>
            <w:r w:rsidR="004406D4">
              <w:rPr>
                <w:rFonts w:ascii="Cambria" w:hAnsi="Cambria"/>
                <w:sz w:val="20"/>
                <w:szCs w:val="20"/>
              </w:rPr>
              <w:t>2</w:t>
            </w:r>
            <w:r w:rsidRPr="00562292">
              <w:rPr>
                <w:rFonts w:ascii="Cambria" w:hAnsi="Cambria"/>
                <w:sz w:val="20"/>
                <w:szCs w:val="20"/>
              </w:rPr>
              <w:t xml:space="preserve"> (1.</w:t>
            </w:r>
            <w:r w:rsidR="004406D4">
              <w:rPr>
                <w:rFonts w:ascii="Cambria" w:hAnsi="Cambria"/>
                <w:sz w:val="20"/>
                <w:szCs w:val="20"/>
              </w:rPr>
              <w:t>3</w:t>
            </w:r>
            <w:r w:rsidRPr="00562292">
              <w:rPr>
                <w:rFonts w:ascii="Cambria" w:hAnsi="Cambria"/>
                <w:sz w:val="20"/>
                <w:szCs w:val="20"/>
              </w:rPr>
              <w:t>)</w:t>
            </w:r>
          </w:p>
        </w:tc>
        <w:tc>
          <w:tcPr>
            <w:tcW w:w="1455" w:type="dxa"/>
          </w:tcPr>
          <w:p w14:paraId="2D2DF500" w14:textId="240241B8" w:rsidR="00D1093D" w:rsidRPr="00562292" w:rsidRDefault="00D1093D" w:rsidP="00562292">
            <w:pPr>
              <w:jc w:val="center"/>
              <w:rPr>
                <w:rFonts w:ascii="Cambria" w:hAnsi="Cambria"/>
                <w:sz w:val="20"/>
                <w:szCs w:val="20"/>
              </w:rPr>
            </w:pPr>
            <w:r w:rsidRPr="00562292">
              <w:rPr>
                <w:rFonts w:ascii="Cambria" w:hAnsi="Cambria"/>
                <w:sz w:val="20"/>
                <w:szCs w:val="20"/>
              </w:rPr>
              <w:t>2</w:t>
            </w:r>
            <w:r w:rsidR="004406D4">
              <w:rPr>
                <w:rFonts w:ascii="Cambria" w:hAnsi="Cambria"/>
                <w:sz w:val="20"/>
                <w:szCs w:val="20"/>
              </w:rPr>
              <w:t>4</w:t>
            </w:r>
            <w:r w:rsidRPr="00562292">
              <w:rPr>
                <w:rFonts w:ascii="Cambria" w:hAnsi="Cambria"/>
                <w:sz w:val="20"/>
                <w:szCs w:val="20"/>
              </w:rPr>
              <w:t xml:space="preserve"> (1.</w:t>
            </w:r>
            <w:r w:rsidR="004406D4">
              <w:rPr>
                <w:rFonts w:ascii="Cambria" w:hAnsi="Cambria"/>
                <w:sz w:val="20"/>
                <w:szCs w:val="20"/>
              </w:rPr>
              <w:t>4</w:t>
            </w:r>
            <w:r w:rsidRPr="00562292">
              <w:rPr>
                <w:rFonts w:ascii="Cambria" w:hAnsi="Cambria"/>
                <w:sz w:val="20"/>
                <w:szCs w:val="20"/>
              </w:rPr>
              <w:t>)</w:t>
            </w:r>
          </w:p>
        </w:tc>
      </w:tr>
      <w:tr w:rsidR="00CF0C33" w:rsidRPr="00562292" w14:paraId="0FE446CF" w14:textId="77777777" w:rsidTr="00835AA0">
        <w:tc>
          <w:tcPr>
            <w:tcW w:w="1627" w:type="dxa"/>
          </w:tcPr>
          <w:p w14:paraId="098B55B4" w14:textId="77777777" w:rsidR="00D1093D" w:rsidRPr="00562292" w:rsidRDefault="00D1093D" w:rsidP="00562292">
            <w:pPr>
              <w:rPr>
                <w:rFonts w:ascii="Cambria" w:hAnsi="Cambria"/>
                <w:sz w:val="20"/>
                <w:szCs w:val="20"/>
              </w:rPr>
            </w:pPr>
            <w:r w:rsidRPr="00562292">
              <w:rPr>
                <w:rFonts w:ascii="Cambria" w:hAnsi="Cambria"/>
                <w:sz w:val="20"/>
                <w:szCs w:val="20"/>
              </w:rPr>
              <w:t>Eyelid sensory disorder</w:t>
            </w:r>
          </w:p>
        </w:tc>
        <w:tc>
          <w:tcPr>
            <w:tcW w:w="1441" w:type="dxa"/>
          </w:tcPr>
          <w:p w14:paraId="41638B8B"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22ED3355" w14:textId="77777777" w:rsidR="00D1093D" w:rsidRPr="00562292" w:rsidRDefault="00D1093D" w:rsidP="00562292">
            <w:pPr>
              <w:jc w:val="center"/>
              <w:rPr>
                <w:rFonts w:ascii="Cambria" w:hAnsi="Cambria"/>
                <w:sz w:val="20"/>
                <w:szCs w:val="20"/>
              </w:rPr>
            </w:pPr>
            <w:r w:rsidRPr="00562292">
              <w:rPr>
                <w:rFonts w:ascii="Cambria" w:hAnsi="Cambria"/>
                <w:sz w:val="20"/>
                <w:szCs w:val="20"/>
              </w:rPr>
              <w:t>4 (1.6)</w:t>
            </w:r>
          </w:p>
        </w:tc>
        <w:tc>
          <w:tcPr>
            <w:tcW w:w="1442" w:type="dxa"/>
          </w:tcPr>
          <w:p w14:paraId="00D70392"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53B0BAA6" w14:textId="77777777" w:rsidR="00D1093D" w:rsidRPr="00562292" w:rsidRDefault="00D1093D" w:rsidP="00562292">
            <w:pPr>
              <w:jc w:val="center"/>
              <w:rPr>
                <w:rFonts w:ascii="Cambria" w:hAnsi="Cambria"/>
                <w:sz w:val="20"/>
                <w:szCs w:val="20"/>
              </w:rPr>
            </w:pPr>
            <w:r w:rsidRPr="00562292">
              <w:rPr>
                <w:rFonts w:ascii="Cambria" w:hAnsi="Cambria"/>
                <w:sz w:val="20"/>
                <w:szCs w:val="20"/>
              </w:rPr>
              <w:t>1 (0.1)</w:t>
            </w:r>
          </w:p>
        </w:tc>
        <w:tc>
          <w:tcPr>
            <w:tcW w:w="1455" w:type="dxa"/>
          </w:tcPr>
          <w:p w14:paraId="3DF55E81" w14:textId="77777777" w:rsidR="00D1093D" w:rsidRPr="00562292" w:rsidRDefault="00D1093D" w:rsidP="00562292">
            <w:pPr>
              <w:jc w:val="center"/>
              <w:rPr>
                <w:rFonts w:ascii="Cambria" w:hAnsi="Cambria"/>
                <w:sz w:val="20"/>
                <w:szCs w:val="20"/>
              </w:rPr>
            </w:pPr>
            <w:r w:rsidRPr="00562292">
              <w:rPr>
                <w:rFonts w:ascii="Cambria" w:hAnsi="Cambria"/>
                <w:sz w:val="20"/>
                <w:szCs w:val="20"/>
              </w:rPr>
              <w:t>1 (&lt;0.1_</w:t>
            </w:r>
          </w:p>
        </w:tc>
      </w:tr>
      <w:tr w:rsidR="00CF0C33" w:rsidRPr="00562292" w14:paraId="5AD818F0" w14:textId="77777777" w:rsidTr="00835AA0">
        <w:tc>
          <w:tcPr>
            <w:tcW w:w="1627" w:type="dxa"/>
          </w:tcPr>
          <w:p w14:paraId="285ACA5A" w14:textId="77777777" w:rsidR="00D1093D" w:rsidRPr="00562292" w:rsidRDefault="00D1093D" w:rsidP="00562292">
            <w:pPr>
              <w:rPr>
                <w:rFonts w:ascii="Cambria" w:hAnsi="Cambria"/>
                <w:b/>
                <w:bCs/>
                <w:sz w:val="20"/>
                <w:szCs w:val="20"/>
              </w:rPr>
            </w:pPr>
            <w:r w:rsidRPr="00562292">
              <w:rPr>
                <w:rFonts w:ascii="Cambria" w:hAnsi="Cambria"/>
                <w:b/>
                <w:bCs/>
                <w:sz w:val="20"/>
                <w:szCs w:val="20"/>
              </w:rPr>
              <w:t>Vascular Disorders</w:t>
            </w:r>
          </w:p>
        </w:tc>
        <w:tc>
          <w:tcPr>
            <w:tcW w:w="1441" w:type="dxa"/>
          </w:tcPr>
          <w:p w14:paraId="3E11AB46"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2 (0.9)</w:t>
            </w:r>
          </w:p>
        </w:tc>
        <w:tc>
          <w:tcPr>
            <w:tcW w:w="1442" w:type="dxa"/>
          </w:tcPr>
          <w:p w14:paraId="46E46855"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4 (1.6)</w:t>
            </w:r>
          </w:p>
        </w:tc>
        <w:tc>
          <w:tcPr>
            <w:tcW w:w="1442" w:type="dxa"/>
          </w:tcPr>
          <w:p w14:paraId="43835ECB"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4 (0.5)</w:t>
            </w:r>
          </w:p>
        </w:tc>
        <w:tc>
          <w:tcPr>
            <w:tcW w:w="1442" w:type="dxa"/>
          </w:tcPr>
          <w:p w14:paraId="21D86A63"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14 (1.5)</w:t>
            </w:r>
          </w:p>
        </w:tc>
        <w:tc>
          <w:tcPr>
            <w:tcW w:w="1455" w:type="dxa"/>
          </w:tcPr>
          <w:p w14:paraId="06762D3D"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18 (1.1)</w:t>
            </w:r>
          </w:p>
        </w:tc>
      </w:tr>
      <w:tr w:rsidR="00CF0C33" w:rsidRPr="00562292" w14:paraId="46FA86CA" w14:textId="77777777" w:rsidTr="00835AA0">
        <w:tc>
          <w:tcPr>
            <w:tcW w:w="1627" w:type="dxa"/>
          </w:tcPr>
          <w:p w14:paraId="1351824A" w14:textId="77777777" w:rsidR="00D1093D" w:rsidRPr="00562292" w:rsidRDefault="00D1093D" w:rsidP="00562292">
            <w:pPr>
              <w:rPr>
                <w:rFonts w:ascii="Cambria" w:hAnsi="Cambria"/>
                <w:sz w:val="20"/>
                <w:szCs w:val="20"/>
              </w:rPr>
            </w:pPr>
            <w:r w:rsidRPr="00562292">
              <w:rPr>
                <w:rFonts w:ascii="Cambria" w:hAnsi="Cambria"/>
                <w:sz w:val="20"/>
                <w:szCs w:val="20"/>
              </w:rPr>
              <w:t>Hypertension</w:t>
            </w:r>
          </w:p>
        </w:tc>
        <w:tc>
          <w:tcPr>
            <w:tcW w:w="1441" w:type="dxa"/>
          </w:tcPr>
          <w:p w14:paraId="39000841" w14:textId="77777777" w:rsidR="00D1093D" w:rsidRPr="00562292" w:rsidRDefault="00D1093D" w:rsidP="00562292">
            <w:pPr>
              <w:jc w:val="center"/>
              <w:rPr>
                <w:rFonts w:ascii="Cambria" w:hAnsi="Cambria"/>
                <w:sz w:val="20"/>
                <w:szCs w:val="20"/>
              </w:rPr>
            </w:pPr>
            <w:r w:rsidRPr="00562292">
              <w:rPr>
                <w:rFonts w:ascii="Cambria" w:hAnsi="Cambria"/>
                <w:sz w:val="20"/>
                <w:szCs w:val="20"/>
              </w:rPr>
              <w:t>2 (0.9)</w:t>
            </w:r>
          </w:p>
        </w:tc>
        <w:tc>
          <w:tcPr>
            <w:tcW w:w="1442" w:type="dxa"/>
          </w:tcPr>
          <w:p w14:paraId="5149885E" w14:textId="77777777" w:rsidR="00D1093D" w:rsidRPr="00562292" w:rsidRDefault="00D1093D" w:rsidP="00562292">
            <w:pPr>
              <w:jc w:val="center"/>
              <w:rPr>
                <w:rFonts w:ascii="Cambria" w:hAnsi="Cambria"/>
                <w:sz w:val="20"/>
                <w:szCs w:val="20"/>
              </w:rPr>
            </w:pPr>
            <w:r w:rsidRPr="00562292">
              <w:rPr>
                <w:rFonts w:ascii="Cambria" w:hAnsi="Cambria"/>
                <w:sz w:val="20"/>
                <w:szCs w:val="20"/>
              </w:rPr>
              <w:t>4 (1.6)</w:t>
            </w:r>
          </w:p>
        </w:tc>
        <w:tc>
          <w:tcPr>
            <w:tcW w:w="1442" w:type="dxa"/>
          </w:tcPr>
          <w:p w14:paraId="0D01676D" w14:textId="77777777" w:rsidR="00D1093D" w:rsidRPr="00562292" w:rsidRDefault="00D1093D" w:rsidP="00562292">
            <w:pPr>
              <w:jc w:val="center"/>
              <w:rPr>
                <w:rFonts w:ascii="Cambria" w:hAnsi="Cambria"/>
                <w:sz w:val="20"/>
                <w:szCs w:val="20"/>
              </w:rPr>
            </w:pPr>
            <w:r w:rsidRPr="00562292">
              <w:rPr>
                <w:rFonts w:ascii="Cambria" w:hAnsi="Cambria"/>
                <w:sz w:val="20"/>
                <w:szCs w:val="20"/>
              </w:rPr>
              <w:t>4 (0.5)</w:t>
            </w:r>
          </w:p>
        </w:tc>
        <w:tc>
          <w:tcPr>
            <w:tcW w:w="1442" w:type="dxa"/>
          </w:tcPr>
          <w:p w14:paraId="09E97BF2" w14:textId="77777777" w:rsidR="00D1093D" w:rsidRPr="00562292" w:rsidRDefault="00D1093D" w:rsidP="00562292">
            <w:pPr>
              <w:jc w:val="center"/>
              <w:rPr>
                <w:rFonts w:ascii="Cambria" w:hAnsi="Cambria"/>
                <w:sz w:val="20"/>
                <w:szCs w:val="20"/>
              </w:rPr>
            </w:pPr>
            <w:r w:rsidRPr="00562292">
              <w:rPr>
                <w:rFonts w:ascii="Cambria" w:hAnsi="Cambria"/>
                <w:sz w:val="20"/>
                <w:szCs w:val="20"/>
              </w:rPr>
              <w:t>14 (1.5)</w:t>
            </w:r>
          </w:p>
        </w:tc>
        <w:tc>
          <w:tcPr>
            <w:tcW w:w="1455" w:type="dxa"/>
          </w:tcPr>
          <w:p w14:paraId="5D44A0FE" w14:textId="77777777" w:rsidR="00D1093D" w:rsidRPr="00562292" w:rsidRDefault="00D1093D" w:rsidP="00562292">
            <w:pPr>
              <w:jc w:val="center"/>
              <w:rPr>
                <w:rFonts w:ascii="Cambria" w:hAnsi="Cambria"/>
                <w:sz w:val="20"/>
                <w:szCs w:val="20"/>
              </w:rPr>
            </w:pPr>
            <w:r w:rsidRPr="00562292">
              <w:rPr>
                <w:rFonts w:ascii="Cambria" w:hAnsi="Cambria"/>
                <w:sz w:val="20"/>
                <w:szCs w:val="20"/>
              </w:rPr>
              <w:t>18 (1.1)</w:t>
            </w:r>
          </w:p>
        </w:tc>
      </w:tr>
      <w:tr w:rsidR="00CF0C33" w:rsidRPr="00562292" w14:paraId="484FF0EF" w14:textId="77777777" w:rsidTr="00835AA0">
        <w:tc>
          <w:tcPr>
            <w:tcW w:w="1627" w:type="dxa"/>
          </w:tcPr>
          <w:p w14:paraId="54613D43" w14:textId="77777777" w:rsidR="00D1093D" w:rsidRPr="00562292" w:rsidRDefault="00D1093D" w:rsidP="00562292">
            <w:pPr>
              <w:rPr>
                <w:rFonts w:ascii="Cambria" w:hAnsi="Cambria"/>
                <w:b/>
                <w:bCs/>
                <w:sz w:val="20"/>
                <w:szCs w:val="20"/>
              </w:rPr>
            </w:pPr>
            <w:r w:rsidRPr="00562292">
              <w:rPr>
                <w:rFonts w:ascii="Cambria" w:hAnsi="Cambria"/>
                <w:b/>
                <w:bCs/>
                <w:sz w:val="20"/>
                <w:szCs w:val="20"/>
              </w:rPr>
              <w:t>Respiratory, Thoracic and Mediastinal Disorders</w:t>
            </w:r>
          </w:p>
        </w:tc>
        <w:tc>
          <w:tcPr>
            <w:tcW w:w="1441" w:type="dxa"/>
          </w:tcPr>
          <w:p w14:paraId="31780CF5"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 (0.5)</w:t>
            </w:r>
          </w:p>
        </w:tc>
        <w:tc>
          <w:tcPr>
            <w:tcW w:w="1442" w:type="dxa"/>
          </w:tcPr>
          <w:p w14:paraId="6595CFC5"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6 (2.4)</w:t>
            </w:r>
          </w:p>
        </w:tc>
        <w:tc>
          <w:tcPr>
            <w:tcW w:w="1442" w:type="dxa"/>
          </w:tcPr>
          <w:p w14:paraId="3F509E52"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5 (0.7)</w:t>
            </w:r>
          </w:p>
        </w:tc>
        <w:tc>
          <w:tcPr>
            <w:tcW w:w="1442" w:type="dxa"/>
          </w:tcPr>
          <w:p w14:paraId="12D67CE5"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10 (1.1)</w:t>
            </w:r>
          </w:p>
        </w:tc>
        <w:tc>
          <w:tcPr>
            <w:tcW w:w="1455" w:type="dxa"/>
          </w:tcPr>
          <w:p w14:paraId="49820D25"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15 (0.9)</w:t>
            </w:r>
          </w:p>
        </w:tc>
      </w:tr>
      <w:tr w:rsidR="00CF0C33" w:rsidRPr="00562292" w14:paraId="722F6C22" w14:textId="77777777" w:rsidTr="00835AA0">
        <w:tc>
          <w:tcPr>
            <w:tcW w:w="1627" w:type="dxa"/>
          </w:tcPr>
          <w:p w14:paraId="1AE97147" w14:textId="77777777" w:rsidR="00D1093D" w:rsidRPr="00562292" w:rsidRDefault="00D1093D" w:rsidP="00562292">
            <w:pPr>
              <w:rPr>
                <w:rFonts w:ascii="Cambria" w:hAnsi="Cambria"/>
                <w:sz w:val="20"/>
                <w:szCs w:val="20"/>
              </w:rPr>
            </w:pPr>
            <w:r w:rsidRPr="00562292">
              <w:rPr>
                <w:rFonts w:ascii="Cambria" w:hAnsi="Cambria"/>
                <w:sz w:val="20"/>
                <w:szCs w:val="20"/>
              </w:rPr>
              <w:t>Cough</w:t>
            </w:r>
          </w:p>
        </w:tc>
        <w:tc>
          <w:tcPr>
            <w:tcW w:w="1441" w:type="dxa"/>
          </w:tcPr>
          <w:p w14:paraId="08AB6D6A"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33912CF6" w14:textId="77777777" w:rsidR="00D1093D" w:rsidRPr="00562292" w:rsidRDefault="00D1093D" w:rsidP="00562292">
            <w:pPr>
              <w:jc w:val="center"/>
              <w:rPr>
                <w:rFonts w:ascii="Cambria" w:hAnsi="Cambria"/>
                <w:sz w:val="20"/>
                <w:szCs w:val="20"/>
              </w:rPr>
            </w:pPr>
            <w:r w:rsidRPr="00562292">
              <w:rPr>
                <w:rFonts w:ascii="Cambria" w:hAnsi="Cambria"/>
                <w:sz w:val="20"/>
                <w:szCs w:val="20"/>
              </w:rPr>
              <w:t>3 (1.2)</w:t>
            </w:r>
          </w:p>
        </w:tc>
        <w:tc>
          <w:tcPr>
            <w:tcW w:w="1442" w:type="dxa"/>
          </w:tcPr>
          <w:p w14:paraId="6376AEB5" w14:textId="77777777" w:rsidR="00D1093D" w:rsidRPr="00562292" w:rsidRDefault="00D1093D" w:rsidP="00562292">
            <w:pPr>
              <w:jc w:val="center"/>
              <w:rPr>
                <w:rFonts w:ascii="Cambria" w:hAnsi="Cambria"/>
                <w:sz w:val="20"/>
                <w:szCs w:val="20"/>
              </w:rPr>
            </w:pPr>
            <w:r w:rsidRPr="00562292">
              <w:rPr>
                <w:rFonts w:ascii="Cambria" w:hAnsi="Cambria"/>
                <w:sz w:val="20"/>
                <w:szCs w:val="20"/>
              </w:rPr>
              <w:t>2 (0.3)</w:t>
            </w:r>
          </w:p>
        </w:tc>
        <w:tc>
          <w:tcPr>
            <w:tcW w:w="1442" w:type="dxa"/>
          </w:tcPr>
          <w:p w14:paraId="5B1951AF" w14:textId="77777777" w:rsidR="00D1093D" w:rsidRPr="00562292" w:rsidRDefault="00D1093D" w:rsidP="00562292">
            <w:pPr>
              <w:jc w:val="center"/>
              <w:rPr>
                <w:rFonts w:ascii="Cambria" w:hAnsi="Cambria"/>
                <w:sz w:val="20"/>
                <w:szCs w:val="20"/>
              </w:rPr>
            </w:pPr>
            <w:r w:rsidRPr="00562292">
              <w:rPr>
                <w:rFonts w:ascii="Cambria" w:hAnsi="Cambria"/>
                <w:sz w:val="20"/>
                <w:szCs w:val="20"/>
              </w:rPr>
              <w:t>8 (0.9)</w:t>
            </w:r>
          </w:p>
        </w:tc>
        <w:tc>
          <w:tcPr>
            <w:tcW w:w="1455" w:type="dxa"/>
          </w:tcPr>
          <w:p w14:paraId="755F910B" w14:textId="77777777" w:rsidR="00D1093D" w:rsidRPr="00562292" w:rsidRDefault="00D1093D" w:rsidP="00562292">
            <w:pPr>
              <w:jc w:val="center"/>
              <w:rPr>
                <w:rFonts w:ascii="Cambria" w:hAnsi="Cambria"/>
                <w:sz w:val="20"/>
                <w:szCs w:val="20"/>
              </w:rPr>
            </w:pPr>
            <w:r w:rsidRPr="00562292">
              <w:rPr>
                <w:rFonts w:ascii="Cambria" w:hAnsi="Cambria"/>
                <w:sz w:val="20"/>
                <w:szCs w:val="20"/>
              </w:rPr>
              <w:t>10 (0.6)</w:t>
            </w:r>
          </w:p>
        </w:tc>
      </w:tr>
      <w:tr w:rsidR="00CF0C33" w:rsidRPr="00562292" w14:paraId="7ABC7C20" w14:textId="77777777" w:rsidTr="00835AA0">
        <w:tc>
          <w:tcPr>
            <w:tcW w:w="1627" w:type="dxa"/>
          </w:tcPr>
          <w:p w14:paraId="01C475D5" w14:textId="77777777" w:rsidR="00D1093D" w:rsidRPr="00562292" w:rsidRDefault="00D1093D" w:rsidP="00562292">
            <w:pPr>
              <w:rPr>
                <w:rFonts w:ascii="Cambria" w:hAnsi="Cambria"/>
                <w:sz w:val="20"/>
                <w:szCs w:val="20"/>
              </w:rPr>
            </w:pPr>
            <w:r w:rsidRPr="00562292">
              <w:rPr>
                <w:rFonts w:ascii="Cambria" w:hAnsi="Cambria"/>
                <w:sz w:val="20"/>
                <w:szCs w:val="20"/>
              </w:rPr>
              <w:t>Oropharyngeal pain</w:t>
            </w:r>
          </w:p>
        </w:tc>
        <w:tc>
          <w:tcPr>
            <w:tcW w:w="1441" w:type="dxa"/>
          </w:tcPr>
          <w:p w14:paraId="68E91AC2" w14:textId="77777777" w:rsidR="00D1093D" w:rsidRPr="00562292" w:rsidRDefault="00D1093D" w:rsidP="00562292">
            <w:pPr>
              <w:jc w:val="center"/>
              <w:rPr>
                <w:rFonts w:ascii="Cambria" w:hAnsi="Cambria"/>
                <w:sz w:val="20"/>
                <w:szCs w:val="20"/>
              </w:rPr>
            </w:pPr>
            <w:r w:rsidRPr="00562292">
              <w:rPr>
                <w:rFonts w:ascii="Cambria" w:hAnsi="Cambria"/>
                <w:sz w:val="20"/>
                <w:szCs w:val="20"/>
              </w:rPr>
              <w:t>1 (0.5)</w:t>
            </w:r>
          </w:p>
        </w:tc>
        <w:tc>
          <w:tcPr>
            <w:tcW w:w="1442" w:type="dxa"/>
          </w:tcPr>
          <w:p w14:paraId="51B46F07" w14:textId="77777777" w:rsidR="00D1093D" w:rsidRPr="00562292" w:rsidRDefault="00D1093D" w:rsidP="00562292">
            <w:pPr>
              <w:jc w:val="center"/>
              <w:rPr>
                <w:rFonts w:ascii="Cambria" w:hAnsi="Cambria"/>
                <w:sz w:val="20"/>
                <w:szCs w:val="20"/>
              </w:rPr>
            </w:pPr>
            <w:r w:rsidRPr="00562292">
              <w:rPr>
                <w:rFonts w:ascii="Cambria" w:hAnsi="Cambria"/>
                <w:sz w:val="20"/>
                <w:szCs w:val="20"/>
              </w:rPr>
              <w:t>4 (1.6)</w:t>
            </w:r>
          </w:p>
        </w:tc>
        <w:tc>
          <w:tcPr>
            <w:tcW w:w="1442" w:type="dxa"/>
          </w:tcPr>
          <w:p w14:paraId="12143544" w14:textId="77777777" w:rsidR="00D1093D" w:rsidRPr="00562292" w:rsidRDefault="00D1093D" w:rsidP="00562292">
            <w:pPr>
              <w:jc w:val="center"/>
              <w:rPr>
                <w:rFonts w:ascii="Cambria" w:hAnsi="Cambria"/>
                <w:sz w:val="20"/>
                <w:szCs w:val="20"/>
              </w:rPr>
            </w:pPr>
            <w:r w:rsidRPr="00562292">
              <w:rPr>
                <w:rFonts w:ascii="Cambria" w:hAnsi="Cambria"/>
                <w:sz w:val="20"/>
                <w:szCs w:val="20"/>
              </w:rPr>
              <w:t>3 (0.4)</w:t>
            </w:r>
          </w:p>
        </w:tc>
        <w:tc>
          <w:tcPr>
            <w:tcW w:w="1442" w:type="dxa"/>
          </w:tcPr>
          <w:p w14:paraId="2C4C1D63" w14:textId="77777777" w:rsidR="00D1093D" w:rsidRPr="00562292" w:rsidRDefault="00D1093D" w:rsidP="00562292">
            <w:pPr>
              <w:jc w:val="center"/>
              <w:rPr>
                <w:rFonts w:ascii="Cambria" w:hAnsi="Cambria"/>
                <w:sz w:val="20"/>
                <w:szCs w:val="20"/>
              </w:rPr>
            </w:pPr>
            <w:r w:rsidRPr="00562292">
              <w:rPr>
                <w:rFonts w:ascii="Cambria" w:hAnsi="Cambria"/>
                <w:sz w:val="20"/>
                <w:szCs w:val="20"/>
              </w:rPr>
              <w:t>2 (0.2)</w:t>
            </w:r>
          </w:p>
        </w:tc>
        <w:tc>
          <w:tcPr>
            <w:tcW w:w="1455" w:type="dxa"/>
          </w:tcPr>
          <w:p w14:paraId="7F1034D4" w14:textId="77777777" w:rsidR="00D1093D" w:rsidRPr="00562292" w:rsidRDefault="00D1093D" w:rsidP="00562292">
            <w:pPr>
              <w:jc w:val="center"/>
              <w:rPr>
                <w:rFonts w:ascii="Cambria" w:hAnsi="Cambria"/>
                <w:sz w:val="20"/>
                <w:szCs w:val="20"/>
              </w:rPr>
            </w:pPr>
            <w:r w:rsidRPr="00562292">
              <w:rPr>
                <w:rFonts w:ascii="Cambria" w:hAnsi="Cambria"/>
                <w:sz w:val="20"/>
                <w:szCs w:val="20"/>
              </w:rPr>
              <w:t>5 (0.3)</w:t>
            </w:r>
          </w:p>
        </w:tc>
      </w:tr>
      <w:tr w:rsidR="00CF0C33" w:rsidRPr="00562292" w14:paraId="033B70F7" w14:textId="77777777" w:rsidTr="00835AA0">
        <w:tc>
          <w:tcPr>
            <w:tcW w:w="1627" w:type="dxa"/>
          </w:tcPr>
          <w:p w14:paraId="269F507D" w14:textId="77777777" w:rsidR="00D1093D" w:rsidRPr="00562292" w:rsidRDefault="00D1093D" w:rsidP="00562292">
            <w:pPr>
              <w:rPr>
                <w:rFonts w:ascii="Cambria" w:hAnsi="Cambria"/>
                <w:b/>
                <w:bCs/>
                <w:sz w:val="20"/>
                <w:szCs w:val="20"/>
              </w:rPr>
            </w:pPr>
            <w:r w:rsidRPr="00562292">
              <w:rPr>
                <w:rFonts w:ascii="Cambria" w:hAnsi="Cambria"/>
                <w:b/>
                <w:bCs/>
                <w:sz w:val="20"/>
                <w:szCs w:val="20"/>
              </w:rPr>
              <w:t>Injury, Poisoning and Procedural Complications</w:t>
            </w:r>
          </w:p>
        </w:tc>
        <w:tc>
          <w:tcPr>
            <w:tcW w:w="1441" w:type="dxa"/>
          </w:tcPr>
          <w:p w14:paraId="48DF8CBF"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 (0.5)</w:t>
            </w:r>
          </w:p>
        </w:tc>
        <w:tc>
          <w:tcPr>
            <w:tcW w:w="1442" w:type="dxa"/>
          </w:tcPr>
          <w:p w14:paraId="43276436"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3 (1.2)</w:t>
            </w:r>
          </w:p>
        </w:tc>
        <w:tc>
          <w:tcPr>
            <w:tcW w:w="1442" w:type="dxa"/>
          </w:tcPr>
          <w:p w14:paraId="593C49E0"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4 (0.5)</w:t>
            </w:r>
          </w:p>
        </w:tc>
        <w:tc>
          <w:tcPr>
            <w:tcW w:w="1442" w:type="dxa"/>
          </w:tcPr>
          <w:p w14:paraId="78EB038B"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9 (1.0)</w:t>
            </w:r>
          </w:p>
        </w:tc>
        <w:tc>
          <w:tcPr>
            <w:tcW w:w="1455" w:type="dxa"/>
          </w:tcPr>
          <w:p w14:paraId="6AF3DE49"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13 (0.8)</w:t>
            </w:r>
          </w:p>
        </w:tc>
      </w:tr>
      <w:tr w:rsidR="00CF0C33" w:rsidRPr="00562292" w14:paraId="2756EAFB" w14:textId="77777777" w:rsidTr="00835AA0">
        <w:tc>
          <w:tcPr>
            <w:tcW w:w="1627" w:type="dxa"/>
          </w:tcPr>
          <w:p w14:paraId="22ACB911" w14:textId="77777777" w:rsidR="00D1093D" w:rsidRPr="00562292" w:rsidRDefault="00D1093D" w:rsidP="00562292">
            <w:pPr>
              <w:rPr>
                <w:rFonts w:ascii="Cambria" w:hAnsi="Cambria"/>
                <w:sz w:val="20"/>
                <w:szCs w:val="20"/>
              </w:rPr>
            </w:pPr>
            <w:r w:rsidRPr="00562292">
              <w:rPr>
                <w:rFonts w:ascii="Cambria" w:hAnsi="Cambria"/>
                <w:sz w:val="20"/>
                <w:szCs w:val="20"/>
              </w:rPr>
              <w:t>Contusion</w:t>
            </w:r>
          </w:p>
        </w:tc>
        <w:tc>
          <w:tcPr>
            <w:tcW w:w="1441" w:type="dxa"/>
          </w:tcPr>
          <w:p w14:paraId="574479AC" w14:textId="77777777" w:rsidR="00D1093D" w:rsidRPr="00562292" w:rsidRDefault="00D1093D" w:rsidP="00562292">
            <w:pPr>
              <w:jc w:val="center"/>
              <w:rPr>
                <w:rFonts w:ascii="Cambria" w:hAnsi="Cambria"/>
                <w:sz w:val="20"/>
                <w:szCs w:val="20"/>
              </w:rPr>
            </w:pPr>
            <w:r w:rsidRPr="00562292">
              <w:rPr>
                <w:rFonts w:ascii="Cambria" w:hAnsi="Cambria"/>
                <w:sz w:val="20"/>
                <w:szCs w:val="20"/>
              </w:rPr>
              <w:t>1 (0.5)</w:t>
            </w:r>
          </w:p>
        </w:tc>
        <w:tc>
          <w:tcPr>
            <w:tcW w:w="1442" w:type="dxa"/>
          </w:tcPr>
          <w:p w14:paraId="78FC93AC" w14:textId="77777777" w:rsidR="00D1093D" w:rsidRPr="00562292" w:rsidRDefault="00D1093D" w:rsidP="00562292">
            <w:pPr>
              <w:jc w:val="center"/>
              <w:rPr>
                <w:rFonts w:ascii="Cambria" w:hAnsi="Cambria"/>
                <w:sz w:val="20"/>
                <w:szCs w:val="20"/>
              </w:rPr>
            </w:pPr>
            <w:r w:rsidRPr="00562292">
              <w:rPr>
                <w:rFonts w:ascii="Cambria" w:hAnsi="Cambria"/>
                <w:sz w:val="20"/>
                <w:szCs w:val="20"/>
              </w:rPr>
              <w:t>3 (1.2)</w:t>
            </w:r>
          </w:p>
        </w:tc>
        <w:tc>
          <w:tcPr>
            <w:tcW w:w="1442" w:type="dxa"/>
          </w:tcPr>
          <w:p w14:paraId="0CBA25AC" w14:textId="77777777" w:rsidR="00D1093D" w:rsidRPr="00562292" w:rsidRDefault="00D1093D" w:rsidP="00562292">
            <w:pPr>
              <w:jc w:val="center"/>
              <w:rPr>
                <w:rFonts w:ascii="Cambria" w:hAnsi="Cambria"/>
                <w:sz w:val="20"/>
                <w:szCs w:val="20"/>
              </w:rPr>
            </w:pPr>
            <w:r w:rsidRPr="00562292">
              <w:rPr>
                <w:rFonts w:ascii="Cambria" w:hAnsi="Cambria"/>
                <w:sz w:val="20"/>
                <w:szCs w:val="20"/>
              </w:rPr>
              <w:t>4 (0.5)</w:t>
            </w:r>
          </w:p>
        </w:tc>
        <w:tc>
          <w:tcPr>
            <w:tcW w:w="1442" w:type="dxa"/>
          </w:tcPr>
          <w:p w14:paraId="5C43F872" w14:textId="77777777" w:rsidR="00D1093D" w:rsidRPr="00562292" w:rsidRDefault="00D1093D" w:rsidP="00562292">
            <w:pPr>
              <w:jc w:val="center"/>
              <w:rPr>
                <w:rFonts w:ascii="Cambria" w:hAnsi="Cambria"/>
                <w:sz w:val="20"/>
                <w:szCs w:val="20"/>
              </w:rPr>
            </w:pPr>
            <w:r w:rsidRPr="00562292">
              <w:rPr>
                <w:rFonts w:ascii="Cambria" w:hAnsi="Cambria"/>
                <w:sz w:val="20"/>
                <w:szCs w:val="20"/>
              </w:rPr>
              <w:t>9 (1.0)</w:t>
            </w:r>
          </w:p>
        </w:tc>
        <w:tc>
          <w:tcPr>
            <w:tcW w:w="1455" w:type="dxa"/>
          </w:tcPr>
          <w:p w14:paraId="369F19C3" w14:textId="77777777" w:rsidR="00D1093D" w:rsidRPr="00562292" w:rsidRDefault="00D1093D" w:rsidP="00562292">
            <w:pPr>
              <w:jc w:val="center"/>
              <w:rPr>
                <w:rFonts w:ascii="Cambria" w:hAnsi="Cambria"/>
                <w:sz w:val="20"/>
                <w:szCs w:val="20"/>
              </w:rPr>
            </w:pPr>
            <w:r w:rsidRPr="00562292">
              <w:rPr>
                <w:rFonts w:ascii="Cambria" w:hAnsi="Cambria"/>
                <w:sz w:val="20"/>
                <w:szCs w:val="20"/>
              </w:rPr>
              <w:t>13 (0.8)</w:t>
            </w:r>
          </w:p>
        </w:tc>
      </w:tr>
      <w:tr w:rsidR="00CF0C33" w:rsidRPr="00562292" w14:paraId="4D861337" w14:textId="77777777" w:rsidTr="00835AA0">
        <w:tc>
          <w:tcPr>
            <w:tcW w:w="1627" w:type="dxa"/>
          </w:tcPr>
          <w:p w14:paraId="357B66E7" w14:textId="77777777" w:rsidR="00D1093D" w:rsidRPr="00562292" w:rsidRDefault="00D1093D" w:rsidP="00562292">
            <w:pPr>
              <w:rPr>
                <w:rFonts w:ascii="Cambria" w:hAnsi="Cambria"/>
                <w:b/>
                <w:bCs/>
                <w:sz w:val="20"/>
                <w:szCs w:val="20"/>
              </w:rPr>
            </w:pPr>
            <w:r w:rsidRPr="00562292">
              <w:rPr>
                <w:rFonts w:ascii="Cambria" w:hAnsi="Cambria"/>
                <w:b/>
                <w:bCs/>
                <w:sz w:val="20"/>
                <w:szCs w:val="20"/>
              </w:rPr>
              <w:t>Investigations</w:t>
            </w:r>
          </w:p>
        </w:tc>
        <w:tc>
          <w:tcPr>
            <w:tcW w:w="1441" w:type="dxa"/>
          </w:tcPr>
          <w:p w14:paraId="5A2789F4"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0</w:t>
            </w:r>
          </w:p>
        </w:tc>
        <w:tc>
          <w:tcPr>
            <w:tcW w:w="1442" w:type="dxa"/>
          </w:tcPr>
          <w:p w14:paraId="39E42DE8"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0</w:t>
            </w:r>
          </w:p>
        </w:tc>
        <w:tc>
          <w:tcPr>
            <w:tcW w:w="1442" w:type="dxa"/>
          </w:tcPr>
          <w:p w14:paraId="01C1F613"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6 (0.8)</w:t>
            </w:r>
          </w:p>
        </w:tc>
        <w:tc>
          <w:tcPr>
            <w:tcW w:w="1442" w:type="dxa"/>
          </w:tcPr>
          <w:p w14:paraId="0909F3BF"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0</w:t>
            </w:r>
          </w:p>
        </w:tc>
        <w:tc>
          <w:tcPr>
            <w:tcW w:w="1455" w:type="dxa"/>
          </w:tcPr>
          <w:p w14:paraId="5DD8ACBF"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6 (0.4)</w:t>
            </w:r>
          </w:p>
        </w:tc>
      </w:tr>
      <w:tr w:rsidR="00CF0C33" w:rsidRPr="00562292" w14:paraId="197F8D3A" w14:textId="77777777" w:rsidTr="00835AA0">
        <w:tc>
          <w:tcPr>
            <w:tcW w:w="1627" w:type="dxa"/>
          </w:tcPr>
          <w:p w14:paraId="1C22DD21" w14:textId="77777777" w:rsidR="00D1093D" w:rsidRPr="00562292" w:rsidRDefault="00D1093D" w:rsidP="00562292">
            <w:pPr>
              <w:rPr>
                <w:rFonts w:ascii="Cambria" w:hAnsi="Cambria"/>
                <w:sz w:val="20"/>
                <w:szCs w:val="20"/>
              </w:rPr>
            </w:pPr>
            <w:r w:rsidRPr="00562292">
              <w:rPr>
                <w:rFonts w:ascii="Cambria" w:hAnsi="Cambria"/>
                <w:sz w:val="20"/>
                <w:szCs w:val="20"/>
              </w:rPr>
              <w:t>White blood cell count increased</w:t>
            </w:r>
          </w:p>
        </w:tc>
        <w:tc>
          <w:tcPr>
            <w:tcW w:w="1441" w:type="dxa"/>
          </w:tcPr>
          <w:p w14:paraId="0089F343"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474614A0"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66921C4F" w14:textId="77777777" w:rsidR="00D1093D" w:rsidRPr="00562292" w:rsidRDefault="00D1093D" w:rsidP="00562292">
            <w:pPr>
              <w:jc w:val="center"/>
              <w:rPr>
                <w:rFonts w:ascii="Cambria" w:hAnsi="Cambria"/>
                <w:sz w:val="20"/>
                <w:szCs w:val="20"/>
              </w:rPr>
            </w:pPr>
            <w:r w:rsidRPr="00562292">
              <w:rPr>
                <w:rFonts w:ascii="Cambria" w:hAnsi="Cambria"/>
                <w:sz w:val="20"/>
                <w:szCs w:val="20"/>
              </w:rPr>
              <w:t>6 (0.8)</w:t>
            </w:r>
          </w:p>
        </w:tc>
        <w:tc>
          <w:tcPr>
            <w:tcW w:w="1442" w:type="dxa"/>
          </w:tcPr>
          <w:p w14:paraId="0E54F45E"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55" w:type="dxa"/>
          </w:tcPr>
          <w:p w14:paraId="6C2F82AD" w14:textId="77777777" w:rsidR="00D1093D" w:rsidRPr="00562292" w:rsidRDefault="00D1093D" w:rsidP="00562292">
            <w:pPr>
              <w:jc w:val="center"/>
              <w:rPr>
                <w:rFonts w:ascii="Cambria" w:hAnsi="Cambria"/>
                <w:sz w:val="20"/>
                <w:szCs w:val="20"/>
              </w:rPr>
            </w:pPr>
            <w:r w:rsidRPr="00562292">
              <w:rPr>
                <w:rFonts w:ascii="Cambria" w:hAnsi="Cambria"/>
                <w:sz w:val="20"/>
                <w:szCs w:val="20"/>
              </w:rPr>
              <w:t>6 (0.4)</w:t>
            </w:r>
          </w:p>
        </w:tc>
      </w:tr>
      <w:tr w:rsidR="00CF0C33" w:rsidRPr="00562292" w14:paraId="5BCC13D9" w14:textId="77777777" w:rsidTr="00835AA0">
        <w:tc>
          <w:tcPr>
            <w:tcW w:w="1627" w:type="dxa"/>
          </w:tcPr>
          <w:p w14:paraId="40AAFADA" w14:textId="77777777" w:rsidR="00D1093D" w:rsidRPr="00562292" w:rsidRDefault="00D1093D" w:rsidP="00562292">
            <w:pPr>
              <w:rPr>
                <w:rFonts w:ascii="Cambria" w:hAnsi="Cambria"/>
                <w:b/>
                <w:bCs/>
                <w:sz w:val="20"/>
                <w:szCs w:val="20"/>
              </w:rPr>
            </w:pPr>
            <w:r w:rsidRPr="00562292">
              <w:rPr>
                <w:rFonts w:ascii="Cambria" w:hAnsi="Cambria"/>
                <w:b/>
                <w:bCs/>
                <w:sz w:val="20"/>
                <w:szCs w:val="20"/>
              </w:rPr>
              <w:lastRenderedPageBreak/>
              <w:t>General Disorders and Administration Site Conditions</w:t>
            </w:r>
          </w:p>
        </w:tc>
        <w:tc>
          <w:tcPr>
            <w:tcW w:w="1441" w:type="dxa"/>
          </w:tcPr>
          <w:p w14:paraId="7A6648A5"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0</w:t>
            </w:r>
          </w:p>
        </w:tc>
        <w:tc>
          <w:tcPr>
            <w:tcW w:w="1442" w:type="dxa"/>
          </w:tcPr>
          <w:p w14:paraId="40FDDEC6"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3 (1.2)</w:t>
            </w:r>
          </w:p>
        </w:tc>
        <w:tc>
          <w:tcPr>
            <w:tcW w:w="1442" w:type="dxa"/>
          </w:tcPr>
          <w:p w14:paraId="66581D15"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2 (0.3)</w:t>
            </w:r>
          </w:p>
        </w:tc>
        <w:tc>
          <w:tcPr>
            <w:tcW w:w="1442" w:type="dxa"/>
          </w:tcPr>
          <w:p w14:paraId="5D608F96"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3 (0.3)</w:t>
            </w:r>
          </w:p>
        </w:tc>
        <w:tc>
          <w:tcPr>
            <w:tcW w:w="1455" w:type="dxa"/>
          </w:tcPr>
          <w:p w14:paraId="5C7148FA" w14:textId="77777777" w:rsidR="00D1093D" w:rsidRPr="00562292" w:rsidRDefault="00D1093D" w:rsidP="00562292">
            <w:pPr>
              <w:jc w:val="center"/>
              <w:rPr>
                <w:rFonts w:ascii="Cambria" w:hAnsi="Cambria"/>
                <w:b/>
                <w:bCs/>
                <w:sz w:val="20"/>
                <w:szCs w:val="20"/>
              </w:rPr>
            </w:pPr>
            <w:r w:rsidRPr="00562292">
              <w:rPr>
                <w:rFonts w:ascii="Cambria" w:hAnsi="Cambria"/>
                <w:b/>
                <w:bCs/>
                <w:sz w:val="20"/>
                <w:szCs w:val="20"/>
              </w:rPr>
              <w:t>5 (0.3)</w:t>
            </w:r>
          </w:p>
        </w:tc>
      </w:tr>
      <w:tr w:rsidR="00CF0C33" w:rsidRPr="00562292" w14:paraId="2CB42845" w14:textId="77777777" w:rsidTr="00835AA0">
        <w:tc>
          <w:tcPr>
            <w:tcW w:w="1627" w:type="dxa"/>
          </w:tcPr>
          <w:p w14:paraId="67E76934" w14:textId="77777777" w:rsidR="00D1093D" w:rsidRPr="00562292" w:rsidRDefault="00D1093D" w:rsidP="00562292">
            <w:pPr>
              <w:rPr>
                <w:rFonts w:ascii="Cambria" w:hAnsi="Cambria"/>
                <w:sz w:val="20"/>
                <w:szCs w:val="20"/>
              </w:rPr>
            </w:pPr>
            <w:r w:rsidRPr="00562292">
              <w:rPr>
                <w:rFonts w:ascii="Cambria" w:hAnsi="Cambria"/>
                <w:sz w:val="20"/>
                <w:szCs w:val="20"/>
              </w:rPr>
              <w:t>Pyrexia</w:t>
            </w:r>
          </w:p>
        </w:tc>
        <w:tc>
          <w:tcPr>
            <w:tcW w:w="1441" w:type="dxa"/>
          </w:tcPr>
          <w:p w14:paraId="33BBECB9" w14:textId="77777777" w:rsidR="00D1093D" w:rsidRPr="00562292" w:rsidRDefault="00D1093D" w:rsidP="00562292">
            <w:pPr>
              <w:jc w:val="center"/>
              <w:rPr>
                <w:rFonts w:ascii="Cambria" w:hAnsi="Cambria"/>
                <w:sz w:val="20"/>
                <w:szCs w:val="20"/>
              </w:rPr>
            </w:pPr>
            <w:r w:rsidRPr="00562292">
              <w:rPr>
                <w:rFonts w:ascii="Cambria" w:hAnsi="Cambria"/>
                <w:sz w:val="20"/>
                <w:szCs w:val="20"/>
              </w:rPr>
              <w:t>0</w:t>
            </w:r>
          </w:p>
        </w:tc>
        <w:tc>
          <w:tcPr>
            <w:tcW w:w="1442" w:type="dxa"/>
          </w:tcPr>
          <w:p w14:paraId="4B754BAD" w14:textId="77777777" w:rsidR="00D1093D" w:rsidRPr="00562292" w:rsidRDefault="00D1093D" w:rsidP="00562292">
            <w:pPr>
              <w:jc w:val="center"/>
              <w:rPr>
                <w:rFonts w:ascii="Cambria" w:hAnsi="Cambria"/>
                <w:sz w:val="20"/>
                <w:szCs w:val="20"/>
              </w:rPr>
            </w:pPr>
            <w:r w:rsidRPr="00562292">
              <w:rPr>
                <w:rFonts w:ascii="Cambria" w:hAnsi="Cambria"/>
                <w:sz w:val="20"/>
                <w:szCs w:val="20"/>
              </w:rPr>
              <w:t>3 (1.2)</w:t>
            </w:r>
          </w:p>
        </w:tc>
        <w:tc>
          <w:tcPr>
            <w:tcW w:w="1442" w:type="dxa"/>
          </w:tcPr>
          <w:p w14:paraId="6DE4F6D9" w14:textId="77777777" w:rsidR="00D1093D" w:rsidRPr="00562292" w:rsidRDefault="00D1093D" w:rsidP="00562292">
            <w:pPr>
              <w:jc w:val="center"/>
              <w:rPr>
                <w:rFonts w:ascii="Cambria" w:hAnsi="Cambria"/>
                <w:sz w:val="20"/>
                <w:szCs w:val="20"/>
              </w:rPr>
            </w:pPr>
            <w:r w:rsidRPr="00562292">
              <w:rPr>
                <w:rFonts w:ascii="Cambria" w:hAnsi="Cambria"/>
                <w:sz w:val="20"/>
                <w:szCs w:val="20"/>
              </w:rPr>
              <w:t>2 (0.3)</w:t>
            </w:r>
          </w:p>
        </w:tc>
        <w:tc>
          <w:tcPr>
            <w:tcW w:w="1442" w:type="dxa"/>
          </w:tcPr>
          <w:p w14:paraId="03DEDC38" w14:textId="77777777" w:rsidR="00D1093D" w:rsidRPr="00562292" w:rsidRDefault="00D1093D" w:rsidP="00562292">
            <w:pPr>
              <w:jc w:val="center"/>
              <w:rPr>
                <w:rFonts w:ascii="Cambria" w:hAnsi="Cambria"/>
                <w:sz w:val="20"/>
                <w:szCs w:val="20"/>
              </w:rPr>
            </w:pPr>
            <w:r w:rsidRPr="00562292">
              <w:rPr>
                <w:rFonts w:ascii="Cambria" w:hAnsi="Cambria"/>
                <w:sz w:val="20"/>
                <w:szCs w:val="20"/>
              </w:rPr>
              <w:t>3 (0.3)</w:t>
            </w:r>
          </w:p>
        </w:tc>
        <w:tc>
          <w:tcPr>
            <w:tcW w:w="1455" w:type="dxa"/>
          </w:tcPr>
          <w:p w14:paraId="17B30DB6" w14:textId="77777777" w:rsidR="00D1093D" w:rsidRPr="00562292" w:rsidRDefault="00D1093D" w:rsidP="00562292">
            <w:pPr>
              <w:jc w:val="center"/>
              <w:rPr>
                <w:rFonts w:ascii="Cambria" w:hAnsi="Cambria"/>
                <w:sz w:val="20"/>
                <w:szCs w:val="20"/>
              </w:rPr>
            </w:pPr>
            <w:r w:rsidRPr="00562292">
              <w:rPr>
                <w:rFonts w:ascii="Cambria" w:hAnsi="Cambria"/>
                <w:sz w:val="20"/>
                <w:szCs w:val="20"/>
              </w:rPr>
              <w:t>5 (0.3)</w:t>
            </w:r>
          </w:p>
        </w:tc>
      </w:tr>
    </w:tbl>
    <w:p w14:paraId="6DB8521E" w14:textId="7C22E848" w:rsidR="00685B8C" w:rsidRPr="003361F3" w:rsidRDefault="00685B8C" w:rsidP="00243214">
      <w:pPr>
        <w:pStyle w:val="BodyText"/>
        <w:rPr>
          <w:rFonts w:asciiTheme="majorHAnsi" w:hAnsiTheme="majorHAnsi"/>
          <w:sz w:val="20"/>
          <w:szCs w:val="20"/>
        </w:rPr>
      </w:pPr>
      <w:r w:rsidRPr="003361F3">
        <w:rPr>
          <w:rFonts w:asciiTheme="majorHAnsi" w:hAnsiTheme="majorHAnsi"/>
          <w:sz w:val="20"/>
          <w:szCs w:val="20"/>
        </w:rPr>
        <w:t xml:space="preserve">Note: At each level of </w:t>
      </w:r>
      <w:proofErr w:type="spellStart"/>
      <w:r w:rsidR="00D1093D" w:rsidRPr="003361F3">
        <w:rPr>
          <w:rFonts w:asciiTheme="majorHAnsi" w:hAnsiTheme="majorHAnsi"/>
          <w:sz w:val="20"/>
          <w:szCs w:val="20"/>
        </w:rPr>
        <w:t>summari</w:t>
      </w:r>
      <w:r w:rsidR="00D1093D">
        <w:rPr>
          <w:rFonts w:asciiTheme="majorHAnsi" w:hAnsiTheme="majorHAnsi"/>
          <w:sz w:val="20"/>
          <w:szCs w:val="20"/>
        </w:rPr>
        <w:t>sa</w:t>
      </w:r>
      <w:r w:rsidR="00D1093D" w:rsidRPr="003361F3">
        <w:rPr>
          <w:rFonts w:asciiTheme="majorHAnsi" w:hAnsiTheme="majorHAnsi"/>
          <w:sz w:val="20"/>
          <w:szCs w:val="20"/>
        </w:rPr>
        <w:t>tion</w:t>
      </w:r>
      <w:proofErr w:type="spellEnd"/>
      <w:r w:rsidR="00D1093D" w:rsidRPr="003361F3">
        <w:rPr>
          <w:rFonts w:asciiTheme="majorHAnsi" w:hAnsiTheme="majorHAnsi"/>
          <w:sz w:val="20"/>
          <w:szCs w:val="20"/>
        </w:rPr>
        <w:t>, a subject was counted once if the subject reported one or more events. Preferred terms with frequency</w:t>
      </w:r>
      <w:r w:rsidRPr="003361F3">
        <w:rPr>
          <w:rFonts w:asciiTheme="majorHAnsi" w:hAnsiTheme="majorHAnsi"/>
          <w:sz w:val="20"/>
          <w:szCs w:val="20"/>
        </w:rPr>
        <w:t xml:space="preserve"> </w:t>
      </w:r>
      <w:r w:rsidR="00D1093D" w:rsidRPr="003361F3">
        <w:rPr>
          <w:rFonts w:ascii="Cambria" w:hAnsi="Cambria"/>
          <w:sz w:val="20"/>
          <w:szCs w:val="20"/>
          <w:lang w:val="en-GB"/>
        </w:rPr>
        <w:t>≥1%</w:t>
      </w:r>
      <w:r w:rsidR="00D1093D">
        <w:rPr>
          <w:rFonts w:ascii="Cambria" w:hAnsi="Cambria"/>
          <w:sz w:val="20"/>
          <w:szCs w:val="20"/>
          <w:lang w:val="en-GB"/>
        </w:rPr>
        <w:t xml:space="preserve"> in any NUCEIVA or control grouping are presented. “n” = the number of subjects at each level of summarisation; (%) = percentage of subjects. AEs were coded using MedDRA Version 17.0. AEs are sorted in descending order of frequency of System Organ Class based on the total of the NUCIEVA Pooled All. Within each System Organ Class, Preferred Terms are sorted in alphabetical order.</w:t>
      </w:r>
    </w:p>
    <w:p w14:paraId="05D5029A" w14:textId="46F880F8" w:rsidR="00243214" w:rsidRDefault="00243214" w:rsidP="003361F3">
      <w:pPr>
        <w:pStyle w:val="BodyText"/>
      </w:pPr>
    </w:p>
    <w:p w14:paraId="71FC977A" w14:textId="77777777" w:rsidR="0039355D" w:rsidRPr="0039355D" w:rsidRDefault="0039355D" w:rsidP="0039355D">
      <w:pPr>
        <w:spacing w:after="0" w:line="240" w:lineRule="auto"/>
        <w:rPr>
          <w:rFonts w:asciiTheme="majorHAnsi" w:eastAsia="Times New Roman" w:hAnsiTheme="majorHAnsi" w:cs="Times New Roman"/>
          <w:shd w:val="clear" w:color="auto" w:fill="FFFFFF"/>
          <w:lang w:val="en-US"/>
        </w:rPr>
      </w:pPr>
      <w:r w:rsidRPr="0039355D">
        <w:rPr>
          <w:rFonts w:asciiTheme="majorHAnsi" w:eastAsia="Times New Roman" w:hAnsiTheme="majorHAnsi" w:cs="Times New Roman"/>
          <w:shd w:val="clear" w:color="auto" w:fill="FFFFFF"/>
          <w:lang w:val="en-US"/>
        </w:rPr>
        <w:t>Because clinical trials are conducted under widely varying conditions, the adverse reaction rates observed in the clinical trials of a drug cannot be directly compared to rates in the clinical trials of another drug and may not reflect the rates observed in clinical practice.</w:t>
      </w:r>
    </w:p>
    <w:p w14:paraId="024C1152" w14:textId="77777777" w:rsidR="0039355D" w:rsidRPr="008027EC" w:rsidRDefault="0039355D" w:rsidP="0039355D">
      <w:pPr>
        <w:spacing w:after="0" w:line="240" w:lineRule="auto"/>
        <w:rPr>
          <w:rFonts w:asciiTheme="majorHAnsi" w:eastAsia="Times New Roman" w:hAnsiTheme="majorHAnsi" w:cs="Times New Roman"/>
          <w:lang w:val="en-US"/>
        </w:rPr>
      </w:pPr>
    </w:p>
    <w:p w14:paraId="46788967" w14:textId="3B411CC7" w:rsidR="0039355D" w:rsidRPr="008027EC" w:rsidRDefault="0039355D" w:rsidP="0039355D">
      <w:pPr>
        <w:pStyle w:val="BodyText"/>
        <w:rPr>
          <w:sz w:val="22"/>
          <w:szCs w:val="22"/>
        </w:rPr>
      </w:pPr>
      <w:r w:rsidRPr="008027EC">
        <w:rPr>
          <w:rFonts w:ascii="Cambria" w:hAnsi="Cambria"/>
          <w:sz w:val="22"/>
          <w:szCs w:val="22"/>
        </w:rPr>
        <w:t>In general, most adverse reactions occur within the first week following injection of NUCEIVA and while generally transient, may have a duration of several months or longer.</w:t>
      </w:r>
    </w:p>
    <w:p w14:paraId="19DECCF0" w14:textId="77777777" w:rsidR="0039355D" w:rsidRPr="003361F3" w:rsidRDefault="0039355D" w:rsidP="003361F3">
      <w:pPr>
        <w:pStyle w:val="BodyText"/>
      </w:pPr>
    </w:p>
    <w:p w14:paraId="75C67436" w14:textId="7887AF2B" w:rsidR="00DA1ED8" w:rsidRPr="00667463" w:rsidRDefault="00C66073" w:rsidP="00FA5AFC">
      <w:pPr>
        <w:rPr>
          <w:rFonts w:ascii="Cambria" w:hAnsi="Cambria" w:cstheme="minorHAnsi"/>
        </w:rPr>
      </w:pPr>
      <w:r w:rsidRPr="00667463">
        <w:rPr>
          <w:rFonts w:ascii="Cambria" w:hAnsi="Cambria" w:cstheme="minorHAnsi"/>
        </w:rPr>
        <w:t xml:space="preserve">Table 3 presents adverse reactions, undesirable effects in which there is some basis to believe there is causal relationship between the drug and the occurrence, occurring at an incidence of less than 1%.  These terms are categorised </w:t>
      </w:r>
      <w:r w:rsidR="00086DF7" w:rsidRPr="00667463">
        <w:rPr>
          <w:rFonts w:ascii="Cambria" w:hAnsi="Cambria" w:cstheme="minorHAnsi"/>
        </w:rPr>
        <w:t xml:space="preserve">as </w:t>
      </w:r>
      <w:r w:rsidRPr="00277F33">
        <w:rPr>
          <w:rFonts w:ascii="Cambria" w:hAnsi="Cambria" w:cstheme="minorHAnsi"/>
          <w:lang w:val="en-GB"/>
        </w:rPr>
        <w:t xml:space="preserve">uncommon (≥ 1/1,000 to &lt;1/100) or rare </w:t>
      </w:r>
      <w:r w:rsidR="002A6FE1" w:rsidRPr="00277F33">
        <w:rPr>
          <w:rFonts w:ascii="Cambria" w:hAnsi="Cambria" w:cstheme="minorHAnsi"/>
          <w:lang w:val="en-GB"/>
        </w:rPr>
        <w:t>(≥</w:t>
      </w:r>
      <w:r w:rsidR="002A6FE1">
        <w:rPr>
          <w:rFonts w:ascii="Cambria" w:hAnsi="Cambria" w:cstheme="minorHAnsi"/>
          <w:lang w:val="en-GB"/>
        </w:rPr>
        <w:t> </w:t>
      </w:r>
      <w:r w:rsidRPr="00277F33">
        <w:rPr>
          <w:rFonts w:ascii="Cambria" w:hAnsi="Cambria" w:cstheme="minorHAnsi"/>
          <w:lang w:val="en-GB"/>
        </w:rPr>
        <w:t>1/10,000 to &lt;1/1,000).</w:t>
      </w:r>
    </w:p>
    <w:p w14:paraId="7FC8FEDE" w14:textId="04FBABE4" w:rsidR="00DA1ED8" w:rsidRPr="00633577" w:rsidRDefault="00DA1ED8" w:rsidP="00DA1ED8">
      <w:pPr>
        <w:pStyle w:val="Caption"/>
        <w:ind w:left="0" w:firstLine="0"/>
        <w:rPr>
          <w:rFonts w:asciiTheme="majorHAnsi" w:hAnsiTheme="majorHAnsi"/>
          <w:sz w:val="22"/>
          <w:szCs w:val="22"/>
          <w:lang w:val="en-GB"/>
        </w:rPr>
      </w:pPr>
      <w:r w:rsidRPr="00633577">
        <w:rPr>
          <w:rFonts w:asciiTheme="majorHAnsi" w:hAnsiTheme="majorHAnsi"/>
          <w:sz w:val="22"/>
          <w:szCs w:val="22"/>
        </w:rPr>
        <w:t xml:space="preserve">Table </w:t>
      </w:r>
      <w:r w:rsidRPr="00633577">
        <w:rPr>
          <w:rFonts w:asciiTheme="majorHAnsi" w:hAnsiTheme="majorHAnsi"/>
          <w:sz w:val="22"/>
          <w:szCs w:val="22"/>
        </w:rPr>
        <w:fldChar w:fldCharType="begin"/>
      </w:r>
      <w:r w:rsidRPr="00633577">
        <w:rPr>
          <w:rFonts w:asciiTheme="majorHAnsi" w:hAnsiTheme="majorHAnsi"/>
          <w:sz w:val="22"/>
          <w:szCs w:val="22"/>
        </w:rPr>
        <w:instrText xml:space="preserve"> SEQ Table \* ARABIC </w:instrText>
      </w:r>
      <w:r w:rsidRPr="00633577">
        <w:rPr>
          <w:rFonts w:asciiTheme="majorHAnsi" w:hAnsiTheme="majorHAnsi"/>
          <w:sz w:val="22"/>
          <w:szCs w:val="22"/>
        </w:rPr>
        <w:fldChar w:fldCharType="separate"/>
      </w:r>
      <w:r w:rsidR="00685B8C" w:rsidRPr="00633577">
        <w:rPr>
          <w:rFonts w:asciiTheme="majorHAnsi" w:hAnsiTheme="majorHAnsi"/>
          <w:noProof/>
          <w:sz w:val="22"/>
          <w:szCs w:val="22"/>
        </w:rPr>
        <w:t>3</w:t>
      </w:r>
      <w:r w:rsidRPr="00633577">
        <w:rPr>
          <w:rFonts w:asciiTheme="majorHAnsi" w:hAnsiTheme="majorHAnsi"/>
          <w:sz w:val="22"/>
          <w:szCs w:val="22"/>
        </w:rPr>
        <w:fldChar w:fldCharType="end"/>
      </w:r>
      <w:r w:rsidRPr="00633577">
        <w:rPr>
          <w:rFonts w:asciiTheme="majorHAnsi" w:hAnsiTheme="majorHAnsi"/>
          <w:sz w:val="22"/>
          <w:szCs w:val="22"/>
        </w:rPr>
        <w:t xml:space="preserve"> – </w:t>
      </w:r>
      <w:r w:rsidR="008A3D64" w:rsidRPr="00633577">
        <w:rPr>
          <w:rFonts w:asciiTheme="majorHAnsi" w:hAnsiTheme="majorHAnsi"/>
          <w:sz w:val="22"/>
          <w:szCs w:val="22"/>
        </w:rPr>
        <w:t>Summary of Adverse Reactions Occurring at less than 1%</w:t>
      </w: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33"/>
        <w:gridCol w:w="10"/>
        <w:gridCol w:w="3290"/>
        <w:gridCol w:w="2761"/>
      </w:tblGrid>
      <w:tr w:rsidR="00DA1ED8" w:rsidRPr="00D1093D" w14:paraId="44A6B23D" w14:textId="77777777" w:rsidTr="003361F3">
        <w:trPr>
          <w:trHeight w:hRule="exact" w:val="322"/>
          <w:tblHeader/>
        </w:trPr>
        <w:tc>
          <w:tcPr>
            <w:tcW w:w="2743" w:type="dxa"/>
            <w:gridSpan w:val="2"/>
            <w:shd w:val="clear" w:color="auto" w:fill="auto"/>
          </w:tcPr>
          <w:p w14:paraId="5CE68D3F" w14:textId="77777777" w:rsidR="00DA1ED8" w:rsidRPr="003361F3" w:rsidRDefault="00DA1ED8" w:rsidP="00321B3A">
            <w:pPr>
              <w:widowControl w:val="0"/>
              <w:spacing w:line="240" w:lineRule="auto"/>
              <w:ind w:left="61"/>
              <w:rPr>
                <w:rFonts w:asciiTheme="majorHAnsi" w:eastAsia="Calibri" w:hAnsiTheme="majorHAnsi" w:cstheme="minorHAnsi"/>
                <w:color w:val="000000"/>
                <w:spacing w:val="-1"/>
                <w:sz w:val="20"/>
                <w:szCs w:val="20"/>
                <w:lang w:val="en-US"/>
              </w:rPr>
            </w:pPr>
            <w:r w:rsidRPr="003361F3">
              <w:rPr>
                <w:rFonts w:asciiTheme="majorHAnsi" w:eastAsia="Calibri" w:hAnsiTheme="majorHAnsi" w:cstheme="minorHAnsi"/>
                <w:b/>
                <w:color w:val="000000"/>
                <w:sz w:val="20"/>
                <w:szCs w:val="20"/>
                <w:lang w:val="en-US"/>
              </w:rPr>
              <w:t>System</w:t>
            </w:r>
            <w:r w:rsidRPr="003361F3">
              <w:rPr>
                <w:rFonts w:asciiTheme="majorHAnsi" w:eastAsia="Calibri" w:hAnsiTheme="majorHAnsi" w:cstheme="minorHAnsi"/>
                <w:b/>
                <w:color w:val="000000"/>
                <w:spacing w:val="9"/>
                <w:sz w:val="20"/>
                <w:szCs w:val="20"/>
                <w:lang w:val="en-US"/>
              </w:rPr>
              <w:t xml:space="preserve"> </w:t>
            </w:r>
            <w:r w:rsidRPr="003361F3">
              <w:rPr>
                <w:rFonts w:asciiTheme="majorHAnsi" w:eastAsia="Calibri" w:hAnsiTheme="majorHAnsi" w:cstheme="minorHAnsi"/>
                <w:b/>
                <w:color w:val="000000"/>
                <w:sz w:val="20"/>
                <w:szCs w:val="20"/>
                <w:lang w:val="en-US"/>
              </w:rPr>
              <w:t>Organ</w:t>
            </w:r>
            <w:r w:rsidRPr="003361F3">
              <w:rPr>
                <w:rFonts w:asciiTheme="majorHAnsi" w:eastAsia="Calibri" w:hAnsiTheme="majorHAnsi" w:cstheme="minorHAnsi"/>
                <w:b/>
                <w:color w:val="000000"/>
                <w:spacing w:val="9"/>
                <w:sz w:val="20"/>
                <w:szCs w:val="20"/>
                <w:lang w:val="en-US"/>
              </w:rPr>
              <w:t xml:space="preserve"> </w:t>
            </w:r>
            <w:r w:rsidRPr="003361F3">
              <w:rPr>
                <w:rFonts w:asciiTheme="majorHAnsi" w:eastAsia="Calibri" w:hAnsiTheme="majorHAnsi" w:cstheme="minorHAnsi"/>
                <w:b/>
                <w:color w:val="000000"/>
                <w:sz w:val="20"/>
                <w:szCs w:val="20"/>
                <w:lang w:val="en-US"/>
              </w:rPr>
              <w:t>Class</w:t>
            </w:r>
          </w:p>
        </w:tc>
        <w:tc>
          <w:tcPr>
            <w:tcW w:w="3290" w:type="dxa"/>
            <w:shd w:val="clear" w:color="auto" w:fill="auto"/>
          </w:tcPr>
          <w:p w14:paraId="13C59ACF" w14:textId="77777777" w:rsidR="00DA1ED8" w:rsidRPr="003361F3" w:rsidRDefault="00DA1ED8" w:rsidP="00321B3A">
            <w:pPr>
              <w:widowControl w:val="0"/>
              <w:spacing w:line="240" w:lineRule="auto"/>
              <w:ind w:left="61"/>
              <w:rPr>
                <w:rFonts w:asciiTheme="majorHAnsi" w:eastAsia="Calibri" w:hAnsiTheme="majorHAnsi" w:cstheme="minorHAnsi"/>
                <w:color w:val="000000"/>
                <w:spacing w:val="-1"/>
                <w:sz w:val="20"/>
                <w:szCs w:val="20"/>
                <w:lang w:val="en-US"/>
              </w:rPr>
            </w:pPr>
            <w:r w:rsidRPr="003361F3">
              <w:rPr>
                <w:rFonts w:asciiTheme="majorHAnsi" w:eastAsia="Calibri" w:hAnsiTheme="majorHAnsi" w:cstheme="minorHAnsi"/>
                <w:b/>
                <w:color w:val="000000"/>
                <w:sz w:val="20"/>
                <w:szCs w:val="20"/>
                <w:lang w:val="en-US"/>
              </w:rPr>
              <w:t>Preferred</w:t>
            </w:r>
            <w:r w:rsidRPr="003361F3">
              <w:rPr>
                <w:rFonts w:asciiTheme="majorHAnsi" w:eastAsia="Calibri" w:hAnsiTheme="majorHAnsi" w:cstheme="minorHAnsi"/>
                <w:b/>
                <w:color w:val="000000"/>
                <w:spacing w:val="14"/>
                <w:sz w:val="20"/>
                <w:szCs w:val="20"/>
                <w:lang w:val="en-US"/>
              </w:rPr>
              <w:t xml:space="preserve"> </w:t>
            </w:r>
            <w:r w:rsidRPr="003361F3">
              <w:rPr>
                <w:rFonts w:asciiTheme="majorHAnsi" w:eastAsia="Calibri" w:hAnsiTheme="majorHAnsi" w:cstheme="minorHAnsi"/>
                <w:b/>
                <w:color w:val="000000"/>
                <w:sz w:val="20"/>
                <w:szCs w:val="20"/>
                <w:lang w:val="en-US"/>
              </w:rPr>
              <w:t>Term</w:t>
            </w:r>
          </w:p>
        </w:tc>
        <w:tc>
          <w:tcPr>
            <w:tcW w:w="2761" w:type="dxa"/>
            <w:shd w:val="clear" w:color="auto" w:fill="auto"/>
          </w:tcPr>
          <w:p w14:paraId="1ED0A06A" w14:textId="77777777" w:rsidR="00DA1ED8" w:rsidRPr="003361F3" w:rsidRDefault="00DA1ED8" w:rsidP="00321B3A">
            <w:pPr>
              <w:widowControl w:val="0"/>
              <w:spacing w:line="240" w:lineRule="auto"/>
              <w:ind w:left="61"/>
              <w:rPr>
                <w:rFonts w:asciiTheme="majorHAnsi" w:eastAsia="Tahoma" w:hAnsiTheme="majorHAnsi" w:cstheme="minorHAnsi"/>
                <w:color w:val="000000"/>
                <w:sz w:val="20"/>
                <w:szCs w:val="20"/>
                <w:highlight w:val="yellow"/>
                <w:lang w:val="en-US"/>
              </w:rPr>
            </w:pPr>
            <w:r w:rsidRPr="003361F3">
              <w:rPr>
                <w:rFonts w:asciiTheme="majorHAnsi" w:eastAsia="Calibri" w:hAnsiTheme="majorHAnsi" w:cstheme="minorHAnsi"/>
                <w:b/>
                <w:color w:val="000000"/>
                <w:spacing w:val="-1"/>
                <w:sz w:val="20"/>
                <w:szCs w:val="20"/>
                <w:lang w:val="en-US"/>
              </w:rPr>
              <w:t>Frequency</w:t>
            </w:r>
          </w:p>
        </w:tc>
      </w:tr>
      <w:tr w:rsidR="00DA1ED8" w:rsidRPr="00D1093D" w14:paraId="51BD3522" w14:textId="77777777" w:rsidTr="00321B3A">
        <w:trPr>
          <w:trHeight w:hRule="exact" w:val="322"/>
        </w:trPr>
        <w:tc>
          <w:tcPr>
            <w:tcW w:w="2743" w:type="dxa"/>
            <w:gridSpan w:val="2"/>
            <w:tcBorders>
              <w:top w:val="single" w:sz="4" w:space="0" w:color="auto"/>
              <w:left w:val="single" w:sz="4" w:space="0" w:color="auto"/>
              <w:bottom w:val="single" w:sz="4" w:space="0" w:color="auto"/>
              <w:right w:val="single" w:sz="4" w:space="0" w:color="auto"/>
            </w:tcBorders>
            <w:shd w:val="clear" w:color="auto" w:fill="auto"/>
          </w:tcPr>
          <w:p w14:paraId="4A109CAF" w14:textId="77777777" w:rsidR="00DA1ED8" w:rsidRPr="003361F3" w:rsidRDefault="00DA1ED8" w:rsidP="00321B3A">
            <w:pPr>
              <w:widowControl w:val="0"/>
              <w:spacing w:line="240" w:lineRule="auto"/>
              <w:ind w:left="61"/>
              <w:rPr>
                <w:rFonts w:asciiTheme="majorHAnsi" w:eastAsia="Calibri" w:hAnsiTheme="majorHAnsi" w:cstheme="minorHAnsi"/>
                <w:color w:val="000000"/>
                <w:sz w:val="20"/>
                <w:szCs w:val="20"/>
                <w:lang w:val="en-US"/>
              </w:rPr>
            </w:pPr>
            <w:r w:rsidRPr="003361F3">
              <w:rPr>
                <w:rFonts w:asciiTheme="majorHAnsi" w:eastAsia="Calibri" w:hAnsiTheme="majorHAnsi" w:cstheme="minorHAnsi"/>
                <w:color w:val="000000"/>
                <w:sz w:val="20"/>
                <w:szCs w:val="20"/>
                <w:lang w:val="en-US"/>
              </w:rPr>
              <w:t>Infections and infestations</w:t>
            </w:r>
          </w:p>
        </w:tc>
        <w:tc>
          <w:tcPr>
            <w:tcW w:w="3290" w:type="dxa"/>
            <w:tcBorders>
              <w:top w:val="single" w:sz="4" w:space="0" w:color="auto"/>
              <w:left w:val="single" w:sz="4" w:space="0" w:color="auto"/>
              <w:bottom w:val="single" w:sz="4" w:space="0" w:color="auto"/>
              <w:right w:val="single" w:sz="4" w:space="0" w:color="auto"/>
            </w:tcBorders>
            <w:shd w:val="clear" w:color="auto" w:fill="auto"/>
          </w:tcPr>
          <w:p w14:paraId="7A57CD32" w14:textId="77777777" w:rsidR="00DA1ED8" w:rsidRPr="003361F3" w:rsidRDefault="00DA1ED8" w:rsidP="00321B3A">
            <w:pPr>
              <w:widowControl w:val="0"/>
              <w:spacing w:line="240" w:lineRule="auto"/>
              <w:ind w:left="61"/>
              <w:rPr>
                <w:rFonts w:asciiTheme="majorHAnsi" w:eastAsia="Calibri" w:hAnsiTheme="majorHAnsi" w:cstheme="minorHAnsi"/>
                <w:color w:val="000000"/>
                <w:sz w:val="20"/>
                <w:szCs w:val="20"/>
                <w:lang w:val="en-US"/>
              </w:rPr>
            </w:pPr>
            <w:r w:rsidRPr="003361F3">
              <w:rPr>
                <w:rFonts w:asciiTheme="majorHAnsi" w:eastAsia="Calibri" w:hAnsiTheme="majorHAnsi" w:cstheme="minorHAnsi"/>
                <w:color w:val="000000"/>
                <w:sz w:val="20"/>
                <w:szCs w:val="20"/>
                <w:lang w:val="en-US"/>
              </w:rPr>
              <w:t>Upper respiratory tract infection</w:t>
            </w:r>
          </w:p>
        </w:tc>
        <w:tc>
          <w:tcPr>
            <w:tcW w:w="2761" w:type="dxa"/>
            <w:tcBorders>
              <w:top w:val="single" w:sz="4" w:space="0" w:color="auto"/>
              <w:left w:val="single" w:sz="4" w:space="0" w:color="auto"/>
              <w:bottom w:val="single" w:sz="4" w:space="0" w:color="auto"/>
              <w:right w:val="single" w:sz="4" w:space="0" w:color="auto"/>
            </w:tcBorders>
            <w:shd w:val="clear" w:color="auto" w:fill="auto"/>
          </w:tcPr>
          <w:p w14:paraId="1567FF63" w14:textId="77777777" w:rsidR="00DA1ED8" w:rsidRPr="003361F3" w:rsidRDefault="00DA1ED8" w:rsidP="00321B3A">
            <w:pPr>
              <w:widowControl w:val="0"/>
              <w:spacing w:line="240" w:lineRule="auto"/>
              <w:ind w:left="61"/>
              <w:rPr>
                <w:rFonts w:asciiTheme="majorHAnsi" w:eastAsia="Calibri" w:hAnsiTheme="majorHAnsi" w:cstheme="minorHAnsi"/>
                <w:color w:val="000000"/>
                <w:spacing w:val="-1"/>
                <w:sz w:val="20"/>
                <w:szCs w:val="20"/>
                <w:lang w:val="en-US"/>
              </w:rPr>
            </w:pPr>
            <w:r w:rsidRPr="003361F3">
              <w:rPr>
                <w:rFonts w:asciiTheme="majorHAnsi" w:eastAsia="Calibri" w:hAnsiTheme="majorHAnsi" w:cstheme="minorHAnsi"/>
                <w:color w:val="000000"/>
                <w:spacing w:val="-1"/>
                <w:sz w:val="20"/>
                <w:szCs w:val="20"/>
                <w:lang w:val="en-US"/>
              </w:rPr>
              <w:t>Rare</w:t>
            </w:r>
          </w:p>
        </w:tc>
      </w:tr>
      <w:tr w:rsidR="00DA1ED8" w:rsidRPr="00D1093D" w14:paraId="5828A4C2" w14:textId="77777777" w:rsidTr="0075441D">
        <w:trPr>
          <w:trHeight w:val="449"/>
        </w:trPr>
        <w:tc>
          <w:tcPr>
            <w:tcW w:w="2733" w:type="dxa"/>
          </w:tcPr>
          <w:p w14:paraId="62AC2DB8" w14:textId="77777777" w:rsidR="00DA1ED8" w:rsidRPr="003361F3" w:rsidRDefault="00DA1ED8" w:rsidP="00321B3A">
            <w:pPr>
              <w:widowControl w:val="0"/>
              <w:spacing w:line="240" w:lineRule="auto"/>
              <w:ind w:left="61" w:right="337"/>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Psychiatric disorders</w:t>
            </w:r>
          </w:p>
        </w:tc>
        <w:tc>
          <w:tcPr>
            <w:tcW w:w="3300" w:type="dxa"/>
            <w:gridSpan w:val="2"/>
          </w:tcPr>
          <w:p w14:paraId="0262D9EB" w14:textId="77777777" w:rsidR="00DA1ED8" w:rsidRPr="003361F3" w:rsidRDefault="00DA1ED8" w:rsidP="00321B3A">
            <w:pPr>
              <w:widowControl w:val="0"/>
              <w:spacing w:line="240" w:lineRule="auto"/>
              <w:ind w:left="61" w:right="123"/>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Depression</w:t>
            </w:r>
          </w:p>
        </w:tc>
        <w:tc>
          <w:tcPr>
            <w:tcW w:w="2761" w:type="dxa"/>
          </w:tcPr>
          <w:p w14:paraId="254EB954"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Rare</w:t>
            </w:r>
          </w:p>
        </w:tc>
      </w:tr>
      <w:tr w:rsidR="00DA1ED8" w:rsidRPr="00D1093D" w14:paraId="14685E4B" w14:textId="77777777" w:rsidTr="0075441D">
        <w:trPr>
          <w:trHeight w:hRule="exact" w:val="730"/>
        </w:trPr>
        <w:tc>
          <w:tcPr>
            <w:tcW w:w="2743" w:type="dxa"/>
            <w:gridSpan w:val="2"/>
            <w:vMerge w:val="restart"/>
          </w:tcPr>
          <w:p w14:paraId="2A457DC5" w14:textId="77777777" w:rsidR="00DA1ED8" w:rsidRPr="003361F3" w:rsidRDefault="00DA1ED8" w:rsidP="00321B3A">
            <w:pPr>
              <w:widowControl w:val="0"/>
              <w:spacing w:line="240" w:lineRule="auto"/>
              <w:rPr>
                <w:rFonts w:asciiTheme="majorHAnsi" w:eastAsia="Calibri" w:hAnsiTheme="majorHAnsi" w:cstheme="minorHAnsi"/>
                <w:sz w:val="20"/>
                <w:szCs w:val="20"/>
                <w:lang w:val="en-US"/>
              </w:rPr>
            </w:pPr>
            <w:r w:rsidRPr="003361F3">
              <w:rPr>
                <w:rFonts w:asciiTheme="majorHAnsi" w:eastAsia="Calibri" w:hAnsiTheme="majorHAnsi" w:cstheme="minorHAnsi"/>
                <w:sz w:val="20"/>
                <w:szCs w:val="20"/>
                <w:lang w:val="en-US"/>
              </w:rPr>
              <w:t xml:space="preserve"> Nervous System Disorders</w:t>
            </w:r>
          </w:p>
        </w:tc>
        <w:tc>
          <w:tcPr>
            <w:tcW w:w="3290" w:type="dxa"/>
          </w:tcPr>
          <w:p w14:paraId="46F6B97F" w14:textId="77777777" w:rsidR="00DA1ED8" w:rsidRPr="003361F3" w:rsidRDefault="00DA1ED8" w:rsidP="00321B3A">
            <w:pPr>
              <w:widowControl w:val="0"/>
              <w:spacing w:line="240" w:lineRule="auto"/>
              <w:ind w:left="61"/>
              <w:rPr>
                <w:rFonts w:asciiTheme="majorHAnsi" w:eastAsia="Tahoma" w:hAnsiTheme="majorHAnsi" w:cstheme="minorHAnsi"/>
                <w:sz w:val="20"/>
                <w:szCs w:val="20"/>
                <w:lang w:val="en-US"/>
              </w:rPr>
            </w:pPr>
            <w:r w:rsidRPr="003361F3">
              <w:rPr>
                <w:rFonts w:asciiTheme="majorHAnsi" w:eastAsia="Calibri" w:hAnsiTheme="majorHAnsi" w:cstheme="minorHAnsi"/>
                <w:spacing w:val="-1"/>
                <w:sz w:val="20"/>
                <w:szCs w:val="20"/>
                <w:lang w:val="en-US"/>
              </w:rPr>
              <w:t xml:space="preserve">Dizziness, migraine, muscle tone disorder, speech disorder </w:t>
            </w:r>
          </w:p>
        </w:tc>
        <w:tc>
          <w:tcPr>
            <w:tcW w:w="2761" w:type="dxa"/>
          </w:tcPr>
          <w:p w14:paraId="02370931"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Uncommon</w:t>
            </w:r>
          </w:p>
        </w:tc>
      </w:tr>
      <w:tr w:rsidR="00DA1ED8" w:rsidRPr="00D1093D" w14:paraId="2C18CF1A" w14:textId="77777777" w:rsidTr="00321B3A">
        <w:trPr>
          <w:trHeight w:hRule="exact" w:val="901"/>
        </w:trPr>
        <w:tc>
          <w:tcPr>
            <w:tcW w:w="2743" w:type="dxa"/>
            <w:gridSpan w:val="2"/>
            <w:vMerge/>
          </w:tcPr>
          <w:p w14:paraId="02F60D4A" w14:textId="77777777" w:rsidR="00DA1ED8" w:rsidRPr="003361F3" w:rsidRDefault="00DA1ED8" w:rsidP="00321B3A">
            <w:pPr>
              <w:widowControl w:val="0"/>
              <w:spacing w:line="240" w:lineRule="auto"/>
              <w:rPr>
                <w:rFonts w:asciiTheme="majorHAnsi" w:eastAsia="Calibri" w:hAnsiTheme="majorHAnsi" w:cstheme="minorHAnsi"/>
                <w:sz w:val="20"/>
                <w:szCs w:val="20"/>
                <w:lang w:val="en-US"/>
              </w:rPr>
            </w:pPr>
          </w:p>
        </w:tc>
        <w:tc>
          <w:tcPr>
            <w:tcW w:w="3290" w:type="dxa"/>
          </w:tcPr>
          <w:p w14:paraId="3468702E" w14:textId="77777777" w:rsidR="00DA1ED8" w:rsidRPr="003361F3" w:rsidRDefault="00DA1ED8" w:rsidP="00321B3A">
            <w:pPr>
              <w:widowControl w:val="0"/>
              <w:spacing w:line="240" w:lineRule="auto"/>
              <w:ind w:left="61"/>
              <w:rPr>
                <w:rFonts w:asciiTheme="majorHAnsi" w:eastAsia="Calibri" w:hAnsiTheme="majorHAnsi" w:cstheme="minorHAnsi"/>
                <w:spacing w:val="-1"/>
                <w:sz w:val="20"/>
                <w:szCs w:val="20"/>
                <w:lang w:val="en-US"/>
              </w:rPr>
            </w:pPr>
            <w:proofErr w:type="spellStart"/>
            <w:r w:rsidRPr="003361F3">
              <w:rPr>
                <w:rFonts w:asciiTheme="majorHAnsi" w:eastAsia="Calibri" w:hAnsiTheme="majorHAnsi" w:cstheme="minorHAnsi"/>
                <w:spacing w:val="-1"/>
                <w:sz w:val="20"/>
                <w:szCs w:val="20"/>
                <w:lang w:val="en-US"/>
              </w:rPr>
              <w:t>Dysaesthesia</w:t>
            </w:r>
            <w:proofErr w:type="spellEnd"/>
            <w:r w:rsidRPr="003361F3">
              <w:rPr>
                <w:rFonts w:asciiTheme="majorHAnsi" w:eastAsia="Calibri" w:hAnsiTheme="majorHAnsi" w:cstheme="minorHAnsi"/>
                <w:spacing w:val="-1"/>
                <w:sz w:val="20"/>
                <w:szCs w:val="20"/>
                <w:lang w:val="en-US"/>
              </w:rPr>
              <w:t xml:space="preserve">, head discomfort, </w:t>
            </w:r>
            <w:proofErr w:type="spellStart"/>
            <w:r w:rsidRPr="003361F3">
              <w:rPr>
                <w:rFonts w:asciiTheme="majorHAnsi" w:eastAsia="Calibri" w:hAnsiTheme="majorHAnsi" w:cstheme="minorHAnsi"/>
                <w:spacing w:val="-1"/>
                <w:sz w:val="20"/>
                <w:szCs w:val="20"/>
                <w:lang w:val="en-US"/>
              </w:rPr>
              <w:t>hypoaesthesia</w:t>
            </w:r>
            <w:proofErr w:type="spellEnd"/>
            <w:r w:rsidRPr="003361F3">
              <w:rPr>
                <w:rFonts w:asciiTheme="majorHAnsi" w:eastAsia="Calibri" w:hAnsiTheme="majorHAnsi" w:cstheme="minorHAnsi"/>
                <w:spacing w:val="-1"/>
                <w:sz w:val="20"/>
                <w:szCs w:val="20"/>
                <w:lang w:val="en-US"/>
              </w:rPr>
              <w:t xml:space="preserve">, </w:t>
            </w:r>
            <w:proofErr w:type="spellStart"/>
            <w:r w:rsidRPr="003361F3">
              <w:rPr>
                <w:rFonts w:asciiTheme="majorHAnsi" w:eastAsia="Calibri" w:hAnsiTheme="majorHAnsi" w:cstheme="minorHAnsi"/>
                <w:spacing w:val="-1"/>
                <w:sz w:val="20"/>
                <w:szCs w:val="20"/>
                <w:lang w:val="en-US"/>
              </w:rPr>
              <w:t>paraesthesia</w:t>
            </w:r>
            <w:proofErr w:type="spellEnd"/>
            <w:r w:rsidRPr="003361F3">
              <w:rPr>
                <w:rFonts w:asciiTheme="majorHAnsi" w:eastAsia="Calibri" w:hAnsiTheme="majorHAnsi" w:cstheme="minorHAnsi"/>
                <w:spacing w:val="-1"/>
                <w:sz w:val="20"/>
                <w:szCs w:val="20"/>
                <w:lang w:val="en-US"/>
              </w:rPr>
              <w:t>, sensory disturbance</w:t>
            </w:r>
          </w:p>
        </w:tc>
        <w:tc>
          <w:tcPr>
            <w:tcW w:w="2761" w:type="dxa"/>
          </w:tcPr>
          <w:p w14:paraId="25A45335"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Rare</w:t>
            </w:r>
          </w:p>
        </w:tc>
      </w:tr>
      <w:tr w:rsidR="00DA1ED8" w:rsidRPr="00D1093D" w14:paraId="1401A7EB" w14:textId="77777777" w:rsidTr="00321B3A">
        <w:trPr>
          <w:trHeight w:hRule="exact" w:val="811"/>
        </w:trPr>
        <w:tc>
          <w:tcPr>
            <w:tcW w:w="2743" w:type="dxa"/>
            <w:gridSpan w:val="2"/>
            <w:vMerge w:val="restart"/>
          </w:tcPr>
          <w:p w14:paraId="4ECDF0C9" w14:textId="77777777" w:rsidR="00DA1ED8" w:rsidRPr="003361F3" w:rsidRDefault="00DA1ED8" w:rsidP="00321B3A">
            <w:pPr>
              <w:widowControl w:val="0"/>
              <w:spacing w:line="240" w:lineRule="auto"/>
              <w:ind w:left="61"/>
              <w:rPr>
                <w:rFonts w:asciiTheme="majorHAnsi" w:eastAsia="Calibri" w:hAnsiTheme="majorHAnsi" w:cstheme="minorHAnsi"/>
                <w:spacing w:val="-1"/>
                <w:sz w:val="20"/>
                <w:szCs w:val="20"/>
                <w:lang w:val="en-US"/>
              </w:rPr>
            </w:pPr>
            <w:r w:rsidRPr="003361F3">
              <w:rPr>
                <w:rFonts w:asciiTheme="majorHAnsi" w:eastAsia="Calibri" w:hAnsiTheme="majorHAnsi" w:cstheme="minorHAnsi"/>
                <w:spacing w:val="-1"/>
                <w:sz w:val="20"/>
                <w:szCs w:val="20"/>
                <w:lang w:val="en-US"/>
              </w:rPr>
              <w:t>Eye</w:t>
            </w:r>
            <w:r w:rsidRPr="003361F3">
              <w:rPr>
                <w:rFonts w:asciiTheme="majorHAnsi" w:eastAsia="Calibri" w:hAnsiTheme="majorHAnsi" w:cstheme="minorHAnsi"/>
                <w:spacing w:val="11"/>
                <w:sz w:val="20"/>
                <w:szCs w:val="20"/>
                <w:lang w:val="en-US"/>
              </w:rPr>
              <w:t xml:space="preserve"> </w:t>
            </w:r>
            <w:r w:rsidRPr="003361F3">
              <w:rPr>
                <w:rFonts w:asciiTheme="majorHAnsi" w:eastAsia="Calibri" w:hAnsiTheme="majorHAnsi" w:cstheme="minorHAnsi"/>
                <w:spacing w:val="-1"/>
                <w:sz w:val="20"/>
                <w:szCs w:val="20"/>
                <w:lang w:val="en-US"/>
              </w:rPr>
              <w:t>disorders</w:t>
            </w:r>
          </w:p>
          <w:p w14:paraId="4D9B2EC7" w14:textId="77777777" w:rsidR="00DA1ED8" w:rsidRPr="003361F3" w:rsidRDefault="00DA1ED8" w:rsidP="00321B3A">
            <w:pPr>
              <w:widowControl w:val="0"/>
              <w:spacing w:line="240" w:lineRule="auto"/>
              <w:ind w:left="61"/>
              <w:rPr>
                <w:rFonts w:asciiTheme="majorHAnsi" w:eastAsia="Tahoma" w:hAnsiTheme="majorHAnsi" w:cstheme="minorHAnsi"/>
                <w:sz w:val="20"/>
                <w:szCs w:val="20"/>
                <w:lang w:val="en-US"/>
              </w:rPr>
            </w:pPr>
          </w:p>
        </w:tc>
        <w:tc>
          <w:tcPr>
            <w:tcW w:w="3290" w:type="dxa"/>
          </w:tcPr>
          <w:p w14:paraId="555E6760" w14:textId="77777777" w:rsidR="00DA1ED8" w:rsidRPr="003361F3" w:rsidRDefault="00DA1ED8" w:rsidP="00321B3A">
            <w:pPr>
              <w:widowControl w:val="0"/>
              <w:spacing w:line="240" w:lineRule="auto"/>
              <w:ind w:left="61"/>
              <w:rPr>
                <w:rFonts w:asciiTheme="majorHAnsi" w:eastAsia="Tahoma" w:hAnsiTheme="majorHAnsi" w:cstheme="minorHAnsi"/>
                <w:sz w:val="20"/>
                <w:szCs w:val="20"/>
                <w:lang w:val="en-US"/>
              </w:rPr>
            </w:pPr>
            <w:proofErr w:type="spellStart"/>
            <w:r w:rsidRPr="003361F3">
              <w:rPr>
                <w:rFonts w:asciiTheme="majorHAnsi" w:eastAsia="Calibri" w:hAnsiTheme="majorHAnsi" w:cstheme="minorHAnsi"/>
                <w:sz w:val="20"/>
                <w:szCs w:val="20"/>
                <w:lang w:val="en-US"/>
              </w:rPr>
              <w:t>Asthopenia</w:t>
            </w:r>
            <w:proofErr w:type="spellEnd"/>
            <w:r w:rsidRPr="003361F3">
              <w:rPr>
                <w:rFonts w:asciiTheme="majorHAnsi" w:eastAsia="Calibri" w:hAnsiTheme="majorHAnsi" w:cstheme="minorHAnsi"/>
                <w:sz w:val="20"/>
                <w:szCs w:val="20"/>
                <w:lang w:val="en-US"/>
              </w:rPr>
              <w:t>, blepharospasm, brow ptosis, eyelid oedema, eye swelling, vision blurred</w:t>
            </w:r>
          </w:p>
        </w:tc>
        <w:tc>
          <w:tcPr>
            <w:tcW w:w="2761" w:type="dxa"/>
          </w:tcPr>
          <w:p w14:paraId="21B0BAF9"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Uncommon</w:t>
            </w:r>
          </w:p>
        </w:tc>
      </w:tr>
      <w:tr w:rsidR="00DA1ED8" w:rsidRPr="00D1093D" w14:paraId="6D1CC860" w14:textId="77777777" w:rsidTr="001E5356">
        <w:trPr>
          <w:trHeight w:hRule="exact" w:val="676"/>
        </w:trPr>
        <w:tc>
          <w:tcPr>
            <w:tcW w:w="2743" w:type="dxa"/>
            <w:gridSpan w:val="2"/>
            <w:vMerge/>
          </w:tcPr>
          <w:p w14:paraId="1E93A476" w14:textId="77777777" w:rsidR="00DA1ED8" w:rsidRPr="003361F3" w:rsidRDefault="00DA1ED8" w:rsidP="00321B3A">
            <w:pPr>
              <w:widowControl w:val="0"/>
              <w:spacing w:line="240" w:lineRule="auto"/>
              <w:rPr>
                <w:rFonts w:asciiTheme="majorHAnsi" w:eastAsia="Calibri" w:hAnsiTheme="majorHAnsi" w:cstheme="minorHAnsi"/>
                <w:sz w:val="20"/>
                <w:szCs w:val="20"/>
                <w:lang w:val="en-US"/>
              </w:rPr>
            </w:pPr>
          </w:p>
        </w:tc>
        <w:tc>
          <w:tcPr>
            <w:tcW w:w="3290" w:type="dxa"/>
          </w:tcPr>
          <w:p w14:paraId="2118FE4A" w14:textId="77777777" w:rsidR="00DA1ED8" w:rsidRPr="003361F3" w:rsidRDefault="00DA1ED8" w:rsidP="00321B3A">
            <w:pPr>
              <w:widowControl w:val="0"/>
              <w:spacing w:line="240" w:lineRule="auto"/>
              <w:ind w:right="475"/>
              <w:rPr>
                <w:rFonts w:asciiTheme="majorHAnsi" w:eastAsia="Tahoma" w:hAnsiTheme="majorHAnsi" w:cstheme="minorHAnsi"/>
                <w:sz w:val="20"/>
                <w:szCs w:val="20"/>
                <w:lang w:val="en-US"/>
              </w:rPr>
            </w:pPr>
            <w:r w:rsidRPr="003361F3">
              <w:rPr>
                <w:rFonts w:asciiTheme="majorHAnsi" w:eastAsia="Calibri" w:hAnsiTheme="majorHAnsi" w:cstheme="minorHAnsi"/>
                <w:sz w:val="20"/>
                <w:szCs w:val="20"/>
                <w:lang w:val="en-US"/>
              </w:rPr>
              <w:t>Diplopia, dry eye, eyelid sensory disorder</w:t>
            </w:r>
          </w:p>
        </w:tc>
        <w:tc>
          <w:tcPr>
            <w:tcW w:w="2761" w:type="dxa"/>
          </w:tcPr>
          <w:p w14:paraId="56E011EE"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Rare</w:t>
            </w:r>
          </w:p>
        </w:tc>
      </w:tr>
      <w:tr w:rsidR="00DA1ED8" w:rsidRPr="00D1093D" w14:paraId="1E46FAFF" w14:textId="77777777" w:rsidTr="001E5356">
        <w:trPr>
          <w:trHeight w:val="521"/>
        </w:trPr>
        <w:tc>
          <w:tcPr>
            <w:tcW w:w="2733" w:type="dxa"/>
          </w:tcPr>
          <w:p w14:paraId="044000D1" w14:textId="77777777" w:rsidR="00DA1ED8" w:rsidRPr="003361F3" w:rsidRDefault="00DA1ED8" w:rsidP="00321B3A">
            <w:pPr>
              <w:widowControl w:val="0"/>
              <w:spacing w:line="240" w:lineRule="auto"/>
              <w:ind w:left="61" w:right="337"/>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Ear and labyrinth disorders</w:t>
            </w:r>
          </w:p>
        </w:tc>
        <w:tc>
          <w:tcPr>
            <w:tcW w:w="3300" w:type="dxa"/>
            <w:gridSpan w:val="2"/>
          </w:tcPr>
          <w:p w14:paraId="266C01CF" w14:textId="77777777" w:rsidR="00DA1ED8" w:rsidRPr="003361F3" w:rsidRDefault="00DA1ED8" w:rsidP="00321B3A">
            <w:pPr>
              <w:widowControl w:val="0"/>
              <w:spacing w:line="240" w:lineRule="auto"/>
              <w:ind w:left="61" w:right="123"/>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Vertigo</w:t>
            </w:r>
          </w:p>
        </w:tc>
        <w:tc>
          <w:tcPr>
            <w:tcW w:w="2761" w:type="dxa"/>
          </w:tcPr>
          <w:p w14:paraId="188E184D"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Rare</w:t>
            </w:r>
          </w:p>
        </w:tc>
      </w:tr>
      <w:tr w:rsidR="00DA1ED8" w:rsidRPr="00D1093D" w14:paraId="7F6237E3" w14:textId="77777777" w:rsidTr="001E5356">
        <w:trPr>
          <w:trHeight w:val="467"/>
        </w:trPr>
        <w:tc>
          <w:tcPr>
            <w:tcW w:w="2733" w:type="dxa"/>
          </w:tcPr>
          <w:p w14:paraId="2417C4E2" w14:textId="77777777" w:rsidR="00DA1ED8" w:rsidRPr="003361F3" w:rsidRDefault="00DA1ED8" w:rsidP="00321B3A">
            <w:pPr>
              <w:widowControl w:val="0"/>
              <w:spacing w:line="240" w:lineRule="auto"/>
              <w:ind w:left="61" w:right="337"/>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Vascular disorders</w:t>
            </w:r>
          </w:p>
        </w:tc>
        <w:tc>
          <w:tcPr>
            <w:tcW w:w="3300" w:type="dxa"/>
            <w:gridSpan w:val="2"/>
          </w:tcPr>
          <w:p w14:paraId="3EE8C714" w14:textId="77777777" w:rsidR="00DA1ED8" w:rsidRPr="003361F3" w:rsidRDefault="00DA1ED8" w:rsidP="00321B3A">
            <w:pPr>
              <w:widowControl w:val="0"/>
              <w:spacing w:line="240" w:lineRule="auto"/>
              <w:ind w:left="61" w:right="123"/>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Flushing</w:t>
            </w:r>
          </w:p>
        </w:tc>
        <w:tc>
          <w:tcPr>
            <w:tcW w:w="2761" w:type="dxa"/>
          </w:tcPr>
          <w:p w14:paraId="032A0DDB"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Rare</w:t>
            </w:r>
          </w:p>
        </w:tc>
      </w:tr>
      <w:tr w:rsidR="00DA1ED8" w:rsidRPr="00D1093D" w14:paraId="5153DCFB" w14:textId="77777777" w:rsidTr="001E5356">
        <w:trPr>
          <w:trHeight w:val="629"/>
        </w:trPr>
        <w:tc>
          <w:tcPr>
            <w:tcW w:w="2733" w:type="dxa"/>
          </w:tcPr>
          <w:p w14:paraId="7606FB8C" w14:textId="77777777" w:rsidR="00DA1ED8" w:rsidRPr="003361F3" w:rsidRDefault="00DA1ED8" w:rsidP="00321B3A">
            <w:pPr>
              <w:widowControl w:val="0"/>
              <w:spacing w:line="240" w:lineRule="auto"/>
              <w:ind w:left="61" w:right="337"/>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lastRenderedPageBreak/>
              <w:t>Respiratory, thoracic and mediastinal disorders</w:t>
            </w:r>
          </w:p>
        </w:tc>
        <w:tc>
          <w:tcPr>
            <w:tcW w:w="3300" w:type="dxa"/>
            <w:gridSpan w:val="2"/>
          </w:tcPr>
          <w:p w14:paraId="04ED12FD" w14:textId="77777777" w:rsidR="00DA1ED8" w:rsidRPr="003361F3" w:rsidRDefault="00DA1ED8" w:rsidP="00321B3A">
            <w:pPr>
              <w:widowControl w:val="0"/>
              <w:spacing w:line="240" w:lineRule="auto"/>
              <w:ind w:left="61" w:right="123"/>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Epistaxis</w:t>
            </w:r>
          </w:p>
        </w:tc>
        <w:tc>
          <w:tcPr>
            <w:tcW w:w="2761" w:type="dxa"/>
          </w:tcPr>
          <w:p w14:paraId="15FE2165"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Rare</w:t>
            </w:r>
          </w:p>
        </w:tc>
      </w:tr>
      <w:tr w:rsidR="00DA1ED8" w:rsidRPr="00D1093D" w14:paraId="26E83725" w14:textId="77777777" w:rsidTr="001E5356">
        <w:trPr>
          <w:trHeight w:val="494"/>
        </w:trPr>
        <w:tc>
          <w:tcPr>
            <w:tcW w:w="2733" w:type="dxa"/>
          </w:tcPr>
          <w:p w14:paraId="1951795B" w14:textId="77777777" w:rsidR="00DA1ED8" w:rsidRPr="003361F3" w:rsidRDefault="00DA1ED8" w:rsidP="00321B3A">
            <w:pPr>
              <w:widowControl w:val="0"/>
              <w:spacing w:line="240" w:lineRule="auto"/>
              <w:ind w:left="61" w:right="337"/>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Gastrointestinal disorders</w:t>
            </w:r>
          </w:p>
        </w:tc>
        <w:tc>
          <w:tcPr>
            <w:tcW w:w="3300" w:type="dxa"/>
            <w:gridSpan w:val="2"/>
          </w:tcPr>
          <w:p w14:paraId="65A9484F" w14:textId="77777777" w:rsidR="00DA1ED8" w:rsidRPr="003361F3" w:rsidRDefault="00DA1ED8" w:rsidP="00321B3A">
            <w:pPr>
              <w:widowControl w:val="0"/>
              <w:spacing w:line="240" w:lineRule="auto"/>
              <w:ind w:left="61" w:right="123"/>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Diarrhea</w:t>
            </w:r>
          </w:p>
        </w:tc>
        <w:tc>
          <w:tcPr>
            <w:tcW w:w="2761" w:type="dxa"/>
          </w:tcPr>
          <w:p w14:paraId="2A47FE01"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Rare</w:t>
            </w:r>
          </w:p>
        </w:tc>
      </w:tr>
      <w:tr w:rsidR="00DA1ED8" w:rsidRPr="00D1093D" w14:paraId="646B71FB" w14:textId="77777777" w:rsidTr="001E5356">
        <w:trPr>
          <w:trHeight w:val="521"/>
        </w:trPr>
        <w:tc>
          <w:tcPr>
            <w:tcW w:w="2733" w:type="dxa"/>
            <w:vMerge w:val="restart"/>
          </w:tcPr>
          <w:p w14:paraId="3598448F" w14:textId="77777777" w:rsidR="00DA1ED8" w:rsidRPr="003361F3" w:rsidRDefault="00DA1ED8" w:rsidP="00321B3A">
            <w:pPr>
              <w:widowControl w:val="0"/>
              <w:spacing w:line="240" w:lineRule="auto"/>
              <w:ind w:left="61" w:right="337"/>
              <w:rPr>
                <w:rFonts w:asciiTheme="majorHAnsi" w:eastAsia="Calibri" w:hAnsiTheme="majorHAnsi" w:cstheme="minorHAnsi"/>
                <w:spacing w:val="-1"/>
                <w:sz w:val="20"/>
                <w:szCs w:val="20"/>
                <w:lang w:val="en-US"/>
              </w:rPr>
            </w:pPr>
            <w:r w:rsidRPr="003361F3">
              <w:rPr>
                <w:rFonts w:asciiTheme="majorHAnsi" w:eastAsia="Tahoma" w:hAnsiTheme="majorHAnsi" w:cstheme="minorHAnsi"/>
                <w:sz w:val="20"/>
                <w:szCs w:val="20"/>
                <w:lang w:val="en-US"/>
              </w:rPr>
              <w:t>Skin and subcutaneous tissue disorders</w:t>
            </w:r>
          </w:p>
        </w:tc>
        <w:tc>
          <w:tcPr>
            <w:tcW w:w="3300" w:type="dxa"/>
            <w:gridSpan w:val="2"/>
          </w:tcPr>
          <w:p w14:paraId="2D8AEBAE" w14:textId="77777777" w:rsidR="00DA1ED8" w:rsidRPr="003361F3" w:rsidRDefault="00DA1ED8" w:rsidP="00321B3A">
            <w:pPr>
              <w:widowControl w:val="0"/>
              <w:spacing w:line="240" w:lineRule="auto"/>
              <w:ind w:left="61" w:right="123"/>
              <w:rPr>
                <w:rFonts w:asciiTheme="majorHAnsi" w:eastAsia="Calibri" w:hAnsiTheme="majorHAnsi" w:cstheme="minorHAnsi"/>
                <w:sz w:val="20"/>
                <w:szCs w:val="20"/>
                <w:lang w:val="en-US"/>
              </w:rPr>
            </w:pPr>
            <w:r w:rsidRPr="003361F3">
              <w:rPr>
                <w:rFonts w:asciiTheme="majorHAnsi" w:eastAsia="Tahoma" w:hAnsiTheme="majorHAnsi" w:cstheme="minorHAnsi"/>
                <w:sz w:val="20"/>
                <w:szCs w:val="20"/>
                <w:lang w:val="en-US"/>
              </w:rPr>
              <w:t>Pruritis</w:t>
            </w:r>
          </w:p>
        </w:tc>
        <w:tc>
          <w:tcPr>
            <w:tcW w:w="2761" w:type="dxa"/>
          </w:tcPr>
          <w:p w14:paraId="458041DC" w14:textId="77777777" w:rsidR="00DA1ED8" w:rsidRPr="003361F3" w:rsidRDefault="00DA1ED8" w:rsidP="00321B3A">
            <w:pPr>
              <w:widowControl w:val="0"/>
              <w:spacing w:line="240" w:lineRule="auto"/>
              <w:rPr>
                <w:rFonts w:asciiTheme="majorHAnsi" w:eastAsia="Calibri" w:hAnsiTheme="majorHAnsi" w:cstheme="minorHAnsi"/>
                <w:sz w:val="20"/>
                <w:szCs w:val="20"/>
                <w:lang w:val="en-US"/>
              </w:rPr>
            </w:pPr>
            <w:r w:rsidRPr="003361F3">
              <w:rPr>
                <w:rFonts w:asciiTheme="majorHAnsi" w:eastAsia="Tahoma" w:hAnsiTheme="majorHAnsi" w:cstheme="minorHAnsi"/>
                <w:sz w:val="20"/>
                <w:szCs w:val="20"/>
                <w:lang w:val="en-US"/>
              </w:rPr>
              <w:t xml:space="preserve"> Uncommon</w:t>
            </w:r>
          </w:p>
        </w:tc>
      </w:tr>
      <w:tr w:rsidR="00DA1ED8" w:rsidRPr="00D1093D" w14:paraId="747E5DD6" w14:textId="77777777" w:rsidTr="00321B3A">
        <w:trPr>
          <w:trHeight w:val="917"/>
        </w:trPr>
        <w:tc>
          <w:tcPr>
            <w:tcW w:w="2733" w:type="dxa"/>
            <w:vMerge/>
          </w:tcPr>
          <w:p w14:paraId="09009AF4" w14:textId="77777777" w:rsidR="00DA1ED8" w:rsidRPr="003361F3" w:rsidRDefault="00DA1ED8" w:rsidP="00321B3A">
            <w:pPr>
              <w:widowControl w:val="0"/>
              <w:spacing w:line="240" w:lineRule="auto"/>
              <w:ind w:left="61" w:right="337"/>
              <w:rPr>
                <w:rFonts w:asciiTheme="majorHAnsi" w:eastAsia="Tahoma" w:hAnsiTheme="majorHAnsi" w:cstheme="minorHAnsi"/>
                <w:sz w:val="20"/>
                <w:szCs w:val="20"/>
                <w:lang w:val="en-US"/>
              </w:rPr>
            </w:pPr>
          </w:p>
        </w:tc>
        <w:tc>
          <w:tcPr>
            <w:tcW w:w="3300" w:type="dxa"/>
            <w:gridSpan w:val="2"/>
          </w:tcPr>
          <w:p w14:paraId="77454446" w14:textId="77777777" w:rsidR="00DA1ED8" w:rsidRPr="003361F3" w:rsidRDefault="00DA1ED8" w:rsidP="00321B3A">
            <w:pPr>
              <w:widowControl w:val="0"/>
              <w:spacing w:line="240" w:lineRule="auto"/>
              <w:ind w:left="61" w:right="123"/>
              <w:rPr>
                <w:rFonts w:asciiTheme="majorHAnsi" w:eastAsia="Tahoma" w:hAnsiTheme="majorHAnsi" w:cstheme="minorHAnsi"/>
                <w:sz w:val="20"/>
                <w:szCs w:val="20"/>
                <w:lang w:val="en-US"/>
              </w:rPr>
            </w:pPr>
            <w:r w:rsidRPr="003361F3">
              <w:rPr>
                <w:rFonts w:asciiTheme="majorHAnsi" w:eastAsia="Calibri" w:hAnsiTheme="majorHAnsi" w:cstheme="minorHAnsi"/>
                <w:sz w:val="20"/>
                <w:szCs w:val="20"/>
                <w:lang w:val="en-US"/>
              </w:rPr>
              <w:t>Dermal cyst, erythema, photosensitivity reaction, skin mass, skin tightness</w:t>
            </w:r>
          </w:p>
        </w:tc>
        <w:tc>
          <w:tcPr>
            <w:tcW w:w="2761" w:type="dxa"/>
          </w:tcPr>
          <w:p w14:paraId="37593621"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Calibri" w:hAnsiTheme="majorHAnsi" w:cstheme="minorHAnsi"/>
                <w:sz w:val="20"/>
                <w:szCs w:val="20"/>
                <w:lang w:val="en-US"/>
              </w:rPr>
              <w:t xml:space="preserve"> Rare</w:t>
            </w:r>
          </w:p>
        </w:tc>
      </w:tr>
      <w:tr w:rsidR="00DA1ED8" w:rsidRPr="00D1093D" w14:paraId="54A33984" w14:textId="77777777" w:rsidTr="00321B3A">
        <w:trPr>
          <w:trHeight w:hRule="exact" w:val="658"/>
        </w:trPr>
        <w:tc>
          <w:tcPr>
            <w:tcW w:w="2743" w:type="dxa"/>
            <w:gridSpan w:val="2"/>
          </w:tcPr>
          <w:p w14:paraId="2EE2D062" w14:textId="77777777" w:rsidR="00DA1ED8" w:rsidRPr="003361F3" w:rsidRDefault="00DA1ED8" w:rsidP="00321B3A">
            <w:pPr>
              <w:widowControl w:val="0"/>
              <w:spacing w:line="240" w:lineRule="auto"/>
              <w:ind w:left="61" w:right="143"/>
              <w:rPr>
                <w:rFonts w:asciiTheme="majorHAnsi" w:eastAsia="Tahoma" w:hAnsiTheme="majorHAnsi" w:cstheme="minorHAnsi"/>
                <w:sz w:val="20"/>
                <w:szCs w:val="20"/>
                <w:lang w:val="en-US"/>
              </w:rPr>
            </w:pPr>
            <w:r w:rsidRPr="003361F3">
              <w:rPr>
                <w:rFonts w:asciiTheme="majorHAnsi" w:eastAsia="Calibri" w:hAnsiTheme="majorHAnsi" w:cstheme="minorHAnsi"/>
                <w:spacing w:val="-1"/>
                <w:sz w:val="20"/>
                <w:szCs w:val="20"/>
                <w:lang w:val="en-US"/>
              </w:rPr>
              <w:t>Musculoskeletal</w:t>
            </w:r>
            <w:r w:rsidRPr="003361F3">
              <w:rPr>
                <w:rFonts w:asciiTheme="majorHAnsi" w:eastAsia="Calibri" w:hAnsiTheme="majorHAnsi" w:cstheme="minorHAnsi"/>
                <w:spacing w:val="13"/>
                <w:sz w:val="20"/>
                <w:szCs w:val="20"/>
                <w:lang w:val="en-US"/>
              </w:rPr>
              <w:t xml:space="preserve"> </w:t>
            </w:r>
            <w:r w:rsidRPr="003361F3">
              <w:rPr>
                <w:rFonts w:asciiTheme="majorHAnsi" w:eastAsia="Calibri" w:hAnsiTheme="majorHAnsi" w:cstheme="minorHAnsi"/>
                <w:sz w:val="20"/>
                <w:szCs w:val="20"/>
                <w:lang w:val="en-US"/>
              </w:rPr>
              <w:t>and</w:t>
            </w:r>
            <w:r w:rsidRPr="003361F3">
              <w:rPr>
                <w:rFonts w:asciiTheme="majorHAnsi" w:eastAsia="Calibri" w:hAnsiTheme="majorHAnsi" w:cstheme="minorHAnsi"/>
                <w:spacing w:val="13"/>
                <w:sz w:val="20"/>
                <w:szCs w:val="20"/>
                <w:lang w:val="en-US"/>
              </w:rPr>
              <w:t xml:space="preserve"> </w:t>
            </w:r>
            <w:r w:rsidRPr="003361F3">
              <w:rPr>
                <w:rFonts w:asciiTheme="majorHAnsi" w:eastAsia="Calibri" w:hAnsiTheme="majorHAnsi" w:cstheme="minorHAnsi"/>
                <w:spacing w:val="-1"/>
                <w:sz w:val="20"/>
                <w:szCs w:val="20"/>
                <w:lang w:val="en-US"/>
              </w:rPr>
              <w:t>connective</w:t>
            </w:r>
            <w:r w:rsidRPr="003361F3">
              <w:rPr>
                <w:rFonts w:asciiTheme="majorHAnsi" w:eastAsia="Calibri" w:hAnsiTheme="majorHAnsi" w:cstheme="minorHAnsi"/>
                <w:spacing w:val="43"/>
                <w:w w:val="101"/>
                <w:sz w:val="20"/>
                <w:szCs w:val="20"/>
                <w:lang w:val="en-US"/>
              </w:rPr>
              <w:t xml:space="preserve"> </w:t>
            </w:r>
            <w:r w:rsidRPr="003361F3">
              <w:rPr>
                <w:rFonts w:asciiTheme="majorHAnsi" w:eastAsia="Calibri" w:hAnsiTheme="majorHAnsi" w:cstheme="minorHAnsi"/>
                <w:sz w:val="20"/>
                <w:szCs w:val="20"/>
                <w:lang w:val="en-US"/>
              </w:rPr>
              <w:t>tissue</w:t>
            </w:r>
            <w:r w:rsidRPr="003361F3">
              <w:rPr>
                <w:rFonts w:asciiTheme="majorHAnsi" w:eastAsia="Calibri" w:hAnsiTheme="majorHAnsi" w:cstheme="minorHAnsi"/>
                <w:spacing w:val="13"/>
                <w:sz w:val="20"/>
                <w:szCs w:val="20"/>
                <w:lang w:val="en-US"/>
              </w:rPr>
              <w:t xml:space="preserve"> </w:t>
            </w:r>
            <w:r w:rsidRPr="003361F3">
              <w:rPr>
                <w:rFonts w:asciiTheme="majorHAnsi" w:eastAsia="Calibri" w:hAnsiTheme="majorHAnsi" w:cstheme="minorHAnsi"/>
                <w:spacing w:val="-1"/>
                <w:sz w:val="20"/>
                <w:szCs w:val="20"/>
                <w:lang w:val="en-US"/>
              </w:rPr>
              <w:t>disorders</w:t>
            </w:r>
          </w:p>
        </w:tc>
        <w:tc>
          <w:tcPr>
            <w:tcW w:w="3290" w:type="dxa"/>
          </w:tcPr>
          <w:p w14:paraId="4E60F9F8"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Calibri" w:hAnsiTheme="majorHAnsi" w:cstheme="minorHAnsi"/>
                <w:sz w:val="20"/>
                <w:szCs w:val="20"/>
                <w:lang w:val="en-US"/>
              </w:rPr>
              <w:t xml:space="preserve"> Muscle twitching, musculoskeletal pain, myalgia, neck pain</w:t>
            </w:r>
          </w:p>
        </w:tc>
        <w:tc>
          <w:tcPr>
            <w:tcW w:w="2761" w:type="dxa"/>
          </w:tcPr>
          <w:p w14:paraId="79628C09"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Rare</w:t>
            </w:r>
          </w:p>
        </w:tc>
      </w:tr>
      <w:tr w:rsidR="00DA1ED8" w:rsidRPr="00D1093D" w14:paraId="712A4657" w14:textId="77777777" w:rsidTr="0075441D">
        <w:trPr>
          <w:trHeight w:val="926"/>
        </w:trPr>
        <w:tc>
          <w:tcPr>
            <w:tcW w:w="2733" w:type="dxa"/>
          </w:tcPr>
          <w:p w14:paraId="14E26DB9" w14:textId="77777777" w:rsidR="00DA1ED8" w:rsidRPr="003361F3" w:rsidRDefault="00DA1ED8" w:rsidP="00321B3A">
            <w:pPr>
              <w:widowControl w:val="0"/>
              <w:spacing w:line="240" w:lineRule="auto"/>
              <w:ind w:left="61" w:right="337"/>
              <w:rPr>
                <w:rFonts w:asciiTheme="majorHAnsi" w:eastAsia="Calibri" w:hAnsiTheme="majorHAnsi" w:cstheme="minorHAnsi"/>
                <w:spacing w:val="-1"/>
                <w:sz w:val="20"/>
                <w:szCs w:val="20"/>
                <w:lang w:val="en-US"/>
              </w:rPr>
            </w:pPr>
            <w:r w:rsidRPr="003361F3">
              <w:rPr>
                <w:rFonts w:asciiTheme="majorHAnsi" w:eastAsia="Calibri" w:hAnsiTheme="majorHAnsi" w:cstheme="minorHAnsi"/>
                <w:spacing w:val="-1"/>
                <w:sz w:val="20"/>
                <w:szCs w:val="20"/>
                <w:lang w:val="en-US"/>
              </w:rPr>
              <w:t>General disorders and administration site conditions</w:t>
            </w:r>
          </w:p>
        </w:tc>
        <w:tc>
          <w:tcPr>
            <w:tcW w:w="3300" w:type="dxa"/>
            <w:gridSpan w:val="2"/>
          </w:tcPr>
          <w:p w14:paraId="5E3E23CD" w14:textId="1FB1F909" w:rsidR="00DA1ED8" w:rsidRPr="003361F3" w:rsidRDefault="00DA1ED8" w:rsidP="0075441D">
            <w:pPr>
              <w:widowControl w:val="0"/>
              <w:spacing w:line="240" w:lineRule="auto"/>
              <w:ind w:right="123"/>
              <w:rPr>
                <w:rFonts w:asciiTheme="majorHAnsi" w:eastAsia="Calibri" w:hAnsiTheme="majorHAnsi" w:cstheme="minorHAnsi"/>
                <w:sz w:val="20"/>
                <w:szCs w:val="20"/>
                <w:lang w:val="en-US"/>
              </w:rPr>
            </w:pPr>
            <w:r w:rsidRPr="003361F3">
              <w:rPr>
                <w:rFonts w:asciiTheme="majorHAnsi" w:eastAsia="Calibri" w:hAnsiTheme="majorHAnsi" w:cstheme="minorHAnsi"/>
                <w:sz w:val="20"/>
                <w:szCs w:val="20"/>
                <w:lang w:val="en-US"/>
              </w:rPr>
              <w:t>Injection</w:t>
            </w:r>
            <w:r w:rsidRPr="003361F3">
              <w:rPr>
                <w:rFonts w:asciiTheme="majorHAnsi" w:eastAsia="Calibri" w:hAnsiTheme="majorHAnsi" w:cstheme="minorHAnsi"/>
                <w:spacing w:val="6"/>
                <w:sz w:val="20"/>
                <w:szCs w:val="20"/>
                <w:lang w:val="en-US"/>
              </w:rPr>
              <w:t xml:space="preserve"> </w:t>
            </w:r>
            <w:r w:rsidRPr="003361F3">
              <w:rPr>
                <w:rFonts w:asciiTheme="majorHAnsi" w:eastAsia="Calibri" w:hAnsiTheme="majorHAnsi" w:cstheme="minorHAnsi"/>
                <w:sz w:val="20"/>
                <w:szCs w:val="20"/>
                <w:lang w:val="en-US"/>
              </w:rPr>
              <w:t>site: erythema, injection site paresthesia, injection site pruritis, pain, tenderness</w:t>
            </w:r>
          </w:p>
        </w:tc>
        <w:tc>
          <w:tcPr>
            <w:tcW w:w="2761" w:type="dxa"/>
          </w:tcPr>
          <w:p w14:paraId="10F0639D" w14:textId="77777777" w:rsidR="00DA1ED8" w:rsidRPr="003361F3" w:rsidRDefault="00DA1ED8" w:rsidP="00321B3A">
            <w:pPr>
              <w:widowControl w:val="0"/>
              <w:spacing w:line="240" w:lineRule="auto"/>
              <w:rPr>
                <w:rFonts w:asciiTheme="majorHAnsi" w:eastAsia="Calibri" w:hAnsiTheme="majorHAnsi" w:cstheme="minorHAnsi"/>
                <w:sz w:val="20"/>
                <w:szCs w:val="20"/>
                <w:lang w:val="en-US"/>
              </w:rPr>
            </w:pPr>
            <w:r w:rsidRPr="003361F3">
              <w:rPr>
                <w:rFonts w:asciiTheme="majorHAnsi" w:eastAsia="Calibri" w:hAnsiTheme="majorHAnsi" w:cstheme="minorHAnsi"/>
                <w:sz w:val="20"/>
                <w:szCs w:val="20"/>
                <w:lang w:val="en-US"/>
              </w:rPr>
              <w:t xml:space="preserve"> Rare</w:t>
            </w:r>
          </w:p>
        </w:tc>
      </w:tr>
      <w:tr w:rsidR="00DA1ED8" w:rsidRPr="00D1093D" w14:paraId="6A3F3019" w14:textId="77777777" w:rsidTr="0075441D">
        <w:trPr>
          <w:trHeight w:val="656"/>
        </w:trPr>
        <w:tc>
          <w:tcPr>
            <w:tcW w:w="2733" w:type="dxa"/>
          </w:tcPr>
          <w:p w14:paraId="7DD95C4E" w14:textId="77777777" w:rsidR="00DA1ED8" w:rsidRPr="003361F3" w:rsidRDefault="00DA1ED8" w:rsidP="00321B3A">
            <w:pPr>
              <w:widowControl w:val="0"/>
              <w:spacing w:line="240" w:lineRule="auto"/>
              <w:ind w:left="61" w:right="337"/>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Investigations</w:t>
            </w:r>
          </w:p>
        </w:tc>
        <w:tc>
          <w:tcPr>
            <w:tcW w:w="3300" w:type="dxa"/>
            <w:gridSpan w:val="2"/>
          </w:tcPr>
          <w:p w14:paraId="16B72156" w14:textId="77777777" w:rsidR="00DA1ED8" w:rsidRPr="003361F3" w:rsidRDefault="00DA1ED8" w:rsidP="00321B3A">
            <w:pPr>
              <w:widowControl w:val="0"/>
              <w:spacing w:line="240" w:lineRule="auto"/>
              <w:ind w:left="61" w:right="123"/>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Intraocular pressure test</w:t>
            </w:r>
          </w:p>
        </w:tc>
        <w:tc>
          <w:tcPr>
            <w:tcW w:w="2761" w:type="dxa"/>
          </w:tcPr>
          <w:p w14:paraId="0A86A39B" w14:textId="77777777" w:rsidR="00DA1ED8" w:rsidRPr="003361F3" w:rsidRDefault="00DA1ED8" w:rsidP="00321B3A">
            <w:pPr>
              <w:widowControl w:val="0"/>
              <w:spacing w:line="240" w:lineRule="auto"/>
              <w:rPr>
                <w:rFonts w:asciiTheme="majorHAnsi" w:eastAsia="Tahoma" w:hAnsiTheme="majorHAnsi" w:cstheme="minorHAnsi"/>
                <w:sz w:val="20"/>
                <w:szCs w:val="20"/>
                <w:lang w:val="en-US"/>
              </w:rPr>
            </w:pPr>
            <w:r w:rsidRPr="003361F3">
              <w:rPr>
                <w:rFonts w:asciiTheme="majorHAnsi" w:eastAsia="Tahoma" w:hAnsiTheme="majorHAnsi" w:cstheme="minorHAnsi"/>
                <w:sz w:val="20"/>
                <w:szCs w:val="20"/>
                <w:lang w:val="en-US"/>
              </w:rPr>
              <w:t xml:space="preserve"> Rare</w:t>
            </w:r>
          </w:p>
        </w:tc>
      </w:tr>
      <w:tr w:rsidR="00DA1ED8" w:rsidRPr="00D1093D" w14:paraId="042D3E85" w14:textId="77777777" w:rsidTr="0075441D">
        <w:trPr>
          <w:trHeight w:val="620"/>
        </w:trPr>
        <w:tc>
          <w:tcPr>
            <w:tcW w:w="2733" w:type="dxa"/>
            <w:vMerge w:val="restart"/>
          </w:tcPr>
          <w:p w14:paraId="1525112B" w14:textId="77777777" w:rsidR="00DA1ED8" w:rsidRPr="003361F3" w:rsidRDefault="00DA1ED8" w:rsidP="00321B3A">
            <w:pPr>
              <w:widowControl w:val="0"/>
              <w:spacing w:line="240" w:lineRule="auto"/>
              <w:ind w:left="61" w:right="337"/>
              <w:rPr>
                <w:rFonts w:asciiTheme="majorHAnsi" w:eastAsia="Calibri" w:hAnsiTheme="majorHAnsi" w:cstheme="minorHAnsi"/>
                <w:spacing w:val="-1"/>
                <w:sz w:val="20"/>
                <w:szCs w:val="20"/>
                <w:lang w:val="en-US"/>
              </w:rPr>
            </w:pPr>
            <w:r w:rsidRPr="003361F3">
              <w:rPr>
                <w:rFonts w:asciiTheme="majorHAnsi" w:eastAsia="Calibri" w:hAnsiTheme="majorHAnsi" w:cstheme="minorHAnsi"/>
                <w:spacing w:val="-1"/>
                <w:sz w:val="20"/>
                <w:szCs w:val="20"/>
                <w:lang w:val="en-US"/>
              </w:rPr>
              <w:t>Injury, poisoning and procedural complications</w:t>
            </w:r>
          </w:p>
        </w:tc>
        <w:tc>
          <w:tcPr>
            <w:tcW w:w="3300" w:type="dxa"/>
            <w:gridSpan w:val="2"/>
          </w:tcPr>
          <w:p w14:paraId="4A10492E" w14:textId="77777777" w:rsidR="00DA1ED8" w:rsidRPr="003361F3" w:rsidRDefault="00DA1ED8" w:rsidP="00321B3A">
            <w:pPr>
              <w:widowControl w:val="0"/>
              <w:spacing w:line="240" w:lineRule="auto"/>
              <w:ind w:left="61" w:right="123"/>
              <w:rPr>
                <w:rFonts w:asciiTheme="majorHAnsi" w:eastAsia="Calibri" w:hAnsiTheme="majorHAnsi" w:cstheme="minorHAnsi"/>
                <w:sz w:val="20"/>
                <w:szCs w:val="20"/>
                <w:lang w:val="en-US"/>
              </w:rPr>
            </w:pPr>
            <w:r w:rsidRPr="003361F3">
              <w:rPr>
                <w:rFonts w:asciiTheme="majorHAnsi" w:eastAsia="Calibri" w:hAnsiTheme="majorHAnsi" w:cstheme="minorHAnsi"/>
                <w:sz w:val="20"/>
                <w:szCs w:val="20"/>
                <w:lang w:val="en-US"/>
              </w:rPr>
              <w:t>Contusion</w:t>
            </w:r>
          </w:p>
        </w:tc>
        <w:tc>
          <w:tcPr>
            <w:tcW w:w="2761" w:type="dxa"/>
          </w:tcPr>
          <w:p w14:paraId="6DD44A24" w14:textId="77777777" w:rsidR="00DA1ED8" w:rsidRPr="003361F3" w:rsidRDefault="00DA1ED8" w:rsidP="00321B3A">
            <w:pPr>
              <w:widowControl w:val="0"/>
              <w:spacing w:line="240" w:lineRule="auto"/>
              <w:rPr>
                <w:rFonts w:asciiTheme="majorHAnsi" w:eastAsia="Calibri" w:hAnsiTheme="majorHAnsi" w:cstheme="minorHAnsi"/>
                <w:sz w:val="20"/>
                <w:szCs w:val="20"/>
                <w:lang w:val="en-US"/>
              </w:rPr>
            </w:pPr>
            <w:r w:rsidRPr="003361F3">
              <w:rPr>
                <w:rFonts w:asciiTheme="majorHAnsi" w:eastAsia="Calibri" w:hAnsiTheme="majorHAnsi" w:cstheme="minorHAnsi"/>
                <w:sz w:val="20"/>
                <w:szCs w:val="20"/>
                <w:lang w:val="en-US"/>
              </w:rPr>
              <w:t xml:space="preserve"> Uncommon</w:t>
            </w:r>
          </w:p>
        </w:tc>
      </w:tr>
      <w:tr w:rsidR="00DA1ED8" w:rsidRPr="00D1093D" w14:paraId="0D0FAAB7" w14:textId="77777777" w:rsidTr="00321B3A">
        <w:trPr>
          <w:trHeight w:val="917"/>
        </w:trPr>
        <w:tc>
          <w:tcPr>
            <w:tcW w:w="2733" w:type="dxa"/>
            <w:vMerge/>
          </w:tcPr>
          <w:p w14:paraId="56C4161C" w14:textId="77777777" w:rsidR="00DA1ED8" w:rsidRPr="003361F3" w:rsidRDefault="00DA1ED8" w:rsidP="00321B3A">
            <w:pPr>
              <w:widowControl w:val="0"/>
              <w:spacing w:line="240" w:lineRule="auto"/>
              <w:ind w:left="61" w:right="337"/>
              <w:rPr>
                <w:rFonts w:asciiTheme="majorHAnsi" w:eastAsia="Calibri" w:hAnsiTheme="majorHAnsi" w:cstheme="minorHAnsi"/>
                <w:spacing w:val="-1"/>
                <w:sz w:val="20"/>
                <w:szCs w:val="20"/>
                <w:lang w:val="en-US"/>
              </w:rPr>
            </w:pPr>
          </w:p>
        </w:tc>
        <w:tc>
          <w:tcPr>
            <w:tcW w:w="3300" w:type="dxa"/>
            <w:gridSpan w:val="2"/>
          </w:tcPr>
          <w:p w14:paraId="3B9106F0" w14:textId="77777777" w:rsidR="00DA1ED8" w:rsidRPr="003361F3" w:rsidRDefault="00DA1ED8" w:rsidP="00321B3A">
            <w:pPr>
              <w:widowControl w:val="0"/>
              <w:spacing w:line="240" w:lineRule="auto"/>
              <w:ind w:left="61" w:right="123"/>
              <w:rPr>
                <w:rFonts w:asciiTheme="majorHAnsi" w:eastAsia="Calibri" w:hAnsiTheme="majorHAnsi" w:cstheme="minorHAnsi"/>
                <w:sz w:val="20"/>
                <w:szCs w:val="20"/>
                <w:lang w:val="en-US"/>
              </w:rPr>
            </w:pPr>
            <w:r w:rsidRPr="003361F3">
              <w:rPr>
                <w:rFonts w:asciiTheme="majorHAnsi" w:eastAsia="Calibri" w:hAnsiTheme="majorHAnsi" w:cstheme="minorHAnsi"/>
                <w:sz w:val="20"/>
                <w:szCs w:val="20"/>
                <w:lang w:val="en-US"/>
              </w:rPr>
              <w:t>Post-procedural swelling, procedural headache</w:t>
            </w:r>
          </w:p>
        </w:tc>
        <w:tc>
          <w:tcPr>
            <w:tcW w:w="2761" w:type="dxa"/>
          </w:tcPr>
          <w:p w14:paraId="45C40C10" w14:textId="77777777" w:rsidR="00DA1ED8" w:rsidRPr="003361F3" w:rsidRDefault="00DA1ED8" w:rsidP="00321B3A">
            <w:pPr>
              <w:widowControl w:val="0"/>
              <w:spacing w:line="240" w:lineRule="auto"/>
              <w:rPr>
                <w:rFonts w:asciiTheme="majorHAnsi" w:eastAsia="Calibri" w:hAnsiTheme="majorHAnsi" w:cstheme="minorHAnsi"/>
                <w:sz w:val="20"/>
                <w:szCs w:val="20"/>
                <w:lang w:val="en-US"/>
              </w:rPr>
            </w:pPr>
            <w:r w:rsidRPr="003361F3">
              <w:rPr>
                <w:rFonts w:asciiTheme="majorHAnsi" w:eastAsia="Calibri" w:hAnsiTheme="majorHAnsi" w:cstheme="minorHAnsi"/>
                <w:sz w:val="20"/>
                <w:szCs w:val="20"/>
                <w:lang w:val="en-US"/>
              </w:rPr>
              <w:t xml:space="preserve"> Rare</w:t>
            </w:r>
          </w:p>
        </w:tc>
      </w:tr>
    </w:tbl>
    <w:p w14:paraId="69639D4A" w14:textId="72077714" w:rsidR="00DA1ED8" w:rsidRDefault="00DA1ED8" w:rsidP="00FA5AFC">
      <w:pPr>
        <w:rPr>
          <w:rFonts w:ascii="Cambria" w:hAnsi="Cambria"/>
        </w:rPr>
      </w:pPr>
    </w:p>
    <w:p w14:paraId="23701EBF" w14:textId="73700188" w:rsidR="00820DDE" w:rsidRDefault="00820DDE" w:rsidP="00FA5AFC">
      <w:pPr>
        <w:rPr>
          <w:rFonts w:ascii="Cambria" w:hAnsi="Cambria"/>
        </w:rPr>
      </w:pPr>
      <w:r>
        <w:rPr>
          <w:rFonts w:ascii="Cambria" w:hAnsi="Cambria"/>
        </w:rPr>
        <w:t>Adverse reactions are monitored during the post-approval use of NUCEIVA. The undesirable effects being reported are consistent with those observed in the clinical trials.</w:t>
      </w:r>
      <w:r w:rsidR="00C66073">
        <w:rPr>
          <w:rFonts w:ascii="Cambria" w:hAnsi="Cambria"/>
        </w:rPr>
        <w:t xml:space="preserve"> Additional rare adverse reactions include hypersensitivity reactions, nausea, and </w:t>
      </w:r>
      <w:proofErr w:type="spellStart"/>
      <w:r w:rsidR="00C66073">
        <w:rPr>
          <w:rFonts w:ascii="Cambria" w:hAnsi="Cambria"/>
        </w:rPr>
        <w:t>dyspnea</w:t>
      </w:r>
      <w:proofErr w:type="spellEnd"/>
      <w:r w:rsidR="00C66073">
        <w:rPr>
          <w:rFonts w:ascii="Cambria" w:hAnsi="Cambria"/>
        </w:rPr>
        <w:t>.</w:t>
      </w:r>
    </w:p>
    <w:p w14:paraId="5477BCAF" w14:textId="3970D75F" w:rsidR="00D60461" w:rsidRPr="00CC5593" w:rsidRDefault="00D60461" w:rsidP="00D60461">
      <w:pPr>
        <w:rPr>
          <w:rFonts w:ascii="Cambria" w:hAnsi="Cambria"/>
        </w:rPr>
      </w:pPr>
      <w:r w:rsidRPr="00CC5593">
        <w:rPr>
          <w:rFonts w:ascii="Cambria" w:hAnsi="Cambria"/>
        </w:rPr>
        <w:t>Application related undesirable effects have been reported following administration of NUCEIVA</w:t>
      </w:r>
      <w:r w:rsidRPr="009434AF">
        <w:rPr>
          <w:rFonts w:ascii="Cambria" w:hAnsi="Cambria"/>
        </w:rPr>
        <w:t>.</w:t>
      </w:r>
      <w:r w:rsidR="009434AF">
        <w:rPr>
          <w:rFonts w:ascii="Cambria" w:hAnsi="Cambria"/>
        </w:rPr>
        <w:t xml:space="preserve"> </w:t>
      </w:r>
      <w:r w:rsidR="002375EF">
        <w:rPr>
          <w:rFonts w:ascii="Cambria" w:hAnsi="Cambria"/>
        </w:rPr>
        <w:t>As is expected for any injection procedure, l</w:t>
      </w:r>
      <w:r w:rsidR="002375EF" w:rsidRPr="00E13D16">
        <w:rPr>
          <w:rFonts w:ascii="Cambria" w:hAnsi="Cambria"/>
        </w:rPr>
        <w:t xml:space="preserve">ocalized pain, infection, inflammation, tenderness, swelling, erythema, </w:t>
      </w:r>
      <w:r w:rsidR="004A4ED2">
        <w:rPr>
          <w:rFonts w:ascii="Cambria" w:hAnsi="Cambria"/>
        </w:rPr>
        <w:t xml:space="preserve">pruritus, paraesthesia, </w:t>
      </w:r>
      <w:r w:rsidR="002375EF" w:rsidRPr="00E13D16">
        <w:rPr>
          <w:rFonts w:ascii="Cambria" w:hAnsi="Cambria"/>
        </w:rPr>
        <w:t>and/or bleeding/bruising may be associated with the injection. Needle-related pain and/or anxiety may result in vasovagal responses, including syncope and hypotension, which may require appropriate medical therapy.</w:t>
      </w:r>
      <w:r w:rsidR="002375EF">
        <w:rPr>
          <w:rFonts w:ascii="Cambria" w:hAnsi="Cambria"/>
        </w:rPr>
        <w:t xml:space="preserve"> </w:t>
      </w:r>
    </w:p>
    <w:p w14:paraId="108E6C75" w14:textId="77777777" w:rsidR="00D60461" w:rsidRPr="007D0142" w:rsidRDefault="00D60461" w:rsidP="00D60461">
      <w:pPr>
        <w:rPr>
          <w:rFonts w:ascii="Cambria" w:hAnsi="Cambria"/>
        </w:rPr>
      </w:pPr>
      <w:r w:rsidRPr="007D0142">
        <w:rPr>
          <w:rFonts w:ascii="Cambria" w:hAnsi="Cambria"/>
        </w:rPr>
        <w:t>Undesirable effects of the substance class botulinum toxin type A:</w:t>
      </w:r>
    </w:p>
    <w:p w14:paraId="42E36F10" w14:textId="77777777" w:rsidR="00D60461" w:rsidRPr="00D60461" w:rsidRDefault="00D60461" w:rsidP="00D60461">
      <w:pPr>
        <w:pStyle w:val="Heading3"/>
        <w:spacing w:before="0" w:after="120"/>
        <w:rPr>
          <w:rFonts w:ascii="Cambria" w:hAnsi="Cambria" w:cstheme="minorHAnsi"/>
        </w:rPr>
      </w:pPr>
      <w:r w:rsidRPr="00D60461">
        <w:rPr>
          <w:rFonts w:ascii="Cambria" w:hAnsi="Cambria" w:cstheme="minorHAnsi"/>
        </w:rPr>
        <w:t>Muscle atrophy</w:t>
      </w:r>
    </w:p>
    <w:p w14:paraId="728BD6F5" w14:textId="77777777" w:rsidR="00D60461" w:rsidRPr="00D60461" w:rsidRDefault="00D60461" w:rsidP="00D60461">
      <w:pPr>
        <w:rPr>
          <w:rFonts w:ascii="Cambria" w:hAnsi="Cambria"/>
        </w:rPr>
      </w:pPr>
      <w:r w:rsidRPr="00D60461">
        <w:rPr>
          <w:rFonts w:ascii="Cambria" w:hAnsi="Cambria"/>
        </w:rPr>
        <w:t>Muscle atrophy is expected after repeated botulinum treatment secondary to the flaccid paralysis of the treated muscles.</w:t>
      </w:r>
    </w:p>
    <w:p w14:paraId="79C2635F" w14:textId="77777777" w:rsidR="00D60461" w:rsidRPr="007D0142" w:rsidRDefault="00D60461" w:rsidP="00D60461">
      <w:pPr>
        <w:pStyle w:val="Heading3"/>
        <w:spacing w:before="0" w:after="120"/>
        <w:rPr>
          <w:rFonts w:ascii="Cambria" w:hAnsi="Cambria" w:cstheme="minorHAnsi"/>
        </w:rPr>
      </w:pPr>
      <w:r w:rsidRPr="007D0142">
        <w:rPr>
          <w:rFonts w:ascii="Cambria" w:hAnsi="Cambria" w:cstheme="minorHAnsi"/>
        </w:rPr>
        <w:t>Toxin spread</w:t>
      </w:r>
    </w:p>
    <w:p w14:paraId="76222274" w14:textId="2AE5C2C1" w:rsidR="00D60461" w:rsidRPr="00D60461" w:rsidRDefault="00D60461" w:rsidP="00D60461">
      <w:pPr>
        <w:rPr>
          <w:rFonts w:ascii="Cambria" w:hAnsi="Cambria"/>
        </w:rPr>
      </w:pPr>
      <w:r w:rsidRPr="00D60461">
        <w:rPr>
          <w:rFonts w:ascii="Cambria" w:hAnsi="Cambria"/>
        </w:rPr>
        <w:t>Adverse reactions possibly related to the spread of toxin distant from the site of administration have been reported very rarely with botulinum toxin (e.g.</w:t>
      </w:r>
      <w:r w:rsidR="007D0142">
        <w:rPr>
          <w:rFonts w:ascii="Cambria" w:hAnsi="Cambria"/>
        </w:rPr>
        <w:t>,</w:t>
      </w:r>
      <w:r w:rsidRPr="00D60461">
        <w:rPr>
          <w:rFonts w:ascii="Cambria" w:hAnsi="Cambria"/>
        </w:rPr>
        <w:t xml:space="preserve"> muscle weakness, breathing difficulties, dysphagia</w:t>
      </w:r>
      <w:r w:rsidR="007D0142">
        <w:rPr>
          <w:rFonts w:ascii="Cambria" w:hAnsi="Cambria"/>
        </w:rPr>
        <w:t>,</w:t>
      </w:r>
      <w:r w:rsidRPr="00D60461">
        <w:rPr>
          <w:rFonts w:ascii="Cambria" w:hAnsi="Cambria"/>
        </w:rPr>
        <w:t xml:space="preserve"> or constipation) (see section 4.4).</w:t>
      </w:r>
    </w:p>
    <w:p w14:paraId="1690A724" w14:textId="77777777" w:rsidR="00D60461" w:rsidRPr="00D60461" w:rsidRDefault="00D60461" w:rsidP="00D60461">
      <w:pPr>
        <w:pStyle w:val="Heading3"/>
        <w:spacing w:before="0" w:after="120"/>
        <w:rPr>
          <w:rFonts w:ascii="Cambria" w:hAnsi="Cambria" w:cstheme="minorHAnsi"/>
        </w:rPr>
      </w:pPr>
      <w:r w:rsidRPr="00D60461">
        <w:rPr>
          <w:rFonts w:ascii="Cambria" w:hAnsi="Cambria" w:cstheme="minorHAnsi"/>
        </w:rPr>
        <w:lastRenderedPageBreak/>
        <w:t>Hypersensitivity reactions</w:t>
      </w:r>
    </w:p>
    <w:p w14:paraId="3E5656E9" w14:textId="3B25F30C" w:rsidR="00D60461" w:rsidRPr="00D60461" w:rsidRDefault="00D60461" w:rsidP="00D60461">
      <w:pPr>
        <w:rPr>
          <w:rFonts w:ascii="Cambria" w:hAnsi="Cambria"/>
        </w:rPr>
      </w:pPr>
      <w:r w:rsidRPr="00D60461">
        <w:rPr>
          <w:rFonts w:ascii="Cambria" w:hAnsi="Cambria"/>
        </w:rPr>
        <w:t xml:space="preserve">An anaphylactic reaction may occur very rarely after injection of botulinum toxin. </w:t>
      </w:r>
      <w:r w:rsidR="00752B8F" w:rsidRPr="00752B8F">
        <w:rPr>
          <w:rFonts w:ascii="Cambria" w:hAnsi="Cambria"/>
        </w:rPr>
        <w:t>Suitable resuscitation facilities, including access to adrenaline (epinephrine), should be available</w:t>
      </w:r>
      <w:r w:rsidR="00752B8F">
        <w:rPr>
          <w:rFonts w:ascii="Cambria" w:hAnsi="Cambria"/>
        </w:rPr>
        <w:t xml:space="preserve">. </w:t>
      </w:r>
    </w:p>
    <w:p w14:paraId="1150FFF0" w14:textId="77777777" w:rsidR="00D60461" w:rsidRPr="00D60461" w:rsidRDefault="00D60461" w:rsidP="00D60461">
      <w:pPr>
        <w:pStyle w:val="Heading3"/>
        <w:spacing w:before="0" w:after="120"/>
        <w:rPr>
          <w:rFonts w:ascii="Cambria" w:hAnsi="Cambria" w:cstheme="minorHAnsi"/>
        </w:rPr>
      </w:pPr>
      <w:r w:rsidRPr="00D60461">
        <w:rPr>
          <w:rFonts w:ascii="Cambria" w:hAnsi="Cambria" w:cstheme="minorHAnsi"/>
        </w:rPr>
        <w:t>Antibody formation</w:t>
      </w:r>
    </w:p>
    <w:p w14:paraId="5E6EFBF3" w14:textId="77777777" w:rsidR="00D60461" w:rsidRPr="00CC5593" w:rsidRDefault="00D60461" w:rsidP="00D60461">
      <w:pPr>
        <w:rPr>
          <w:rFonts w:ascii="Cambria" w:hAnsi="Cambria"/>
        </w:rPr>
      </w:pPr>
      <w:r w:rsidRPr="00CC5593">
        <w:rPr>
          <w:rFonts w:ascii="Cambria" w:hAnsi="Cambria"/>
        </w:rPr>
        <w:t>As with all therapeutic proteins, there is a potential for immunogenicity. The detection of antibody formation is highly dependent on the sensitivity and specificity of the assay. Additionally, the observed incidence of antibody (including neutralizing antibody) positivity in an assay may be influenced by several factors including assay methodology, sample handling, timing of sample collection, concomitant medications, and underlying disease. For these reasons, comparison of the incidence of antibodies to NUCEIVA in the studies described below, with the incidence of antibodies in other studies, or to other products may be misleading.</w:t>
      </w:r>
    </w:p>
    <w:p w14:paraId="62C48133" w14:textId="0782A512" w:rsidR="00D60461" w:rsidRPr="008F71A8" w:rsidRDefault="00D60461" w:rsidP="00D60461">
      <w:pPr>
        <w:rPr>
          <w:rFonts w:ascii="Cambria" w:hAnsi="Cambria"/>
        </w:rPr>
      </w:pPr>
      <w:r w:rsidRPr="00CC5593">
        <w:rPr>
          <w:rFonts w:ascii="Cambria" w:hAnsi="Cambria"/>
        </w:rPr>
        <w:t>Treatment with botulinum toxins may result in the formation of antibodies that may reduce the effectiveness of subsequent treatments by inactivating biological activity of the toxin. The presence of anti</w:t>
      </w:r>
      <w:r w:rsidR="002A47DD">
        <w:rPr>
          <w:rFonts w:ascii="Cambria" w:hAnsi="Cambria"/>
        </w:rPr>
        <w:t>-</w:t>
      </w:r>
      <w:r w:rsidRPr="00CC5593">
        <w:rPr>
          <w:rFonts w:ascii="Cambria" w:hAnsi="Cambria"/>
        </w:rPr>
        <w:t>botulinum antibodies in subjects receiving NUCEIVA was evaluated in 1,414 subjects in two single dose Phase III studies (EV-001</w:t>
      </w:r>
      <w:r w:rsidR="007D0142">
        <w:rPr>
          <w:rFonts w:ascii="Cambria" w:hAnsi="Cambria"/>
        </w:rPr>
        <w:t xml:space="preserve"> </w:t>
      </w:r>
      <w:r w:rsidRPr="00CC5593">
        <w:rPr>
          <w:rFonts w:ascii="Cambria" w:hAnsi="Cambria"/>
        </w:rPr>
        <w:t xml:space="preserve">and EV-002) and two repeat dose Phase II studies (EV-004 and EV-006). There were no cases of seroconversion using the </w:t>
      </w:r>
      <w:r>
        <w:rPr>
          <w:rFonts w:ascii="Cambria" w:hAnsi="Cambria"/>
        </w:rPr>
        <w:t>vacuum dried</w:t>
      </w:r>
      <w:r w:rsidRPr="00CC5593">
        <w:rPr>
          <w:rFonts w:ascii="Cambria" w:hAnsi="Cambria"/>
        </w:rPr>
        <w:t xml:space="preserve"> formulation of NUCEIVA</w:t>
      </w:r>
      <w:r>
        <w:rPr>
          <w:rFonts w:ascii="Cambria" w:hAnsi="Cambria"/>
        </w:rPr>
        <w:t xml:space="preserve"> being commercialised which </w:t>
      </w:r>
      <w:r w:rsidRPr="00CC5593">
        <w:rPr>
          <w:rFonts w:ascii="Cambria" w:hAnsi="Cambria"/>
        </w:rPr>
        <w:t xml:space="preserve">included 2,231 NUCEIVA treatments. In the EV-004 repeat dose study, which used the </w:t>
      </w:r>
      <w:r>
        <w:rPr>
          <w:rFonts w:ascii="Cambria" w:hAnsi="Cambria"/>
        </w:rPr>
        <w:t>lyophilised</w:t>
      </w:r>
      <w:r w:rsidRPr="00CC5593">
        <w:rPr>
          <w:rFonts w:ascii="Cambria" w:hAnsi="Cambria"/>
        </w:rPr>
        <w:t xml:space="preserve"> product formulation that </w:t>
      </w:r>
      <w:r>
        <w:rPr>
          <w:rFonts w:ascii="Cambria" w:hAnsi="Cambria"/>
        </w:rPr>
        <w:t>will not be</w:t>
      </w:r>
      <w:r w:rsidRPr="00CC5593">
        <w:rPr>
          <w:rFonts w:ascii="Cambria" w:hAnsi="Cambria"/>
        </w:rPr>
        <w:t xml:space="preserve"> commercialized</w:t>
      </w:r>
      <w:r>
        <w:rPr>
          <w:rFonts w:ascii="Cambria" w:hAnsi="Cambria"/>
        </w:rPr>
        <w:t xml:space="preserve"> and included 1,087 treatments</w:t>
      </w:r>
      <w:r w:rsidRPr="00CC5593">
        <w:rPr>
          <w:rFonts w:ascii="Cambria" w:hAnsi="Cambria"/>
        </w:rPr>
        <w:t>, there were two cases of seroconversion</w:t>
      </w:r>
      <w:r>
        <w:rPr>
          <w:rFonts w:ascii="Cambria" w:hAnsi="Cambria"/>
        </w:rPr>
        <w:t>; however, n</w:t>
      </w:r>
      <w:r w:rsidRPr="00CC5593">
        <w:rPr>
          <w:rFonts w:ascii="Cambria" w:hAnsi="Cambria"/>
        </w:rPr>
        <w:t>o neutralizing antibodies were identified</w:t>
      </w:r>
      <w:r>
        <w:rPr>
          <w:rFonts w:ascii="Cambria" w:hAnsi="Cambria"/>
        </w:rPr>
        <w:t>.</w:t>
      </w:r>
    </w:p>
    <w:p w14:paraId="4C817553" w14:textId="77777777" w:rsidR="002B424E" w:rsidRPr="002B424E" w:rsidRDefault="002B424E" w:rsidP="002B424E">
      <w:pPr>
        <w:pStyle w:val="Heading3"/>
      </w:pPr>
      <w:r>
        <w:t>Reporting suspected adverse effects</w:t>
      </w:r>
    </w:p>
    <w:p w14:paraId="1D7EDA6E" w14:textId="77777777" w:rsidR="00497C85" w:rsidRPr="00497C85" w:rsidRDefault="00497C85" w:rsidP="00497C85">
      <w:pPr>
        <w:rPr>
          <w:rFonts w:asciiTheme="majorHAnsi" w:hAnsiTheme="majorHAnsi" w:cstheme="minorHAnsi"/>
        </w:rPr>
      </w:pPr>
      <w:r w:rsidRPr="00497C85">
        <w:rPr>
          <w:rFonts w:asciiTheme="majorHAnsi" w:hAnsiTheme="majorHAnsi"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Pr="00497C85">
          <w:rPr>
            <w:rStyle w:val="Hyperlink"/>
            <w:rFonts w:asciiTheme="majorHAnsi" w:hAnsiTheme="majorHAnsi" w:cstheme="minorHAnsi"/>
            <w:lang w:val="en"/>
          </w:rPr>
          <w:t>www.tga.gov.au/reporting-problems</w:t>
        </w:r>
      </w:hyperlink>
      <w:r w:rsidRPr="00497C85">
        <w:rPr>
          <w:rFonts w:asciiTheme="majorHAnsi" w:hAnsiTheme="majorHAnsi" w:cstheme="minorHAnsi"/>
          <w:lang w:val="en"/>
        </w:rPr>
        <w:t>.</w:t>
      </w:r>
    </w:p>
    <w:p w14:paraId="268E694E" w14:textId="77777777" w:rsidR="001A3992" w:rsidRPr="00497C85" w:rsidRDefault="001A3992" w:rsidP="001A3992">
      <w:pPr>
        <w:pStyle w:val="Heading2"/>
        <w:keepNext/>
        <w:keepLines/>
        <w:spacing w:before="0" w:after="120"/>
        <w:rPr>
          <w:rFonts w:cstheme="minorHAnsi"/>
        </w:rPr>
      </w:pPr>
      <w:r w:rsidRPr="00497C85">
        <w:rPr>
          <w:rFonts w:cstheme="minorHAnsi"/>
        </w:rPr>
        <w:t>Overdose</w:t>
      </w:r>
    </w:p>
    <w:p w14:paraId="391FF4D0" w14:textId="0CF5C2A3" w:rsidR="004B628E" w:rsidRPr="004B628E" w:rsidRDefault="004B628E" w:rsidP="004B628E">
      <w:pPr>
        <w:rPr>
          <w:rFonts w:asciiTheme="majorHAnsi" w:hAnsiTheme="majorHAnsi" w:cstheme="minorHAnsi"/>
          <w:lang w:val="en"/>
        </w:rPr>
      </w:pPr>
      <w:r w:rsidRPr="004B628E">
        <w:rPr>
          <w:rFonts w:asciiTheme="majorHAnsi" w:hAnsiTheme="majorHAnsi" w:cstheme="minorHAnsi"/>
          <w:lang w:val="en"/>
        </w:rPr>
        <w:t>Signs of overdose may not be apparent immediately post-injection. Should accidental injection or ingestion occur, the patient should be medically monitored for several days for signs and symptoms of general weakness or muscle paralysis. Admission to hospital should be considered in patients presenting with symptoms of botulinum toxin type A poisoning (generalized weakness, ptosis, diplopia, swallowing and speech disorders, or paresis of the respiratory muscles).</w:t>
      </w:r>
    </w:p>
    <w:p w14:paraId="19FFAF53" w14:textId="77777777" w:rsidR="004B628E" w:rsidRPr="004B628E" w:rsidRDefault="004B628E" w:rsidP="004B628E">
      <w:pPr>
        <w:rPr>
          <w:rFonts w:asciiTheme="majorHAnsi" w:hAnsiTheme="majorHAnsi" w:cstheme="minorHAnsi"/>
          <w:lang w:val="en"/>
        </w:rPr>
      </w:pPr>
      <w:r w:rsidRPr="004B628E">
        <w:rPr>
          <w:rFonts w:asciiTheme="majorHAnsi" w:hAnsiTheme="majorHAnsi" w:cstheme="minorHAnsi"/>
          <w:lang w:val="en"/>
        </w:rPr>
        <w:t>Too frequent or excessive dosing may enhance the risk of antibody formation. Antibody formation may lead to treatment failure.</w:t>
      </w:r>
    </w:p>
    <w:p w14:paraId="20116191" w14:textId="45FAAC8F" w:rsidR="004B628E" w:rsidRDefault="004B628E" w:rsidP="004B628E">
      <w:pPr>
        <w:rPr>
          <w:rFonts w:asciiTheme="majorHAnsi" w:hAnsiTheme="majorHAnsi" w:cstheme="minorHAnsi"/>
          <w:lang w:val="en"/>
        </w:rPr>
      </w:pPr>
      <w:r w:rsidRPr="004B628E">
        <w:rPr>
          <w:rFonts w:asciiTheme="majorHAnsi" w:hAnsiTheme="majorHAnsi" w:cstheme="minorHAnsi"/>
          <w:lang w:val="en"/>
        </w:rPr>
        <w:t>Overdose of NUCEIVA depends upon dose, site of injection, and underlying tissue properties. No cases of systemic toxicity resulting from accidental injection of botulinum toxin type A have been observed. Excessive doses may produce local or distant generalized and profound neuromuscular paralysis. No cases of ingestion of botulinum toxin type A have been reported.</w:t>
      </w:r>
    </w:p>
    <w:p w14:paraId="3CBAC836" w14:textId="59554C89" w:rsidR="004B628E" w:rsidRDefault="004B628E" w:rsidP="004B628E">
      <w:pPr>
        <w:rPr>
          <w:rFonts w:asciiTheme="majorHAnsi" w:hAnsiTheme="majorHAnsi" w:cstheme="minorHAnsi"/>
          <w:lang w:val="en"/>
        </w:rPr>
      </w:pPr>
      <w:r w:rsidRPr="004B628E">
        <w:rPr>
          <w:rFonts w:asciiTheme="majorHAnsi" w:hAnsiTheme="majorHAnsi" w:cstheme="minorHAnsi"/>
          <w:lang w:val="en"/>
        </w:rPr>
        <w:lastRenderedPageBreak/>
        <w:t>In the event of overdose the patient should be medically monitored for symptoms of excessive muscle weakness or muscle paralysis. Symptomatic treatment should be instigated if necessary.</w:t>
      </w:r>
    </w:p>
    <w:p w14:paraId="406AA9C8" w14:textId="0A5F2214" w:rsidR="00497C85" w:rsidRPr="00497C85" w:rsidRDefault="00497C85" w:rsidP="00497C85">
      <w:pPr>
        <w:rPr>
          <w:rFonts w:asciiTheme="majorHAnsi" w:hAnsiTheme="majorHAnsi" w:cstheme="minorHAnsi"/>
        </w:rPr>
      </w:pPr>
      <w:r w:rsidRPr="00497C85">
        <w:rPr>
          <w:rFonts w:asciiTheme="majorHAnsi" w:hAnsiTheme="majorHAnsi" w:cstheme="minorHAnsi"/>
          <w:lang w:val="en"/>
        </w:rPr>
        <w:t>For information on the management of overdose, contact the Poisons Information Centre on 13 11 26 (Australia).</w:t>
      </w:r>
    </w:p>
    <w:p w14:paraId="57002C54" w14:textId="77777777" w:rsidR="001A3992" w:rsidRPr="00497C85" w:rsidRDefault="001A3992" w:rsidP="006E22AB">
      <w:pPr>
        <w:pStyle w:val="Heading1"/>
        <w:spacing w:before="0" w:after="120"/>
        <w:rPr>
          <w:rFonts w:cstheme="minorHAnsi"/>
          <w:lang w:val="en-US"/>
        </w:rPr>
      </w:pPr>
      <w:r w:rsidRPr="00497C85">
        <w:rPr>
          <w:rFonts w:cstheme="minorHAnsi"/>
          <w:lang w:val="en-US"/>
        </w:rPr>
        <w:t>Pharmacological properties</w:t>
      </w:r>
    </w:p>
    <w:p w14:paraId="3CB18814" w14:textId="77777777" w:rsidR="001A3992" w:rsidRPr="00497C85" w:rsidRDefault="001A3992" w:rsidP="0080653E">
      <w:pPr>
        <w:pStyle w:val="Heading2"/>
        <w:keepNext/>
        <w:keepLines/>
        <w:spacing w:before="0" w:after="120"/>
        <w:rPr>
          <w:rFonts w:cstheme="minorHAnsi"/>
          <w:lang w:val="en-US"/>
        </w:rPr>
      </w:pPr>
      <w:r w:rsidRPr="00497C85">
        <w:rPr>
          <w:rFonts w:cstheme="minorHAnsi"/>
          <w:lang w:val="en-US"/>
        </w:rPr>
        <w:t xml:space="preserve">Pharmacodynamic properties </w:t>
      </w:r>
    </w:p>
    <w:p w14:paraId="01BE40E2" w14:textId="7DFC46EE" w:rsidR="001A3992" w:rsidRPr="00EC304C" w:rsidRDefault="00EC304C" w:rsidP="001A3992">
      <w:pPr>
        <w:pStyle w:val="Heading3"/>
        <w:spacing w:before="0" w:after="120"/>
        <w:rPr>
          <w:rFonts w:cstheme="minorHAnsi"/>
          <w:b w:val="0"/>
          <w:bCs w:val="0"/>
        </w:rPr>
      </w:pPr>
      <w:r>
        <w:rPr>
          <w:rFonts w:cstheme="minorHAnsi"/>
        </w:rPr>
        <w:t xml:space="preserve">Therapeutic class: </w:t>
      </w:r>
      <w:r>
        <w:rPr>
          <w:rFonts w:cstheme="minorHAnsi"/>
          <w:b w:val="0"/>
          <w:bCs w:val="0"/>
        </w:rPr>
        <w:t>Neuromuscular blocking agent.</w:t>
      </w:r>
    </w:p>
    <w:p w14:paraId="4F67E6C7" w14:textId="77777777" w:rsidR="00EC304C" w:rsidRDefault="00EC304C" w:rsidP="00EC304C">
      <w:pPr>
        <w:pStyle w:val="Heading3"/>
        <w:spacing w:before="0" w:after="120"/>
        <w:rPr>
          <w:rFonts w:cstheme="minorHAnsi"/>
        </w:rPr>
      </w:pPr>
      <w:r w:rsidRPr="00497C85">
        <w:rPr>
          <w:rFonts w:cstheme="minorHAnsi"/>
        </w:rPr>
        <w:t>Mechanism of action</w:t>
      </w:r>
    </w:p>
    <w:p w14:paraId="44D85F99" w14:textId="40858317" w:rsidR="00EC304C" w:rsidRPr="00EC304C" w:rsidRDefault="00EC304C" w:rsidP="00EC304C">
      <w:pPr>
        <w:rPr>
          <w:rFonts w:asciiTheme="majorHAnsi" w:hAnsiTheme="majorHAnsi"/>
          <w:lang w:val="en-GB"/>
        </w:rPr>
      </w:pPr>
      <w:r w:rsidRPr="00EC304C">
        <w:rPr>
          <w:rFonts w:asciiTheme="majorHAnsi" w:hAnsiTheme="majorHAnsi"/>
          <w:lang w:val="en-GB"/>
        </w:rPr>
        <w:t>Botulinum toxin type A (</w:t>
      </w:r>
      <w:r w:rsidRPr="00EC304C">
        <w:rPr>
          <w:rFonts w:asciiTheme="majorHAnsi" w:hAnsiTheme="majorHAnsi"/>
          <w:i/>
          <w:lang w:val="en-GB"/>
        </w:rPr>
        <w:t>Clostridium botulinum</w:t>
      </w:r>
      <w:r w:rsidRPr="00EC304C">
        <w:rPr>
          <w:rFonts w:asciiTheme="majorHAnsi" w:hAnsiTheme="majorHAnsi"/>
          <w:lang w:val="en-GB"/>
        </w:rPr>
        <w:t xml:space="preserve"> neurotoxin) blocks peripheral acetylcholine release at presynaptic cholinergic nerve terminals by cleaving SNAP-25, a protein integral to the docking and release of acetylcholine from vesicles situated within the nerve </w:t>
      </w:r>
      <w:r w:rsidR="00E3491B">
        <w:rPr>
          <w:rFonts w:asciiTheme="majorHAnsi" w:hAnsiTheme="majorHAnsi"/>
          <w:lang w:val="en-GB"/>
        </w:rPr>
        <w:t>terminals</w:t>
      </w:r>
      <w:r w:rsidRPr="00EC304C">
        <w:rPr>
          <w:rFonts w:asciiTheme="majorHAnsi" w:hAnsiTheme="majorHAnsi"/>
          <w:lang w:val="en-GB"/>
        </w:rPr>
        <w:t>.</w:t>
      </w:r>
    </w:p>
    <w:p w14:paraId="3BD85AD5" w14:textId="6438E08A" w:rsidR="00EC304C" w:rsidRPr="00EC304C" w:rsidRDefault="00EC304C" w:rsidP="00EC304C">
      <w:pPr>
        <w:rPr>
          <w:rFonts w:asciiTheme="majorHAnsi" w:hAnsiTheme="majorHAnsi"/>
          <w:lang w:val="en-US"/>
        </w:rPr>
      </w:pPr>
      <w:r w:rsidRPr="00EC304C">
        <w:rPr>
          <w:rFonts w:asciiTheme="majorHAnsi" w:hAnsiTheme="majorHAnsi"/>
          <w:lang w:val="en-US"/>
        </w:rPr>
        <w:t>After injection, there is an initial high-affinity binding of toxin to specific cell surface receptors</w:t>
      </w:r>
      <w:r w:rsidR="00E3491B">
        <w:rPr>
          <w:rFonts w:asciiTheme="majorHAnsi" w:hAnsiTheme="majorHAnsi"/>
          <w:lang w:val="en-US"/>
        </w:rPr>
        <w:t xml:space="preserve"> on cholinergic nerve terminals</w:t>
      </w:r>
      <w:r w:rsidRPr="00EC304C">
        <w:rPr>
          <w:rFonts w:asciiTheme="majorHAnsi" w:hAnsiTheme="majorHAnsi"/>
          <w:lang w:val="en-US"/>
        </w:rPr>
        <w:t xml:space="preserve">. </w:t>
      </w:r>
      <w:r w:rsidR="00E3491B" w:rsidRPr="00E3491B">
        <w:rPr>
          <w:rFonts w:asciiTheme="majorHAnsi" w:hAnsiTheme="majorHAnsi"/>
          <w:lang w:val="en-US"/>
        </w:rPr>
        <w:t xml:space="preserve">Bound toxin is then </w:t>
      </w:r>
      <w:proofErr w:type="spellStart"/>
      <w:r w:rsidR="00E3491B" w:rsidRPr="00E3491B">
        <w:rPr>
          <w:rFonts w:asciiTheme="majorHAnsi" w:hAnsiTheme="majorHAnsi"/>
          <w:lang w:val="en-US"/>
        </w:rPr>
        <w:t>internalised</w:t>
      </w:r>
      <w:proofErr w:type="spellEnd"/>
      <w:r w:rsidR="00E3491B" w:rsidRPr="00E3491B">
        <w:rPr>
          <w:rFonts w:asciiTheme="majorHAnsi" w:hAnsiTheme="majorHAnsi"/>
          <w:lang w:val="en-US"/>
        </w:rPr>
        <w:t xml:space="preserve"> by endocytosis, and the catalytic light chain is translocated across the vesicular membrane into the cytosol where it cleaves SNAP-25. Progressive inhibition of acetylcholine release follows and clinical signs usually manifest within 2–3 days. </w:t>
      </w:r>
    </w:p>
    <w:p w14:paraId="14D0D371" w14:textId="3FC26C62" w:rsidR="00EC304C" w:rsidRPr="00EC304C" w:rsidRDefault="00EC304C" w:rsidP="00EC304C">
      <w:pPr>
        <w:rPr>
          <w:rFonts w:asciiTheme="majorHAnsi" w:hAnsiTheme="majorHAnsi"/>
          <w:lang w:val="en-GB"/>
        </w:rPr>
      </w:pPr>
      <w:r w:rsidRPr="00EC304C">
        <w:rPr>
          <w:rFonts w:asciiTheme="majorHAnsi" w:hAnsiTheme="majorHAnsi"/>
          <w:lang w:val="en-US"/>
        </w:rPr>
        <w:t xml:space="preserve">Recovery after intramuscular injection takes place normally within 12 </w:t>
      </w:r>
      <w:r w:rsidRPr="007D51EB">
        <w:rPr>
          <w:rFonts w:asciiTheme="majorHAnsi" w:hAnsiTheme="majorHAnsi"/>
          <w:lang w:val="en-US"/>
        </w:rPr>
        <w:t>weeks</w:t>
      </w:r>
      <w:r w:rsidRPr="00EC304C">
        <w:rPr>
          <w:rFonts w:asciiTheme="majorHAnsi" w:hAnsiTheme="majorHAnsi"/>
          <w:lang w:val="en-US"/>
        </w:rPr>
        <w:t>.</w:t>
      </w:r>
      <w:r w:rsidRPr="00EC304C">
        <w:rPr>
          <w:rFonts w:asciiTheme="majorHAnsi" w:hAnsiTheme="majorHAnsi"/>
          <w:lang w:val="en-GB"/>
        </w:rPr>
        <w:t xml:space="preserve"> </w:t>
      </w:r>
    </w:p>
    <w:p w14:paraId="7ACBDADD" w14:textId="3A69AA18" w:rsidR="001A3992" w:rsidRDefault="001A3992" w:rsidP="001A3992">
      <w:pPr>
        <w:pStyle w:val="Heading3"/>
        <w:spacing w:before="0" w:after="120"/>
        <w:rPr>
          <w:rFonts w:cstheme="minorHAnsi"/>
          <w:lang w:val="en-US"/>
        </w:rPr>
      </w:pPr>
      <w:r w:rsidRPr="00497C85">
        <w:rPr>
          <w:rFonts w:cstheme="minorHAnsi"/>
        </w:rPr>
        <w:t>Clinical</w:t>
      </w:r>
      <w:r w:rsidRPr="00497C85">
        <w:rPr>
          <w:rFonts w:cstheme="minorHAnsi"/>
          <w:lang w:val="en-US"/>
        </w:rPr>
        <w:t xml:space="preserve"> trials</w:t>
      </w:r>
    </w:p>
    <w:p w14:paraId="3AB9430B" w14:textId="369406BD" w:rsidR="00240F5C" w:rsidRDefault="00240F5C" w:rsidP="00FA0661">
      <w:pPr>
        <w:rPr>
          <w:rFonts w:ascii="Cambria" w:hAnsi="Cambria"/>
          <w:lang w:val="en-US"/>
        </w:rPr>
      </w:pPr>
      <w:r>
        <w:rPr>
          <w:rFonts w:ascii="Cambria" w:hAnsi="Cambria"/>
          <w:lang w:val="en-US"/>
        </w:rPr>
        <w:t xml:space="preserve">Five clinical trials were completed; 3 randomized, controlled, single dose Phase III studies (EV-001, EV-002 and EVB-003) of 150 days duration; and 2 open </w:t>
      </w:r>
      <w:proofErr w:type="gramStart"/>
      <w:r>
        <w:rPr>
          <w:rFonts w:ascii="Cambria" w:hAnsi="Cambria"/>
          <w:lang w:val="en-US"/>
        </w:rPr>
        <w:t>label</w:t>
      </w:r>
      <w:proofErr w:type="gramEnd"/>
      <w:r>
        <w:rPr>
          <w:rFonts w:ascii="Cambria" w:hAnsi="Cambria"/>
          <w:lang w:val="en-US"/>
        </w:rPr>
        <w:t>, multiple dose, long-term Phase II studies (EV-004 and EV-006) of 1 year duration.</w:t>
      </w:r>
    </w:p>
    <w:p w14:paraId="60458ED1" w14:textId="0789561D" w:rsidR="00FA0661" w:rsidRPr="00FA0661" w:rsidRDefault="00FA0661" w:rsidP="00FA0661">
      <w:pPr>
        <w:rPr>
          <w:rFonts w:ascii="Cambria" w:hAnsi="Cambria"/>
          <w:lang w:val="en-US"/>
        </w:rPr>
      </w:pPr>
      <w:r w:rsidRPr="00FA0661">
        <w:rPr>
          <w:rFonts w:ascii="Cambria" w:hAnsi="Cambria"/>
          <w:lang w:val="en-US"/>
        </w:rPr>
        <w:t xml:space="preserve">Two randomized, multi-center, double-blind, placebo-controlled trials (EV-001 [NCT02334423] and EV-002 [NCT02334436]) of identical design were conducted to evaluate </w:t>
      </w:r>
      <w:r w:rsidR="00755138">
        <w:rPr>
          <w:rFonts w:ascii="Cambria" w:hAnsi="Cambria"/>
          <w:lang w:val="en-US"/>
        </w:rPr>
        <w:t>NUCEIVA</w:t>
      </w:r>
      <w:r w:rsidRPr="00FA0661">
        <w:rPr>
          <w:rFonts w:ascii="Cambria" w:hAnsi="Cambria"/>
          <w:lang w:val="en-US"/>
        </w:rPr>
        <w:t xml:space="preserve"> for use in the temporary improvement of the appearance of moderate to severe glabellar facial lines. These trials enrolled 654 subjects, randomized 3 to 1 to a single treatment with </w:t>
      </w:r>
      <w:r w:rsidR="00755138">
        <w:rPr>
          <w:rFonts w:ascii="Cambria" w:hAnsi="Cambria"/>
          <w:lang w:val="en-US"/>
        </w:rPr>
        <w:t>NUCEIVA</w:t>
      </w:r>
      <w:r w:rsidRPr="00FA0661">
        <w:rPr>
          <w:rFonts w:ascii="Cambria" w:hAnsi="Cambria"/>
          <w:lang w:val="en-US"/>
        </w:rPr>
        <w:t xml:space="preserve"> (n=492) or placebo (n=162). </w:t>
      </w:r>
    </w:p>
    <w:p w14:paraId="6784CAE7" w14:textId="77777777" w:rsidR="00FA0661" w:rsidRPr="00FA0661" w:rsidRDefault="00FA0661" w:rsidP="00FA0661">
      <w:pPr>
        <w:rPr>
          <w:rFonts w:ascii="Cambria" w:hAnsi="Cambria"/>
          <w:lang w:val="en-US"/>
        </w:rPr>
      </w:pPr>
      <w:r w:rsidRPr="00FA0661">
        <w:rPr>
          <w:rFonts w:ascii="Cambria" w:hAnsi="Cambria"/>
          <w:lang w:val="en-US"/>
        </w:rPr>
        <w:t xml:space="preserve">The trials enrolled healthy adults (ranging in age from 18 to 81) with glabellar lines of at least moderate severity at maximum frown. The trials excluded subjects who had ptosis, deep dermal scarring, or an inability to substantially lessen glabellar lines even by physically spreading the glabellar lines apart. Injection volume was 0.1 mL/injection site, for a dose/injection site in the active treatment groups of 4 Units. Subjects were injected intramuscularly at five sites, one in the procerus muscle and two in each corrugator </w:t>
      </w:r>
      <w:proofErr w:type="spellStart"/>
      <w:r w:rsidRPr="00FA0661">
        <w:rPr>
          <w:rFonts w:ascii="Cambria" w:hAnsi="Cambria"/>
          <w:lang w:val="en-US"/>
        </w:rPr>
        <w:t>supercilii</w:t>
      </w:r>
      <w:proofErr w:type="spellEnd"/>
      <w:r w:rsidRPr="00FA0661">
        <w:rPr>
          <w:rFonts w:ascii="Cambria" w:hAnsi="Cambria"/>
          <w:lang w:val="en-US"/>
        </w:rPr>
        <w:t xml:space="preserve"> muscle, for a total dose in the active treatment groups of 20 Units.</w:t>
      </w:r>
    </w:p>
    <w:p w14:paraId="6C68FE18" w14:textId="0D9CC68B" w:rsidR="00FA0661" w:rsidRPr="00FA0661" w:rsidRDefault="00FA0661" w:rsidP="00FA0661">
      <w:pPr>
        <w:rPr>
          <w:rFonts w:ascii="Cambria" w:hAnsi="Cambria"/>
          <w:lang w:val="en-US"/>
        </w:rPr>
      </w:pPr>
      <w:r w:rsidRPr="00FA0661">
        <w:rPr>
          <w:rFonts w:ascii="Cambria" w:hAnsi="Cambria"/>
          <w:lang w:val="en-US"/>
        </w:rPr>
        <w:t xml:space="preserve">The primary efficacy endpoint was measured at Day 30 and was defined as the proportion of subjects achieving ≥2-grade improvement from baseline at maximum frown, as assessed independently by both the investigator and the subject using the Glabellar Line Scale (GLS). The </w:t>
      </w:r>
      <w:r w:rsidRPr="00FA0661">
        <w:rPr>
          <w:rFonts w:ascii="Cambria" w:hAnsi="Cambria"/>
          <w:lang w:val="en-US"/>
        </w:rPr>
        <w:lastRenderedPageBreak/>
        <w:t xml:space="preserve">GLS is a 4-point grading scale (0=none, 1=mild, 2= moderate, 3=severe). The results of these two efficacy trials are presented below (See Table </w:t>
      </w:r>
      <w:r w:rsidR="00E451C1">
        <w:rPr>
          <w:rFonts w:ascii="Cambria" w:hAnsi="Cambria"/>
          <w:lang w:val="en-US"/>
        </w:rPr>
        <w:t>4</w:t>
      </w:r>
      <w:r w:rsidRPr="00FA0661">
        <w:rPr>
          <w:rFonts w:ascii="Cambria" w:hAnsi="Cambria"/>
          <w:lang w:val="en-US"/>
        </w:rPr>
        <w:t xml:space="preserve">). </w:t>
      </w:r>
    </w:p>
    <w:p w14:paraId="12E8DA6E" w14:textId="77777777" w:rsidR="00FA0661" w:rsidRPr="00FA0661" w:rsidRDefault="00FA0661" w:rsidP="00FA0661">
      <w:pPr>
        <w:rPr>
          <w:rFonts w:ascii="Cambria" w:hAnsi="Cambria"/>
          <w:lang w:val="en-US"/>
        </w:rPr>
      </w:pPr>
      <w:r w:rsidRPr="00FA0661">
        <w:rPr>
          <w:rFonts w:ascii="Cambria" w:hAnsi="Cambria"/>
          <w:lang w:val="en-US"/>
        </w:rPr>
        <w:t>The mean age was 51 years, with 68 subjects (10%) ≥ 65 years of age. Most of the subjects were women (91%), and a majority of the subjects were white (84%).</w:t>
      </w:r>
    </w:p>
    <w:p w14:paraId="30D5DE9A" w14:textId="785B44FA" w:rsidR="00FA0661" w:rsidRPr="00FA345A" w:rsidRDefault="00C56C9F" w:rsidP="00C56C9F">
      <w:pPr>
        <w:pStyle w:val="Caption"/>
        <w:tabs>
          <w:tab w:val="clear" w:pos="1440"/>
        </w:tabs>
        <w:ind w:left="0" w:firstLine="0"/>
        <w:rPr>
          <w:rFonts w:asciiTheme="majorHAnsi" w:hAnsiTheme="majorHAnsi"/>
          <w:sz w:val="22"/>
          <w:szCs w:val="22"/>
        </w:rPr>
      </w:pPr>
      <w:r w:rsidRPr="0091632B">
        <w:rPr>
          <w:rFonts w:asciiTheme="majorHAnsi" w:hAnsiTheme="majorHAnsi"/>
          <w:sz w:val="22"/>
          <w:szCs w:val="22"/>
        </w:rPr>
        <w:t xml:space="preserve">Table </w:t>
      </w:r>
      <w:r w:rsidRPr="00FA345A">
        <w:rPr>
          <w:rFonts w:asciiTheme="majorHAnsi" w:hAnsiTheme="majorHAnsi"/>
          <w:sz w:val="22"/>
          <w:szCs w:val="22"/>
        </w:rPr>
        <w:fldChar w:fldCharType="begin"/>
      </w:r>
      <w:r w:rsidRPr="00FA345A">
        <w:rPr>
          <w:rFonts w:asciiTheme="majorHAnsi" w:hAnsiTheme="majorHAnsi"/>
          <w:sz w:val="22"/>
          <w:szCs w:val="22"/>
        </w:rPr>
        <w:instrText xml:space="preserve"> SEQ Table \* ARABIC </w:instrText>
      </w:r>
      <w:r w:rsidRPr="00FA345A">
        <w:rPr>
          <w:rFonts w:asciiTheme="majorHAnsi" w:hAnsiTheme="majorHAnsi"/>
          <w:sz w:val="22"/>
          <w:szCs w:val="22"/>
        </w:rPr>
        <w:fldChar w:fldCharType="separate"/>
      </w:r>
      <w:r w:rsidR="00685B8C">
        <w:rPr>
          <w:rFonts w:asciiTheme="majorHAnsi" w:hAnsiTheme="majorHAnsi"/>
          <w:noProof/>
          <w:sz w:val="22"/>
          <w:szCs w:val="22"/>
        </w:rPr>
        <w:t>4</w:t>
      </w:r>
      <w:r w:rsidRPr="00FA345A">
        <w:rPr>
          <w:rFonts w:asciiTheme="majorHAnsi" w:hAnsiTheme="majorHAnsi"/>
          <w:sz w:val="22"/>
          <w:szCs w:val="22"/>
        </w:rPr>
        <w:fldChar w:fldCharType="end"/>
      </w:r>
      <w:r w:rsidRPr="00FA345A">
        <w:rPr>
          <w:rFonts w:asciiTheme="majorHAnsi" w:hAnsiTheme="majorHAnsi"/>
          <w:sz w:val="22"/>
          <w:szCs w:val="22"/>
        </w:rPr>
        <w:t>. Trials EV-001 and EV-002: Composite Investigator and Subject Assessment of Glabellar Line Severity at Maximum Frown at Day 30 – Responder Rates (% of Subjects Achieving ≥ 2-Grade Improvement from Baseline)</w:t>
      </w:r>
    </w:p>
    <w:tbl>
      <w:tblPr>
        <w:tblStyle w:val="TableGrid"/>
        <w:tblW w:w="8887" w:type="dxa"/>
        <w:tblInd w:w="108" w:type="dxa"/>
        <w:tblLook w:val="04A0" w:firstRow="1" w:lastRow="0" w:firstColumn="1" w:lastColumn="0" w:noHBand="0" w:noVBand="1"/>
      </w:tblPr>
      <w:tblGrid>
        <w:gridCol w:w="960"/>
        <w:gridCol w:w="1250"/>
        <w:gridCol w:w="1346"/>
        <w:gridCol w:w="1403"/>
        <w:gridCol w:w="1318"/>
        <w:gridCol w:w="1363"/>
        <w:gridCol w:w="1247"/>
      </w:tblGrid>
      <w:tr w:rsidR="00005F68" w:rsidRPr="00FA345A" w14:paraId="65B99A5C" w14:textId="58E805AD" w:rsidTr="0091632B">
        <w:trPr>
          <w:trHeight w:val="224"/>
        </w:trPr>
        <w:tc>
          <w:tcPr>
            <w:tcW w:w="960" w:type="dxa"/>
          </w:tcPr>
          <w:p w14:paraId="629713F1" w14:textId="77777777" w:rsidR="00005F68" w:rsidRPr="00FA345A" w:rsidRDefault="00005F68"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Trial</w:t>
            </w:r>
          </w:p>
        </w:tc>
        <w:tc>
          <w:tcPr>
            <w:tcW w:w="2596" w:type="dxa"/>
            <w:gridSpan w:val="2"/>
          </w:tcPr>
          <w:p w14:paraId="5DC4C8F6" w14:textId="51BC58B9" w:rsidR="00005F68" w:rsidRPr="00FA345A" w:rsidRDefault="00005F68"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 xml:space="preserve">≥2 point </w:t>
            </w:r>
            <w:r w:rsidR="00965EC6" w:rsidRPr="00FA345A">
              <w:rPr>
                <w:rFonts w:asciiTheme="majorHAnsi" w:hAnsiTheme="majorHAnsi"/>
                <w:sz w:val="22"/>
                <w:szCs w:val="22"/>
              </w:rPr>
              <w:t>Improvement</w:t>
            </w:r>
          </w:p>
          <w:p w14:paraId="7D34B6F0" w14:textId="01550002" w:rsidR="00005F68"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Composite</w:t>
            </w:r>
            <w:r w:rsidR="008F1FE3">
              <w:rPr>
                <w:rFonts w:asciiTheme="majorHAnsi" w:hAnsiTheme="majorHAnsi"/>
                <w:sz w:val="22"/>
                <w:szCs w:val="22"/>
              </w:rPr>
              <w:t>*</w:t>
            </w:r>
          </w:p>
          <w:p w14:paraId="58E502BB" w14:textId="65F9AE46" w:rsidR="00005F68" w:rsidRPr="00FA345A" w:rsidRDefault="00005F68"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 xml:space="preserve">NUCEIVA   </w:t>
            </w:r>
            <w:r w:rsidR="00FA345A">
              <w:rPr>
                <w:rFonts w:asciiTheme="majorHAnsi" w:hAnsiTheme="majorHAnsi"/>
                <w:sz w:val="22"/>
                <w:szCs w:val="22"/>
              </w:rPr>
              <w:t xml:space="preserve">    </w:t>
            </w:r>
            <w:r w:rsidRPr="00FA345A">
              <w:rPr>
                <w:rFonts w:asciiTheme="majorHAnsi" w:hAnsiTheme="majorHAnsi"/>
                <w:sz w:val="22"/>
                <w:szCs w:val="22"/>
              </w:rPr>
              <w:t>Placebo</w:t>
            </w:r>
          </w:p>
        </w:tc>
        <w:tc>
          <w:tcPr>
            <w:tcW w:w="2721" w:type="dxa"/>
            <w:gridSpan w:val="2"/>
          </w:tcPr>
          <w:p w14:paraId="74653BF5" w14:textId="021DA702" w:rsidR="00005F68" w:rsidRPr="00FA345A" w:rsidRDefault="00005F68" w:rsidP="00AD252B">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≥2 point Improvement</w:t>
            </w:r>
          </w:p>
          <w:p w14:paraId="75525B49" w14:textId="463D11E1" w:rsidR="009F33F5" w:rsidRPr="00FA345A" w:rsidRDefault="009F33F5" w:rsidP="00AD252B">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Investigator</w:t>
            </w:r>
          </w:p>
          <w:p w14:paraId="64A69546" w14:textId="53666446" w:rsidR="00005F68" w:rsidRPr="00FA345A" w:rsidRDefault="00005F68" w:rsidP="00AD252B">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 xml:space="preserve">NUCEIVA    </w:t>
            </w:r>
            <w:r w:rsidR="00965EC6" w:rsidRPr="00FA345A">
              <w:rPr>
                <w:rFonts w:asciiTheme="majorHAnsi" w:hAnsiTheme="majorHAnsi"/>
                <w:sz w:val="22"/>
                <w:szCs w:val="22"/>
              </w:rPr>
              <w:t xml:space="preserve"> </w:t>
            </w:r>
            <w:r w:rsidR="00FA345A">
              <w:rPr>
                <w:rFonts w:asciiTheme="majorHAnsi" w:hAnsiTheme="majorHAnsi"/>
                <w:sz w:val="22"/>
                <w:szCs w:val="22"/>
              </w:rPr>
              <w:t xml:space="preserve">     </w:t>
            </w:r>
            <w:r w:rsidRPr="00FA345A">
              <w:rPr>
                <w:rFonts w:asciiTheme="majorHAnsi" w:hAnsiTheme="majorHAnsi"/>
                <w:sz w:val="22"/>
                <w:szCs w:val="22"/>
              </w:rPr>
              <w:t>Placebo</w:t>
            </w:r>
          </w:p>
        </w:tc>
        <w:tc>
          <w:tcPr>
            <w:tcW w:w="2610" w:type="dxa"/>
            <w:gridSpan w:val="2"/>
          </w:tcPr>
          <w:p w14:paraId="3ADB5A84" w14:textId="77777777" w:rsidR="00005F68" w:rsidRPr="00FA345A" w:rsidRDefault="00005F68" w:rsidP="00005F68">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≥2 point Improvement</w:t>
            </w:r>
          </w:p>
          <w:p w14:paraId="71E0EE4E" w14:textId="04B2892A" w:rsidR="009F33F5" w:rsidRPr="00FA345A" w:rsidRDefault="009F33F5" w:rsidP="00005F68">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Subject</w:t>
            </w:r>
          </w:p>
          <w:p w14:paraId="7CCFAF51" w14:textId="28C5A54C" w:rsidR="00005F68" w:rsidRPr="00FA345A" w:rsidRDefault="00005F68" w:rsidP="00005F68">
            <w:pPr>
              <w:pStyle w:val="BodyText"/>
              <w:tabs>
                <w:tab w:val="left" w:pos="7740"/>
              </w:tabs>
              <w:spacing w:after="120"/>
              <w:rPr>
                <w:rFonts w:asciiTheme="majorHAnsi" w:hAnsiTheme="majorHAnsi" w:cs="Arial"/>
                <w:sz w:val="22"/>
                <w:szCs w:val="22"/>
              </w:rPr>
            </w:pPr>
            <w:r w:rsidRPr="00FA345A">
              <w:rPr>
                <w:rFonts w:asciiTheme="majorHAnsi" w:hAnsiTheme="majorHAnsi"/>
                <w:sz w:val="22"/>
                <w:szCs w:val="22"/>
              </w:rPr>
              <w:t xml:space="preserve">NUCEIVA    </w:t>
            </w:r>
            <w:r w:rsidR="00FA345A">
              <w:rPr>
                <w:rFonts w:asciiTheme="majorHAnsi" w:hAnsiTheme="majorHAnsi"/>
                <w:sz w:val="22"/>
                <w:szCs w:val="22"/>
              </w:rPr>
              <w:t xml:space="preserve">    </w:t>
            </w:r>
            <w:r w:rsidR="00965EC6" w:rsidRPr="00FA345A">
              <w:rPr>
                <w:rFonts w:asciiTheme="majorHAnsi" w:hAnsiTheme="majorHAnsi"/>
                <w:sz w:val="22"/>
                <w:szCs w:val="22"/>
              </w:rPr>
              <w:t xml:space="preserve"> </w:t>
            </w:r>
            <w:r w:rsidRPr="00FA345A">
              <w:rPr>
                <w:rFonts w:asciiTheme="majorHAnsi" w:hAnsiTheme="majorHAnsi"/>
                <w:sz w:val="22"/>
                <w:szCs w:val="22"/>
              </w:rPr>
              <w:t>Placebo</w:t>
            </w:r>
          </w:p>
        </w:tc>
      </w:tr>
      <w:tr w:rsidR="00965EC6" w:rsidRPr="00FA345A" w14:paraId="06681D02" w14:textId="11412CCC" w:rsidTr="00965EC6">
        <w:tc>
          <w:tcPr>
            <w:tcW w:w="960" w:type="dxa"/>
          </w:tcPr>
          <w:p w14:paraId="1C63A5E6" w14:textId="6F02A1DB" w:rsidR="00005F68" w:rsidRPr="00FA345A" w:rsidRDefault="00005F68"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EV-001</w:t>
            </w:r>
          </w:p>
        </w:tc>
        <w:tc>
          <w:tcPr>
            <w:tcW w:w="1250" w:type="dxa"/>
          </w:tcPr>
          <w:p w14:paraId="567C39BB" w14:textId="77777777" w:rsidR="00005F68" w:rsidRPr="00FA345A" w:rsidRDefault="00005F68"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N=246</w:t>
            </w:r>
          </w:p>
          <w:p w14:paraId="67EB4197" w14:textId="1E7DC301" w:rsidR="00965EC6"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67.5%</w:t>
            </w:r>
          </w:p>
        </w:tc>
        <w:tc>
          <w:tcPr>
            <w:tcW w:w="1346" w:type="dxa"/>
          </w:tcPr>
          <w:p w14:paraId="6CF3879D" w14:textId="6C6E74EC" w:rsidR="00005F68"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N=84</w:t>
            </w:r>
          </w:p>
          <w:p w14:paraId="72440934" w14:textId="3F3B54C1" w:rsidR="00965EC6"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1</w:t>
            </w:r>
            <w:r w:rsidR="0036340F" w:rsidRPr="00FA345A">
              <w:rPr>
                <w:rFonts w:asciiTheme="majorHAnsi" w:hAnsiTheme="majorHAnsi"/>
                <w:sz w:val="22"/>
                <w:szCs w:val="22"/>
              </w:rPr>
              <w:t>.2</w:t>
            </w:r>
            <w:r w:rsidRPr="00FA345A">
              <w:rPr>
                <w:rFonts w:asciiTheme="majorHAnsi" w:hAnsiTheme="majorHAnsi"/>
                <w:sz w:val="22"/>
                <w:szCs w:val="22"/>
              </w:rPr>
              <w:t>%</w:t>
            </w:r>
          </w:p>
        </w:tc>
        <w:tc>
          <w:tcPr>
            <w:tcW w:w="1403" w:type="dxa"/>
          </w:tcPr>
          <w:p w14:paraId="0F7E4A48" w14:textId="5308508F" w:rsidR="00005F68"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N=246</w:t>
            </w:r>
          </w:p>
          <w:p w14:paraId="6969A50F" w14:textId="3965B07A" w:rsidR="00965EC6"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7</w:t>
            </w:r>
            <w:r w:rsidR="000A4606" w:rsidRPr="00FA345A">
              <w:rPr>
                <w:rFonts w:asciiTheme="majorHAnsi" w:hAnsiTheme="majorHAnsi"/>
                <w:sz w:val="22"/>
                <w:szCs w:val="22"/>
              </w:rPr>
              <w:t>7.5</w:t>
            </w:r>
            <w:r w:rsidRPr="00FA345A">
              <w:rPr>
                <w:rFonts w:asciiTheme="majorHAnsi" w:hAnsiTheme="majorHAnsi"/>
                <w:sz w:val="22"/>
                <w:szCs w:val="22"/>
              </w:rPr>
              <w:t>%</w:t>
            </w:r>
          </w:p>
        </w:tc>
        <w:tc>
          <w:tcPr>
            <w:tcW w:w="1318" w:type="dxa"/>
          </w:tcPr>
          <w:p w14:paraId="502306AE" w14:textId="01075D7D" w:rsidR="00005F68"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N=84</w:t>
            </w:r>
          </w:p>
          <w:p w14:paraId="3009E377" w14:textId="1F8674E6" w:rsidR="00965EC6"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1</w:t>
            </w:r>
            <w:r w:rsidR="00A94698" w:rsidRPr="00FA345A">
              <w:rPr>
                <w:rFonts w:asciiTheme="majorHAnsi" w:hAnsiTheme="majorHAnsi"/>
                <w:sz w:val="22"/>
                <w:szCs w:val="22"/>
              </w:rPr>
              <w:t>.2</w:t>
            </w:r>
            <w:r w:rsidRPr="00FA345A">
              <w:rPr>
                <w:rFonts w:asciiTheme="majorHAnsi" w:hAnsiTheme="majorHAnsi"/>
                <w:sz w:val="22"/>
                <w:szCs w:val="22"/>
              </w:rPr>
              <w:t>%</w:t>
            </w:r>
          </w:p>
        </w:tc>
        <w:tc>
          <w:tcPr>
            <w:tcW w:w="1363" w:type="dxa"/>
          </w:tcPr>
          <w:p w14:paraId="174A58D9" w14:textId="77777777" w:rsidR="00005F68" w:rsidRPr="00FA345A" w:rsidRDefault="00965EC6" w:rsidP="008A7390">
            <w:pPr>
              <w:pStyle w:val="BodyText"/>
              <w:tabs>
                <w:tab w:val="left" w:pos="7740"/>
              </w:tabs>
              <w:spacing w:after="120"/>
              <w:rPr>
                <w:rFonts w:asciiTheme="majorHAnsi" w:hAnsiTheme="majorHAnsi" w:cs="Arial"/>
                <w:sz w:val="22"/>
                <w:szCs w:val="22"/>
              </w:rPr>
            </w:pPr>
            <w:r w:rsidRPr="00FA345A">
              <w:rPr>
                <w:rFonts w:asciiTheme="majorHAnsi" w:hAnsiTheme="majorHAnsi" w:cs="Arial"/>
                <w:sz w:val="22"/>
                <w:szCs w:val="22"/>
              </w:rPr>
              <w:t>N=246</w:t>
            </w:r>
          </w:p>
          <w:p w14:paraId="3B988792" w14:textId="3405C193" w:rsidR="00965EC6" w:rsidRPr="00FA345A" w:rsidRDefault="00965EC6" w:rsidP="008A7390">
            <w:pPr>
              <w:pStyle w:val="BodyText"/>
              <w:tabs>
                <w:tab w:val="left" w:pos="7740"/>
              </w:tabs>
              <w:spacing w:after="120"/>
              <w:rPr>
                <w:rFonts w:asciiTheme="majorHAnsi" w:hAnsiTheme="majorHAnsi" w:cs="Arial"/>
                <w:sz w:val="22"/>
                <w:szCs w:val="22"/>
              </w:rPr>
            </w:pPr>
            <w:r w:rsidRPr="00FA345A">
              <w:rPr>
                <w:rFonts w:asciiTheme="majorHAnsi" w:hAnsiTheme="majorHAnsi" w:cs="Arial"/>
                <w:sz w:val="22"/>
                <w:szCs w:val="22"/>
              </w:rPr>
              <w:t>7</w:t>
            </w:r>
            <w:r w:rsidR="00FA1DFE" w:rsidRPr="00FA345A">
              <w:rPr>
                <w:rFonts w:asciiTheme="majorHAnsi" w:hAnsiTheme="majorHAnsi" w:cs="Arial"/>
                <w:sz w:val="22"/>
                <w:szCs w:val="22"/>
              </w:rPr>
              <w:t>6.7</w:t>
            </w:r>
            <w:r w:rsidRPr="00FA345A">
              <w:rPr>
                <w:rFonts w:asciiTheme="majorHAnsi" w:hAnsiTheme="majorHAnsi" w:cs="Arial"/>
                <w:sz w:val="22"/>
                <w:szCs w:val="22"/>
              </w:rPr>
              <w:t>%</w:t>
            </w:r>
          </w:p>
        </w:tc>
        <w:tc>
          <w:tcPr>
            <w:tcW w:w="1247" w:type="dxa"/>
          </w:tcPr>
          <w:p w14:paraId="480B7679" w14:textId="77777777" w:rsidR="00005F68" w:rsidRPr="00FA345A" w:rsidRDefault="00965EC6" w:rsidP="008A7390">
            <w:pPr>
              <w:pStyle w:val="BodyText"/>
              <w:tabs>
                <w:tab w:val="left" w:pos="7740"/>
              </w:tabs>
              <w:spacing w:after="120"/>
              <w:rPr>
                <w:rFonts w:asciiTheme="majorHAnsi" w:hAnsiTheme="majorHAnsi" w:cs="Arial"/>
                <w:sz w:val="22"/>
                <w:szCs w:val="22"/>
              </w:rPr>
            </w:pPr>
            <w:r w:rsidRPr="00FA345A">
              <w:rPr>
                <w:rFonts w:asciiTheme="majorHAnsi" w:hAnsiTheme="majorHAnsi" w:cs="Arial"/>
                <w:sz w:val="22"/>
                <w:szCs w:val="22"/>
              </w:rPr>
              <w:t>N=84</w:t>
            </w:r>
          </w:p>
          <w:p w14:paraId="1220D739" w14:textId="310E92A0" w:rsidR="00965EC6" w:rsidRPr="00FA345A" w:rsidRDefault="00A94698" w:rsidP="008A7390">
            <w:pPr>
              <w:pStyle w:val="BodyText"/>
              <w:tabs>
                <w:tab w:val="left" w:pos="7740"/>
              </w:tabs>
              <w:spacing w:after="120"/>
              <w:rPr>
                <w:rFonts w:asciiTheme="majorHAnsi" w:hAnsiTheme="majorHAnsi" w:cs="Arial"/>
                <w:sz w:val="22"/>
                <w:szCs w:val="22"/>
              </w:rPr>
            </w:pPr>
            <w:r w:rsidRPr="00FA345A">
              <w:rPr>
                <w:rFonts w:asciiTheme="majorHAnsi" w:hAnsiTheme="majorHAnsi" w:cs="Arial"/>
                <w:sz w:val="22"/>
                <w:szCs w:val="22"/>
              </w:rPr>
              <w:t>3.6</w:t>
            </w:r>
            <w:r w:rsidR="00965EC6" w:rsidRPr="00FA345A">
              <w:rPr>
                <w:rFonts w:asciiTheme="majorHAnsi" w:hAnsiTheme="majorHAnsi" w:cs="Arial"/>
                <w:sz w:val="22"/>
                <w:szCs w:val="22"/>
              </w:rPr>
              <w:t>%</w:t>
            </w:r>
          </w:p>
        </w:tc>
      </w:tr>
      <w:tr w:rsidR="00965EC6" w:rsidRPr="00FA345A" w14:paraId="5D7E4D0E" w14:textId="66FCC3EB" w:rsidTr="00965EC6">
        <w:tc>
          <w:tcPr>
            <w:tcW w:w="960" w:type="dxa"/>
          </w:tcPr>
          <w:p w14:paraId="632D81DC" w14:textId="129A283B" w:rsidR="00005F68" w:rsidRPr="00FA345A" w:rsidRDefault="00005F68"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EV-002</w:t>
            </w:r>
          </w:p>
        </w:tc>
        <w:tc>
          <w:tcPr>
            <w:tcW w:w="1250" w:type="dxa"/>
          </w:tcPr>
          <w:p w14:paraId="32DC6E98" w14:textId="77777777" w:rsidR="00005F68" w:rsidRPr="00FA345A" w:rsidRDefault="00005F68"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N=246</w:t>
            </w:r>
          </w:p>
          <w:p w14:paraId="5D4ACAE4" w14:textId="13CE9659" w:rsidR="00965EC6"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70.4%</w:t>
            </w:r>
          </w:p>
        </w:tc>
        <w:tc>
          <w:tcPr>
            <w:tcW w:w="1346" w:type="dxa"/>
          </w:tcPr>
          <w:p w14:paraId="7F208A1C" w14:textId="3F060C2B" w:rsidR="00005F68"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N=78</w:t>
            </w:r>
          </w:p>
          <w:p w14:paraId="7DB8216A" w14:textId="29B644D9" w:rsidR="00965EC6"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1</w:t>
            </w:r>
            <w:r w:rsidR="0036340F" w:rsidRPr="00FA345A">
              <w:rPr>
                <w:rFonts w:asciiTheme="majorHAnsi" w:hAnsiTheme="majorHAnsi"/>
                <w:sz w:val="22"/>
                <w:szCs w:val="22"/>
              </w:rPr>
              <w:t>.3</w:t>
            </w:r>
            <w:r w:rsidRPr="00FA345A">
              <w:rPr>
                <w:rFonts w:asciiTheme="majorHAnsi" w:hAnsiTheme="majorHAnsi"/>
                <w:sz w:val="22"/>
                <w:szCs w:val="22"/>
              </w:rPr>
              <w:t>%</w:t>
            </w:r>
          </w:p>
        </w:tc>
        <w:tc>
          <w:tcPr>
            <w:tcW w:w="1403" w:type="dxa"/>
          </w:tcPr>
          <w:p w14:paraId="716DC3B7" w14:textId="660D9D75" w:rsidR="00005F68"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N=246</w:t>
            </w:r>
          </w:p>
          <w:p w14:paraId="5001B29E" w14:textId="4D9F6337" w:rsidR="00965EC6"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8</w:t>
            </w:r>
            <w:r w:rsidR="000A4606" w:rsidRPr="00FA345A">
              <w:rPr>
                <w:rFonts w:asciiTheme="majorHAnsi" w:hAnsiTheme="majorHAnsi"/>
                <w:sz w:val="22"/>
                <w:szCs w:val="22"/>
              </w:rPr>
              <w:t>2.5</w:t>
            </w:r>
            <w:r w:rsidRPr="00FA345A">
              <w:rPr>
                <w:rFonts w:asciiTheme="majorHAnsi" w:hAnsiTheme="majorHAnsi"/>
                <w:sz w:val="22"/>
                <w:szCs w:val="22"/>
              </w:rPr>
              <w:t>%</w:t>
            </w:r>
          </w:p>
        </w:tc>
        <w:tc>
          <w:tcPr>
            <w:tcW w:w="1318" w:type="dxa"/>
          </w:tcPr>
          <w:p w14:paraId="5310FB51" w14:textId="335E6CC5" w:rsidR="00005F68" w:rsidRPr="00FA345A" w:rsidRDefault="00965EC6"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N=78</w:t>
            </w:r>
          </w:p>
          <w:p w14:paraId="01A2CC25" w14:textId="61956371" w:rsidR="00965EC6" w:rsidRPr="00FA345A" w:rsidRDefault="00A94698" w:rsidP="008A7390">
            <w:pPr>
              <w:pStyle w:val="BodyText"/>
              <w:tabs>
                <w:tab w:val="left" w:pos="7740"/>
              </w:tabs>
              <w:spacing w:after="120"/>
              <w:rPr>
                <w:rFonts w:asciiTheme="majorHAnsi" w:hAnsiTheme="majorHAnsi"/>
                <w:sz w:val="22"/>
                <w:szCs w:val="22"/>
              </w:rPr>
            </w:pPr>
            <w:r w:rsidRPr="00FA345A">
              <w:rPr>
                <w:rFonts w:asciiTheme="majorHAnsi" w:hAnsiTheme="majorHAnsi"/>
                <w:sz w:val="22"/>
                <w:szCs w:val="22"/>
              </w:rPr>
              <w:t>2.7</w:t>
            </w:r>
            <w:r w:rsidR="00965EC6" w:rsidRPr="00FA345A">
              <w:rPr>
                <w:rFonts w:asciiTheme="majorHAnsi" w:hAnsiTheme="majorHAnsi"/>
                <w:sz w:val="22"/>
                <w:szCs w:val="22"/>
              </w:rPr>
              <w:t>%</w:t>
            </w:r>
          </w:p>
        </w:tc>
        <w:tc>
          <w:tcPr>
            <w:tcW w:w="1363" w:type="dxa"/>
          </w:tcPr>
          <w:p w14:paraId="45CC5336" w14:textId="77777777" w:rsidR="00005F68" w:rsidRPr="00FA345A" w:rsidRDefault="00965EC6" w:rsidP="008A7390">
            <w:pPr>
              <w:pStyle w:val="BodyText"/>
              <w:tabs>
                <w:tab w:val="left" w:pos="7740"/>
              </w:tabs>
              <w:spacing w:after="120"/>
              <w:rPr>
                <w:rFonts w:asciiTheme="majorHAnsi" w:hAnsiTheme="majorHAnsi" w:cs="Arial"/>
                <w:sz w:val="22"/>
                <w:szCs w:val="22"/>
              </w:rPr>
            </w:pPr>
            <w:r w:rsidRPr="00FA345A">
              <w:rPr>
                <w:rFonts w:asciiTheme="majorHAnsi" w:hAnsiTheme="majorHAnsi" w:cs="Arial"/>
                <w:sz w:val="22"/>
                <w:szCs w:val="22"/>
              </w:rPr>
              <w:t>N=246</w:t>
            </w:r>
          </w:p>
          <w:p w14:paraId="2A3DB430" w14:textId="0F1B77AF" w:rsidR="00965EC6" w:rsidRPr="00FA345A" w:rsidRDefault="00965EC6" w:rsidP="008A7390">
            <w:pPr>
              <w:pStyle w:val="BodyText"/>
              <w:tabs>
                <w:tab w:val="left" w:pos="7740"/>
              </w:tabs>
              <w:spacing w:after="120"/>
              <w:rPr>
                <w:rFonts w:asciiTheme="majorHAnsi" w:hAnsiTheme="majorHAnsi" w:cs="Arial"/>
                <w:sz w:val="22"/>
                <w:szCs w:val="22"/>
              </w:rPr>
            </w:pPr>
            <w:r w:rsidRPr="00FA345A">
              <w:rPr>
                <w:rFonts w:asciiTheme="majorHAnsi" w:hAnsiTheme="majorHAnsi" w:cs="Arial"/>
                <w:sz w:val="22"/>
                <w:szCs w:val="22"/>
              </w:rPr>
              <w:t>76</w:t>
            </w:r>
            <w:r w:rsidR="00FA1DFE" w:rsidRPr="00FA345A">
              <w:rPr>
                <w:rFonts w:asciiTheme="majorHAnsi" w:hAnsiTheme="majorHAnsi" w:cs="Arial"/>
                <w:sz w:val="22"/>
                <w:szCs w:val="22"/>
              </w:rPr>
              <w:t>.3</w:t>
            </w:r>
            <w:r w:rsidRPr="00FA345A">
              <w:rPr>
                <w:rFonts w:asciiTheme="majorHAnsi" w:hAnsiTheme="majorHAnsi" w:cs="Arial"/>
                <w:sz w:val="22"/>
                <w:szCs w:val="22"/>
              </w:rPr>
              <w:t>%</w:t>
            </w:r>
          </w:p>
        </w:tc>
        <w:tc>
          <w:tcPr>
            <w:tcW w:w="1247" w:type="dxa"/>
          </w:tcPr>
          <w:p w14:paraId="72418FC2" w14:textId="77777777" w:rsidR="00005F68" w:rsidRPr="00FA345A" w:rsidRDefault="00965EC6" w:rsidP="008A7390">
            <w:pPr>
              <w:pStyle w:val="BodyText"/>
              <w:tabs>
                <w:tab w:val="left" w:pos="7740"/>
              </w:tabs>
              <w:spacing w:after="120"/>
              <w:rPr>
                <w:rFonts w:asciiTheme="majorHAnsi" w:hAnsiTheme="majorHAnsi" w:cs="Arial"/>
                <w:sz w:val="22"/>
                <w:szCs w:val="22"/>
              </w:rPr>
            </w:pPr>
            <w:r w:rsidRPr="00FA345A">
              <w:rPr>
                <w:rFonts w:asciiTheme="majorHAnsi" w:hAnsiTheme="majorHAnsi" w:cs="Arial"/>
                <w:sz w:val="22"/>
                <w:szCs w:val="22"/>
              </w:rPr>
              <w:t>N=78</w:t>
            </w:r>
          </w:p>
          <w:p w14:paraId="7C5813AF" w14:textId="096E8A5A" w:rsidR="00965EC6" w:rsidRPr="00FA345A" w:rsidRDefault="00965EC6" w:rsidP="008A7390">
            <w:pPr>
              <w:pStyle w:val="BodyText"/>
              <w:tabs>
                <w:tab w:val="left" w:pos="7740"/>
              </w:tabs>
              <w:spacing w:after="120"/>
              <w:rPr>
                <w:rFonts w:asciiTheme="majorHAnsi" w:hAnsiTheme="majorHAnsi" w:cs="Arial"/>
                <w:sz w:val="22"/>
                <w:szCs w:val="22"/>
              </w:rPr>
            </w:pPr>
            <w:r w:rsidRPr="00FA345A">
              <w:rPr>
                <w:rFonts w:asciiTheme="majorHAnsi" w:hAnsiTheme="majorHAnsi" w:cs="Arial"/>
                <w:sz w:val="22"/>
                <w:szCs w:val="22"/>
              </w:rPr>
              <w:t>4%</w:t>
            </w:r>
          </w:p>
        </w:tc>
      </w:tr>
    </w:tbl>
    <w:p w14:paraId="3BD64AF0" w14:textId="60722B9F" w:rsidR="009953D2" w:rsidRPr="00FA345A" w:rsidRDefault="00587408" w:rsidP="003361F3">
      <w:pPr>
        <w:ind w:firstLine="80"/>
        <w:rPr>
          <w:rFonts w:ascii="Cambria" w:hAnsi="Cambria" w:cstheme="minorHAnsi"/>
          <w:sz w:val="20"/>
          <w:szCs w:val="20"/>
          <w:lang w:val="en-US"/>
        </w:rPr>
      </w:pPr>
      <w:r w:rsidRPr="00FA345A">
        <w:rPr>
          <w:rFonts w:ascii="Cambria" w:hAnsi="Cambria" w:cstheme="minorHAnsi"/>
          <w:sz w:val="20"/>
          <w:szCs w:val="20"/>
          <w:lang w:val="en-US"/>
        </w:rPr>
        <w:t>P-value &lt;0.001 for all 3 comparisons</w:t>
      </w:r>
      <w:r w:rsidR="009A39B1">
        <w:rPr>
          <w:rFonts w:ascii="Cambria" w:hAnsi="Cambria" w:cstheme="minorHAnsi"/>
          <w:sz w:val="20"/>
          <w:szCs w:val="20"/>
          <w:lang w:val="en-US"/>
        </w:rPr>
        <w:br/>
      </w:r>
      <w:r w:rsidR="008F1FE3">
        <w:rPr>
          <w:rFonts w:ascii="Cambria" w:hAnsi="Cambria" w:cstheme="minorHAnsi"/>
          <w:sz w:val="20"/>
          <w:szCs w:val="20"/>
          <w:lang w:val="en-US"/>
        </w:rPr>
        <w:t>*A composite endpoint is when both the investigator and subject independently agree</w:t>
      </w:r>
      <w:r w:rsidR="008F1FE3" w:rsidRPr="008F1FE3">
        <w:rPr>
          <w:rFonts w:ascii="Cambria" w:hAnsi="Cambria" w:cstheme="minorHAnsi"/>
          <w:sz w:val="20"/>
          <w:szCs w:val="20"/>
          <w:lang w:val="en-US"/>
        </w:rPr>
        <w:t xml:space="preserve">d that a </w:t>
      </w:r>
      <w:r w:rsidR="008F1FE3" w:rsidRPr="003361F3">
        <w:rPr>
          <w:rFonts w:asciiTheme="majorHAnsi" w:hAnsiTheme="majorHAnsi"/>
          <w:sz w:val="20"/>
          <w:szCs w:val="20"/>
        </w:rPr>
        <w:t xml:space="preserve">≥2 point improvement had occurred on the </w:t>
      </w:r>
      <w:r w:rsidR="00BE658F">
        <w:rPr>
          <w:rFonts w:asciiTheme="majorHAnsi" w:hAnsiTheme="majorHAnsi"/>
          <w:sz w:val="20"/>
          <w:szCs w:val="20"/>
        </w:rPr>
        <w:t>GLS</w:t>
      </w:r>
      <w:r w:rsidR="008F1FE3" w:rsidRPr="003361F3">
        <w:rPr>
          <w:rFonts w:asciiTheme="majorHAnsi" w:hAnsiTheme="majorHAnsi"/>
          <w:sz w:val="20"/>
          <w:szCs w:val="20"/>
        </w:rPr>
        <w:t xml:space="preserve"> at maximum frown.</w:t>
      </w:r>
    </w:p>
    <w:p w14:paraId="229F2EAC" w14:textId="2474C797" w:rsidR="00706413" w:rsidRDefault="00240F5C" w:rsidP="00EA1755">
      <w:pPr>
        <w:rPr>
          <w:rFonts w:ascii="Cambria" w:hAnsi="Cambria"/>
          <w:lang w:val="en-US"/>
        </w:rPr>
      </w:pPr>
      <w:r>
        <w:rPr>
          <w:rFonts w:ascii="Cambria" w:hAnsi="Cambria"/>
          <w:lang w:val="en-US"/>
        </w:rPr>
        <w:t xml:space="preserve">The </w:t>
      </w:r>
      <w:r w:rsidR="006508EC">
        <w:rPr>
          <w:rFonts w:ascii="Cambria" w:hAnsi="Cambria"/>
          <w:lang w:val="en-US"/>
        </w:rPr>
        <w:t>EVB-003</w:t>
      </w:r>
      <w:r>
        <w:rPr>
          <w:rFonts w:ascii="Cambria" w:hAnsi="Cambria"/>
          <w:lang w:val="en-US"/>
        </w:rPr>
        <w:t xml:space="preserve"> study</w:t>
      </w:r>
      <w:r w:rsidR="00EA1755" w:rsidRPr="00211CE2">
        <w:rPr>
          <w:rFonts w:ascii="Cambria" w:hAnsi="Cambria"/>
          <w:lang w:val="en-US"/>
        </w:rPr>
        <w:t xml:space="preserve"> was a </w:t>
      </w:r>
      <w:r w:rsidR="0054225F">
        <w:rPr>
          <w:rFonts w:ascii="Cambria" w:hAnsi="Cambria"/>
          <w:lang w:val="en-US"/>
        </w:rPr>
        <w:t xml:space="preserve">multicenter, </w:t>
      </w:r>
      <w:r w:rsidR="00EA1755" w:rsidRPr="00211CE2">
        <w:rPr>
          <w:rFonts w:ascii="Cambria" w:hAnsi="Cambria"/>
          <w:lang w:val="en-US"/>
        </w:rPr>
        <w:t xml:space="preserve">randomized, double-blind, </w:t>
      </w:r>
      <w:r w:rsidR="0054225F">
        <w:rPr>
          <w:rFonts w:ascii="Cambria" w:hAnsi="Cambria"/>
          <w:lang w:val="en-US"/>
        </w:rPr>
        <w:t xml:space="preserve">active and placebo controlled, </w:t>
      </w:r>
      <w:r w:rsidR="00EA1755" w:rsidRPr="00211CE2">
        <w:rPr>
          <w:rFonts w:ascii="Cambria" w:hAnsi="Cambria"/>
          <w:lang w:val="en-US"/>
        </w:rPr>
        <w:t>single dose study of 150 days duration comparing NUCEIVA to a</w:t>
      </w:r>
      <w:r w:rsidR="00BE658F">
        <w:rPr>
          <w:rFonts w:ascii="Cambria" w:hAnsi="Cambria"/>
          <w:lang w:val="en-US"/>
        </w:rPr>
        <w:t xml:space="preserve">n </w:t>
      </w:r>
      <w:r w:rsidR="00EA1755" w:rsidRPr="00211CE2">
        <w:rPr>
          <w:rFonts w:ascii="Cambria" w:hAnsi="Cambria"/>
          <w:lang w:val="en-US"/>
        </w:rPr>
        <w:t>active control</w:t>
      </w:r>
      <w:r w:rsidR="00C97618">
        <w:rPr>
          <w:rFonts w:ascii="Cambria" w:hAnsi="Cambria"/>
          <w:lang w:val="en-US"/>
        </w:rPr>
        <w:t xml:space="preserve"> (Botox</w:t>
      </w:r>
      <w:r w:rsidR="00C97618" w:rsidRPr="00321B3A">
        <w:rPr>
          <w:rFonts w:ascii="Cambria" w:hAnsi="Cambria"/>
          <w:vertAlign w:val="superscript"/>
          <w:lang w:val="en-US"/>
        </w:rPr>
        <w:t>®</w:t>
      </w:r>
      <w:r w:rsidR="00C97618" w:rsidRPr="003361F3">
        <w:rPr>
          <w:rFonts w:ascii="Cambria" w:hAnsi="Cambria"/>
          <w:lang w:val="en-US"/>
        </w:rPr>
        <w:t>)</w:t>
      </w:r>
      <w:r w:rsidR="00BE658F">
        <w:rPr>
          <w:rFonts w:ascii="Cambria" w:hAnsi="Cambria"/>
          <w:lang w:val="en-US"/>
        </w:rPr>
        <w:t xml:space="preserve"> and placebo</w:t>
      </w:r>
      <w:r w:rsidR="00EF773D">
        <w:rPr>
          <w:rFonts w:ascii="Cambria" w:hAnsi="Cambria"/>
          <w:lang w:val="en-US"/>
        </w:rPr>
        <w:t xml:space="preserve"> for treatment of moderate to severe glabellar facial lines</w:t>
      </w:r>
      <w:r w:rsidR="0028721A">
        <w:rPr>
          <w:rFonts w:ascii="Cambria" w:hAnsi="Cambria"/>
          <w:lang w:val="en-US"/>
        </w:rPr>
        <w:t xml:space="preserve"> at maximum frown</w:t>
      </w:r>
      <w:r w:rsidR="00EA1755" w:rsidRPr="00211CE2">
        <w:rPr>
          <w:rFonts w:ascii="Cambria" w:hAnsi="Cambria"/>
          <w:lang w:val="en-US"/>
        </w:rPr>
        <w:t xml:space="preserve">. </w:t>
      </w:r>
      <w:r w:rsidR="00EF773D">
        <w:rPr>
          <w:rFonts w:ascii="Cambria" w:hAnsi="Cambria"/>
          <w:lang w:val="en-US"/>
        </w:rPr>
        <w:t>This trial enrolled 540 subjects, randomized 5:5:1 to a single treatment with NUCEIVA (n=</w:t>
      </w:r>
      <w:r w:rsidR="00706413">
        <w:rPr>
          <w:rFonts w:ascii="Cambria" w:hAnsi="Cambria"/>
          <w:lang w:val="en-US"/>
        </w:rPr>
        <w:t xml:space="preserve">245), active control (n=246) or placebo (n=49). </w:t>
      </w:r>
    </w:p>
    <w:p w14:paraId="5A339BE4" w14:textId="77777777" w:rsidR="005B4137" w:rsidRDefault="00706413" w:rsidP="00EA1755">
      <w:pPr>
        <w:rPr>
          <w:rFonts w:ascii="Cambria" w:hAnsi="Cambria"/>
          <w:lang w:val="en-US"/>
        </w:rPr>
      </w:pPr>
      <w:r>
        <w:rPr>
          <w:rFonts w:ascii="Cambria" w:hAnsi="Cambria"/>
          <w:lang w:val="en-US"/>
        </w:rPr>
        <w:t xml:space="preserve">The trial enrolled healthy adults (ranging in age from 22 to 79) with glabellar lines of at least moderate severity at maximum frown.  Unique to this study, subjects were only eligible to participate if they also felt that their glabellar lines had an important impact on their psychological wellbeing. </w:t>
      </w:r>
      <w:r w:rsidR="004822BA">
        <w:rPr>
          <w:rFonts w:ascii="Cambria" w:hAnsi="Cambria"/>
          <w:lang w:val="en-US"/>
        </w:rPr>
        <w:t xml:space="preserve">The trial excluded subjects who had ptosis, deep dermal scarring, or an inability to substantially lessen glabellar lines even by physically spreading the glabellar lines apart. The injection volume and treatment method </w:t>
      </w:r>
      <w:r w:rsidR="005B4137">
        <w:rPr>
          <w:rFonts w:ascii="Cambria" w:hAnsi="Cambria"/>
          <w:lang w:val="en-US"/>
        </w:rPr>
        <w:t>in the NUCEIVA treatment group was the same as EV-001 and EV-002.</w:t>
      </w:r>
    </w:p>
    <w:p w14:paraId="525460FB" w14:textId="565CA306" w:rsidR="005B4137" w:rsidRDefault="005B4137" w:rsidP="00EA1755">
      <w:pPr>
        <w:rPr>
          <w:rFonts w:ascii="Cambria" w:hAnsi="Cambria"/>
          <w:lang w:val="en-US"/>
        </w:rPr>
      </w:pPr>
      <w:r>
        <w:rPr>
          <w:rFonts w:ascii="Cambria" w:hAnsi="Cambria"/>
          <w:lang w:val="en-US"/>
        </w:rPr>
        <w:t xml:space="preserve">The mean age was 49 years, with 40 subjects (7.4%) </w:t>
      </w:r>
      <w:r w:rsidRPr="00FA0661">
        <w:rPr>
          <w:rFonts w:ascii="Cambria" w:hAnsi="Cambria"/>
          <w:lang w:val="en-US"/>
        </w:rPr>
        <w:t>≥</w:t>
      </w:r>
      <w:r>
        <w:rPr>
          <w:rFonts w:ascii="Cambria" w:hAnsi="Cambria"/>
          <w:lang w:val="en-US"/>
        </w:rPr>
        <w:t xml:space="preserve"> 65 years of age. Most of the subjects were women (88.1%), and a majority of the subjects were white (71.1%).  </w:t>
      </w:r>
    </w:p>
    <w:p w14:paraId="0426BC9B" w14:textId="2F19C4B9" w:rsidR="00EA1755" w:rsidRPr="00211CE2" w:rsidRDefault="00EA1755" w:rsidP="00EA1755">
      <w:pPr>
        <w:rPr>
          <w:rFonts w:ascii="Cambria" w:hAnsi="Cambria"/>
          <w:lang w:val="en-US"/>
        </w:rPr>
      </w:pPr>
      <w:r w:rsidRPr="00211CE2">
        <w:rPr>
          <w:rFonts w:ascii="Cambria" w:hAnsi="Cambria"/>
          <w:lang w:val="en-US"/>
        </w:rPr>
        <w:t xml:space="preserve">The primary efficacy endpoint was defined as the proportion of subjects classified as responders on Day 30, and the definition of a responder was a subject with a GLS score of 0 or 1 (i.e., none or mild) at maximum frown by Investigator assessment. </w:t>
      </w:r>
    </w:p>
    <w:p w14:paraId="3ABE0945" w14:textId="0A9CB105" w:rsidR="00BE658F" w:rsidRPr="001E5356" w:rsidRDefault="00EA1755" w:rsidP="00BE658F">
      <w:pPr>
        <w:rPr>
          <w:rFonts w:asciiTheme="majorHAnsi" w:hAnsiTheme="majorHAnsi"/>
          <w:b/>
          <w:strike/>
          <w:lang w:val="en-US"/>
        </w:rPr>
      </w:pPr>
      <w:r w:rsidRPr="00211CE2">
        <w:rPr>
          <w:rFonts w:ascii="Cambria" w:hAnsi="Cambria"/>
          <w:lang w:val="en-US"/>
        </w:rPr>
        <w:t xml:space="preserve">The study met the primary end point of </w:t>
      </w:r>
      <w:r w:rsidR="000D6F9E">
        <w:rPr>
          <w:rFonts w:ascii="Cambria" w:hAnsi="Cambria"/>
          <w:lang w:val="en-US"/>
        </w:rPr>
        <w:t>superiority to placebo an</w:t>
      </w:r>
      <w:r w:rsidR="00C26104">
        <w:rPr>
          <w:rFonts w:ascii="Cambria" w:hAnsi="Cambria"/>
          <w:lang w:val="en-US"/>
        </w:rPr>
        <w:t>d</w:t>
      </w:r>
      <w:r w:rsidR="000D6F9E">
        <w:rPr>
          <w:rFonts w:ascii="Cambria" w:hAnsi="Cambria"/>
          <w:lang w:val="en-US"/>
        </w:rPr>
        <w:t xml:space="preserve"> </w:t>
      </w:r>
      <w:r w:rsidRPr="00211CE2">
        <w:rPr>
          <w:rFonts w:ascii="Cambria" w:hAnsi="Cambria"/>
          <w:lang w:val="en-US"/>
        </w:rPr>
        <w:t>non-inferiority</w:t>
      </w:r>
      <w:r w:rsidR="00BE658F">
        <w:rPr>
          <w:rFonts w:ascii="Cambria" w:hAnsi="Cambria"/>
          <w:lang w:val="en-US"/>
        </w:rPr>
        <w:t xml:space="preserve"> to Botox</w:t>
      </w:r>
      <w:r w:rsidRPr="00211CE2">
        <w:rPr>
          <w:rFonts w:ascii="Cambria" w:hAnsi="Cambria"/>
          <w:lang w:val="en-US"/>
        </w:rPr>
        <w:t xml:space="preserve">. The percentage of responders at Day 30 for NUCEIVA was 87.2% (83.0, 91.5) and 82.8% (78.1, 87.5) for the </w:t>
      </w:r>
      <w:r w:rsidR="00C97618">
        <w:rPr>
          <w:rFonts w:ascii="Cambria" w:hAnsi="Cambria"/>
          <w:lang w:val="en-US"/>
        </w:rPr>
        <w:t>Botox</w:t>
      </w:r>
      <w:r w:rsidR="00C97618" w:rsidRPr="00211CE2">
        <w:rPr>
          <w:rFonts w:ascii="Cambria" w:hAnsi="Cambria"/>
          <w:lang w:val="en-US"/>
        </w:rPr>
        <w:t xml:space="preserve"> </w:t>
      </w:r>
      <w:r w:rsidRPr="00211CE2">
        <w:rPr>
          <w:rFonts w:ascii="Cambria" w:hAnsi="Cambria"/>
          <w:lang w:val="en-US"/>
        </w:rPr>
        <w:t>group, while the percentage of responders for the placebo group was 4.2% (0.0, 9.9).</w:t>
      </w:r>
      <w:r w:rsidR="00BE658F" w:rsidRPr="001E5356">
        <w:rPr>
          <w:rFonts w:asciiTheme="majorHAnsi" w:hAnsiTheme="majorHAnsi"/>
          <w:b/>
          <w:strike/>
          <w:lang w:val="en-US"/>
        </w:rPr>
        <w:t xml:space="preserve"> </w:t>
      </w:r>
    </w:p>
    <w:p w14:paraId="5E52FD98" w14:textId="5AB93C20" w:rsidR="00BE658F" w:rsidRPr="003361F3" w:rsidRDefault="00BE658F" w:rsidP="003361F3">
      <w:pPr>
        <w:pStyle w:val="Caption"/>
        <w:tabs>
          <w:tab w:val="clear" w:pos="1440"/>
          <w:tab w:val="left" w:pos="0"/>
        </w:tabs>
        <w:ind w:left="0" w:firstLine="0"/>
        <w:rPr>
          <w:rFonts w:ascii="Cambria" w:hAnsi="Cambria"/>
        </w:rPr>
      </w:pPr>
      <w:r w:rsidRPr="00633577">
        <w:rPr>
          <w:rFonts w:asciiTheme="majorHAnsi" w:hAnsiTheme="majorHAnsi"/>
          <w:sz w:val="22"/>
          <w:szCs w:val="22"/>
        </w:rPr>
        <w:lastRenderedPageBreak/>
        <w:t xml:space="preserve">Table </w:t>
      </w:r>
      <w:r w:rsidRPr="00633577">
        <w:rPr>
          <w:rFonts w:asciiTheme="majorHAnsi" w:hAnsiTheme="majorHAnsi"/>
          <w:sz w:val="22"/>
          <w:szCs w:val="22"/>
        </w:rPr>
        <w:fldChar w:fldCharType="begin"/>
      </w:r>
      <w:r w:rsidRPr="00633577">
        <w:rPr>
          <w:rFonts w:asciiTheme="majorHAnsi" w:hAnsiTheme="majorHAnsi"/>
          <w:sz w:val="22"/>
          <w:szCs w:val="22"/>
        </w:rPr>
        <w:instrText xml:space="preserve"> SEQ Table \* ARABIC </w:instrText>
      </w:r>
      <w:r w:rsidRPr="00633577">
        <w:rPr>
          <w:rFonts w:asciiTheme="majorHAnsi" w:hAnsiTheme="majorHAnsi"/>
          <w:sz w:val="22"/>
          <w:szCs w:val="22"/>
        </w:rPr>
        <w:fldChar w:fldCharType="separate"/>
      </w:r>
      <w:r w:rsidR="00685B8C" w:rsidRPr="00633577">
        <w:rPr>
          <w:rFonts w:asciiTheme="majorHAnsi" w:hAnsiTheme="majorHAnsi"/>
          <w:noProof/>
          <w:sz w:val="22"/>
          <w:szCs w:val="22"/>
        </w:rPr>
        <w:t>5</w:t>
      </w:r>
      <w:r w:rsidRPr="00633577">
        <w:rPr>
          <w:rFonts w:asciiTheme="majorHAnsi" w:hAnsiTheme="majorHAnsi"/>
          <w:sz w:val="22"/>
          <w:szCs w:val="22"/>
        </w:rPr>
        <w:fldChar w:fldCharType="end"/>
      </w:r>
      <w:r w:rsidRPr="00633577">
        <w:rPr>
          <w:rFonts w:asciiTheme="majorHAnsi" w:hAnsiTheme="majorHAnsi"/>
          <w:sz w:val="22"/>
          <w:szCs w:val="22"/>
        </w:rPr>
        <w:t xml:space="preserve"> – Primary Efficacy Endpoint – Glabellar Line Scale Score of 0 (none) or 1 (mild) at Day 30 by Inve</w:t>
      </w:r>
      <w:r w:rsidRPr="003361F3">
        <w:rPr>
          <w:rFonts w:asciiTheme="majorHAnsi" w:hAnsiTheme="majorHAnsi"/>
          <w:sz w:val="22"/>
          <w:szCs w:val="22"/>
        </w:rPr>
        <w:t>stigator Assessment at Maximum Contraction, PP Population</w:t>
      </w:r>
    </w:p>
    <w:tbl>
      <w:tblPr>
        <w:tblW w:w="5000" w:type="pct"/>
        <w:tblLook w:val="04A0" w:firstRow="1" w:lastRow="0" w:firstColumn="1" w:lastColumn="0" w:noHBand="0" w:noVBand="1"/>
      </w:tblPr>
      <w:tblGrid>
        <w:gridCol w:w="1654"/>
        <w:gridCol w:w="966"/>
        <w:gridCol w:w="1105"/>
        <w:gridCol w:w="1387"/>
        <w:gridCol w:w="1140"/>
        <w:gridCol w:w="1388"/>
        <w:gridCol w:w="1386"/>
      </w:tblGrid>
      <w:tr w:rsidR="00B322A0" w:rsidRPr="00BE658F" w14:paraId="5E338A35" w14:textId="77777777" w:rsidTr="00321B3A">
        <w:trPr>
          <w:cantSplit/>
          <w:trHeight w:val="486"/>
        </w:trPr>
        <w:tc>
          <w:tcPr>
            <w:tcW w:w="901" w:type="pct"/>
            <w:vMerge w:val="restart"/>
            <w:tcBorders>
              <w:top w:val="single" w:sz="8" w:space="0" w:color="auto"/>
              <w:left w:val="nil"/>
              <w:bottom w:val="single" w:sz="8" w:space="0" w:color="000000"/>
              <w:right w:val="nil"/>
            </w:tcBorders>
            <w:shd w:val="clear" w:color="000000" w:fill="F3F3F3"/>
            <w:tcMar>
              <w:right w:w="57" w:type="dxa"/>
            </w:tcMar>
            <w:vAlign w:val="center"/>
            <w:hideMark/>
          </w:tcPr>
          <w:p w14:paraId="30D78796" w14:textId="77777777" w:rsidR="00BE658F" w:rsidRPr="003361F3" w:rsidRDefault="00BE658F" w:rsidP="00321B3A">
            <w:pPr>
              <w:keepNext/>
              <w:numPr>
                <w:ilvl w:val="12"/>
                <w:numId w:val="0"/>
              </w:numPr>
              <w:spacing w:line="240" w:lineRule="auto"/>
              <w:ind w:right="-2"/>
              <w:rPr>
                <w:rFonts w:asciiTheme="majorHAnsi" w:hAnsiTheme="majorHAnsi"/>
                <w:bCs/>
                <w:lang w:val="en-US"/>
              </w:rPr>
            </w:pPr>
            <w:r w:rsidRPr="003361F3">
              <w:rPr>
                <w:rFonts w:asciiTheme="majorHAnsi" w:hAnsiTheme="majorHAnsi"/>
                <w:bCs/>
                <w:lang w:val="en-US"/>
              </w:rPr>
              <w:t>Responders for the Primary Efficacy Endpoint</w:t>
            </w:r>
            <w:r w:rsidRPr="003361F3">
              <w:rPr>
                <w:rFonts w:asciiTheme="majorHAnsi" w:hAnsiTheme="majorHAnsi"/>
                <w:bCs/>
                <w:vertAlign w:val="superscript"/>
                <w:lang w:val="en-US"/>
              </w:rPr>
              <w:t xml:space="preserve"> </w:t>
            </w:r>
          </w:p>
        </w:tc>
        <w:tc>
          <w:tcPr>
            <w:tcW w:w="538" w:type="pct"/>
            <w:vMerge w:val="restart"/>
            <w:tcBorders>
              <w:top w:val="single" w:sz="8" w:space="0" w:color="auto"/>
              <w:left w:val="nil"/>
              <w:bottom w:val="single" w:sz="8" w:space="0" w:color="000000"/>
              <w:right w:val="nil"/>
            </w:tcBorders>
            <w:shd w:val="clear" w:color="000000" w:fill="F3F3F3"/>
            <w:tcMar>
              <w:left w:w="57" w:type="dxa"/>
              <w:right w:w="57" w:type="dxa"/>
            </w:tcMar>
            <w:vAlign w:val="center"/>
            <w:hideMark/>
          </w:tcPr>
          <w:p w14:paraId="57795763" w14:textId="77777777" w:rsidR="00BE658F" w:rsidRPr="003361F3" w:rsidRDefault="00BE658F" w:rsidP="00321B3A">
            <w:pPr>
              <w:keepNext/>
              <w:numPr>
                <w:ilvl w:val="12"/>
                <w:numId w:val="0"/>
              </w:numPr>
              <w:spacing w:line="240" w:lineRule="auto"/>
              <w:ind w:right="-2"/>
              <w:jc w:val="center"/>
              <w:rPr>
                <w:rFonts w:asciiTheme="majorHAnsi" w:hAnsiTheme="majorHAnsi"/>
                <w:bCs/>
                <w:lang w:val="en-US"/>
              </w:rPr>
            </w:pPr>
            <w:r w:rsidRPr="003361F3">
              <w:rPr>
                <w:rFonts w:asciiTheme="majorHAnsi" w:hAnsiTheme="majorHAnsi"/>
                <w:bCs/>
                <w:lang w:val="en-US"/>
              </w:rPr>
              <w:t>Placebo</w:t>
            </w:r>
          </w:p>
        </w:tc>
        <w:tc>
          <w:tcPr>
            <w:tcW w:w="615" w:type="pct"/>
            <w:vMerge w:val="restart"/>
            <w:tcBorders>
              <w:top w:val="single" w:sz="8" w:space="0" w:color="auto"/>
              <w:left w:val="nil"/>
              <w:bottom w:val="single" w:sz="8" w:space="0" w:color="000000"/>
              <w:right w:val="nil"/>
            </w:tcBorders>
            <w:shd w:val="clear" w:color="000000" w:fill="F3F3F3"/>
            <w:tcMar>
              <w:left w:w="57" w:type="dxa"/>
              <w:right w:w="57" w:type="dxa"/>
            </w:tcMar>
            <w:vAlign w:val="center"/>
            <w:hideMark/>
          </w:tcPr>
          <w:p w14:paraId="651A5F42" w14:textId="77777777" w:rsidR="00BE658F" w:rsidRPr="003361F3" w:rsidRDefault="00BE658F" w:rsidP="00321B3A">
            <w:pPr>
              <w:keepNext/>
              <w:numPr>
                <w:ilvl w:val="12"/>
                <w:numId w:val="0"/>
              </w:numPr>
              <w:spacing w:line="240" w:lineRule="auto"/>
              <w:ind w:right="-2"/>
              <w:jc w:val="center"/>
              <w:rPr>
                <w:rFonts w:asciiTheme="majorHAnsi" w:hAnsiTheme="majorHAnsi"/>
                <w:bCs/>
                <w:lang w:val="en-US"/>
              </w:rPr>
            </w:pPr>
            <w:r w:rsidRPr="003361F3">
              <w:rPr>
                <w:rFonts w:asciiTheme="majorHAnsi" w:hAnsiTheme="majorHAnsi"/>
                <w:bCs/>
                <w:lang w:val="en-US"/>
              </w:rPr>
              <w:t>BOTOX</w:t>
            </w:r>
          </w:p>
        </w:tc>
        <w:tc>
          <w:tcPr>
            <w:tcW w:w="771" w:type="pct"/>
            <w:vMerge w:val="restart"/>
            <w:tcBorders>
              <w:top w:val="single" w:sz="8" w:space="0" w:color="auto"/>
              <w:left w:val="nil"/>
              <w:bottom w:val="single" w:sz="8" w:space="0" w:color="000000"/>
              <w:right w:val="nil"/>
            </w:tcBorders>
            <w:shd w:val="clear" w:color="000000" w:fill="F3F3F3"/>
            <w:tcMar>
              <w:left w:w="57" w:type="dxa"/>
              <w:right w:w="57" w:type="dxa"/>
            </w:tcMar>
            <w:vAlign w:val="center"/>
            <w:hideMark/>
          </w:tcPr>
          <w:p w14:paraId="3FC54F34" w14:textId="77777777" w:rsidR="00BE658F" w:rsidRPr="003361F3" w:rsidRDefault="00BE658F" w:rsidP="00321B3A">
            <w:pPr>
              <w:keepNext/>
              <w:numPr>
                <w:ilvl w:val="12"/>
                <w:numId w:val="0"/>
              </w:numPr>
              <w:spacing w:line="240" w:lineRule="auto"/>
              <w:ind w:right="-2"/>
              <w:jc w:val="center"/>
              <w:rPr>
                <w:rFonts w:asciiTheme="majorHAnsi" w:hAnsiTheme="majorHAnsi"/>
                <w:bCs/>
                <w:lang w:val="en-US"/>
              </w:rPr>
            </w:pPr>
            <w:r w:rsidRPr="003361F3">
              <w:rPr>
                <w:rFonts w:asciiTheme="majorHAnsi" w:hAnsiTheme="majorHAnsi"/>
                <w:bCs/>
                <w:lang w:val="en-US"/>
              </w:rPr>
              <w:t>NUCEIVA</w:t>
            </w:r>
          </w:p>
        </w:tc>
        <w:tc>
          <w:tcPr>
            <w:tcW w:w="2176" w:type="pct"/>
            <w:gridSpan w:val="3"/>
            <w:tcBorders>
              <w:top w:val="single" w:sz="8" w:space="0" w:color="auto"/>
              <w:left w:val="nil"/>
              <w:bottom w:val="single" w:sz="8" w:space="0" w:color="auto"/>
              <w:right w:val="nil"/>
            </w:tcBorders>
            <w:shd w:val="clear" w:color="000000" w:fill="F3F3F3"/>
            <w:vAlign w:val="center"/>
            <w:hideMark/>
          </w:tcPr>
          <w:p w14:paraId="0F7C4AC5" w14:textId="77777777" w:rsidR="00BE658F" w:rsidRPr="003361F3" w:rsidRDefault="00BE658F" w:rsidP="00321B3A">
            <w:pPr>
              <w:keepNext/>
              <w:numPr>
                <w:ilvl w:val="12"/>
                <w:numId w:val="0"/>
              </w:numPr>
              <w:spacing w:line="240" w:lineRule="auto"/>
              <w:ind w:right="-2"/>
              <w:jc w:val="center"/>
              <w:rPr>
                <w:rFonts w:asciiTheme="majorHAnsi" w:hAnsiTheme="majorHAnsi"/>
                <w:bCs/>
                <w:lang w:val="en-US"/>
              </w:rPr>
            </w:pPr>
            <w:r w:rsidRPr="003361F3">
              <w:rPr>
                <w:rFonts w:asciiTheme="majorHAnsi" w:hAnsiTheme="majorHAnsi"/>
                <w:bCs/>
                <w:lang w:val="en-US"/>
              </w:rPr>
              <w:t>Absolute Difference</w:t>
            </w:r>
          </w:p>
        </w:tc>
      </w:tr>
      <w:tr w:rsidR="00C40D84" w:rsidRPr="00BE658F" w14:paraId="0AAC04BE" w14:textId="77777777" w:rsidTr="00321B3A">
        <w:trPr>
          <w:trHeight w:val="540"/>
        </w:trPr>
        <w:tc>
          <w:tcPr>
            <w:tcW w:w="901" w:type="pct"/>
            <w:vMerge/>
            <w:tcBorders>
              <w:top w:val="single" w:sz="8" w:space="0" w:color="000000"/>
              <w:left w:val="nil"/>
              <w:bottom w:val="single" w:sz="8" w:space="0" w:color="000000"/>
              <w:right w:val="nil"/>
            </w:tcBorders>
            <w:shd w:val="clear" w:color="auto" w:fill="auto"/>
            <w:tcMar>
              <w:right w:w="57" w:type="dxa"/>
            </w:tcMar>
            <w:vAlign w:val="center"/>
            <w:hideMark/>
          </w:tcPr>
          <w:p w14:paraId="6129EE9D" w14:textId="77777777" w:rsidR="00BE658F" w:rsidRPr="003361F3" w:rsidRDefault="00BE658F" w:rsidP="00321B3A">
            <w:pPr>
              <w:keepNext/>
              <w:numPr>
                <w:ilvl w:val="12"/>
                <w:numId w:val="0"/>
              </w:numPr>
              <w:spacing w:line="240" w:lineRule="auto"/>
              <w:ind w:right="-2"/>
              <w:rPr>
                <w:rFonts w:asciiTheme="majorHAnsi" w:hAnsiTheme="majorHAnsi"/>
                <w:bCs/>
                <w:lang w:val="en-US"/>
              </w:rPr>
            </w:pPr>
          </w:p>
        </w:tc>
        <w:tc>
          <w:tcPr>
            <w:tcW w:w="538" w:type="pct"/>
            <w:vMerge/>
            <w:tcBorders>
              <w:top w:val="single" w:sz="8" w:space="0" w:color="auto"/>
              <w:left w:val="nil"/>
              <w:bottom w:val="single" w:sz="8" w:space="0" w:color="000000"/>
              <w:right w:val="nil"/>
            </w:tcBorders>
            <w:shd w:val="clear" w:color="auto" w:fill="auto"/>
            <w:tcMar>
              <w:left w:w="57" w:type="dxa"/>
              <w:right w:w="57" w:type="dxa"/>
            </w:tcMar>
            <w:vAlign w:val="center"/>
            <w:hideMark/>
          </w:tcPr>
          <w:p w14:paraId="20B3D72D" w14:textId="77777777" w:rsidR="00BE658F" w:rsidRPr="003361F3" w:rsidRDefault="00BE658F" w:rsidP="00321B3A">
            <w:pPr>
              <w:keepNext/>
              <w:numPr>
                <w:ilvl w:val="12"/>
                <w:numId w:val="0"/>
              </w:numPr>
              <w:spacing w:line="240" w:lineRule="auto"/>
              <w:ind w:right="-2"/>
              <w:rPr>
                <w:rFonts w:asciiTheme="majorHAnsi" w:hAnsiTheme="majorHAnsi"/>
                <w:bCs/>
                <w:lang w:val="en-US"/>
              </w:rPr>
            </w:pPr>
          </w:p>
        </w:tc>
        <w:tc>
          <w:tcPr>
            <w:tcW w:w="615" w:type="pct"/>
            <w:vMerge/>
            <w:tcBorders>
              <w:top w:val="single" w:sz="8" w:space="0" w:color="auto"/>
              <w:left w:val="nil"/>
              <w:bottom w:val="single" w:sz="8" w:space="0" w:color="000000"/>
              <w:right w:val="nil"/>
            </w:tcBorders>
            <w:shd w:val="clear" w:color="auto" w:fill="auto"/>
            <w:tcMar>
              <w:left w:w="57" w:type="dxa"/>
              <w:right w:w="57" w:type="dxa"/>
            </w:tcMar>
            <w:vAlign w:val="center"/>
            <w:hideMark/>
          </w:tcPr>
          <w:p w14:paraId="2E52A088" w14:textId="77777777" w:rsidR="00BE658F" w:rsidRPr="003361F3" w:rsidRDefault="00BE658F" w:rsidP="00321B3A">
            <w:pPr>
              <w:keepNext/>
              <w:numPr>
                <w:ilvl w:val="12"/>
                <w:numId w:val="0"/>
              </w:numPr>
              <w:spacing w:line="240" w:lineRule="auto"/>
              <w:ind w:right="-2"/>
              <w:rPr>
                <w:rFonts w:asciiTheme="majorHAnsi" w:hAnsiTheme="majorHAnsi"/>
                <w:bCs/>
                <w:lang w:val="en-US"/>
              </w:rPr>
            </w:pPr>
          </w:p>
        </w:tc>
        <w:tc>
          <w:tcPr>
            <w:tcW w:w="771" w:type="pct"/>
            <w:vMerge/>
            <w:tcBorders>
              <w:top w:val="single" w:sz="8" w:space="0" w:color="auto"/>
              <w:left w:val="nil"/>
              <w:bottom w:val="single" w:sz="8" w:space="0" w:color="000000"/>
              <w:right w:val="nil"/>
            </w:tcBorders>
            <w:shd w:val="clear" w:color="auto" w:fill="auto"/>
            <w:tcMar>
              <w:left w:w="57" w:type="dxa"/>
              <w:right w:w="57" w:type="dxa"/>
            </w:tcMar>
            <w:vAlign w:val="center"/>
            <w:hideMark/>
          </w:tcPr>
          <w:p w14:paraId="32E54A50" w14:textId="77777777" w:rsidR="00BE658F" w:rsidRPr="003361F3" w:rsidRDefault="00BE658F" w:rsidP="00321B3A">
            <w:pPr>
              <w:keepNext/>
              <w:numPr>
                <w:ilvl w:val="12"/>
                <w:numId w:val="0"/>
              </w:numPr>
              <w:spacing w:line="240" w:lineRule="auto"/>
              <w:ind w:right="-2"/>
              <w:rPr>
                <w:rFonts w:asciiTheme="majorHAnsi" w:hAnsiTheme="majorHAnsi"/>
                <w:bCs/>
                <w:lang w:val="en-US"/>
              </w:rPr>
            </w:pPr>
          </w:p>
        </w:tc>
        <w:tc>
          <w:tcPr>
            <w:tcW w:w="634" w:type="pct"/>
            <w:tcBorders>
              <w:top w:val="nil"/>
              <w:left w:val="nil"/>
              <w:bottom w:val="single" w:sz="8" w:space="0" w:color="auto"/>
              <w:right w:val="nil"/>
            </w:tcBorders>
            <w:shd w:val="clear" w:color="000000" w:fill="F3F3F3"/>
            <w:tcMar>
              <w:left w:w="57" w:type="dxa"/>
              <w:right w:w="57" w:type="dxa"/>
            </w:tcMar>
            <w:vAlign w:val="center"/>
            <w:hideMark/>
          </w:tcPr>
          <w:p w14:paraId="2160AECA" w14:textId="77777777" w:rsidR="00BE658F" w:rsidRPr="003361F3" w:rsidRDefault="00BE658F" w:rsidP="00321B3A">
            <w:pPr>
              <w:keepNext/>
              <w:numPr>
                <w:ilvl w:val="12"/>
                <w:numId w:val="0"/>
              </w:numPr>
              <w:spacing w:line="240" w:lineRule="auto"/>
              <w:ind w:right="-2"/>
              <w:jc w:val="center"/>
              <w:rPr>
                <w:rFonts w:asciiTheme="majorHAnsi" w:hAnsiTheme="majorHAnsi"/>
                <w:bCs/>
                <w:lang w:val="en-US"/>
              </w:rPr>
            </w:pPr>
            <w:r w:rsidRPr="003361F3">
              <w:rPr>
                <w:rFonts w:asciiTheme="majorHAnsi" w:hAnsiTheme="majorHAnsi"/>
                <w:bCs/>
                <w:lang w:val="en-US"/>
              </w:rPr>
              <w:t>BOTOX   Vs. Placebo</w:t>
            </w:r>
          </w:p>
        </w:tc>
        <w:tc>
          <w:tcPr>
            <w:tcW w:w="771" w:type="pct"/>
            <w:tcBorders>
              <w:top w:val="nil"/>
              <w:left w:val="nil"/>
              <w:bottom w:val="single" w:sz="8" w:space="0" w:color="auto"/>
              <w:right w:val="nil"/>
            </w:tcBorders>
            <w:shd w:val="clear" w:color="000000" w:fill="F3F3F3"/>
            <w:tcMar>
              <w:left w:w="57" w:type="dxa"/>
              <w:right w:w="57" w:type="dxa"/>
            </w:tcMar>
            <w:vAlign w:val="center"/>
            <w:hideMark/>
          </w:tcPr>
          <w:p w14:paraId="151E390D" w14:textId="77777777" w:rsidR="00BE658F" w:rsidRPr="003361F3" w:rsidRDefault="00BE658F" w:rsidP="00321B3A">
            <w:pPr>
              <w:keepNext/>
              <w:numPr>
                <w:ilvl w:val="12"/>
                <w:numId w:val="0"/>
              </w:numPr>
              <w:spacing w:line="240" w:lineRule="auto"/>
              <w:ind w:right="-2"/>
              <w:jc w:val="center"/>
              <w:rPr>
                <w:rFonts w:asciiTheme="majorHAnsi" w:hAnsiTheme="majorHAnsi"/>
                <w:bCs/>
                <w:lang w:val="en-US"/>
              </w:rPr>
            </w:pPr>
            <w:r w:rsidRPr="003361F3">
              <w:rPr>
                <w:rFonts w:asciiTheme="majorHAnsi" w:hAnsiTheme="majorHAnsi"/>
                <w:bCs/>
                <w:lang w:val="en-US"/>
              </w:rPr>
              <w:t>NUCEIVA    Vs. Placebo</w:t>
            </w:r>
          </w:p>
        </w:tc>
        <w:tc>
          <w:tcPr>
            <w:tcW w:w="771" w:type="pct"/>
            <w:tcBorders>
              <w:top w:val="nil"/>
              <w:left w:val="nil"/>
              <w:bottom w:val="single" w:sz="8" w:space="0" w:color="auto"/>
              <w:right w:val="nil"/>
            </w:tcBorders>
            <w:shd w:val="clear" w:color="000000" w:fill="F3F3F3"/>
            <w:tcMar>
              <w:left w:w="57" w:type="dxa"/>
              <w:right w:w="57" w:type="dxa"/>
            </w:tcMar>
            <w:vAlign w:val="center"/>
            <w:hideMark/>
          </w:tcPr>
          <w:p w14:paraId="437F6E01" w14:textId="77777777" w:rsidR="00BE658F" w:rsidRPr="003361F3" w:rsidRDefault="00BE658F" w:rsidP="00321B3A">
            <w:pPr>
              <w:keepNext/>
              <w:numPr>
                <w:ilvl w:val="12"/>
                <w:numId w:val="0"/>
              </w:numPr>
              <w:spacing w:line="240" w:lineRule="auto"/>
              <w:ind w:right="-2"/>
              <w:jc w:val="center"/>
              <w:rPr>
                <w:rFonts w:asciiTheme="majorHAnsi" w:hAnsiTheme="majorHAnsi"/>
                <w:bCs/>
                <w:lang w:val="en-US"/>
              </w:rPr>
            </w:pPr>
            <w:r w:rsidRPr="003361F3">
              <w:rPr>
                <w:rFonts w:asciiTheme="majorHAnsi" w:hAnsiTheme="majorHAnsi"/>
                <w:bCs/>
                <w:lang w:val="en-US"/>
              </w:rPr>
              <w:t>NUCEIVA    Vs. BOTOX</w:t>
            </w:r>
          </w:p>
        </w:tc>
      </w:tr>
      <w:tr w:rsidR="00C40D84" w:rsidRPr="00BE658F" w14:paraId="23AB2E84" w14:textId="77777777" w:rsidTr="00321B3A">
        <w:trPr>
          <w:cantSplit/>
          <w:trHeight w:val="320"/>
        </w:trPr>
        <w:tc>
          <w:tcPr>
            <w:tcW w:w="901" w:type="pct"/>
            <w:tcBorders>
              <w:top w:val="nil"/>
              <w:left w:val="nil"/>
              <w:bottom w:val="nil"/>
              <w:right w:val="nil"/>
            </w:tcBorders>
            <w:shd w:val="clear" w:color="000000" w:fill="FFFFFF"/>
            <w:tcMar>
              <w:right w:w="57" w:type="dxa"/>
            </w:tcMar>
            <w:vAlign w:val="center"/>
            <w:hideMark/>
          </w:tcPr>
          <w:p w14:paraId="043EA17A" w14:textId="77777777" w:rsidR="00BE658F" w:rsidRPr="003361F3" w:rsidRDefault="00BE658F" w:rsidP="00321B3A">
            <w:pPr>
              <w:keepNext/>
              <w:numPr>
                <w:ilvl w:val="12"/>
                <w:numId w:val="0"/>
              </w:numPr>
              <w:spacing w:line="240" w:lineRule="auto"/>
              <w:ind w:firstLineChars="200" w:firstLine="440"/>
              <w:rPr>
                <w:rFonts w:asciiTheme="majorHAnsi" w:hAnsiTheme="majorHAnsi"/>
                <w:lang w:val="en-US"/>
              </w:rPr>
            </w:pPr>
            <w:r w:rsidRPr="003361F3">
              <w:rPr>
                <w:rFonts w:asciiTheme="majorHAnsi" w:hAnsiTheme="majorHAnsi"/>
                <w:bCs/>
                <w:lang w:val="en-US"/>
              </w:rPr>
              <w:t>Number</w:t>
            </w:r>
            <w:r w:rsidRPr="003361F3">
              <w:rPr>
                <w:rFonts w:asciiTheme="majorHAnsi" w:hAnsiTheme="majorHAnsi"/>
                <w:vertAlign w:val="superscript"/>
                <w:lang w:val="en-US"/>
              </w:rPr>
              <w:t xml:space="preserve"> </w:t>
            </w:r>
            <w:r w:rsidRPr="003361F3">
              <w:rPr>
                <w:rFonts w:asciiTheme="majorHAnsi" w:hAnsiTheme="majorHAnsi"/>
                <w:lang w:val="en-US"/>
              </w:rPr>
              <w:t xml:space="preserve"> </w:t>
            </w:r>
          </w:p>
        </w:tc>
        <w:tc>
          <w:tcPr>
            <w:tcW w:w="538" w:type="pct"/>
            <w:tcBorders>
              <w:top w:val="nil"/>
              <w:left w:val="nil"/>
              <w:bottom w:val="nil"/>
              <w:right w:val="nil"/>
            </w:tcBorders>
            <w:shd w:val="clear" w:color="000000" w:fill="FFFFFF"/>
            <w:tcMar>
              <w:left w:w="57" w:type="dxa"/>
              <w:right w:w="57" w:type="dxa"/>
            </w:tcMar>
            <w:vAlign w:val="center"/>
            <w:hideMark/>
          </w:tcPr>
          <w:p w14:paraId="71C57E7D"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2/48</w:t>
            </w:r>
          </w:p>
        </w:tc>
        <w:tc>
          <w:tcPr>
            <w:tcW w:w="615" w:type="pct"/>
            <w:tcBorders>
              <w:top w:val="nil"/>
              <w:left w:val="nil"/>
              <w:bottom w:val="nil"/>
              <w:right w:val="nil"/>
            </w:tcBorders>
            <w:shd w:val="clear" w:color="000000" w:fill="FFFFFF"/>
            <w:tcMar>
              <w:left w:w="57" w:type="dxa"/>
              <w:right w:w="57" w:type="dxa"/>
            </w:tcMar>
            <w:vAlign w:val="center"/>
            <w:hideMark/>
          </w:tcPr>
          <w:p w14:paraId="409271F4"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202/244</w:t>
            </w:r>
          </w:p>
        </w:tc>
        <w:tc>
          <w:tcPr>
            <w:tcW w:w="771" w:type="pct"/>
            <w:tcBorders>
              <w:top w:val="nil"/>
              <w:left w:val="nil"/>
              <w:bottom w:val="nil"/>
              <w:right w:val="nil"/>
            </w:tcBorders>
            <w:shd w:val="clear" w:color="000000" w:fill="FFFFFF"/>
            <w:tcMar>
              <w:left w:w="57" w:type="dxa"/>
              <w:right w:w="57" w:type="dxa"/>
            </w:tcMar>
            <w:vAlign w:val="center"/>
            <w:hideMark/>
          </w:tcPr>
          <w:p w14:paraId="4D2A70E3"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205/235</w:t>
            </w:r>
          </w:p>
        </w:tc>
        <w:tc>
          <w:tcPr>
            <w:tcW w:w="634" w:type="pct"/>
            <w:tcBorders>
              <w:top w:val="nil"/>
              <w:left w:val="nil"/>
              <w:bottom w:val="nil"/>
              <w:right w:val="nil"/>
            </w:tcBorders>
            <w:shd w:val="clear" w:color="000000" w:fill="FFFFFF"/>
            <w:tcMar>
              <w:left w:w="57" w:type="dxa"/>
              <w:right w:w="57" w:type="dxa"/>
            </w:tcMar>
            <w:vAlign w:val="center"/>
            <w:hideMark/>
          </w:tcPr>
          <w:p w14:paraId="703986BC"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p>
        </w:tc>
        <w:tc>
          <w:tcPr>
            <w:tcW w:w="771" w:type="pct"/>
            <w:tcBorders>
              <w:top w:val="nil"/>
              <w:left w:val="nil"/>
              <w:bottom w:val="nil"/>
              <w:right w:val="nil"/>
            </w:tcBorders>
            <w:shd w:val="clear" w:color="000000" w:fill="FFFFFF"/>
            <w:tcMar>
              <w:left w:w="57" w:type="dxa"/>
              <w:right w:w="57" w:type="dxa"/>
            </w:tcMar>
            <w:vAlign w:val="center"/>
            <w:hideMark/>
          </w:tcPr>
          <w:p w14:paraId="69F2C511"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p>
        </w:tc>
        <w:tc>
          <w:tcPr>
            <w:tcW w:w="771" w:type="pct"/>
            <w:tcBorders>
              <w:top w:val="nil"/>
              <w:left w:val="nil"/>
              <w:bottom w:val="nil"/>
              <w:right w:val="nil"/>
            </w:tcBorders>
            <w:shd w:val="clear" w:color="auto" w:fill="auto"/>
            <w:tcMar>
              <w:left w:w="57" w:type="dxa"/>
              <w:right w:w="57" w:type="dxa"/>
            </w:tcMar>
            <w:vAlign w:val="center"/>
            <w:hideMark/>
          </w:tcPr>
          <w:p w14:paraId="217F173C"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p>
        </w:tc>
      </w:tr>
      <w:tr w:rsidR="00C40D84" w:rsidRPr="00BE658F" w14:paraId="77D98B17" w14:textId="77777777" w:rsidTr="00321B3A">
        <w:trPr>
          <w:cantSplit/>
          <w:trHeight w:val="100"/>
        </w:trPr>
        <w:tc>
          <w:tcPr>
            <w:tcW w:w="901" w:type="pct"/>
            <w:tcBorders>
              <w:top w:val="nil"/>
              <w:left w:val="nil"/>
              <w:bottom w:val="nil"/>
              <w:right w:val="nil"/>
            </w:tcBorders>
            <w:shd w:val="clear" w:color="000000" w:fill="FFFFFF"/>
            <w:tcMar>
              <w:right w:w="57" w:type="dxa"/>
            </w:tcMar>
            <w:vAlign w:val="center"/>
            <w:hideMark/>
          </w:tcPr>
          <w:p w14:paraId="79244FFF" w14:textId="77777777" w:rsidR="00BE658F" w:rsidRPr="003361F3" w:rsidRDefault="00BE658F" w:rsidP="00321B3A">
            <w:pPr>
              <w:keepNext/>
              <w:numPr>
                <w:ilvl w:val="12"/>
                <w:numId w:val="0"/>
              </w:numPr>
              <w:spacing w:line="240" w:lineRule="auto"/>
              <w:ind w:right="-2" w:firstLineChars="200" w:firstLine="440"/>
              <w:rPr>
                <w:rFonts w:asciiTheme="majorHAnsi" w:hAnsiTheme="majorHAnsi"/>
                <w:lang w:val="en-US"/>
              </w:rPr>
            </w:pPr>
            <w:r w:rsidRPr="003361F3">
              <w:rPr>
                <w:rFonts w:asciiTheme="majorHAnsi" w:hAnsiTheme="majorHAnsi"/>
                <w:bCs/>
                <w:lang w:val="en-US"/>
              </w:rPr>
              <w:t xml:space="preserve">Percentage </w:t>
            </w:r>
          </w:p>
        </w:tc>
        <w:tc>
          <w:tcPr>
            <w:tcW w:w="538" w:type="pct"/>
            <w:tcBorders>
              <w:top w:val="nil"/>
              <w:left w:val="nil"/>
              <w:bottom w:val="nil"/>
              <w:right w:val="nil"/>
            </w:tcBorders>
            <w:shd w:val="clear" w:color="000000" w:fill="FFFFFF"/>
            <w:tcMar>
              <w:left w:w="57" w:type="dxa"/>
              <w:right w:w="57" w:type="dxa"/>
            </w:tcMar>
            <w:vAlign w:val="center"/>
            <w:hideMark/>
          </w:tcPr>
          <w:p w14:paraId="011DE5DF"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4.2%</w:t>
            </w:r>
          </w:p>
        </w:tc>
        <w:tc>
          <w:tcPr>
            <w:tcW w:w="615" w:type="pct"/>
            <w:tcBorders>
              <w:top w:val="nil"/>
              <w:left w:val="nil"/>
              <w:bottom w:val="nil"/>
              <w:right w:val="nil"/>
            </w:tcBorders>
            <w:shd w:val="clear" w:color="000000" w:fill="FFFFFF"/>
            <w:tcMar>
              <w:left w:w="57" w:type="dxa"/>
              <w:right w:w="57" w:type="dxa"/>
            </w:tcMar>
            <w:vAlign w:val="center"/>
            <w:hideMark/>
          </w:tcPr>
          <w:p w14:paraId="730855C7"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82.8%</w:t>
            </w:r>
          </w:p>
        </w:tc>
        <w:tc>
          <w:tcPr>
            <w:tcW w:w="771" w:type="pct"/>
            <w:tcBorders>
              <w:top w:val="nil"/>
              <w:left w:val="nil"/>
              <w:bottom w:val="nil"/>
              <w:right w:val="nil"/>
            </w:tcBorders>
            <w:shd w:val="clear" w:color="000000" w:fill="FFFFFF"/>
            <w:tcMar>
              <w:left w:w="57" w:type="dxa"/>
              <w:right w:w="57" w:type="dxa"/>
            </w:tcMar>
            <w:vAlign w:val="center"/>
            <w:hideMark/>
          </w:tcPr>
          <w:p w14:paraId="21CFB539"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87.2%</w:t>
            </w:r>
          </w:p>
        </w:tc>
        <w:tc>
          <w:tcPr>
            <w:tcW w:w="634" w:type="pct"/>
            <w:tcBorders>
              <w:top w:val="nil"/>
              <w:left w:val="nil"/>
              <w:bottom w:val="nil"/>
              <w:right w:val="nil"/>
            </w:tcBorders>
            <w:shd w:val="clear" w:color="000000" w:fill="FFFFFF"/>
            <w:tcMar>
              <w:left w:w="57" w:type="dxa"/>
              <w:right w:w="57" w:type="dxa"/>
            </w:tcMar>
            <w:vAlign w:val="center"/>
            <w:hideMark/>
          </w:tcPr>
          <w:p w14:paraId="38680960"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78.6%</w:t>
            </w:r>
          </w:p>
        </w:tc>
        <w:tc>
          <w:tcPr>
            <w:tcW w:w="771" w:type="pct"/>
            <w:tcBorders>
              <w:top w:val="nil"/>
              <w:left w:val="nil"/>
              <w:bottom w:val="nil"/>
              <w:right w:val="nil"/>
            </w:tcBorders>
            <w:shd w:val="clear" w:color="000000" w:fill="FFFFFF"/>
            <w:tcMar>
              <w:left w:w="57" w:type="dxa"/>
              <w:right w:w="57" w:type="dxa"/>
            </w:tcMar>
            <w:vAlign w:val="center"/>
            <w:hideMark/>
          </w:tcPr>
          <w:p w14:paraId="0A3C6E29"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83.1%</w:t>
            </w:r>
          </w:p>
        </w:tc>
        <w:tc>
          <w:tcPr>
            <w:tcW w:w="771" w:type="pct"/>
            <w:tcBorders>
              <w:top w:val="nil"/>
              <w:left w:val="nil"/>
              <w:bottom w:val="nil"/>
              <w:right w:val="nil"/>
            </w:tcBorders>
            <w:shd w:val="clear" w:color="auto" w:fill="auto"/>
            <w:tcMar>
              <w:left w:w="57" w:type="dxa"/>
              <w:right w:w="57" w:type="dxa"/>
            </w:tcMar>
            <w:vAlign w:val="center"/>
            <w:hideMark/>
          </w:tcPr>
          <w:p w14:paraId="4B5ADCE8" w14:textId="77777777" w:rsidR="00BE658F" w:rsidRPr="003361F3" w:rsidRDefault="00BE658F" w:rsidP="00321B3A">
            <w:pPr>
              <w:keepNext/>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4.4%</w:t>
            </w:r>
          </w:p>
        </w:tc>
      </w:tr>
      <w:tr w:rsidR="00C40D84" w:rsidRPr="00BE658F" w14:paraId="0EA7C21E" w14:textId="77777777" w:rsidTr="00321B3A">
        <w:trPr>
          <w:cantSplit/>
          <w:trHeight w:val="320"/>
        </w:trPr>
        <w:tc>
          <w:tcPr>
            <w:tcW w:w="901" w:type="pct"/>
            <w:tcBorders>
              <w:top w:val="nil"/>
              <w:left w:val="nil"/>
              <w:right w:val="nil"/>
            </w:tcBorders>
            <w:shd w:val="clear" w:color="000000" w:fill="FFFFFF"/>
            <w:tcMar>
              <w:right w:w="57" w:type="dxa"/>
            </w:tcMar>
            <w:vAlign w:val="center"/>
            <w:hideMark/>
          </w:tcPr>
          <w:p w14:paraId="6FB9F740" w14:textId="77777777" w:rsidR="00BE658F" w:rsidRPr="003361F3" w:rsidRDefault="00BE658F" w:rsidP="00321B3A">
            <w:pPr>
              <w:numPr>
                <w:ilvl w:val="12"/>
                <w:numId w:val="0"/>
              </w:numPr>
              <w:spacing w:line="240" w:lineRule="auto"/>
              <w:ind w:right="-2" w:firstLineChars="400" w:firstLine="880"/>
              <w:rPr>
                <w:rFonts w:asciiTheme="majorHAnsi" w:hAnsiTheme="majorHAnsi"/>
                <w:lang w:val="en-US"/>
              </w:rPr>
            </w:pPr>
            <w:r w:rsidRPr="003361F3">
              <w:rPr>
                <w:rFonts w:asciiTheme="majorHAnsi" w:hAnsiTheme="majorHAnsi"/>
                <w:bCs/>
                <w:lang w:val="en-US"/>
              </w:rPr>
              <w:t>(% CI)</w:t>
            </w:r>
            <w:r w:rsidRPr="003361F3">
              <w:rPr>
                <w:rFonts w:asciiTheme="majorHAnsi" w:hAnsiTheme="majorHAnsi"/>
                <w:vertAlign w:val="superscript"/>
                <w:lang w:val="en-US"/>
              </w:rPr>
              <w:t xml:space="preserve"> </w:t>
            </w:r>
          </w:p>
        </w:tc>
        <w:tc>
          <w:tcPr>
            <w:tcW w:w="538" w:type="pct"/>
            <w:tcBorders>
              <w:top w:val="nil"/>
              <w:left w:val="nil"/>
              <w:right w:val="nil"/>
            </w:tcBorders>
            <w:shd w:val="clear" w:color="000000" w:fill="FFFFFF"/>
            <w:tcMar>
              <w:left w:w="57" w:type="dxa"/>
              <w:right w:w="57" w:type="dxa"/>
            </w:tcMar>
            <w:vAlign w:val="center"/>
            <w:hideMark/>
          </w:tcPr>
          <w:p w14:paraId="4C4F42DE" w14:textId="77777777" w:rsidR="00BE658F" w:rsidRPr="003361F3" w:rsidRDefault="00BE658F" w:rsidP="00321B3A">
            <w:pPr>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(0.0, 9.8)</w:t>
            </w:r>
          </w:p>
        </w:tc>
        <w:tc>
          <w:tcPr>
            <w:tcW w:w="615" w:type="pct"/>
            <w:tcBorders>
              <w:top w:val="nil"/>
              <w:left w:val="nil"/>
              <w:right w:val="nil"/>
            </w:tcBorders>
            <w:shd w:val="clear" w:color="000000" w:fill="FFFFFF"/>
            <w:tcMar>
              <w:left w:w="57" w:type="dxa"/>
              <w:right w:w="57" w:type="dxa"/>
            </w:tcMar>
            <w:vAlign w:val="center"/>
            <w:hideMark/>
          </w:tcPr>
          <w:p w14:paraId="17C518CA" w14:textId="77777777" w:rsidR="00BE658F" w:rsidRPr="003361F3" w:rsidRDefault="00BE658F" w:rsidP="00321B3A">
            <w:pPr>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(78.1, 87.5)</w:t>
            </w:r>
          </w:p>
        </w:tc>
        <w:tc>
          <w:tcPr>
            <w:tcW w:w="771" w:type="pct"/>
            <w:tcBorders>
              <w:top w:val="nil"/>
              <w:left w:val="nil"/>
              <w:right w:val="nil"/>
            </w:tcBorders>
            <w:shd w:val="clear" w:color="000000" w:fill="FFFFFF"/>
            <w:tcMar>
              <w:left w:w="57" w:type="dxa"/>
              <w:right w:w="57" w:type="dxa"/>
            </w:tcMar>
            <w:vAlign w:val="center"/>
            <w:hideMark/>
          </w:tcPr>
          <w:p w14:paraId="7F54C490" w14:textId="77777777" w:rsidR="00BE658F" w:rsidRPr="003361F3" w:rsidRDefault="00BE658F" w:rsidP="00321B3A">
            <w:pPr>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(83.0, 91.5)</w:t>
            </w:r>
          </w:p>
        </w:tc>
        <w:tc>
          <w:tcPr>
            <w:tcW w:w="634" w:type="pct"/>
            <w:tcBorders>
              <w:top w:val="nil"/>
              <w:left w:val="nil"/>
              <w:right w:val="nil"/>
            </w:tcBorders>
            <w:shd w:val="clear" w:color="000000" w:fill="FFFFFF"/>
            <w:tcMar>
              <w:left w:w="57" w:type="dxa"/>
              <w:right w:w="57" w:type="dxa"/>
            </w:tcMar>
            <w:vAlign w:val="center"/>
            <w:hideMark/>
          </w:tcPr>
          <w:p w14:paraId="7205B794" w14:textId="77777777" w:rsidR="00BE658F" w:rsidRPr="003361F3" w:rsidRDefault="00BE658F" w:rsidP="00321B3A">
            <w:pPr>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(66.5, 85.5)</w:t>
            </w:r>
          </w:p>
        </w:tc>
        <w:tc>
          <w:tcPr>
            <w:tcW w:w="771" w:type="pct"/>
            <w:tcBorders>
              <w:top w:val="nil"/>
              <w:left w:val="nil"/>
              <w:right w:val="nil"/>
            </w:tcBorders>
            <w:shd w:val="clear" w:color="000000" w:fill="FFFFFF"/>
            <w:tcMar>
              <w:left w:w="57" w:type="dxa"/>
              <w:right w:w="57" w:type="dxa"/>
            </w:tcMar>
            <w:vAlign w:val="center"/>
            <w:hideMark/>
          </w:tcPr>
          <w:p w14:paraId="60609EED" w14:textId="77777777" w:rsidR="00BE658F" w:rsidRPr="003361F3" w:rsidRDefault="00BE658F" w:rsidP="00321B3A">
            <w:pPr>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(70.3, 89.4)</w:t>
            </w:r>
          </w:p>
        </w:tc>
        <w:tc>
          <w:tcPr>
            <w:tcW w:w="771" w:type="pct"/>
            <w:tcBorders>
              <w:top w:val="nil"/>
              <w:left w:val="nil"/>
              <w:right w:val="nil"/>
            </w:tcBorders>
            <w:shd w:val="clear" w:color="auto" w:fill="auto"/>
            <w:tcMar>
              <w:left w:w="57" w:type="dxa"/>
              <w:right w:w="57" w:type="dxa"/>
            </w:tcMar>
            <w:vAlign w:val="center"/>
            <w:hideMark/>
          </w:tcPr>
          <w:p w14:paraId="75BDD52B" w14:textId="77777777" w:rsidR="00BE658F" w:rsidRPr="003361F3" w:rsidRDefault="00BE658F" w:rsidP="00321B3A">
            <w:pPr>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(-1.9, 10.8)</w:t>
            </w:r>
          </w:p>
        </w:tc>
      </w:tr>
      <w:tr w:rsidR="00C40D84" w:rsidRPr="00BE658F" w14:paraId="257A9C6A" w14:textId="77777777" w:rsidTr="00321B3A">
        <w:trPr>
          <w:cantSplit/>
          <w:trHeight w:val="162"/>
        </w:trPr>
        <w:tc>
          <w:tcPr>
            <w:tcW w:w="901" w:type="pct"/>
            <w:tcBorders>
              <w:top w:val="nil"/>
              <w:left w:val="nil"/>
              <w:bottom w:val="single" w:sz="8" w:space="0" w:color="auto"/>
              <w:right w:val="nil"/>
            </w:tcBorders>
            <w:shd w:val="clear" w:color="000000" w:fill="FFFFFF"/>
            <w:tcMar>
              <w:right w:w="57" w:type="dxa"/>
            </w:tcMar>
            <w:vAlign w:val="center"/>
            <w:hideMark/>
          </w:tcPr>
          <w:p w14:paraId="54CEB72A" w14:textId="77777777" w:rsidR="00BE658F" w:rsidRPr="003361F3" w:rsidRDefault="00BE658F" w:rsidP="00321B3A">
            <w:pPr>
              <w:numPr>
                <w:ilvl w:val="12"/>
                <w:numId w:val="0"/>
              </w:numPr>
              <w:spacing w:line="240" w:lineRule="auto"/>
              <w:ind w:right="-2" w:firstLineChars="400" w:firstLine="800"/>
              <w:rPr>
                <w:rFonts w:asciiTheme="majorHAnsi" w:hAnsiTheme="majorHAnsi"/>
                <w:sz w:val="20"/>
                <w:lang w:val="en-US"/>
              </w:rPr>
            </w:pPr>
            <w:proofErr w:type="spellStart"/>
            <w:r w:rsidRPr="003361F3">
              <w:rPr>
                <w:rFonts w:asciiTheme="majorHAnsi" w:hAnsiTheme="majorHAnsi"/>
                <w:bCs/>
                <w:sz w:val="20"/>
                <w:lang w:val="en-US"/>
              </w:rPr>
              <w:t>PValue</w:t>
            </w:r>
            <w:proofErr w:type="spellEnd"/>
          </w:p>
        </w:tc>
        <w:tc>
          <w:tcPr>
            <w:tcW w:w="538" w:type="pct"/>
            <w:tcBorders>
              <w:top w:val="nil"/>
              <w:left w:val="nil"/>
              <w:bottom w:val="single" w:sz="8" w:space="0" w:color="auto"/>
              <w:right w:val="nil"/>
            </w:tcBorders>
            <w:shd w:val="clear" w:color="000000" w:fill="FFFFFF"/>
            <w:tcMar>
              <w:left w:w="57" w:type="dxa"/>
              <w:right w:w="57" w:type="dxa"/>
            </w:tcMar>
            <w:vAlign w:val="center"/>
            <w:hideMark/>
          </w:tcPr>
          <w:p w14:paraId="19559DED" w14:textId="77777777" w:rsidR="00BE658F" w:rsidRPr="003361F3" w:rsidRDefault="00BE658F" w:rsidP="00321B3A">
            <w:pPr>
              <w:numPr>
                <w:ilvl w:val="12"/>
                <w:numId w:val="0"/>
              </w:numPr>
              <w:spacing w:line="240" w:lineRule="auto"/>
              <w:ind w:right="-2"/>
              <w:jc w:val="center"/>
              <w:rPr>
                <w:rFonts w:asciiTheme="majorHAnsi" w:hAnsiTheme="majorHAnsi"/>
                <w:sz w:val="20"/>
                <w:lang w:val="en-US"/>
              </w:rPr>
            </w:pPr>
          </w:p>
        </w:tc>
        <w:tc>
          <w:tcPr>
            <w:tcW w:w="615" w:type="pct"/>
            <w:tcBorders>
              <w:top w:val="nil"/>
              <w:left w:val="nil"/>
              <w:bottom w:val="single" w:sz="8" w:space="0" w:color="auto"/>
              <w:right w:val="nil"/>
            </w:tcBorders>
            <w:shd w:val="clear" w:color="000000" w:fill="FFFFFF"/>
            <w:tcMar>
              <w:left w:w="57" w:type="dxa"/>
              <w:right w:w="57" w:type="dxa"/>
            </w:tcMar>
            <w:vAlign w:val="center"/>
            <w:hideMark/>
          </w:tcPr>
          <w:p w14:paraId="04985482" w14:textId="77777777" w:rsidR="00BE658F" w:rsidRPr="003361F3" w:rsidRDefault="00BE658F" w:rsidP="00321B3A">
            <w:pPr>
              <w:numPr>
                <w:ilvl w:val="12"/>
                <w:numId w:val="0"/>
              </w:numPr>
              <w:spacing w:line="240" w:lineRule="auto"/>
              <w:ind w:right="-2"/>
              <w:jc w:val="center"/>
              <w:rPr>
                <w:rFonts w:asciiTheme="majorHAnsi" w:hAnsiTheme="majorHAnsi"/>
                <w:lang w:val="en-US"/>
              </w:rPr>
            </w:pPr>
          </w:p>
        </w:tc>
        <w:tc>
          <w:tcPr>
            <w:tcW w:w="771" w:type="pct"/>
            <w:tcBorders>
              <w:top w:val="nil"/>
              <w:left w:val="nil"/>
              <w:bottom w:val="single" w:sz="8" w:space="0" w:color="auto"/>
              <w:right w:val="nil"/>
            </w:tcBorders>
            <w:shd w:val="clear" w:color="000000" w:fill="FFFFFF"/>
            <w:tcMar>
              <w:left w:w="57" w:type="dxa"/>
              <w:right w:w="57" w:type="dxa"/>
            </w:tcMar>
            <w:vAlign w:val="center"/>
            <w:hideMark/>
          </w:tcPr>
          <w:p w14:paraId="62EEB6AC" w14:textId="77777777" w:rsidR="00BE658F" w:rsidRPr="003361F3" w:rsidRDefault="00BE658F" w:rsidP="00321B3A">
            <w:pPr>
              <w:numPr>
                <w:ilvl w:val="12"/>
                <w:numId w:val="0"/>
              </w:numPr>
              <w:spacing w:line="240" w:lineRule="auto"/>
              <w:ind w:right="-2"/>
              <w:jc w:val="center"/>
              <w:rPr>
                <w:rFonts w:asciiTheme="majorHAnsi" w:hAnsiTheme="majorHAnsi"/>
                <w:lang w:val="en-US"/>
              </w:rPr>
            </w:pPr>
          </w:p>
        </w:tc>
        <w:tc>
          <w:tcPr>
            <w:tcW w:w="634" w:type="pct"/>
            <w:tcBorders>
              <w:top w:val="nil"/>
              <w:left w:val="nil"/>
              <w:bottom w:val="single" w:sz="8" w:space="0" w:color="auto"/>
              <w:right w:val="nil"/>
            </w:tcBorders>
            <w:shd w:val="clear" w:color="000000" w:fill="FFFFFF"/>
            <w:tcMar>
              <w:left w:w="57" w:type="dxa"/>
              <w:right w:w="57" w:type="dxa"/>
            </w:tcMar>
            <w:vAlign w:val="center"/>
            <w:hideMark/>
          </w:tcPr>
          <w:p w14:paraId="7AE2CE34" w14:textId="77777777" w:rsidR="00BE658F" w:rsidRPr="003361F3" w:rsidRDefault="00BE658F" w:rsidP="00321B3A">
            <w:pPr>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&lt;0.001</w:t>
            </w:r>
          </w:p>
        </w:tc>
        <w:tc>
          <w:tcPr>
            <w:tcW w:w="771" w:type="pct"/>
            <w:tcBorders>
              <w:top w:val="nil"/>
              <w:left w:val="nil"/>
              <w:bottom w:val="single" w:sz="8" w:space="0" w:color="auto"/>
              <w:right w:val="nil"/>
            </w:tcBorders>
            <w:shd w:val="clear" w:color="000000" w:fill="FFFFFF"/>
            <w:tcMar>
              <w:left w:w="57" w:type="dxa"/>
              <w:right w:w="57" w:type="dxa"/>
            </w:tcMar>
            <w:vAlign w:val="center"/>
            <w:hideMark/>
          </w:tcPr>
          <w:p w14:paraId="6A0DAC68" w14:textId="77777777" w:rsidR="00BE658F" w:rsidRPr="003361F3" w:rsidRDefault="00BE658F" w:rsidP="00321B3A">
            <w:pPr>
              <w:numPr>
                <w:ilvl w:val="12"/>
                <w:numId w:val="0"/>
              </w:numPr>
              <w:spacing w:line="240" w:lineRule="auto"/>
              <w:ind w:right="-2"/>
              <w:jc w:val="center"/>
              <w:rPr>
                <w:rFonts w:asciiTheme="majorHAnsi" w:hAnsiTheme="majorHAnsi"/>
                <w:lang w:val="en-US"/>
              </w:rPr>
            </w:pPr>
            <w:r w:rsidRPr="003361F3">
              <w:rPr>
                <w:rFonts w:asciiTheme="majorHAnsi" w:hAnsiTheme="majorHAnsi"/>
                <w:lang w:val="en-US"/>
              </w:rPr>
              <w:t>&lt;0.001</w:t>
            </w:r>
          </w:p>
        </w:tc>
        <w:tc>
          <w:tcPr>
            <w:tcW w:w="771" w:type="pct"/>
            <w:tcBorders>
              <w:top w:val="nil"/>
              <w:left w:val="nil"/>
              <w:bottom w:val="single" w:sz="8" w:space="0" w:color="auto"/>
              <w:right w:val="nil"/>
            </w:tcBorders>
            <w:shd w:val="clear" w:color="000000" w:fill="FFFFFF"/>
            <w:tcMar>
              <w:left w:w="57" w:type="dxa"/>
              <w:right w:w="57" w:type="dxa"/>
            </w:tcMar>
            <w:vAlign w:val="center"/>
            <w:hideMark/>
          </w:tcPr>
          <w:p w14:paraId="299BF404" w14:textId="77777777" w:rsidR="00BE658F" w:rsidRPr="003361F3" w:rsidRDefault="00BE658F" w:rsidP="00321B3A">
            <w:pPr>
              <w:numPr>
                <w:ilvl w:val="12"/>
                <w:numId w:val="0"/>
              </w:numPr>
              <w:spacing w:line="240" w:lineRule="auto"/>
              <w:ind w:right="-2"/>
              <w:jc w:val="center"/>
              <w:rPr>
                <w:rFonts w:asciiTheme="majorHAnsi" w:hAnsiTheme="majorHAnsi"/>
                <w:lang w:val="en-US"/>
              </w:rPr>
            </w:pPr>
          </w:p>
        </w:tc>
      </w:tr>
    </w:tbl>
    <w:p w14:paraId="59BDC501" w14:textId="38AB4DE8" w:rsidR="00BE658F" w:rsidRDefault="00BE658F" w:rsidP="003361F3">
      <w:pPr>
        <w:numPr>
          <w:ilvl w:val="12"/>
          <w:numId w:val="0"/>
        </w:numPr>
        <w:spacing w:line="240" w:lineRule="auto"/>
        <w:ind w:right="-2"/>
        <w:rPr>
          <w:rFonts w:asciiTheme="majorHAnsi" w:hAnsiTheme="majorHAnsi"/>
          <w:sz w:val="20"/>
          <w:szCs w:val="20"/>
        </w:rPr>
      </w:pPr>
      <w:r w:rsidRPr="003361F3">
        <w:rPr>
          <w:rFonts w:asciiTheme="majorHAnsi" w:hAnsiTheme="majorHAnsi"/>
          <w:sz w:val="20"/>
          <w:szCs w:val="20"/>
          <w:lang w:val="en-US"/>
        </w:rPr>
        <w:t xml:space="preserve">Glabellar Line Scale (GLS); </w:t>
      </w:r>
      <w:r w:rsidRPr="003361F3">
        <w:rPr>
          <w:rFonts w:asciiTheme="majorHAnsi" w:hAnsiTheme="majorHAnsi"/>
          <w:sz w:val="20"/>
          <w:szCs w:val="20"/>
        </w:rPr>
        <w:t>0=no lines, 1=mild, 2=moderate, 3=severe</w:t>
      </w:r>
    </w:p>
    <w:p w14:paraId="7A79A87F" w14:textId="6C72125C" w:rsidR="00E025BA" w:rsidRDefault="000D5AC9" w:rsidP="00E025BA">
      <w:pPr>
        <w:rPr>
          <w:rFonts w:asciiTheme="majorHAnsi" w:hAnsiTheme="majorHAnsi"/>
          <w:b/>
          <w:lang w:val="en-US"/>
        </w:rPr>
      </w:pPr>
      <w:r>
        <w:rPr>
          <w:rFonts w:ascii="Cambria" w:hAnsi="Cambria"/>
          <w:lang w:val="en-US"/>
        </w:rPr>
        <w:t>S</w:t>
      </w:r>
      <w:r w:rsidR="000959CA">
        <w:rPr>
          <w:rFonts w:ascii="Cambria" w:hAnsi="Cambria"/>
          <w:lang w:val="en-US"/>
        </w:rPr>
        <w:t xml:space="preserve">econdary </w:t>
      </w:r>
      <w:r>
        <w:rPr>
          <w:rFonts w:ascii="Cambria" w:hAnsi="Cambria"/>
          <w:lang w:val="en-US"/>
        </w:rPr>
        <w:t xml:space="preserve">efficacy endpoints included the proportion </w:t>
      </w:r>
      <w:r w:rsidR="000959CA">
        <w:rPr>
          <w:rFonts w:ascii="Cambria" w:hAnsi="Cambria"/>
          <w:lang w:val="en-US"/>
        </w:rPr>
        <w:t xml:space="preserve">of subjects with a </w:t>
      </w:r>
      <w:r w:rsidR="000959CA">
        <w:t>≥</w:t>
      </w:r>
      <w:r w:rsidR="000959CA" w:rsidRPr="00211CE2">
        <w:rPr>
          <w:rFonts w:ascii="Cambria" w:hAnsi="Cambria"/>
          <w:lang w:val="en-US"/>
        </w:rPr>
        <w:t xml:space="preserve">1 point improvement on GLS as assessed by the investigator at maximum frown </w:t>
      </w:r>
      <w:r w:rsidR="000959CA">
        <w:rPr>
          <w:rFonts w:ascii="Cambria" w:hAnsi="Cambria"/>
          <w:lang w:val="en-US"/>
        </w:rPr>
        <w:t xml:space="preserve">on Day 2 and Day 150. </w:t>
      </w:r>
      <w:r>
        <w:rPr>
          <w:rFonts w:ascii="Cambria" w:hAnsi="Cambria"/>
          <w:lang w:val="en-US"/>
        </w:rPr>
        <w:t>On Day 2, the responder rates were 54.2% and 12.2% for NUCEIVA and placebo respectively (absolute difference 41.9%, p&lt;0.001). On Day 150, the responder rates were 38.7% and 8.3%</w:t>
      </w:r>
      <w:r w:rsidR="00B40946">
        <w:rPr>
          <w:rFonts w:ascii="Cambria" w:hAnsi="Cambria"/>
          <w:lang w:val="en-US"/>
        </w:rPr>
        <w:t xml:space="preserve"> (absolute difference 29.3%, p&lt;0.001). Another s</w:t>
      </w:r>
      <w:r w:rsidR="00E025BA" w:rsidRPr="00211CE2">
        <w:rPr>
          <w:rFonts w:ascii="Cambria" w:hAnsi="Cambria"/>
          <w:lang w:val="en-US"/>
        </w:rPr>
        <w:t>econdary en</w:t>
      </w:r>
      <w:r w:rsidR="00B40946">
        <w:rPr>
          <w:rFonts w:ascii="Cambria" w:hAnsi="Cambria"/>
          <w:lang w:val="en-US"/>
        </w:rPr>
        <w:t>d</w:t>
      </w:r>
      <w:r w:rsidR="00E025BA" w:rsidRPr="00211CE2">
        <w:rPr>
          <w:rFonts w:ascii="Cambria" w:hAnsi="Cambria"/>
          <w:lang w:val="en-US"/>
        </w:rPr>
        <w:t>point included</w:t>
      </w:r>
      <w:r w:rsidR="00E025BA">
        <w:rPr>
          <w:rFonts w:ascii="Cambria" w:hAnsi="Cambria"/>
          <w:lang w:val="en-US"/>
        </w:rPr>
        <w:t xml:space="preserve"> </w:t>
      </w:r>
      <w:r w:rsidR="00B40946">
        <w:rPr>
          <w:rFonts w:ascii="Cambria" w:hAnsi="Cambria"/>
          <w:lang w:val="en-US"/>
        </w:rPr>
        <w:t>the assessment of a</w:t>
      </w:r>
      <w:r w:rsidR="00E025BA">
        <w:rPr>
          <w:rFonts w:ascii="Cambria" w:hAnsi="Cambria"/>
          <w:lang w:val="en-US"/>
        </w:rPr>
        <w:t xml:space="preserve"> </w:t>
      </w:r>
      <w:r w:rsidR="00E025BA">
        <w:t>≥</w:t>
      </w:r>
      <w:r w:rsidR="00E025BA" w:rsidRPr="00211CE2">
        <w:rPr>
          <w:rFonts w:ascii="Cambria" w:hAnsi="Cambria"/>
          <w:lang w:val="en-US"/>
        </w:rPr>
        <w:t>1 point improvement</w:t>
      </w:r>
      <w:r w:rsidR="00E025BA">
        <w:rPr>
          <w:rFonts w:ascii="Cambria" w:hAnsi="Cambria"/>
          <w:lang w:val="en-US"/>
        </w:rPr>
        <w:t xml:space="preserve"> on the Subject Satisfaction Scale (i.e., satisfied or very satisfied) at Day 30</w:t>
      </w:r>
      <w:r w:rsidR="00B40946">
        <w:rPr>
          <w:rFonts w:ascii="Cambria" w:hAnsi="Cambria"/>
          <w:lang w:val="en-US"/>
        </w:rPr>
        <w:t>. The percentages of responders were 91.3% and 6.3% for NUCEIVA and placebo respectively (absolute difference 85%, p&lt;0.001).</w:t>
      </w:r>
      <w:r w:rsidR="00E025BA" w:rsidRPr="003361F3">
        <w:rPr>
          <w:rFonts w:asciiTheme="majorHAnsi" w:hAnsiTheme="majorHAnsi"/>
          <w:b/>
          <w:lang w:val="en-US"/>
        </w:rPr>
        <w:t xml:space="preserve"> </w:t>
      </w:r>
    </w:p>
    <w:p w14:paraId="4F6821E6" w14:textId="02E27D56" w:rsidR="009A0D21" w:rsidRDefault="00577924" w:rsidP="001E5356">
      <w:pPr>
        <w:numPr>
          <w:ilvl w:val="12"/>
          <w:numId w:val="0"/>
        </w:numPr>
        <w:rPr>
          <w:rFonts w:ascii="Cambria" w:hAnsi="Cambria"/>
          <w:lang w:val="en-US"/>
        </w:rPr>
      </w:pPr>
      <w:r>
        <w:rPr>
          <w:rFonts w:ascii="Cambria" w:hAnsi="Cambria"/>
          <w:lang w:val="en-US"/>
        </w:rPr>
        <w:t xml:space="preserve">A further 922 </w:t>
      </w:r>
      <w:bookmarkStart w:id="2" w:name="_Hlk122431763"/>
      <w:r>
        <w:rPr>
          <w:rFonts w:ascii="Cambria" w:hAnsi="Cambria"/>
          <w:lang w:val="en-US"/>
        </w:rPr>
        <w:t xml:space="preserve">healthy adult subjects (ranging in age from 19 to 83) </w:t>
      </w:r>
      <w:bookmarkEnd w:id="2"/>
      <w:r>
        <w:rPr>
          <w:rFonts w:ascii="Cambria" w:hAnsi="Cambria"/>
          <w:lang w:val="en-US"/>
        </w:rPr>
        <w:t xml:space="preserve">participated in the two multicenter, open </w:t>
      </w:r>
      <w:proofErr w:type="gramStart"/>
      <w:r>
        <w:rPr>
          <w:rFonts w:ascii="Cambria" w:hAnsi="Cambria"/>
          <w:lang w:val="en-US"/>
        </w:rPr>
        <w:t>label</w:t>
      </w:r>
      <w:proofErr w:type="gramEnd"/>
      <w:r>
        <w:rPr>
          <w:rFonts w:ascii="Cambria" w:hAnsi="Cambria"/>
          <w:lang w:val="en-US"/>
        </w:rPr>
        <w:t xml:space="preserve">, multiple dose, long-term Phase II safety studies, EV-004 [NCT02184988] and EV-006 [NCT02428608]. The primary objective of these studies was to demonstrate the safety of multiple treatments of 20 Units of NUCEIVA over the course of 1 year for the treatment of moderate to severe glabellar lines. </w:t>
      </w:r>
      <w:bookmarkStart w:id="3" w:name="_Hlk122431674"/>
      <w:r>
        <w:rPr>
          <w:rFonts w:ascii="Cambria" w:hAnsi="Cambria"/>
          <w:lang w:val="en-US"/>
        </w:rPr>
        <w:t xml:space="preserve">All subjects received treatment with NUCEIVA and could receive up to 4 NUCEIVA treatments (i.e., maximum total of 80 Units). Of the 922 subjects enrolled, the median number of treatments was three. </w:t>
      </w:r>
      <w:bookmarkEnd w:id="3"/>
      <w:r w:rsidR="009A0D21">
        <w:rPr>
          <w:rFonts w:ascii="Cambria" w:hAnsi="Cambria"/>
          <w:lang w:val="en-US"/>
        </w:rPr>
        <w:t>Efficacy and safety profile results were consistent with the single dose trials.</w:t>
      </w:r>
    </w:p>
    <w:p w14:paraId="20772DCA" w14:textId="6B94EE2D" w:rsidR="00EC3F07" w:rsidRDefault="00761F3C" w:rsidP="001E5356">
      <w:pPr>
        <w:numPr>
          <w:ilvl w:val="12"/>
          <w:numId w:val="0"/>
        </w:numPr>
        <w:rPr>
          <w:rFonts w:ascii="Cambria" w:hAnsi="Cambria"/>
          <w:lang w:val="en-US"/>
        </w:rPr>
      </w:pPr>
      <w:r>
        <w:rPr>
          <w:rFonts w:ascii="Cambria" w:hAnsi="Cambria"/>
          <w:lang w:val="en-US"/>
        </w:rPr>
        <w:t xml:space="preserve">The mean age </w:t>
      </w:r>
      <w:r w:rsidR="00465580">
        <w:rPr>
          <w:rFonts w:ascii="Cambria" w:hAnsi="Cambria"/>
          <w:lang w:val="en-US"/>
        </w:rPr>
        <w:t xml:space="preserve">was 50.8 years, with 84 subjects (9.1%) </w:t>
      </w:r>
      <w:r w:rsidR="00465580" w:rsidRPr="00FA0661">
        <w:rPr>
          <w:rFonts w:ascii="Cambria" w:hAnsi="Cambria"/>
          <w:lang w:val="en-US"/>
        </w:rPr>
        <w:t>≥</w:t>
      </w:r>
      <w:r w:rsidR="00465580">
        <w:rPr>
          <w:rFonts w:ascii="Cambria" w:hAnsi="Cambria"/>
          <w:lang w:val="en-US"/>
        </w:rPr>
        <w:t xml:space="preserve"> 65 years of age. Most of the subjects </w:t>
      </w:r>
      <w:r>
        <w:rPr>
          <w:rFonts w:ascii="Cambria" w:hAnsi="Cambria"/>
          <w:lang w:val="en-US"/>
        </w:rPr>
        <w:t>in these studies were women (</w:t>
      </w:r>
      <w:r w:rsidR="00465580">
        <w:rPr>
          <w:rFonts w:ascii="Cambria" w:hAnsi="Cambria"/>
          <w:lang w:val="en-US"/>
        </w:rPr>
        <w:t>91.2</w:t>
      </w:r>
      <w:r>
        <w:rPr>
          <w:rFonts w:ascii="Cambria" w:hAnsi="Cambria"/>
          <w:lang w:val="en-US"/>
        </w:rPr>
        <w:t>%)</w:t>
      </w:r>
      <w:r w:rsidR="00465580">
        <w:rPr>
          <w:rFonts w:ascii="Cambria" w:hAnsi="Cambria"/>
          <w:lang w:val="en-US"/>
        </w:rPr>
        <w:t>, and a majority of the subjects were white (82.0%).</w:t>
      </w:r>
      <w:r>
        <w:rPr>
          <w:rFonts w:ascii="Cambria" w:hAnsi="Cambria"/>
          <w:lang w:val="en-US"/>
        </w:rPr>
        <w:t xml:space="preserve"> </w:t>
      </w:r>
    </w:p>
    <w:p w14:paraId="79985C66" w14:textId="77777777" w:rsidR="001A3992" w:rsidRPr="00497C85" w:rsidRDefault="001A3992" w:rsidP="001A3992">
      <w:pPr>
        <w:pStyle w:val="Heading2"/>
        <w:keepNext/>
        <w:spacing w:before="0" w:after="120"/>
        <w:rPr>
          <w:rFonts w:cstheme="minorHAnsi"/>
          <w:lang w:val="en-US"/>
        </w:rPr>
      </w:pPr>
      <w:r w:rsidRPr="00497C85">
        <w:rPr>
          <w:rFonts w:cstheme="minorHAnsi"/>
          <w:lang w:val="en-US"/>
        </w:rPr>
        <w:t xml:space="preserve">Pharmacokinetic properties </w:t>
      </w:r>
    </w:p>
    <w:p w14:paraId="4F7E92EA" w14:textId="5D89110E" w:rsidR="00E140AC" w:rsidRPr="00E140AC" w:rsidRDefault="00E140AC" w:rsidP="00E140AC">
      <w:pPr>
        <w:rPr>
          <w:rFonts w:asciiTheme="majorHAnsi" w:hAnsiTheme="majorHAnsi"/>
        </w:rPr>
      </w:pPr>
      <w:r w:rsidRPr="00E140AC">
        <w:rPr>
          <w:rFonts w:asciiTheme="majorHAnsi" w:hAnsiTheme="majorHAnsi"/>
        </w:rPr>
        <w:t>Absorption, distribution, biotransformation</w:t>
      </w:r>
      <w:r w:rsidR="008139C8">
        <w:rPr>
          <w:rFonts w:asciiTheme="majorHAnsi" w:hAnsiTheme="majorHAnsi"/>
        </w:rPr>
        <w:t>,</w:t>
      </w:r>
      <w:r w:rsidRPr="00E140AC">
        <w:rPr>
          <w:rFonts w:asciiTheme="majorHAnsi" w:hAnsiTheme="majorHAnsi"/>
        </w:rPr>
        <w:t xml:space="preserve"> and elimination (ADME) studies on the active substance have not been performed due to the nature of this product.</w:t>
      </w:r>
    </w:p>
    <w:p w14:paraId="30C340B5" w14:textId="77777777" w:rsidR="001A3992" w:rsidRPr="00497C85" w:rsidRDefault="001A3992" w:rsidP="001A3992">
      <w:pPr>
        <w:pStyle w:val="Heading2"/>
        <w:spacing w:before="0" w:after="120"/>
        <w:rPr>
          <w:rFonts w:cstheme="minorHAnsi"/>
          <w:lang w:val="en-US"/>
        </w:rPr>
      </w:pPr>
      <w:r w:rsidRPr="00497C85">
        <w:rPr>
          <w:rFonts w:cstheme="minorHAnsi"/>
          <w:lang w:val="en-US"/>
        </w:rPr>
        <w:t>Preclinical safety data</w:t>
      </w:r>
    </w:p>
    <w:p w14:paraId="4D962390" w14:textId="64ECB1E0" w:rsidR="001A3992" w:rsidRDefault="001A3992" w:rsidP="001A3992">
      <w:pPr>
        <w:pStyle w:val="Heading3"/>
        <w:spacing w:before="0" w:after="120"/>
        <w:rPr>
          <w:rFonts w:cstheme="minorHAnsi"/>
        </w:rPr>
      </w:pPr>
      <w:r w:rsidRPr="00497C85">
        <w:rPr>
          <w:rFonts w:cstheme="minorHAnsi"/>
        </w:rPr>
        <w:t>Genotoxicity</w:t>
      </w:r>
    </w:p>
    <w:p w14:paraId="6770D6C8" w14:textId="191D4988" w:rsidR="002F0C99" w:rsidRPr="002F0C99" w:rsidRDefault="00251559" w:rsidP="002F0C99">
      <w:r w:rsidRPr="00251559">
        <w:rPr>
          <w:rFonts w:asciiTheme="majorHAnsi" w:hAnsiTheme="majorHAnsi" w:cstheme="minorHAnsi"/>
          <w:lang w:val="en-US"/>
        </w:rPr>
        <w:t>No genotoxicity studies have been conducted with prabotulinumtoxinA</w:t>
      </w:r>
      <w:r>
        <w:rPr>
          <w:rFonts w:asciiTheme="majorHAnsi" w:hAnsiTheme="majorHAnsi" w:cstheme="minorHAnsi"/>
          <w:lang w:val="en-US"/>
        </w:rPr>
        <w:t>.</w:t>
      </w:r>
      <w:r w:rsidRPr="00251559">
        <w:rPr>
          <w:rFonts w:asciiTheme="majorHAnsi" w:hAnsiTheme="majorHAnsi" w:cstheme="minorHAnsi"/>
          <w:lang w:val="en-US"/>
        </w:rPr>
        <w:t xml:space="preserve"> </w:t>
      </w:r>
      <w:r w:rsidR="002F0C99">
        <w:t xml:space="preserve"> </w:t>
      </w:r>
    </w:p>
    <w:p w14:paraId="13DF33EA" w14:textId="6ECDE5E9" w:rsidR="001A3992" w:rsidRDefault="001A3992" w:rsidP="001A3992">
      <w:pPr>
        <w:pStyle w:val="Heading3"/>
        <w:spacing w:before="0" w:after="120"/>
        <w:rPr>
          <w:rFonts w:cstheme="minorHAnsi"/>
          <w:lang w:val="en-US"/>
        </w:rPr>
      </w:pPr>
      <w:proofErr w:type="spellStart"/>
      <w:r w:rsidRPr="00497C85">
        <w:rPr>
          <w:rFonts w:cstheme="minorHAnsi"/>
        </w:rPr>
        <w:lastRenderedPageBreak/>
        <w:t>Carcin</w:t>
      </w:r>
      <w:r w:rsidRPr="00497C85">
        <w:rPr>
          <w:rFonts w:cstheme="minorHAnsi"/>
          <w:lang w:val="en-US"/>
        </w:rPr>
        <w:t>ogenicity</w:t>
      </w:r>
      <w:proofErr w:type="spellEnd"/>
    </w:p>
    <w:p w14:paraId="6BF9FED9" w14:textId="139AB8C1" w:rsidR="002F0C99" w:rsidRPr="002F0C99" w:rsidRDefault="00251559" w:rsidP="002F0C99">
      <w:pPr>
        <w:rPr>
          <w:lang w:val="en-US"/>
        </w:rPr>
      </w:pPr>
      <w:r w:rsidRPr="00251559">
        <w:rPr>
          <w:rFonts w:asciiTheme="majorHAnsi" w:hAnsiTheme="majorHAnsi" w:cstheme="minorHAnsi"/>
          <w:lang w:val="en-US"/>
        </w:rPr>
        <w:t xml:space="preserve">No </w:t>
      </w:r>
      <w:proofErr w:type="gramStart"/>
      <w:r w:rsidRPr="00251559">
        <w:rPr>
          <w:rFonts w:asciiTheme="majorHAnsi" w:hAnsiTheme="majorHAnsi" w:cstheme="minorHAnsi"/>
          <w:lang w:val="en-US"/>
        </w:rPr>
        <w:t>long term</w:t>
      </w:r>
      <w:proofErr w:type="gramEnd"/>
      <w:r w:rsidRPr="00251559">
        <w:rPr>
          <w:rFonts w:asciiTheme="majorHAnsi" w:hAnsiTheme="majorHAnsi" w:cstheme="minorHAnsi"/>
          <w:lang w:val="en-US"/>
        </w:rPr>
        <w:t xml:space="preserve"> carcinogenicity studies in animals have been conducted with prabotulinumtoxinA.</w:t>
      </w:r>
    </w:p>
    <w:p w14:paraId="74D7615C" w14:textId="77777777" w:rsidR="001A3992" w:rsidRPr="00497C85" w:rsidRDefault="001A3992" w:rsidP="001A3992">
      <w:pPr>
        <w:pStyle w:val="Heading1"/>
        <w:spacing w:before="0" w:after="120"/>
        <w:rPr>
          <w:rFonts w:cstheme="minorHAnsi"/>
          <w:lang w:val="en-US"/>
        </w:rPr>
      </w:pPr>
      <w:r w:rsidRPr="00497C85">
        <w:rPr>
          <w:rFonts w:cstheme="minorHAnsi"/>
          <w:lang w:val="en-US"/>
        </w:rPr>
        <w:t>Pharmaceutical particulars</w:t>
      </w:r>
    </w:p>
    <w:p w14:paraId="05BEFFF6"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List of excipients </w:t>
      </w:r>
    </w:p>
    <w:p w14:paraId="674360CA" w14:textId="743BF8F9" w:rsidR="002F0C99" w:rsidRDefault="00C77967" w:rsidP="00497C85">
      <w:pPr>
        <w:rPr>
          <w:rFonts w:asciiTheme="majorHAnsi" w:hAnsiTheme="majorHAnsi" w:cstheme="minorHAnsi"/>
          <w:lang w:val="en-US"/>
        </w:rPr>
      </w:pPr>
      <w:r>
        <w:rPr>
          <w:rFonts w:asciiTheme="majorHAnsi" w:hAnsiTheme="majorHAnsi" w:cstheme="minorHAnsi"/>
          <w:lang w:val="en-US"/>
        </w:rPr>
        <w:t>A</w:t>
      </w:r>
      <w:r w:rsidR="002F0C99" w:rsidRPr="002F0C99">
        <w:rPr>
          <w:rFonts w:asciiTheme="majorHAnsi" w:hAnsiTheme="majorHAnsi" w:cstheme="minorHAnsi"/>
          <w:lang w:val="en-US"/>
        </w:rPr>
        <w:t>lbumin (0.5 mg)</w:t>
      </w:r>
      <w:r w:rsidR="002F0C99">
        <w:rPr>
          <w:rFonts w:asciiTheme="majorHAnsi" w:hAnsiTheme="majorHAnsi" w:cstheme="minorHAnsi"/>
          <w:lang w:val="en-US"/>
        </w:rPr>
        <w:t xml:space="preserve"> </w:t>
      </w:r>
    </w:p>
    <w:p w14:paraId="54687CFF" w14:textId="4EE7C006" w:rsidR="002F0C99" w:rsidRPr="00497C85" w:rsidRDefault="002F0C99" w:rsidP="00497C85">
      <w:pPr>
        <w:rPr>
          <w:rFonts w:asciiTheme="majorHAnsi" w:hAnsiTheme="majorHAnsi" w:cstheme="minorHAnsi"/>
          <w:lang w:val="en-US"/>
        </w:rPr>
      </w:pPr>
      <w:r>
        <w:rPr>
          <w:rFonts w:asciiTheme="majorHAnsi" w:hAnsiTheme="majorHAnsi" w:cstheme="minorHAnsi"/>
          <w:lang w:val="en-US"/>
        </w:rPr>
        <w:t>S</w:t>
      </w:r>
      <w:r w:rsidRPr="002F0C99">
        <w:rPr>
          <w:rFonts w:asciiTheme="majorHAnsi" w:hAnsiTheme="majorHAnsi" w:cstheme="minorHAnsi"/>
          <w:lang w:val="en-US"/>
        </w:rPr>
        <w:t>odium chloride (0.9 mg</w:t>
      </w:r>
      <w:r>
        <w:rPr>
          <w:rFonts w:asciiTheme="majorHAnsi" w:hAnsiTheme="majorHAnsi" w:cstheme="minorHAnsi"/>
          <w:lang w:val="en-US"/>
        </w:rPr>
        <w:t>)</w:t>
      </w:r>
    </w:p>
    <w:p w14:paraId="1B9FCFF9" w14:textId="77777777" w:rsidR="001A3992" w:rsidRPr="00497C85" w:rsidRDefault="001A3992" w:rsidP="001A3992">
      <w:pPr>
        <w:pStyle w:val="Heading2"/>
        <w:keepNext/>
        <w:keepLines/>
        <w:spacing w:before="0" w:after="120"/>
        <w:rPr>
          <w:rFonts w:cstheme="minorHAnsi"/>
          <w:lang w:val="en-US"/>
        </w:rPr>
      </w:pPr>
      <w:r w:rsidRPr="00497C85">
        <w:rPr>
          <w:rFonts w:cstheme="minorHAnsi"/>
          <w:lang w:val="en-US"/>
        </w:rPr>
        <w:t xml:space="preserve">Incompatibilities </w:t>
      </w:r>
    </w:p>
    <w:p w14:paraId="5CFA4E75" w14:textId="6D2EE5AB" w:rsidR="00497C85" w:rsidRPr="00497C85" w:rsidRDefault="00497C85" w:rsidP="00497C85">
      <w:pPr>
        <w:rPr>
          <w:rFonts w:asciiTheme="majorHAnsi" w:hAnsiTheme="majorHAnsi" w:cstheme="minorHAnsi"/>
          <w:lang w:val="en-US"/>
        </w:rPr>
      </w:pPr>
      <w:r w:rsidRPr="00497C85">
        <w:rPr>
          <w:rFonts w:asciiTheme="majorHAnsi" w:hAnsiTheme="majorHAnsi" w:cstheme="minorHAnsi"/>
          <w:lang w:val="en"/>
        </w:rPr>
        <w:t xml:space="preserve">Incompatibilities were either not assessed or not identified as part of the registration of this medicine. </w:t>
      </w:r>
    </w:p>
    <w:p w14:paraId="09A0D7E4"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Shelf life </w:t>
      </w:r>
    </w:p>
    <w:p w14:paraId="7A870331" w14:textId="3C6D0326" w:rsidR="00497C85" w:rsidRPr="00C94BAE" w:rsidRDefault="00795EE7" w:rsidP="00497C85">
      <w:pPr>
        <w:rPr>
          <w:rFonts w:asciiTheme="majorHAnsi" w:hAnsiTheme="majorHAnsi" w:cstheme="minorHAnsi"/>
          <w:lang w:val="en-US"/>
        </w:rPr>
      </w:pPr>
      <w:r>
        <w:rPr>
          <w:rFonts w:asciiTheme="majorHAnsi" w:hAnsiTheme="majorHAnsi" w:cstheme="minorHAnsi"/>
          <w:lang w:val="en"/>
        </w:rPr>
        <w:t>36 months.</w:t>
      </w:r>
    </w:p>
    <w:p w14:paraId="289265F0" w14:textId="2DF2F55C" w:rsidR="001A3992" w:rsidRPr="00C94BAE" w:rsidRDefault="001A3992" w:rsidP="001A3992">
      <w:pPr>
        <w:pStyle w:val="Heading2"/>
        <w:keepNext/>
        <w:keepLines/>
        <w:spacing w:before="0" w:after="120"/>
        <w:rPr>
          <w:rFonts w:cstheme="minorHAnsi"/>
          <w:lang w:val="en-US"/>
        </w:rPr>
      </w:pPr>
      <w:r w:rsidRPr="00C94BAE">
        <w:rPr>
          <w:rFonts w:cstheme="minorHAnsi"/>
          <w:lang w:val="en-US"/>
        </w:rPr>
        <w:t xml:space="preserve">Special precautions for storage </w:t>
      </w:r>
    </w:p>
    <w:p w14:paraId="0F57EBCA" w14:textId="6C5316F5" w:rsidR="00447C95" w:rsidRPr="00C94BAE" w:rsidRDefault="00C94BAE" w:rsidP="00447C95">
      <w:pPr>
        <w:rPr>
          <w:rFonts w:asciiTheme="majorHAnsi" w:hAnsiTheme="majorHAnsi"/>
          <w:lang w:val="en-US"/>
        </w:rPr>
      </w:pPr>
      <w:r w:rsidRPr="00C94BAE">
        <w:rPr>
          <w:rFonts w:asciiTheme="majorHAnsi" w:hAnsiTheme="majorHAnsi"/>
          <w:lang w:val="en-US"/>
        </w:rPr>
        <w:t xml:space="preserve">Unopened vials of </w:t>
      </w:r>
      <w:r w:rsidR="00755138">
        <w:rPr>
          <w:rFonts w:asciiTheme="majorHAnsi" w:hAnsiTheme="majorHAnsi"/>
          <w:lang w:val="en-US"/>
        </w:rPr>
        <w:t>NUCEIVA</w:t>
      </w:r>
      <w:r w:rsidRPr="00C94BAE">
        <w:rPr>
          <w:rFonts w:asciiTheme="majorHAnsi" w:hAnsiTheme="majorHAnsi"/>
          <w:lang w:val="en-US"/>
        </w:rPr>
        <w:t xml:space="preserve"> should be stored in a refrigerator between 2° to 8°C in the original carton to protect from light</w:t>
      </w:r>
      <w:r w:rsidR="00447C95" w:rsidRPr="00C94BAE">
        <w:rPr>
          <w:rFonts w:asciiTheme="majorHAnsi" w:hAnsiTheme="majorHAnsi"/>
          <w:lang w:val="en-US"/>
        </w:rPr>
        <w:t>.</w:t>
      </w:r>
    </w:p>
    <w:p w14:paraId="02993BF0" w14:textId="16906BAB" w:rsidR="00447C95" w:rsidRPr="002F0C99" w:rsidRDefault="004C3147" w:rsidP="00447C95">
      <w:pPr>
        <w:rPr>
          <w:rFonts w:asciiTheme="majorHAnsi" w:hAnsiTheme="majorHAnsi"/>
          <w:lang w:val="en-US"/>
        </w:rPr>
      </w:pPr>
      <w:r w:rsidRPr="004C3147">
        <w:rPr>
          <w:rFonts w:asciiTheme="majorHAnsi" w:hAnsiTheme="majorHAnsi"/>
          <w:lang w:val="en-US"/>
        </w:rPr>
        <w:t>To reduce microbiological hazard, use as soon as practicable after dilution. If storage is necessary, hold at 2-8°C for not more than 24 hours</w:t>
      </w:r>
    </w:p>
    <w:p w14:paraId="135D7AD6" w14:textId="5E6D6B00" w:rsidR="001A3992" w:rsidRDefault="001A3992" w:rsidP="001C574C">
      <w:pPr>
        <w:pStyle w:val="Heading2"/>
        <w:keepNext/>
        <w:spacing w:before="0" w:after="120"/>
        <w:ind w:left="576" w:hanging="576"/>
        <w:rPr>
          <w:rFonts w:cstheme="minorHAnsi"/>
          <w:lang w:val="en-US"/>
        </w:rPr>
      </w:pPr>
      <w:r w:rsidRPr="00497C85">
        <w:rPr>
          <w:rFonts w:cstheme="minorHAnsi"/>
          <w:lang w:val="en-US"/>
        </w:rPr>
        <w:t xml:space="preserve">Nature and contents of container </w:t>
      </w:r>
    </w:p>
    <w:p w14:paraId="04F8A67D" w14:textId="059FE8A5" w:rsidR="00211CE2" w:rsidRDefault="00A55C3D" w:rsidP="00043D16">
      <w:pPr>
        <w:rPr>
          <w:rFonts w:asciiTheme="majorHAnsi" w:hAnsiTheme="majorHAnsi"/>
          <w:lang w:val="en-US"/>
        </w:rPr>
      </w:pPr>
      <w:r w:rsidRPr="002F0C99">
        <w:rPr>
          <w:rFonts w:asciiTheme="majorHAnsi" w:hAnsiTheme="majorHAnsi"/>
          <w:lang w:val="en-US"/>
        </w:rPr>
        <w:t xml:space="preserve">NUCEIVA is </w:t>
      </w:r>
      <w:r w:rsidRPr="00211CE2">
        <w:rPr>
          <w:rFonts w:asciiTheme="majorHAnsi" w:hAnsiTheme="majorHAnsi"/>
          <w:lang w:val="en-US"/>
        </w:rPr>
        <w:t>supplied in a clear v</w:t>
      </w:r>
      <w:r w:rsidR="009F1105" w:rsidRPr="00211CE2">
        <w:rPr>
          <w:rFonts w:asciiTheme="majorHAnsi" w:hAnsiTheme="majorHAnsi"/>
          <w:lang w:val="en-US"/>
        </w:rPr>
        <w:t>ial (Type I glass) fitted with a stopper (chlorobutyl rubber) and a seal (aluminum).</w:t>
      </w:r>
      <w:r w:rsidR="002F0C99" w:rsidRPr="00211CE2">
        <w:rPr>
          <w:rFonts w:asciiTheme="majorHAnsi" w:hAnsiTheme="majorHAnsi"/>
          <w:lang w:val="en-US"/>
        </w:rPr>
        <w:t xml:space="preserve"> </w:t>
      </w:r>
    </w:p>
    <w:p w14:paraId="185E4A20" w14:textId="628A558D" w:rsidR="009F1105" w:rsidRPr="00FA345A" w:rsidRDefault="00043D16" w:rsidP="009F1105">
      <w:pPr>
        <w:rPr>
          <w:rFonts w:asciiTheme="majorHAnsi" w:hAnsiTheme="majorHAnsi"/>
          <w:lang w:val="en-GB"/>
        </w:rPr>
      </w:pPr>
      <w:r w:rsidRPr="00211CE2">
        <w:rPr>
          <w:rFonts w:asciiTheme="majorHAnsi" w:hAnsiTheme="majorHAnsi"/>
          <w:lang w:val="en-GB"/>
        </w:rPr>
        <w:t>NUCEIVA is a</w:t>
      </w:r>
      <w:r w:rsidRPr="00211CE2">
        <w:rPr>
          <w:rFonts w:asciiTheme="majorHAnsi" w:hAnsiTheme="majorHAnsi"/>
          <w:lang w:val="en-US"/>
        </w:rPr>
        <w:t xml:space="preserve"> white to yellowish vacuum dried powder. When reconstituted in sodium chloride (solution for) injection, it is a clear and transparent solution.</w:t>
      </w:r>
      <w:r>
        <w:rPr>
          <w:rFonts w:asciiTheme="majorHAnsi" w:hAnsiTheme="majorHAnsi"/>
          <w:lang w:val="en-US"/>
        </w:rPr>
        <w:t xml:space="preserve"> </w:t>
      </w:r>
    </w:p>
    <w:p w14:paraId="26AEC6ED" w14:textId="204C7E55" w:rsidR="009F1105" w:rsidRPr="004D70D5" w:rsidRDefault="009F1105" w:rsidP="009F1105">
      <w:pPr>
        <w:rPr>
          <w:rFonts w:asciiTheme="majorHAnsi" w:hAnsiTheme="majorHAnsi"/>
          <w:lang w:val="en-US"/>
        </w:rPr>
      </w:pPr>
      <w:r w:rsidRPr="002F0C99">
        <w:rPr>
          <w:rFonts w:asciiTheme="majorHAnsi" w:hAnsiTheme="majorHAnsi"/>
          <w:lang w:val="en-US"/>
        </w:rPr>
        <w:t>Pack size of one</w:t>
      </w:r>
      <w:r w:rsidR="00A55C3D" w:rsidRPr="002F0C99">
        <w:rPr>
          <w:rFonts w:asciiTheme="majorHAnsi" w:hAnsiTheme="majorHAnsi"/>
          <w:lang w:val="en-US"/>
        </w:rPr>
        <w:t xml:space="preserve"> 100 Unit vial</w:t>
      </w:r>
      <w:r w:rsidRPr="002F0C99">
        <w:rPr>
          <w:rFonts w:asciiTheme="majorHAnsi" w:hAnsiTheme="majorHAnsi"/>
          <w:lang w:val="en-US"/>
        </w:rPr>
        <w:t>.</w:t>
      </w:r>
    </w:p>
    <w:p w14:paraId="043E24A2" w14:textId="77777777" w:rsidR="001A3992" w:rsidRPr="00497C85" w:rsidRDefault="001A3992" w:rsidP="001A3992">
      <w:pPr>
        <w:pStyle w:val="Heading2"/>
        <w:spacing w:before="0" w:after="120"/>
        <w:rPr>
          <w:rFonts w:cstheme="minorHAnsi"/>
          <w:lang w:val="en-US"/>
        </w:rPr>
      </w:pPr>
      <w:r w:rsidRPr="00497C85">
        <w:rPr>
          <w:rFonts w:cstheme="minorHAnsi"/>
          <w:lang w:val="en-US"/>
        </w:rPr>
        <w:t xml:space="preserve">Special precautions for disposal </w:t>
      </w:r>
    </w:p>
    <w:p w14:paraId="7B672CD5" w14:textId="77777777" w:rsidR="009F1105" w:rsidRPr="009F1105" w:rsidRDefault="009F1105" w:rsidP="009F1105">
      <w:pPr>
        <w:rPr>
          <w:rFonts w:asciiTheme="majorHAnsi" w:hAnsiTheme="majorHAnsi" w:cstheme="minorHAnsi"/>
          <w:lang w:val="en"/>
        </w:rPr>
      </w:pPr>
      <w:r w:rsidRPr="009F1105">
        <w:rPr>
          <w:rFonts w:asciiTheme="majorHAnsi" w:hAnsiTheme="majorHAnsi" w:cstheme="minorHAnsi"/>
          <w:lang w:val="en"/>
        </w:rPr>
        <w:t>Immediately after use, and prior to disposal, unused reconstituted NUCEIVA solution in the vial and/or the syringe must be inactivated, with 2 mL of dilute sodium hypochlorite solution at 0.5% or 1% (</w:t>
      </w:r>
      <w:proofErr w:type="spellStart"/>
      <w:r w:rsidRPr="009F1105">
        <w:rPr>
          <w:rFonts w:asciiTheme="majorHAnsi" w:hAnsiTheme="majorHAnsi" w:cstheme="minorHAnsi"/>
          <w:lang w:val="en"/>
        </w:rPr>
        <w:t>Javel</w:t>
      </w:r>
      <w:proofErr w:type="spellEnd"/>
      <w:r w:rsidRPr="009F1105">
        <w:rPr>
          <w:rFonts w:asciiTheme="majorHAnsi" w:hAnsiTheme="majorHAnsi" w:cstheme="minorHAnsi"/>
          <w:lang w:val="en"/>
        </w:rPr>
        <w:t xml:space="preserve"> solution) and should be disposed of in accordance with local requirements.</w:t>
      </w:r>
    </w:p>
    <w:p w14:paraId="6FBA0B33" w14:textId="7A848386" w:rsidR="009F1105" w:rsidRDefault="009F1105" w:rsidP="009F1105">
      <w:pPr>
        <w:rPr>
          <w:rFonts w:asciiTheme="majorHAnsi" w:hAnsiTheme="majorHAnsi" w:cstheme="minorHAnsi"/>
          <w:lang w:val="en"/>
        </w:rPr>
      </w:pPr>
      <w:r w:rsidRPr="009F1105">
        <w:rPr>
          <w:rFonts w:asciiTheme="majorHAnsi" w:hAnsiTheme="majorHAnsi" w:cstheme="minorHAnsi"/>
          <w:lang w:val="en"/>
        </w:rPr>
        <w:t>Used vials, syringes, and materials should not be emptied and must be discarded into appropriate containers and disposed as a Medical Biohazardous Waste in accordance with local requirements.</w:t>
      </w:r>
    </w:p>
    <w:p w14:paraId="48B6994D" w14:textId="2023EEEC" w:rsidR="00A057E8" w:rsidRDefault="00A057E8" w:rsidP="009F1105">
      <w:pPr>
        <w:rPr>
          <w:rFonts w:asciiTheme="majorHAnsi" w:hAnsiTheme="majorHAnsi" w:cstheme="minorHAnsi"/>
          <w:lang w:val="en"/>
        </w:rPr>
      </w:pPr>
    </w:p>
    <w:p w14:paraId="1D91A64F" w14:textId="77777777" w:rsidR="00A057E8" w:rsidRDefault="00A057E8" w:rsidP="009F1105">
      <w:pPr>
        <w:rPr>
          <w:rFonts w:asciiTheme="majorHAnsi" w:hAnsiTheme="majorHAnsi" w:cstheme="minorHAnsi"/>
          <w:lang w:val="en"/>
        </w:rPr>
      </w:pPr>
    </w:p>
    <w:p w14:paraId="7F0B83FC" w14:textId="77777777" w:rsidR="001A3992" w:rsidRPr="00497C85" w:rsidRDefault="001A3992" w:rsidP="001A3992">
      <w:pPr>
        <w:pStyle w:val="Heading2"/>
        <w:spacing w:before="0" w:after="120"/>
        <w:rPr>
          <w:rFonts w:cstheme="minorHAnsi"/>
          <w:lang w:val="en-US"/>
        </w:rPr>
      </w:pPr>
      <w:r w:rsidRPr="00497C85">
        <w:rPr>
          <w:rFonts w:cstheme="minorHAnsi"/>
          <w:lang w:val="en-US"/>
        </w:rPr>
        <w:lastRenderedPageBreak/>
        <w:t>Physicochemical properties</w:t>
      </w:r>
    </w:p>
    <w:p w14:paraId="77D36277" w14:textId="339D6CB6" w:rsidR="001A3992" w:rsidRDefault="001A3992" w:rsidP="001A3992">
      <w:pPr>
        <w:pStyle w:val="Heading3"/>
        <w:spacing w:before="0" w:after="120"/>
        <w:rPr>
          <w:rFonts w:cstheme="minorHAnsi"/>
          <w:lang w:val="en-US"/>
        </w:rPr>
      </w:pPr>
      <w:r w:rsidRPr="00497C85">
        <w:rPr>
          <w:rFonts w:cstheme="minorHAnsi"/>
          <w:lang w:val="en-US"/>
        </w:rPr>
        <w:t>Chemical structure</w:t>
      </w:r>
    </w:p>
    <w:p w14:paraId="05860A56" w14:textId="0B588F3E" w:rsidR="004D70D5" w:rsidRPr="00AF7186" w:rsidRDefault="00AF7186" w:rsidP="004D70D5">
      <w:pPr>
        <w:rPr>
          <w:rFonts w:asciiTheme="majorHAnsi" w:hAnsiTheme="majorHAnsi"/>
          <w:lang w:val="en-US"/>
        </w:rPr>
      </w:pPr>
      <w:r>
        <w:rPr>
          <w:rFonts w:asciiTheme="majorHAnsi" w:hAnsiTheme="majorHAnsi"/>
          <w:lang w:val="en-US"/>
        </w:rPr>
        <w:t>NUCEIVA</w:t>
      </w:r>
      <w:r w:rsidRPr="00AF7186">
        <w:rPr>
          <w:rFonts w:asciiTheme="majorHAnsi" w:hAnsiTheme="majorHAnsi"/>
          <w:lang w:val="en-US"/>
        </w:rPr>
        <w:t xml:space="preserve"> is a 900 kDa botulinum toxin type A, produced from </w:t>
      </w:r>
      <w:r w:rsidRPr="002427D0">
        <w:rPr>
          <w:rFonts w:asciiTheme="majorHAnsi" w:hAnsiTheme="majorHAnsi"/>
          <w:lang w:val="en-US"/>
        </w:rPr>
        <w:t>fermentation of</w:t>
      </w:r>
      <w:r w:rsidRPr="00AF7186">
        <w:rPr>
          <w:rFonts w:asciiTheme="majorHAnsi" w:hAnsiTheme="majorHAnsi"/>
          <w:lang w:val="en-US"/>
        </w:rPr>
        <w:t xml:space="preserve"> </w:t>
      </w:r>
      <w:r w:rsidRPr="001E5356">
        <w:rPr>
          <w:rFonts w:asciiTheme="majorHAnsi" w:hAnsiTheme="majorHAnsi"/>
          <w:i/>
          <w:iCs/>
          <w:lang w:val="en-US"/>
        </w:rPr>
        <w:t>Clostridium botulinum</w:t>
      </w:r>
      <w:r w:rsidRPr="00AF7186">
        <w:rPr>
          <w:rFonts w:asciiTheme="majorHAnsi" w:hAnsiTheme="majorHAnsi"/>
          <w:lang w:val="en-US"/>
        </w:rPr>
        <w:t>.</w:t>
      </w:r>
      <w:r>
        <w:rPr>
          <w:rFonts w:asciiTheme="majorHAnsi" w:hAnsiTheme="majorHAnsi"/>
          <w:lang w:val="en-US"/>
        </w:rPr>
        <w:t xml:space="preserve"> </w:t>
      </w:r>
      <w:r w:rsidR="004D70D5" w:rsidRPr="00AF7186">
        <w:rPr>
          <w:rFonts w:asciiTheme="majorHAnsi" w:hAnsiTheme="majorHAnsi"/>
          <w:lang w:val="en-US"/>
        </w:rPr>
        <w:t xml:space="preserve">Each vial of </w:t>
      </w:r>
      <w:r w:rsidR="004D70D5">
        <w:rPr>
          <w:rFonts w:asciiTheme="majorHAnsi" w:hAnsiTheme="majorHAnsi"/>
          <w:lang w:val="en-US"/>
        </w:rPr>
        <w:t xml:space="preserve">NUCEIVA </w:t>
      </w:r>
      <w:r w:rsidR="004D70D5" w:rsidRPr="00AF7186">
        <w:rPr>
          <w:rFonts w:asciiTheme="majorHAnsi" w:hAnsiTheme="majorHAnsi"/>
          <w:lang w:val="en-US"/>
        </w:rPr>
        <w:t xml:space="preserve">contains 100 Units of </w:t>
      </w:r>
      <w:r w:rsidR="0096033C">
        <w:rPr>
          <w:rFonts w:asciiTheme="majorHAnsi" w:hAnsiTheme="majorHAnsi"/>
          <w:lang w:val="en-US"/>
        </w:rPr>
        <w:t>prabotulinumtoxin</w:t>
      </w:r>
      <w:r w:rsidR="004D70D5" w:rsidRPr="00AF7186">
        <w:rPr>
          <w:rFonts w:asciiTheme="majorHAnsi" w:hAnsiTheme="majorHAnsi"/>
          <w:lang w:val="en-US"/>
        </w:rPr>
        <w:t>A</w:t>
      </w:r>
      <w:r w:rsidR="003361F3">
        <w:rPr>
          <w:rFonts w:asciiTheme="majorHAnsi" w:hAnsiTheme="majorHAnsi"/>
          <w:lang w:val="en-US"/>
        </w:rPr>
        <w:t>,</w:t>
      </w:r>
      <w:r w:rsidR="004D70D5" w:rsidRPr="00AF7186">
        <w:rPr>
          <w:rFonts w:asciiTheme="majorHAnsi" w:hAnsiTheme="majorHAnsi"/>
          <w:lang w:val="en-US"/>
        </w:rPr>
        <w:t xml:space="preserve"> albumin (0.5 mg), and sodium chloride (0.9 mg) in a sterile, vacuum-dried form without a preservative.</w:t>
      </w:r>
    </w:p>
    <w:p w14:paraId="0132A217" w14:textId="3DAE54C8" w:rsidR="00AF7186" w:rsidRPr="00AF7186" w:rsidRDefault="00AF7186" w:rsidP="00AF7186">
      <w:pPr>
        <w:rPr>
          <w:rFonts w:asciiTheme="majorHAnsi" w:hAnsiTheme="majorHAnsi"/>
          <w:lang w:val="en-US"/>
        </w:rPr>
      </w:pPr>
      <w:r w:rsidRPr="00AF7186">
        <w:rPr>
          <w:rFonts w:asciiTheme="majorHAnsi" w:hAnsiTheme="majorHAnsi"/>
          <w:lang w:val="en-US"/>
        </w:rPr>
        <w:t xml:space="preserve">The primary release procedure for </w:t>
      </w:r>
      <w:r>
        <w:rPr>
          <w:rFonts w:asciiTheme="majorHAnsi" w:hAnsiTheme="majorHAnsi"/>
          <w:lang w:val="en-US"/>
        </w:rPr>
        <w:t xml:space="preserve">NUCEIVA </w:t>
      </w:r>
      <w:r w:rsidRPr="00AF7186">
        <w:rPr>
          <w:rFonts w:asciiTheme="majorHAnsi" w:hAnsiTheme="majorHAnsi"/>
          <w:lang w:val="en-US"/>
        </w:rPr>
        <w:t>uses an animal-based potency assay to determine the potency relative to a reference</w:t>
      </w:r>
      <w:r>
        <w:rPr>
          <w:rFonts w:asciiTheme="majorHAnsi" w:hAnsiTheme="majorHAnsi"/>
          <w:lang w:val="en-US"/>
        </w:rPr>
        <w:t xml:space="preserve"> </w:t>
      </w:r>
      <w:r w:rsidRPr="00AF7186">
        <w:rPr>
          <w:rFonts w:asciiTheme="majorHAnsi" w:hAnsiTheme="majorHAnsi"/>
          <w:lang w:val="en-US"/>
        </w:rPr>
        <w:t xml:space="preserve">standard. The assay is specific to </w:t>
      </w:r>
      <w:r>
        <w:rPr>
          <w:rFonts w:asciiTheme="majorHAnsi" w:hAnsiTheme="majorHAnsi"/>
          <w:lang w:val="en-US"/>
        </w:rPr>
        <w:t>NUCEIVA</w:t>
      </w:r>
      <w:r w:rsidRPr="00AF7186">
        <w:rPr>
          <w:rFonts w:asciiTheme="majorHAnsi" w:hAnsiTheme="majorHAnsi"/>
          <w:lang w:val="en-US"/>
        </w:rPr>
        <w:t xml:space="preserve">. One Unit of </w:t>
      </w:r>
      <w:r>
        <w:rPr>
          <w:rFonts w:asciiTheme="majorHAnsi" w:hAnsiTheme="majorHAnsi"/>
          <w:lang w:val="en-US"/>
        </w:rPr>
        <w:t>NUCEIVA</w:t>
      </w:r>
      <w:r w:rsidRPr="00AF7186">
        <w:rPr>
          <w:rFonts w:asciiTheme="majorHAnsi" w:hAnsiTheme="majorHAnsi"/>
          <w:lang w:val="en-US"/>
        </w:rPr>
        <w:t xml:space="preserve"> corresponds to the calculated median</w:t>
      </w:r>
      <w:r>
        <w:rPr>
          <w:rFonts w:asciiTheme="majorHAnsi" w:hAnsiTheme="majorHAnsi"/>
          <w:lang w:val="en-US"/>
        </w:rPr>
        <w:t xml:space="preserve"> </w:t>
      </w:r>
      <w:r w:rsidRPr="00AF7186">
        <w:rPr>
          <w:rFonts w:asciiTheme="majorHAnsi" w:hAnsiTheme="majorHAnsi"/>
          <w:lang w:val="en-US"/>
        </w:rPr>
        <w:t>intraperitoneal lethal dose (LD</w:t>
      </w:r>
      <w:r w:rsidRPr="00C94BAE">
        <w:rPr>
          <w:rFonts w:asciiTheme="majorHAnsi" w:hAnsiTheme="majorHAnsi"/>
          <w:vertAlign w:val="subscript"/>
          <w:lang w:val="en-US"/>
        </w:rPr>
        <w:t>50</w:t>
      </w:r>
      <w:r w:rsidRPr="00AF7186">
        <w:rPr>
          <w:rFonts w:asciiTheme="majorHAnsi" w:hAnsiTheme="majorHAnsi"/>
          <w:lang w:val="en-US"/>
        </w:rPr>
        <w:t xml:space="preserve">) in mice. Due to specific details of this assay, Units of biological activity of </w:t>
      </w:r>
      <w:r>
        <w:rPr>
          <w:rFonts w:asciiTheme="majorHAnsi" w:hAnsiTheme="majorHAnsi"/>
          <w:lang w:val="en-US"/>
        </w:rPr>
        <w:t>NUCEIVA</w:t>
      </w:r>
      <w:r w:rsidRPr="00AF7186">
        <w:rPr>
          <w:rFonts w:asciiTheme="majorHAnsi" w:hAnsiTheme="majorHAnsi"/>
          <w:lang w:val="en-US"/>
        </w:rPr>
        <w:t xml:space="preserve"> cannot be</w:t>
      </w:r>
      <w:r>
        <w:rPr>
          <w:rFonts w:asciiTheme="majorHAnsi" w:hAnsiTheme="majorHAnsi"/>
          <w:lang w:val="en-US"/>
        </w:rPr>
        <w:t xml:space="preserve"> </w:t>
      </w:r>
      <w:r w:rsidRPr="00AF7186">
        <w:rPr>
          <w:rFonts w:asciiTheme="majorHAnsi" w:hAnsiTheme="majorHAnsi"/>
          <w:lang w:val="en-US"/>
        </w:rPr>
        <w:t>converted into Units of any other botulinum toxin or any toxin assessed with any other specific assay method.</w:t>
      </w:r>
    </w:p>
    <w:p w14:paraId="03755C41" w14:textId="431EAE74" w:rsidR="001A3992" w:rsidRDefault="001A3992" w:rsidP="001A3992">
      <w:pPr>
        <w:pStyle w:val="Heading3"/>
        <w:spacing w:before="0" w:after="120"/>
        <w:rPr>
          <w:rFonts w:cstheme="minorHAnsi"/>
          <w:lang w:val="en-US"/>
        </w:rPr>
      </w:pPr>
      <w:r w:rsidRPr="00497C85">
        <w:rPr>
          <w:rFonts w:cstheme="minorHAnsi"/>
          <w:lang w:val="en-US"/>
        </w:rPr>
        <w:t>CAS number</w:t>
      </w:r>
    </w:p>
    <w:p w14:paraId="0B1782EB" w14:textId="138145F5" w:rsidR="009F1105" w:rsidRDefault="00980EA0" w:rsidP="009F1105">
      <w:pPr>
        <w:rPr>
          <w:rFonts w:asciiTheme="majorHAnsi" w:hAnsiTheme="majorHAnsi"/>
          <w:lang w:val="en-US"/>
        </w:rPr>
      </w:pPr>
      <w:r>
        <w:rPr>
          <w:rFonts w:asciiTheme="majorHAnsi" w:hAnsiTheme="majorHAnsi"/>
          <w:lang w:val="en-US"/>
        </w:rPr>
        <w:t>93384-43-1</w:t>
      </w:r>
    </w:p>
    <w:p w14:paraId="6165940E" w14:textId="77777777" w:rsidR="00F67618" w:rsidRPr="00AF7186" w:rsidRDefault="00F67618" w:rsidP="009F1105">
      <w:pPr>
        <w:rPr>
          <w:rFonts w:asciiTheme="majorHAnsi" w:hAnsiTheme="majorHAnsi"/>
          <w:lang w:val="en-US"/>
        </w:rPr>
      </w:pPr>
    </w:p>
    <w:p w14:paraId="4860E82E" w14:textId="1B4B16D2" w:rsidR="001A3992" w:rsidRDefault="001A3992" w:rsidP="001A3992">
      <w:pPr>
        <w:pStyle w:val="Heading1"/>
        <w:spacing w:before="0" w:after="120"/>
        <w:rPr>
          <w:rFonts w:cstheme="minorHAnsi"/>
          <w:lang w:val="en-US"/>
        </w:rPr>
      </w:pPr>
      <w:r w:rsidRPr="00497C85">
        <w:rPr>
          <w:rFonts w:cstheme="minorHAnsi"/>
          <w:lang w:val="en-US"/>
        </w:rPr>
        <w:t>Medicine schedule (Poisons Standard)</w:t>
      </w:r>
    </w:p>
    <w:p w14:paraId="5D477B50" w14:textId="22071DA3" w:rsidR="00447C95" w:rsidRDefault="00447C95" w:rsidP="00447C95">
      <w:pPr>
        <w:rPr>
          <w:rFonts w:asciiTheme="majorHAnsi" w:hAnsiTheme="majorHAnsi"/>
          <w:lang w:val="en-US"/>
        </w:rPr>
      </w:pPr>
      <w:r w:rsidRPr="00AF7186">
        <w:rPr>
          <w:rFonts w:asciiTheme="majorHAnsi" w:hAnsiTheme="majorHAnsi"/>
          <w:lang w:val="en-US"/>
        </w:rPr>
        <w:t>S4: Prescription Only Medicine</w:t>
      </w:r>
    </w:p>
    <w:p w14:paraId="0608B695" w14:textId="77777777" w:rsidR="00F67618" w:rsidRPr="00AF7186" w:rsidRDefault="00F67618" w:rsidP="00447C95">
      <w:pPr>
        <w:rPr>
          <w:rFonts w:asciiTheme="majorHAnsi" w:hAnsiTheme="majorHAnsi"/>
          <w:lang w:val="en-US"/>
        </w:rPr>
      </w:pPr>
    </w:p>
    <w:p w14:paraId="48B7F9E3" w14:textId="08E53550" w:rsidR="001A3992" w:rsidRDefault="001A3992" w:rsidP="001A3992">
      <w:pPr>
        <w:pStyle w:val="Heading1"/>
        <w:spacing w:before="0" w:after="120"/>
        <w:rPr>
          <w:rFonts w:cstheme="minorHAnsi"/>
          <w:lang w:val="en-US"/>
        </w:rPr>
      </w:pPr>
      <w:r w:rsidRPr="00497C85">
        <w:rPr>
          <w:rFonts w:cstheme="minorHAnsi"/>
          <w:lang w:val="en-US"/>
        </w:rPr>
        <w:t>Sponsor</w:t>
      </w:r>
    </w:p>
    <w:p w14:paraId="39D78F65" w14:textId="7360ED6F" w:rsidR="00C0726A" w:rsidRPr="00C0726A" w:rsidRDefault="00C0726A" w:rsidP="00C0726A">
      <w:pPr>
        <w:spacing w:after="0" w:line="240" w:lineRule="auto"/>
        <w:rPr>
          <w:rFonts w:asciiTheme="majorHAnsi" w:hAnsiTheme="majorHAnsi"/>
          <w:lang w:val="en-US"/>
        </w:rPr>
      </w:pPr>
      <w:r w:rsidRPr="00C0726A">
        <w:rPr>
          <w:rFonts w:asciiTheme="majorHAnsi" w:hAnsiTheme="majorHAnsi"/>
          <w:lang w:val="en-US"/>
        </w:rPr>
        <w:t>PPD Australia</w:t>
      </w:r>
      <w:r w:rsidR="00915903">
        <w:rPr>
          <w:rFonts w:asciiTheme="majorHAnsi" w:hAnsiTheme="majorHAnsi"/>
          <w:lang w:val="en-US"/>
        </w:rPr>
        <w:t xml:space="preserve"> Pty Ltd</w:t>
      </w:r>
    </w:p>
    <w:p w14:paraId="1DA4DEAD" w14:textId="77777777" w:rsidR="00C0726A" w:rsidRPr="00C0726A" w:rsidRDefault="00C0726A" w:rsidP="00C0726A">
      <w:pPr>
        <w:spacing w:after="0" w:line="240" w:lineRule="auto"/>
        <w:rPr>
          <w:rFonts w:asciiTheme="majorHAnsi" w:hAnsiTheme="majorHAnsi"/>
          <w:lang w:val="en-US"/>
        </w:rPr>
      </w:pPr>
      <w:r w:rsidRPr="00C0726A">
        <w:rPr>
          <w:rFonts w:asciiTheme="majorHAnsi" w:hAnsiTheme="majorHAnsi"/>
          <w:lang w:val="en-US"/>
        </w:rPr>
        <w:t xml:space="preserve">Level 5, 412 </w:t>
      </w:r>
    </w:p>
    <w:p w14:paraId="58FF432D" w14:textId="77777777" w:rsidR="00C0726A" w:rsidRPr="00C0726A" w:rsidRDefault="00C0726A" w:rsidP="00C0726A">
      <w:pPr>
        <w:spacing w:after="0" w:line="240" w:lineRule="auto"/>
        <w:rPr>
          <w:rFonts w:asciiTheme="majorHAnsi" w:hAnsiTheme="majorHAnsi"/>
          <w:lang w:val="en-US"/>
        </w:rPr>
      </w:pPr>
      <w:r w:rsidRPr="00C0726A">
        <w:rPr>
          <w:rFonts w:asciiTheme="majorHAnsi" w:hAnsiTheme="majorHAnsi"/>
          <w:lang w:val="en-US"/>
        </w:rPr>
        <w:t>St Kilda Road</w:t>
      </w:r>
    </w:p>
    <w:p w14:paraId="5460E1E8" w14:textId="175126BB" w:rsidR="00A6141F" w:rsidRDefault="00C0726A" w:rsidP="00A6141F">
      <w:pPr>
        <w:rPr>
          <w:rFonts w:asciiTheme="majorHAnsi" w:hAnsiTheme="majorHAnsi"/>
          <w:lang w:val="en-US"/>
        </w:rPr>
      </w:pPr>
      <w:r w:rsidRPr="00C0726A">
        <w:rPr>
          <w:rFonts w:asciiTheme="majorHAnsi" w:hAnsiTheme="majorHAnsi"/>
          <w:lang w:val="en-US"/>
        </w:rPr>
        <w:t>Melbourne AUSTRALIA</w:t>
      </w:r>
    </w:p>
    <w:p w14:paraId="1F479B0B" w14:textId="77777777" w:rsidR="00F67618" w:rsidRPr="00AF7186" w:rsidRDefault="00F67618" w:rsidP="00A6141F">
      <w:pPr>
        <w:rPr>
          <w:rFonts w:asciiTheme="majorHAnsi" w:hAnsiTheme="majorHAnsi"/>
          <w:lang w:val="en-US"/>
        </w:rPr>
      </w:pPr>
    </w:p>
    <w:p w14:paraId="54FA56C0" w14:textId="453517FE" w:rsidR="001A3992" w:rsidRDefault="001A3992" w:rsidP="001A3992">
      <w:pPr>
        <w:pStyle w:val="Heading1"/>
        <w:spacing w:before="0" w:after="120"/>
        <w:rPr>
          <w:rFonts w:cstheme="minorHAnsi"/>
          <w:lang w:val="en-US"/>
        </w:rPr>
      </w:pPr>
      <w:r w:rsidRPr="00497C85">
        <w:rPr>
          <w:rFonts w:cstheme="minorHAnsi"/>
          <w:lang w:val="en-US"/>
        </w:rPr>
        <w:t xml:space="preserve">Date of first approval </w:t>
      </w:r>
    </w:p>
    <w:p w14:paraId="20E653F3" w14:textId="286576FC" w:rsidR="00290FD6" w:rsidRPr="00A6141F" w:rsidRDefault="00A6141F" w:rsidP="00290FD6">
      <w:pPr>
        <w:rPr>
          <w:rFonts w:asciiTheme="majorHAnsi" w:hAnsiTheme="majorHAnsi"/>
          <w:lang w:val="en-US"/>
        </w:rPr>
      </w:pPr>
      <w:r w:rsidRPr="00A6141F">
        <w:rPr>
          <w:rFonts w:asciiTheme="majorHAnsi" w:hAnsiTheme="majorHAnsi"/>
          <w:lang w:val="en-US"/>
        </w:rPr>
        <w:t xml:space="preserve">13 </w:t>
      </w:r>
      <w:r w:rsidR="00290FD6" w:rsidRPr="00A6141F">
        <w:rPr>
          <w:rFonts w:asciiTheme="majorHAnsi" w:hAnsiTheme="majorHAnsi"/>
          <w:lang w:val="en-US"/>
        </w:rPr>
        <w:t>January 2023</w:t>
      </w:r>
    </w:p>
    <w:p w14:paraId="22DEE310" w14:textId="7A1BA664" w:rsidR="001A3992" w:rsidRPr="00497C85" w:rsidRDefault="001A3992" w:rsidP="001A3992">
      <w:pPr>
        <w:pStyle w:val="Heading1"/>
        <w:spacing w:before="0" w:after="120"/>
        <w:rPr>
          <w:rFonts w:cstheme="minorHAnsi"/>
          <w:lang w:val="en-US"/>
        </w:rPr>
      </w:pPr>
      <w:r w:rsidRPr="00497C85">
        <w:rPr>
          <w:rFonts w:cstheme="minorHAnsi"/>
          <w:lang w:val="en-US"/>
        </w:rPr>
        <w:t xml:space="preserve">Date of revision </w:t>
      </w:r>
    </w:p>
    <w:p w14:paraId="5BB99216" w14:textId="77777777" w:rsidR="001A3992" w:rsidRPr="00497C85" w:rsidRDefault="001A3992" w:rsidP="001A3992">
      <w:pPr>
        <w:pStyle w:val="Heading2"/>
        <w:numPr>
          <w:ilvl w:val="0"/>
          <w:numId w:val="0"/>
        </w:numPr>
        <w:spacing w:before="0" w:after="120"/>
        <w:rPr>
          <w:rFonts w:cstheme="minorHAnsi"/>
          <w:lang w:val="en-US"/>
        </w:rPr>
      </w:pPr>
      <w:r w:rsidRPr="00497C85">
        <w:rPr>
          <w:rFonts w:cstheme="minorHAnsi"/>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ED0937" w:rsidRPr="00497C85" w14:paraId="4DAC61FC" w14:textId="77777777" w:rsidTr="00213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79263573" w14:textId="77777777" w:rsidR="00ED0937" w:rsidRPr="00497C85" w:rsidRDefault="00ED0937" w:rsidP="0021319F">
            <w:pPr>
              <w:rPr>
                <w:rFonts w:cstheme="minorHAnsi"/>
                <w:sz w:val="20"/>
                <w:lang w:val="en-US"/>
              </w:rPr>
            </w:pPr>
            <w:r w:rsidRPr="00497C85">
              <w:rPr>
                <w:rFonts w:cstheme="minorHAnsi"/>
                <w:sz w:val="20"/>
                <w:lang w:val="en-US"/>
              </w:rPr>
              <w:t>Section Changed</w:t>
            </w:r>
          </w:p>
        </w:tc>
        <w:tc>
          <w:tcPr>
            <w:tcW w:w="7858" w:type="dxa"/>
            <w:shd w:val="clear" w:color="auto" w:fill="F2F2F2" w:themeFill="background1" w:themeFillShade="F2"/>
            <w:vAlign w:val="center"/>
          </w:tcPr>
          <w:p w14:paraId="49DD665A" w14:textId="77777777" w:rsidR="00ED0937" w:rsidRPr="00497C85" w:rsidRDefault="00ED0937" w:rsidP="0021319F">
            <w:pPr>
              <w:cnfStyle w:val="100000000000" w:firstRow="1" w:lastRow="0" w:firstColumn="0" w:lastColumn="0" w:oddVBand="0" w:evenVBand="0" w:oddHBand="0" w:evenHBand="0" w:firstRowFirstColumn="0" w:firstRowLastColumn="0" w:lastRowFirstColumn="0" w:lastRowLastColumn="0"/>
              <w:rPr>
                <w:rFonts w:cstheme="minorHAnsi"/>
                <w:sz w:val="20"/>
                <w:lang w:val="en-US"/>
              </w:rPr>
            </w:pPr>
            <w:r w:rsidRPr="00497C85">
              <w:rPr>
                <w:rFonts w:cstheme="minorHAnsi"/>
                <w:sz w:val="20"/>
                <w:lang w:val="en-US"/>
              </w:rPr>
              <w:t>Summary of new information</w:t>
            </w:r>
          </w:p>
        </w:tc>
      </w:tr>
      <w:tr w:rsidR="00ED0937" w:rsidRPr="00497C85" w14:paraId="61DE9361" w14:textId="77777777" w:rsidTr="0021319F">
        <w:tc>
          <w:tcPr>
            <w:cnfStyle w:val="001000000000" w:firstRow="0" w:lastRow="0" w:firstColumn="1" w:lastColumn="0" w:oddVBand="0" w:evenVBand="0" w:oddHBand="0" w:evenHBand="0" w:firstRowFirstColumn="0" w:firstRowLastColumn="0" w:lastRowFirstColumn="0" w:lastRowLastColumn="0"/>
            <w:tcW w:w="1384" w:type="dxa"/>
            <w:vAlign w:val="center"/>
          </w:tcPr>
          <w:p w14:paraId="6937F1D6" w14:textId="04483740" w:rsidR="00ED0937" w:rsidRPr="00497C85" w:rsidRDefault="0056768D" w:rsidP="0021319F">
            <w:pPr>
              <w:rPr>
                <w:rFonts w:cstheme="minorHAnsi"/>
                <w:lang w:val="en-US"/>
              </w:rPr>
            </w:pPr>
            <w:r>
              <w:rPr>
                <w:rFonts w:cstheme="minorHAnsi"/>
                <w:lang w:val="en-US"/>
              </w:rPr>
              <w:t xml:space="preserve">All </w:t>
            </w:r>
          </w:p>
        </w:tc>
        <w:tc>
          <w:tcPr>
            <w:tcW w:w="7858" w:type="dxa"/>
            <w:vAlign w:val="center"/>
          </w:tcPr>
          <w:p w14:paraId="22459129" w14:textId="1AC21AF2" w:rsidR="00ED0937" w:rsidRPr="00497C85" w:rsidRDefault="0056768D" w:rsidP="00213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r>
              <w:rPr>
                <w:rFonts w:asciiTheme="majorHAnsi" w:hAnsiTheme="majorHAnsi" w:cstheme="minorHAnsi"/>
                <w:lang w:val="en-US"/>
              </w:rPr>
              <w:t xml:space="preserve">New Product Information </w:t>
            </w:r>
          </w:p>
        </w:tc>
      </w:tr>
      <w:tr w:rsidR="00ED0937" w:rsidRPr="00497C85" w14:paraId="61C3A45F" w14:textId="77777777" w:rsidTr="0021319F">
        <w:tc>
          <w:tcPr>
            <w:cnfStyle w:val="001000000000" w:firstRow="0" w:lastRow="0" w:firstColumn="1" w:lastColumn="0" w:oddVBand="0" w:evenVBand="0" w:oddHBand="0" w:evenHBand="0" w:firstRowFirstColumn="0" w:firstRowLastColumn="0" w:lastRowFirstColumn="0" w:lastRowLastColumn="0"/>
            <w:tcW w:w="1384" w:type="dxa"/>
            <w:vAlign w:val="center"/>
          </w:tcPr>
          <w:p w14:paraId="32C8E700" w14:textId="77777777" w:rsidR="00ED0937" w:rsidRPr="00497C85" w:rsidRDefault="00ED0937" w:rsidP="0021319F">
            <w:pPr>
              <w:rPr>
                <w:rFonts w:cstheme="minorHAnsi"/>
                <w:lang w:val="en-US"/>
              </w:rPr>
            </w:pPr>
          </w:p>
        </w:tc>
        <w:tc>
          <w:tcPr>
            <w:tcW w:w="7858" w:type="dxa"/>
            <w:vAlign w:val="center"/>
          </w:tcPr>
          <w:p w14:paraId="6052C104" w14:textId="77777777" w:rsidR="00ED0937" w:rsidRPr="00497C85" w:rsidRDefault="00ED0937" w:rsidP="00213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r w:rsidR="00ED0937" w:rsidRPr="00497C85" w14:paraId="6D6E9B67" w14:textId="77777777" w:rsidTr="0021319F">
        <w:tc>
          <w:tcPr>
            <w:cnfStyle w:val="001000000000" w:firstRow="0" w:lastRow="0" w:firstColumn="1" w:lastColumn="0" w:oddVBand="0" w:evenVBand="0" w:oddHBand="0" w:evenHBand="0" w:firstRowFirstColumn="0" w:firstRowLastColumn="0" w:lastRowFirstColumn="0" w:lastRowLastColumn="0"/>
            <w:tcW w:w="1384" w:type="dxa"/>
            <w:vAlign w:val="center"/>
          </w:tcPr>
          <w:p w14:paraId="2985BC43" w14:textId="77777777" w:rsidR="00ED0937" w:rsidRPr="00497C85" w:rsidRDefault="00ED0937" w:rsidP="0021319F">
            <w:pPr>
              <w:rPr>
                <w:rFonts w:cstheme="minorHAnsi"/>
                <w:lang w:val="en-US"/>
              </w:rPr>
            </w:pPr>
          </w:p>
        </w:tc>
        <w:tc>
          <w:tcPr>
            <w:tcW w:w="7858" w:type="dxa"/>
            <w:vAlign w:val="center"/>
          </w:tcPr>
          <w:p w14:paraId="0A941176" w14:textId="77777777" w:rsidR="00ED0937" w:rsidRPr="00497C85" w:rsidRDefault="00ED0937" w:rsidP="0021319F">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lang w:val="en-US"/>
              </w:rPr>
            </w:pPr>
          </w:p>
        </w:tc>
      </w:tr>
    </w:tbl>
    <w:p w14:paraId="086EB460" w14:textId="5B5064B4" w:rsidR="005959C3" w:rsidRPr="00A6141F" w:rsidRDefault="005959C3" w:rsidP="00A6141F">
      <w:pPr>
        <w:spacing w:after="120"/>
        <w:jc w:val="right"/>
        <w:rPr>
          <w:rFonts w:asciiTheme="majorHAnsi" w:hAnsiTheme="majorHAnsi" w:cstheme="minorHAnsi"/>
          <w:strike/>
          <w:sz w:val="18"/>
          <w:szCs w:val="18"/>
        </w:rPr>
      </w:pPr>
    </w:p>
    <w:sectPr w:rsidR="005959C3" w:rsidRPr="00A6141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9533" w14:textId="77777777" w:rsidR="004D4756" w:rsidRDefault="004D4756" w:rsidP="001A3992">
      <w:pPr>
        <w:spacing w:after="0" w:line="240" w:lineRule="auto"/>
      </w:pPr>
      <w:r>
        <w:separator/>
      </w:r>
    </w:p>
  </w:endnote>
  <w:endnote w:type="continuationSeparator" w:id="0">
    <w:p w14:paraId="4A51793C" w14:textId="77777777" w:rsidR="004D4756" w:rsidRDefault="004D4756" w:rsidP="001A3992">
      <w:pPr>
        <w:spacing w:after="0" w:line="240" w:lineRule="auto"/>
      </w:pPr>
      <w:r>
        <w:continuationSeparator/>
      </w:r>
    </w:p>
  </w:endnote>
  <w:endnote w:type="continuationNotice" w:id="1">
    <w:p w14:paraId="76D58030" w14:textId="77777777" w:rsidR="004D4756" w:rsidRDefault="004D47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sz w:val="20"/>
      </w:rPr>
    </w:sdtEndPr>
    <w:sdtContent>
      <w:p w14:paraId="52E3B700" w14:textId="77777777" w:rsidR="00B8074A" w:rsidRPr="00B8074A" w:rsidRDefault="00431ACD" w:rsidP="00B8074A">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sidR="00677840">
          <w:rPr>
            <w:noProof/>
            <w:sz w:val="20"/>
          </w:rPr>
          <w:t>2</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DDA2" w14:textId="77777777" w:rsidR="004D4756" w:rsidRDefault="004D4756" w:rsidP="001A3992">
      <w:pPr>
        <w:spacing w:after="0" w:line="240" w:lineRule="auto"/>
      </w:pPr>
      <w:r>
        <w:separator/>
      </w:r>
    </w:p>
  </w:footnote>
  <w:footnote w:type="continuationSeparator" w:id="0">
    <w:p w14:paraId="0F6B2E3C" w14:textId="77777777" w:rsidR="004D4756" w:rsidRDefault="004D4756" w:rsidP="001A3992">
      <w:pPr>
        <w:spacing w:after="0" w:line="240" w:lineRule="auto"/>
      </w:pPr>
      <w:r>
        <w:continuationSeparator/>
      </w:r>
    </w:p>
  </w:footnote>
  <w:footnote w:type="continuationNotice" w:id="1">
    <w:p w14:paraId="36E04B2C" w14:textId="77777777" w:rsidR="004D4756" w:rsidRDefault="004D47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EC2BB6" w:rsidRPr="000B2145" w14:paraId="6D9C0F74" w14:textId="77777777" w:rsidTr="00CF63A4">
      <w:trPr>
        <w:trHeight w:val="1012"/>
      </w:trPr>
      <w:tc>
        <w:tcPr>
          <w:tcW w:w="9039" w:type="dxa"/>
          <w:shd w:val="clear" w:color="auto" w:fill="E4F2E0"/>
        </w:tcPr>
        <w:p w14:paraId="3BF2D32C" w14:textId="77777777" w:rsidR="00EC2BB6" w:rsidRPr="000E4791" w:rsidRDefault="00EC2BB6" w:rsidP="00EC2BB6">
          <w:pPr>
            <w:pStyle w:val="Footer"/>
            <w:rPr>
              <w:b/>
              <w:sz w:val="18"/>
              <w:szCs w:val="18"/>
            </w:rPr>
          </w:pPr>
          <w:r w:rsidRPr="00EE2A41">
            <w:rPr>
              <w:b/>
              <w:sz w:val="18"/>
              <w:szCs w:val="18"/>
            </w:rPr>
            <w:t xml:space="preserve">Attachment </w:t>
          </w:r>
          <w:proofErr w:type="spellStart"/>
          <w:r w:rsidRPr="00482FFF">
            <w:rPr>
              <w:b/>
              <w:sz w:val="18"/>
              <w:szCs w:val="18"/>
            </w:rPr>
            <w:t>AusPAR</w:t>
          </w:r>
          <w:proofErr w:type="spellEnd"/>
          <w:r w:rsidRPr="00482FFF">
            <w:rPr>
              <w:b/>
              <w:sz w:val="18"/>
              <w:szCs w:val="18"/>
            </w:rPr>
            <w:t xml:space="preserve"> </w:t>
          </w:r>
          <w:r>
            <w:rPr>
              <w:b/>
              <w:sz w:val="18"/>
              <w:szCs w:val="18"/>
            </w:rPr>
            <w:t>–</w:t>
          </w:r>
          <w:r w:rsidRPr="00482FFF">
            <w:rPr>
              <w:b/>
              <w:sz w:val="18"/>
              <w:szCs w:val="18"/>
            </w:rPr>
            <w:t xml:space="preserve"> </w:t>
          </w:r>
          <w:proofErr w:type="spellStart"/>
          <w:r w:rsidRPr="00C74B46">
            <w:rPr>
              <w:b/>
              <w:sz w:val="18"/>
              <w:szCs w:val="18"/>
            </w:rPr>
            <w:t>Nuceiva</w:t>
          </w:r>
          <w:proofErr w:type="spellEnd"/>
          <w:r w:rsidRPr="00C74B46">
            <w:rPr>
              <w:b/>
              <w:sz w:val="18"/>
              <w:szCs w:val="18"/>
            </w:rPr>
            <w:t xml:space="preserve"> </w:t>
          </w:r>
          <w:r>
            <w:rPr>
              <w:b/>
              <w:sz w:val="18"/>
              <w:szCs w:val="18"/>
            </w:rPr>
            <w:t>–</w:t>
          </w:r>
          <w:r w:rsidRPr="00482FFF">
            <w:rPr>
              <w:b/>
              <w:sz w:val="18"/>
              <w:szCs w:val="18"/>
            </w:rPr>
            <w:t xml:space="preserve"> </w:t>
          </w:r>
          <w:proofErr w:type="spellStart"/>
          <w:r w:rsidRPr="00C74B46">
            <w:rPr>
              <w:b/>
              <w:sz w:val="18"/>
              <w:szCs w:val="18"/>
            </w:rPr>
            <w:t>PrabotulinumtoxinA</w:t>
          </w:r>
          <w:proofErr w:type="spellEnd"/>
          <w:r w:rsidRPr="00C74B46">
            <w:rPr>
              <w:b/>
              <w:sz w:val="18"/>
              <w:szCs w:val="18"/>
            </w:rPr>
            <w:t xml:space="preserve"> </w:t>
          </w:r>
          <w:r>
            <w:rPr>
              <w:b/>
              <w:sz w:val="18"/>
              <w:szCs w:val="18"/>
            </w:rPr>
            <w:t>–</w:t>
          </w:r>
          <w:r w:rsidRPr="00482FFF">
            <w:rPr>
              <w:b/>
              <w:sz w:val="18"/>
              <w:szCs w:val="18"/>
            </w:rPr>
            <w:t xml:space="preserve"> </w:t>
          </w:r>
          <w:r w:rsidRPr="00C74B46">
            <w:rPr>
              <w:b/>
              <w:sz w:val="18"/>
              <w:szCs w:val="18"/>
            </w:rPr>
            <w:t>PPD Australia Pty Ltd</w:t>
          </w:r>
          <w:r>
            <w:rPr>
              <w:b/>
              <w:sz w:val="18"/>
              <w:szCs w:val="18"/>
            </w:rPr>
            <w:t xml:space="preserve"> </w:t>
          </w:r>
          <w:r w:rsidRPr="00482FFF">
            <w:rPr>
              <w:b/>
              <w:sz w:val="18"/>
              <w:szCs w:val="18"/>
            </w:rPr>
            <w:t xml:space="preserve">- </w:t>
          </w:r>
          <w:r w:rsidRPr="00C74B46">
            <w:rPr>
              <w:b/>
              <w:sz w:val="18"/>
              <w:szCs w:val="18"/>
            </w:rPr>
            <w:t>PM-2021-05441-1-1</w:t>
          </w:r>
          <w:r w:rsidRPr="00482FFF">
            <w:rPr>
              <w:b/>
              <w:sz w:val="18"/>
              <w:szCs w:val="18"/>
            </w:rPr>
            <w:t>-</w:t>
          </w:r>
          <w:r>
            <w:rPr>
              <w:b/>
              <w:sz w:val="18"/>
              <w:szCs w:val="18"/>
            </w:rPr>
            <w:t xml:space="preserve"> </w:t>
          </w:r>
          <w:r w:rsidRPr="00482FFF">
            <w:rPr>
              <w:b/>
              <w:sz w:val="18"/>
              <w:szCs w:val="18"/>
            </w:rPr>
            <w:t xml:space="preserve">FINAL </w:t>
          </w:r>
          <w:r w:rsidRPr="00C74B46">
            <w:rPr>
              <w:b/>
              <w:sz w:val="18"/>
              <w:szCs w:val="18"/>
            </w:rPr>
            <w:t xml:space="preserve">19 September </w:t>
          </w:r>
          <w:r w:rsidRPr="00482FFF">
            <w:rPr>
              <w:b/>
              <w:sz w:val="18"/>
              <w:szCs w:val="18"/>
            </w:rPr>
            <w:t>2023</w:t>
          </w:r>
          <w:r>
            <w:rPr>
              <w:b/>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rFonts w:eastAsiaTheme="majorEastAsia"/>
                <w:sz w:val="18"/>
                <w:szCs w:val="18"/>
              </w:rPr>
              <w:t>https://www.tga.gov.au/product-information-pi</w:t>
            </w:r>
          </w:hyperlink>
          <w:r w:rsidRPr="000E4791">
            <w:rPr>
              <w:b/>
              <w:sz w:val="18"/>
              <w:szCs w:val="18"/>
              <w:u w:val="single"/>
            </w:rPr>
            <w:t>&gt;</w:t>
          </w:r>
        </w:p>
      </w:tc>
    </w:tr>
  </w:tbl>
  <w:p w14:paraId="11AA15C7" w14:textId="77777777" w:rsidR="00EC2BB6" w:rsidRDefault="00EC2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C927FE"/>
    <w:multiLevelType w:val="hybridMultilevel"/>
    <w:tmpl w:val="1044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15F4E"/>
    <w:multiLevelType w:val="hybridMultilevel"/>
    <w:tmpl w:val="F35A8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871728"/>
    <w:multiLevelType w:val="hybridMultilevel"/>
    <w:tmpl w:val="2308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4B6C8B"/>
    <w:multiLevelType w:val="hybridMultilevel"/>
    <w:tmpl w:val="E3B8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F66EFB"/>
    <w:multiLevelType w:val="hybridMultilevel"/>
    <w:tmpl w:val="A892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6283577">
    <w:abstractNumId w:val="11"/>
  </w:num>
  <w:num w:numId="2" w16cid:durableId="1094126684">
    <w:abstractNumId w:val="1"/>
  </w:num>
  <w:num w:numId="3" w16cid:durableId="2100984920">
    <w:abstractNumId w:val="0"/>
  </w:num>
  <w:num w:numId="4" w16cid:durableId="1790775724">
    <w:abstractNumId w:val="6"/>
  </w:num>
  <w:num w:numId="5" w16cid:durableId="627010855">
    <w:abstractNumId w:val="14"/>
  </w:num>
  <w:num w:numId="6" w16cid:durableId="514660402">
    <w:abstractNumId w:val="12"/>
  </w:num>
  <w:num w:numId="7" w16cid:durableId="1625889944">
    <w:abstractNumId w:val="8"/>
  </w:num>
  <w:num w:numId="8" w16cid:durableId="1899783591">
    <w:abstractNumId w:val="13"/>
  </w:num>
  <w:num w:numId="9" w16cid:durableId="1954284372">
    <w:abstractNumId w:val="4"/>
  </w:num>
  <w:num w:numId="10" w16cid:durableId="139856315">
    <w:abstractNumId w:val="7"/>
  </w:num>
  <w:num w:numId="11" w16cid:durableId="1935284592">
    <w:abstractNumId w:val="5"/>
  </w:num>
  <w:num w:numId="12" w16cid:durableId="959920348">
    <w:abstractNumId w:val="3"/>
  </w:num>
  <w:num w:numId="13" w16cid:durableId="1499034758">
    <w:abstractNumId w:val="10"/>
  </w:num>
  <w:num w:numId="14" w16cid:durableId="1313558230">
    <w:abstractNumId w:val="2"/>
  </w:num>
  <w:num w:numId="15" w16cid:durableId="1202211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6C9"/>
    <w:rsid w:val="00003117"/>
    <w:rsid w:val="000032A2"/>
    <w:rsid w:val="000032F8"/>
    <w:rsid w:val="00004EFC"/>
    <w:rsid w:val="00005F68"/>
    <w:rsid w:val="000115B8"/>
    <w:rsid w:val="00012DDF"/>
    <w:rsid w:val="00015004"/>
    <w:rsid w:val="0002117A"/>
    <w:rsid w:val="0002453B"/>
    <w:rsid w:val="0002762D"/>
    <w:rsid w:val="00037F50"/>
    <w:rsid w:val="000403DE"/>
    <w:rsid w:val="00041005"/>
    <w:rsid w:val="00041A92"/>
    <w:rsid w:val="00043748"/>
    <w:rsid w:val="00043A7C"/>
    <w:rsid w:val="00043D16"/>
    <w:rsid w:val="00047B21"/>
    <w:rsid w:val="00051652"/>
    <w:rsid w:val="000532D4"/>
    <w:rsid w:val="0006729E"/>
    <w:rsid w:val="000762CA"/>
    <w:rsid w:val="00080794"/>
    <w:rsid w:val="00081504"/>
    <w:rsid w:val="00086DF7"/>
    <w:rsid w:val="00086E51"/>
    <w:rsid w:val="000959CA"/>
    <w:rsid w:val="000A0EC4"/>
    <w:rsid w:val="000A1E35"/>
    <w:rsid w:val="000A4606"/>
    <w:rsid w:val="000B0942"/>
    <w:rsid w:val="000B1942"/>
    <w:rsid w:val="000C21EC"/>
    <w:rsid w:val="000C308B"/>
    <w:rsid w:val="000D5AC9"/>
    <w:rsid w:val="000D6F9E"/>
    <w:rsid w:val="000E0209"/>
    <w:rsid w:val="000E29AE"/>
    <w:rsid w:val="000E33FC"/>
    <w:rsid w:val="000E36D9"/>
    <w:rsid w:val="000E43E4"/>
    <w:rsid w:val="000F0FD0"/>
    <w:rsid w:val="000F2C71"/>
    <w:rsid w:val="000F39C8"/>
    <w:rsid w:val="000F73FC"/>
    <w:rsid w:val="001015AA"/>
    <w:rsid w:val="001023B8"/>
    <w:rsid w:val="0010276D"/>
    <w:rsid w:val="00107F19"/>
    <w:rsid w:val="001206A6"/>
    <w:rsid w:val="00125639"/>
    <w:rsid w:val="00125B53"/>
    <w:rsid w:val="00134517"/>
    <w:rsid w:val="001345C3"/>
    <w:rsid w:val="00135F80"/>
    <w:rsid w:val="00146CDE"/>
    <w:rsid w:val="00153007"/>
    <w:rsid w:val="0015363C"/>
    <w:rsid w:val="00165E2F"/>
    <w:rsid w:val="00182682"/>
    <w:rsid w:val="00185E43"/>
    <w:rsid w:val="0018661F"/>
    <w:rsid w:val="00194C74"/>
    <w:rsid w:val="001A3992"/>
    <w:rsid w:val="001A42A4"/>
    <w:rsid w:val="001B5B74"/>
    <w:rsid w:val="001C33BF"/>
    <w:rsid w:val="001C40EC"/>
    <w:rsid w:val="001C432F"/>
    <w:rsid w:val="001C574C"/>
    <w:rsid w:val="001D249C"/>
    <w:rsid w:val="001D71A2"/>
    <w:rsid w:val="001E0985"/>
    <w:rsid w:val="001E5356"/>
    <w:rsid w:val="001F071F"/>
    <w:rsid w:val="001F56BE"/>
    <w:rsid w:val="001F5F1C"/>
    <w:rsid w:val="001F6C9D"/>
    <w:rsid w:val="001F7797"/>
    <w:rsid w:val="002000FD"/>
    <w:rsid w:val="00202017"/>
    <w:rsid w:val="00205B30"/>
    <w:rsid w:val="00211CE2"/>
    <w:rsid w:val="00212840"/>
    <w:rsid w:val="0021701D"/>
    <w:rsid w:val="00226AC3"/>
    <w:rsid w:val="002330AE"/>
    <w:rsid w:val="002375EF"/>
    <w:rsid w:val="00240F5C"/>
    <w:rsid w:val="00241C31"/>
    <w:rsid w:val="002427D0"/>
    <w:rsid w:val="00243214"/>
    <w:rsid w:val="00251559"/>
    <w:rsid w:val="00254D57"/>
    <w:rsid w:val="00256B14"/>
    <w:rsid w:val="002579F8"/>
    <w:rsid w:val="00277F33"/>
    <w:rsid w:val="00281848"/>
    <w:rsid w:val="00283175"/>
    <w:rsid w:val="002832FC"/>
    <w:rsid w:val="00283A87"/>
    <w:rsid w:val="0028721A"/>
    <w:rsid w:val="00290FD6"/>
    <w:rsid w:val="00293A8E"/>
    <w:rsid w:val="00297ADA"/>
    <w:rsid w:val="002A2708"/>
    <w:rsid w:val="002A47DD"/>
    <w:rsid w:val="002A6FE1"/>
    <w:rsid w:val="002A7D61"/>
    <w:rsid w:val="002B1C2D"/>
    <w:rsid w:val="002B25D6"/>
    <w:rsid w:val="002B3321"/>
    <w:rsid w:val="002B3CCA"/>
    <w:rsid w:val="002B424E"/>
    <w:rsid w:val="002B4ADF"/>
    <w:rsid w:val="002C774A"/>
    <w:rsid w:val="002D2DFD"/>
    <w:rsid w:val="002E0F77"/>
    <w:rsid w:val="002E1724"/>
    <w:rsid w:val="002E237F"/>
    <w:rsid w:val="002E277D"/>
    <w:rsid w:val="002F0C12"/>
    <w:rsid w:val="002F0C99"/>
    <w:rsid w:val="002F25A4"/>
    <w:rsid w:val="002F55AE"/>
    <w:rsid w:val="002F7D2A"/>
    <w:rsid w:val="003065C8"/>
    <w:rsid w:val="00315BD7"/>
    <w:rsid w:val="00317C0C"/>
    <w:rsid w:val="00323E55"/>
    <w:rsid w:val="003310E1"/>
    <w:rsid w:val="003349F8"/>
    <w:rsid w:val="003361F3"/>
    <w:rsid w:val="0036340F"/>
    <w:rsid w:val="00376599"/>
    <w:rsid w:val="00386594"/>
    <w:rsid w:val="003870B9"/>
    <w:rsid w:val="0039355D"/>
    <w:rsid w:val="003A0A36"/>
    <w:rsid w:val="003A4D50"/>
    <w:rsid w:val="003A67AC"/>
    <w:rsid w:val="003B3E75"/>
    <w:rsid w:val="003B6647"/>
    <w:rsid w:val="003C4AD5"/>
    <w:rsid w:val="003E2FD6"/>
    <w:rsid w:val="003E766F"/>
    <w:rsid w:val="003F3171"/>
    <w:rsid w:val="003F5780"/>
    <w:rsid w:val="003F5BF2"/>
    <w:rsid w:val="00402B58"/>
    <w:rsid w:val="004032BD"/>
    <w:rsid w:val="00406254"/>
    <w:rsid w:val="004109B9"/>
    <w:rsid w:val="00412D6F"/>
    <w:rsid w:val="004148FB"/>
    <w:rsid w:val="00423CCC"/>
    <w:rsid w:val="004253F4"/>
    <w:rsid w:val="004307C9"/>
    <w:rsid w:val="00431ACD"/>
    <w:rsid w:val="00436CFF"/>
    <w:rsid w:val="00436D13"/>
    <w:rsid w:val="004406D4"/>
    <w:rsid w:val="00443459"/>
    <w:rsid w:val="00447C95"/>
    <w:rsid w:val="00455BF6"/>
    <w:rsid w:val="00463EFB"/>
    <w:rsid w:val="00465580"/>
    <w:rsid w:val="00467A9D"/>
    <w:rsid w:val="00473801"/>
    <w:rsid w:val="00474738"/>
    <w:rsid w:val="0047508B"/>
    <w:rsid w:val="004822BA"/>
    <w:rsid w:val="004857BC"/>
    <w:rsid w:val="004911F2"/>
    <w:rsid w:val="004945BC"/>
    <w:rsid w:val="0049469D"/>
    <w:rsid w:val="00496CE2"/>
    <w:rsid w:val="00497C85"/>
    <w:rsid w:val="004A030E"/>
    <w:rsid w:val="004A4ED2"/>
    <w:rsid w:val="004B213E"/>
    <w:rsid w:val="004B4860"/>
    <w:rsid w:val="004B628E"/>
    <w:rsid w:val="004C3147"/>
    <w:rsid w:val="004C36C9"/>
    <w:rsid w:val="004C5A68"/>
    <w:rsid w:val="004C5A84"/>
    <w:rsid w:val="004C69BB"/>
    <w:rsid w:val="004D4756"/>
    <w:rsid w:val="004D70D5"/>
    <w:rsid w:val="004F108E"/>
    <w:rsid w:val="004F715D"/>
    <w:rsid w:val="005007D4"/>
    <w:rsid w:val="005041AF"/>
    <w:rsid w:val="00512BA0"/>
    <w:rsid w:val="00520FD9"/>
    <w:rsid w:val="00522B55"/>
    <w:rsid w:val="005239A1"/>
    <w:rsid w:val="00526D10"/>
    <w:rsid w:val="00527287"/>
    <w:rsid w:val="00527DD2"/>
    <w:rsid w:val="00536605"/>
    <w:rsid w:val="00537866"/>
    <w:rsid w:val="0054176F"/>
    <w:rsid w:val="0054225F"/>
    <w:rsid w:val="00543C2B"/>
    <w:rsid w:val="005440F5"/>
    <w:rsid w:val="005553DF"/>
    <w:rsid w:val="00555C87"/>
    <w:rsid w:val="0056065A"/>
    <w:rsid w:val="0056768D"/>
    <w:rsid w:val="00567715"/>
    <w:rsid w:val="005729B8"/>
    <w:rsid w:val="00573F54"/>
    <w:rsid w:val="00577924"/>
    <w:rsid w:val="00582BFC"/>
    <w:rsid w:val="00587408"/>
    <w:rsid w:val="00591539"/>
    <w:rsid w:val="00591F35"/>
    <w:rsid w:val="00592F08"/>
    <w:rsid w:val="00593DD8"/>
    <w:rsid w:val="005959C3"/>
    <w:rsid w:val="005A531E"/>
    <w:rsid w:val="005B4137"/>
    <w:rsid w:val="005B75E0"/>
    <w:rsid w:val="005B7CAD"/>
    <w:rsid w:val="005C7842"/>
    <w:rsid w:val="005D5D0D"/>
    <w:rsid w:val="005D79CE"/>
    <w:rsid w:val="005E5A54"/>
    <w:rsid w:val="005E7FA7"/>
    <w:rsid w:val="005F10A5"/>
    <w:rsid w:val="005F4186"/>
    <w:rsid w:val="005F583A"/>
    <w:rsid w:val="0060496C"/>
    <w:rsid w:val="006229A7"/>
    <w:rsid w:val="00623560"/>
    <w:rsid w:val="00625324"/>
    <w:rsid w:val="00625C87"/>
    <w:rsid w:val="006308AF"/>
    <w:rsid w:val="00633577"/>
    <w:rsid w:val="00634486"/>
    <w:rsid w:val="00641894"/>
    <w:rsid w:val="00642D30"/>
    <w:rsid w:val="006453D8"/>
    <w:rsid w:val="006508EC"/>
    <w:rsid w:val="0065408C"/>
    <w:rsid w:val="00666E9E"/>
    <w:rsid w:val="00667463"/>
    <w:rsid w:val="00673D95"/>
    <w:rsid w:val="0067554D"/>
    <w:rsid w:val="00677840"/>
    <w:rsid w:val="006847AA"/>
    <w:rsid w:val="006852A9"/>
    <w:rsid w:val="00685B8C"/>
    <w:rsid w:val="006A1CEB"/>
    <w:rsid w:val="006A1FC4"/>
    <w:rsid w:val="006B1246"/>
    <w:rsid w:val="006B3E6A"/>
    <w:rsid w:val="006B4125"/>
    <w:rsid w:val="006B6ADA"/>
    <w:rsid w:val="006B6C8D"/>
    <w:rsid w:val="006C2972"/>
    <w:rsid w:val="006C51A8"/>
    <w:rsid w:val="006C7115"/>
    <w:rsid w:val="006D015B"/>
    <w:rsid w:val="006D0F03"/>
    <w:rsid w:val="006D149C"/>
    <w:rsid w:val="006E22AB"/>
    <w:rsid w:val="006E2B18"/>
    <w:rsid w:val="006E2F05"/>
    <w:rsid w:val="006F12C7"/>
    <w:rsid w:val="006F71EF"/>
    <w:rsid w:val="00706209"/>
    <w:rsid w:val="00706413"/>
    <w:rsid w:val="007127FD"/>
    <w:rsid w:val="00715E49"/>
    <w:rsid w:val="007179AE"/>
    <w:rsid w:val="00722EFC"/>
    <w:rsid w:val="00723246"/>
    <w:rsid w:val="00731FFC"/>
    <w:rsid w:val="00737D66"/>
    <w:rsid w:val="0074264E"/>
    <w:rsid w:val="00747C14"/>
    <w:rsid w:val="00752B8F"/>
    <w:rsid w:val="0075441D"/>
    <w:rsid w:val="00755138"/>
    <w:rsid w:val="007568C0"/>
    <w:rsid w:val="00761F3C"/>
    <w:rsid w:val="00766BA8"/>
    <w:rsid w:val="00772266"/>
    <w:rsid w:val="007915F8"/>
    <w:rsid w:val="00794940"/>
    <w:rsid w:val="00795EE7"/>
    <w:rsid w:val="007A315E"/>
    <w:rsid w:val="007A678E"/>
    <w:rsid w:val="007B11F9"/>
    <w:rsid w:val="007B257A"/>
    <w:rsid w:val="007B4B46"/>
    <w:rsid w:val="007C146C"/>
    <w:rsid w:val="007C2689"/>
    <w:rsid w:val="007C2EB7"/>
    <w:rsid w:val="007C35CA"/>
    <w:rsid w:val="007C51A7"/>
    <w:rsid w:val="007D0142"/>
    <w:rsid w:val="007D3AEE"/>
    <w:rsid w:val="007D51EB"/>
    <w:rsid w:val="007E693C"/>
    <w:rsid w:val="007F0554"/>
    <w:rsid w:val="007F6499"/>
    <w:rsid w:val="007F7CCC"/>
    <w:rsid w:val="008027EC"/>
    <w:rsid w:val="00803D26"/>
    <w:rsid w:val="008050AE"/>
    <w:rsid w:val="0080653E"/>
    <w:rsid w:val="008139C8"/>
    <w:rsid w:val="00814287"/>
    <w:rsid w:val="0081513F"/>
    <w:rsid w:val="00817A40"/>
    <w:rsid w:val="00817CFB"/>
    <w:rsid w:val="0082051F"/>
    <w:rsid w:val="00820DDE"/>
    <w:rsid w:val="008222B9"/>
    <w:rsid w:val="0083245E"/>
    <w:rsid w:val="00834115"/>
    <w:rsid w:val="00834689"/>
    <w:rsid w:val="00835AA0"/>
    <w:rsid w:val="0085777E"/>
    <w:rsid w:val="008613BC"/>
    <w:rsid w:val="00872FB0"/>
    <w:rsid w:val="00873489"/>
    <w:rsid w:val="00874064"/>
    <w:rsid w:val="008842D4"/>
    <w:rsid w:val="00890586"/>
    <w:rsid w:val="00897F0B"/>
    <w:rsid w:val="008A008A"/>
    <w:rsid w:val="008A1BC4"/>
    <w:rsid w:val="008A3D64"/>
    <w:rsid w:val="008A6658"/>
    <w:rsid w:val="008B588A"/>
    <w:rsid w:val="008C30E1"/>
    <w:rsid w:val="008C3A38"/>
    <w:rsid w:val="008C4F87"/>
    <w:rsid w:val="008C6734"/>
    <w:rsid w:val="008C6D3B"/>
    <w:rsid w:val="008D15FD"/>
    <w:rsid w:val="008D1ACF"/>
    <w:rsid w:val="008D1B29"/>
    <w:rsid w:val="008D2E63"/>
    <w:rsid w:val="008D4C42"/>
    <w:rsid w:val="008D4EE0"/>
    <w:rsid w:val="008D7E2D"/>
    <w:rsid w:val="008E597A"/>
    <w:rsid w:val="008F1FE3"/>
    <w:rsid w:val="008F4D0F"/>
    <w:rsid w:val="008F57D0"/>
    <w:rsid w:val="008F71A8"/>
    <w:rsid w:val="008F7AE9"/>
    <w:rsid w:val="009009D8"/>
    <w:rsid w:val="0091164B"/>
    <w:rsid w:val="00915903"/>
    <w:rsid w:val="0091632B"/>
    <w:rsid w:val="00940C97"/>
    <w:rsid w:val="009434AF"/>
    <w:rsid w:val="00946CF2"/>
    <w:rsid w:val="009473BE"/>
    <w:rsid w:val="00947CD1"/>
    <w:rsid w:val="00950FE8"/>
    <w:rsid w:val="00955D30"/>
    <w:rsid w:val="0096033C"/>
    <w:rsid w:val="00960CD5"/>
    <w:rsid w:val="009630EA"/>
    <w:rsid w:val="00965EC6"/>
    <w:rsid w:val="009671D9"/>
    <w:rsid w:val="009750CC"/>
    <w:rsid w:val="00977606"/>
    <w:rsid w:val="00980EA0"/>
    <w:rsid w:val="009836A7"/>
    <w:rsid w:val="009907A4"/>
    <w:rsid w:val="00994A36"/>
    <w:rsid w:val="009953D2"/>
    <w:rsid w:val="009955C3"/>
    <w:rsid w:val="009A0D21"/>
    <w:rsid w:val="009A1BED"/>
    <w:rsid w:val="009A32F4"/>
    <w:rsid w:val="009A39B1"/>
    <w:rsid w:val="009A5606"/>
    <w:rsid w:val="009B609A"/>
    <w:rsid w:val="009C47A9"/>
    <w:rsid w:val="009C50AC"/>
    <w:rsid w:val="009D4014"/>
    <w:rsid w:val="009E342E"/>
    <w:rsid w:val="009E65E2"/>
    <w:rsid w:val="009F1105"/>
    <w:rsid w:val="009F33F5"/>
    <w:rsid w:val="009F5F3B"/>
    <w:rsid w:val="00A057E8"/>
    <w:rsid w:val="00A17744"/>
    <w:rsid w:val="00A205CC"/>
    <w:rsid w:val="00A21514"/>
    <w:rsid w:val="00A21699"/>
    <w:rsid w:val="00A25749"/>
    <w:rsid w:val="00A306D6"/>
    <w:rsid w:val="00A30828"/>
    <w:rsid w:val="00A30D9D"/>
    <w:rsid w:val="00A459AB"/>
    <w:rsid w:val="00A4756D"/>
    <w:rsid w:val="00A509DD"/>
    <w:rsid w:val="00A53D0D"/>
    <w:rsid w:val="00A55C3D"/>
    <w:rsid w:val="00A57E29"/>
    <w:rsid w:val="00A6141F"/>
    <w:rsid w:val="00A70A6D"/>
    <w:rsid w:val="00A72A6E"/>
    <w:rsid w:val="00A75596"/>
    <w:rsid w:val="00A85DF8"/>
    <w:rsid w:val="00A94698"/>
    <w:rsid w:val="00A95EF7"/>
    <w:rsid w:val="00A96FDE"/>
    <w:rsid w:val="00AA2555"/>
    <w:rsid w:val="00AB09AF"/>
    <w:rsid w:val="00AC141A"/>
    <w:rsid w:val="00AC1A77"/>
    <w:rsid w:val="00AC3C3A"/>
    <w:rsid w:val="00AC5EE0"/>
    <w:rsid w:val="00AD1D1E"/>
    <w:rsid w:val="00AD1F78"/>
    <w:rsid w:val="00AD1FAE"/>
    <w:rsid w:val="00AD252B"/>
    <w:rsid w:val="00AE2A1D"/>
    <w:rsid w:val="00AF1EEB"/>
    <w:rsid w:val="00AF203F"/>
    <w:rsid w:val="00AF6065"/>
    <w:rsid w:val="00AF6E5D"/>
    <w:rsid w:val="00AF7186"/>
    <w:rsid w:val="00B02F14"/>
    <w:rsid w:val="00B04E2E"/>
    <w:rsid w:val="00B0693A"/>
    <w:rsid w:val="00B12820"/>
    <w:rsid w:val="00B26150"/>
    <w:rsid w:val="00B31382"/>
    <w:rsid w:val="00B322A0"/>
    <w:rsid w:val="00B40946"/>
    <w:rsid w:val="00B50903"/>
    <w:rsid w:val="00B52D54"/>
    <w:rsid w:val="00B5369B"/>
    <w:rsid w:val="00B541AA"/>
    <w:rsid w:val="00B569B8"/>
    <w:rsid w:val="00B73780"/>
    <w:rsid w:val="00B73883"/>
    <w:rsid w:val="00B75AAB"/>
    <w:rsid w:val="00B80898"/>
    <w:rsid w:val="00B86E56"/>
    <w:rsid w:val="00B87060"/>
    <w:rsid w:val="00B95149"/>
    <w:rsid w:val="00B95DE5"/>
    <w:rsid w:val="00BA4D57"/>
    <w:rsid w:val="00BA57BC"/>
    <w:rsid w:val="00BA5FB0"/>
    <w:rsid w:val="00BA6DA7"/>
    <w:rsid w:val="00BB6361"/>
    <w:rsid w:val="00BB6AEE"/>
    <w:rsid w:val="00BB7937"/>
    <w:rsid w:val="00BC14A1"/>
    <w:rsid w:val="00BC1D6A"/>
    <w:rsid w:val="00BD31DE"/>
    <w:rsid w:val="00BD696E"/>
    <w:rsid w:val="00BE1575"/>
    <w:rsid w:val="00BE37D8"/>
    <w:rsid w:val="00BE658F"/>
    <w:rsid w:val="00BF4DE4"/>
    <w:rsid w:val="00BF5609"/>
    <w:rsid w:val="00BF6C40"/>
    <w:rsid w:val="00C04529"/>
    <w:rsid w:val="00C0726A"/>
    <w:rsid w:val="00C16BD0"/>
    <w:rsid w:val="00C203A7"/>
    <w:rsid w:val="00C207CD"/>
    <w:rsid w:val="00C23CD8"/>
    <w:rsid w:val="00C258A3"/>
    <w:rsid w:val="00C26104"/>
    <w:rsid w:val="00C26784"/>
    <w:rsid w:val="00C313CB"/>
    <w:rsid w:val="00C329F1"/>
    <w:rsid w:val="00C37249"/>
    <w:rsid w:val="00C407AD"/>
    <w:rsid w:val="00C40D84"/>
    <w:rsid w:val="00C41845"/>
    <w:rsid w:val="00C420A3"/>
    <w:rsid w:val="00C42D24"/>
    <w:rsid w:val="00C44F3D"/>
    <w:rsid w:val="00C45687"/>
    <w:rsid w:val="00C47185"/>
    <w:rsid w:val="00C476C8"/>
    <w:rsid w:val="00C50319"/>
    <w:rsid w:val="00C520EA"/>
    <w:rsid w:val="00C5223D"/>
    <w:rsid w:val="00C56C08"/>
    <w:rsid w:val="00C56C9F"/>
    <w:rsid w:val="00C66073"/>
    <w:rsid w:val="00C675DD"/>
    <w:rsid w:val="00C70DE5"/>
    <w:rsid w:val="00C77967"/>
    <w:rsid w:val="00C84999"/>
    <w:rsid w:val="00C87337"/>
    <w:rsid w:val="00C90B01"/>
    <w:rsid w:val="00C927AF"/>
    <w:rsid w:val="00C947AF"/>
    <w:rsid w:val="00C94BAE"/>
    <w:rsid w:val="00C9680C"/>
    <w:rsid w:val="00C972D5"/>
    <w:rsid w:val="00C97618"/>
    <w:rsid w:val="00CA27F1"/>
    <w:rsid w:val="00CA3CAA"/>
    <w:rsid w:val="00CA4549"/>
    <w:rsid w:val="00CA6CCF"/>
    <w:rsid w:val="00CA7119"/>
    <w:rsid w:val="00CB0890"/>
    <w:rsid w:val="00CB4EA0"/>
    <w:rsid w:val="00CB6CF3"/>
    <w:rsid w:val="00CC1462"/>
    <w:rsid w:val="00CC348B"/>
    <w:rsid w:val="00CC5593"/>
    <w:rsid w:val="00CE05D3"/>
    <w:rsid w:val="00CE1D82"/>
    <w:rsid w:val="00CE31FE"/>
    <w:rsid w:val="00CF0C33"/>
    <w:rsid w:val="00CF0F16"/>
    <w:rsid w:val="00CF1F43"/>
    <w:rsid w:val="00CF5DDB"/>
    <w:rsid w:val="00CF6CEF"/>
    <w:rsid w:val="00D1093D"/>
    <w:rsid w:val="00D10DA6"/>
    <w:rsid w:val="00D235D5"/>
    <w:rsid w:val="00D24900"/>
    <w:rsid w:val="00D31C91"/>
    <w:rsid w:val="00D37F9D"/>
    <w:rsid w:val="00D422B4"/>
    <w:rsid w:val="00D4238C"/>
    <w:rsid w:val="00D4472C"/>
    <w:rsid w:val="00D44BA0"/>
    <w:rsid w:val="00D45C5A"/>
    <w:rsid w:val="00D46CFC"/>
    <w:rsid w:val="00D47F99"/>
    <w:rsid w:val="00D536A3"/>
    <w:rsid w:val="00D55AF3"/>
    <w:rsid w:val="00D60461"/>
    <w:rsid w:val="00D6166C"/>
    <w:rsid w:val="00D73324"/>
    <w:rsid w:val="00D764EE"/>
    <w:rsid w:val="00D77A4E"/>
    <w:rsid w:val="00D96A48"/>
    <w:rsid w:val="00DA1ED8"/>
    <w:rsid w:val="00DA53B1"/>
    <w:rsid w:val="00DB24D0"/>
    <w:rsid w:val="00DB2F4D"/>
    <w:rsid w:val="00DB37F1"/>
    <w:rsid w:val="00DB412E"/>
    <w:rsid w:val="00DC014A"/>
    <w:rsid w:val="00DC2836"/>
    <w:rsid w:val="00DC3439"/>
    <w:rsid w:val="00DC4797"/>
    <w:rsid w:val="00DC4BED"/>
    <w:rsid w:val="00DC77E1"/>
    <w:rsid w:val="00DD2078"/>
    <w:rsid w:val="00DD4AF1"/>
    <w:rsid w:val="00DE0442"/>
    <w:rsid w:val="00DE54F4"/>
    <w:rsid w:val="00DE715C"/>
    <w:rsid w:val="00DE7FCD"/>
    <w:rsid w:val="00DF1FCC"/>
    <w:rsid w:val="00DF28FB"/>
    <w:rsid w:val="00DF5E99"/>
    <w:rsid w:val="00DF7DB8"/>
    <w:rsid w:val="00E025BA"/>
    <w:rsid w:val="00E02E85"/>
    <w:rsid w:val="00E040E4"/>
    <w:rsid w:val="00E067A5"/>
    <w:rsid w:val="00E076D4"/>
    <w:rsid w:val="00E11869"/>
    <w:rsid w:val="00E13A22"/>
    <w:rsid w:val="00E13D16"/>
    <w:rsid w:val="00E140AC"/>
    <w:rsid w:val="00E20653"/>
    <w:rsid w:val="00E23E82"/>
    <w:rsid w:val="00E26D4E"/>
    <w:rsid w:val="00E331C9"/>
    <w:rsid w:val="00E3491B"/>
    <w:rsid w:val="00E451C1"/>
    <w:rsid w:val="00E652E8"/>
    <w:rsid w:val="00E65645"/>
    <w:rsid w:val="00E65E44"/>
    <w:rsid w:val="00E70294"/>
    <w:rsid w:val="00E72739"/>
    <w:rsid w:val="00E72834"/>
    <w:rsid w:val="00E740D0"/>
    <w:rsid w:val="00E74A56"/>
    <w:rsid w:val="00E9682C"/>
    <w:rsid w:val="00EA1755"/>
    <w:rsid w:val="00EB298B"/>
    <w:rsid w:val="00EB52D2"/>
    <w:rsid w:val="00EB6223"/>
    <w:rsid w:val="00EC03A3"/>
    <w:rsid w:val="00EC2BB6"/>
    <w:rsid w:val="00EC304C"/>
    <w:rsid w:val="00EC3F07"/>
    <w:rsid w:val="00EC75C4"/>
    <w:rsid w:val="00EC775A"/>
    <w:rsid w:val="00ED0937"/>
    <w:rsid w:val="00ED2960"/>
    <w:rsid w:val="00ED2FDB"/>
    <w:rsid w:val="00ED7A43"/>
    <w:rsid w:val="00EE6639"/>
    <w:rsid w:val="00EF20E9"/>
    <w:rsid w:val="00EF4736"/>
    <w:rsid w:val="00EF773D"/>
    <w:rsid w:val="00F006F3"/>
    <w:rsid w:val="00F039CC"/>
    <w:rsid w:val="00F06441"/>
    <w:rsid w:val="00F178DF"/>
    <w:rsid w:val="00F17B89"/>
    <w:rsid w:val="00F21B5E"/>
    <w:rsid w:val="00F223E6"/>
    <w:rsid w:val="00F27698"/>
    <w:rsid w:val="00F30A74"/>
    <w:rsid w:val="00F310C9"/>
    <w:rsid w:val="00F42C81"/>
    <w:rsid w:val="00F435A6"/>
    <w:rsid w:val="00F4534E"/>
    <w:rsid w:val="00F52095"/>
    <w:rsid w:val="00F53433"/>
    <w:rsid w:val="00F57598"/>
    <w:rsid w:val="00F600BF"/>
    <w:rsid w:val="00F63748"/>
    <w:rsid w:val="00F65B3C"/>
    <w:rsid w:val="00F6619D"/>
    <w:rsid w:val="00F67618"/>
    <w:rsid w:val="00F72889"/>
    <w:rsid w:val="00F72993"/>
    <w:rsid w:val="00F7531B"/>
    <w:rsid w:val="00F7539E"/>
    <w:rsid w:val="00F81176"/>
    <w:rsid w:val="00F82B73"/>
    <w:rsid w:val="00F84495"/>
    <w:rsid w:val="00F90D8B"/>
    <w:rsid w:val="00FA0661"/>
    <w:rsid w:val="00FA1DFE"/>
    <w:rsid w:val="00FA345A"/>
    <w:rsid w:val="00FA5AFC"/>
    <w:rsid w:val="00FA663E"/>
    <w:rsid w:val="00FB12D9"/>
    <w:rsid w:val="00FB17CF"/>
    <w:rsid w:val="00FB2C40"/>
    <w:rsid w:val="00FB6084"/>
    <w:rsid w:val="00FC026A"/>
    <w:rsid w:val="00FC0453"/>
    <w:rsid w:val="00FC13B7"/>
    <w:rsid w:val="00FC413A"/>
    <w:rsid w:val="00FC7D6E"/>
    <w:rsid w:val="00FD1E1A"/>
    <w:rsid w:val="00FD2D74"/>
    <w:rsid w:val="00FD3A16"/>
    <w:rsid w:val="00FE0CC9"/>
    <w:rsid w:val="00FE1CC7"/>
    <w:rsid w:val="00FE5F70"/>
    <w:rsid w:val="00FE75D6"/>
    <w:rsid w:val="00FE770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E0CA8"/>
  <w15:docId w15:val="{F9A411A0-9D14-F64B-B54E-1483C1BB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qFormat/>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CCF"/>
  </w:style>
  <w:style w:type="paragraph" w:styleId="CommentSubject">
    <w:name w:val="annotation subject"/>
    <w:basedOn w:val="CommentText"/>
    <w:next w:val="CommentText"/>
    <w:link w:val="CommentSubjectChar"/>
    <w:uiPriority w:val="99"/>
    <w:semiHidden/>
    <w:unhideWhenUsed/>
    <w:rsid w:val="00A55C3D"/>
    <w:rPr>
      <w:rFonts w:asciiTheme="minorHAnsi" w:hAnsiTheme="minorHAnsi"/>
      <w:b/>
      <w:bCs/>
    </w:rPr>
  </w:style>
  <w:style w:type="character" w:customStyle="1" w:styleId="CommentSubjectChar">
    <w:name w:val="Comment Subject Char"/>
    <w:basedOn w:val="CommentTextChar"/>
    <w:link w:val="CommentSubject"/>
    <w:uiPriority w:val="99"/>
    <w:semiHidden/>
    <w:rsid w:val="00A55C3D"/>
    <w:rPr>
      <w:rFonts w:ascii="Cambria" w:hAnsi="Cambria"/>
      <w:b/>
      <w:bCs/>
      <w:sz w:val="20"/>
      <w:szCs w:val="20"/>
    </w:rPr>
  </w:style>
  <w:style w:type="paragraph" w:styleId="NormalIndent">
    <w:name w:val="Normal Indent"/>
    <w:basedOn w:val="Normal"/>
    <w:rsid w:val="002B25D6"/>
    <w:pPr>
      <w:spacing w:after="120" w:line="240" w:lineRule="auto"/>
      <w:ind w:left="720"/>
    </w:pPr>
    <w:rPr>
      <w:rFonts w:ascii="Times New Roman" w:eastAsia="Times New Roman" w:hAnsi="Times New Roman" w:cs="Times New Roman"/>
      <w:szCs w:val="20"/>
      <w:lang w:val="en-GB" w:eastAsia="en-GB"/>
    </w:rPr>
  </w:style>
  <w:style w:type="paragraph" w:styleId="BodyText">
    <w:name w:val="Body Text"/>
    <w:basedOn w:val="Normal"/>
    <w:link w:val="BodyTextChar"/>
    <w:unhideWhenUsed/>
    <w:qFormat/>
    <w:rsid w:val="0002762D"/>
    <w:pPr>
      <w:spacing w:after="0" w:line="240" w:lineRule="auto"/>
    </w:pPr>
    <w:rPr>
      <w:rFonts w:ascii="Times New Roman" w:eastAsia="Times New Roman" w:hAnsi="Times New Roman" w:cs="Times New Roman"/>
      <w:color w:val="000000" w:themeColor="text1"/>
      <w:sz w:val="24"/>
      <w:szCs w:val="24"/>
      <w:lang w:val="en-US"/>
    </w:rPr>
  </w:style>
  <w:style w:type="character" w:customStyle="1" w:styleId="BodyTextChar">
    <w:name w:val="Body Text Char"/>
    <w:basedOn w:val="DefaultParagraphFont"/>
    <w:link w:val="BodyText"/>
    <w:rsid w:val="0002762D"/>
    <w:rPr>
      <w:rFonts w:ascii="Times New Roman" w:eastAsia="Times New Roman" w:hAnsi="Times New Roman" w:cs="Times New Roman"/>
      <w:color w:val="000000" w:themeColor="text1"/>
      <w:sz w:val="24"/>
      <w:szCs w:val="24"/>
      <w:lang w:val="en-US"/>
    </w:rPr>
  </w:style>
  <w:style w:type="table" w:styleId="TableGrid">
    <w:name w:val="Table Grid"/>
    <w:basedOn w:val="TableNormal"/>
    <w:uiPriority w:val="59"/>
    <w:rsid w:val="0002762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
    <w:unhideWhenUsed/>
    <w:qFormat/>
    <w:rsid w:val="0002762D"/>
    <w:pPr>
      <w:keepNext/>
      <w:tabs>
        <w:tab w:val="left" w:pos="1440"/>
      </w:tabs>
      <w:spacing w:before="120" w:after="120" w:line="240" w:lineRule="auto"/>
      <w:ind w:left="1440" w:hanging="1440"/>
    </w:pPr>
    <w:rPr>
      <w:rFonts w:ascii="Times New Roman" w:eastAsia="Times New Roman" w:hAnsi="Times New Roman" w:cs="Times New Roman"/>
      <w:b/>
      <w:bCs/>
      <w:sz w:val="24"/>
      <w:szCs w:val="18"/>
      <w:lang w:val="en-US"/>
    </w:rPr>
  </w:style>
  <w:style w:type="paragraph" w:customStyle="1" w:styleId="NormalText">
    <w:name w:val="Normal Text"/>
    <w:basedOn w:val="Normal"/>
    <w:qFormat/>
    <w:rsid w:val="00BA5FB0"/>
    <w:pPr>
      <w:spacing w:before="20" w:after="80" w:line="240" w:lineRule="auto"/>
    </w:pPr>
    <w:rPr>
      <w:rFonts w:eastAsia="MS Mincho" w:cs="Times New Roman"/>
      <w:color w:val="000000"/>
      <w:sz w:val="20"/>
      <w:szCs w:val="20"/>
      <w:lang w:val="en-US"/>
    </w:rPr>
  </w:style>
  <w:style w:type="character" w:styleId="UnresolvedMention">
    <w:name w:val="Unresolved Mention"/>
    <w:basedOn w:val="DefaultParagraphFont"/>
    <w:uiPriority w:val="99"/>
    <w:semiHidden/>
    <w:unhideWhenUsed/>
    <w:rsid w:val="003B6647"/>
    <w:rPr>
      <w:color w:val="605E5C"/>
      <w:shd w:val="clear" w:color="auto" w:fill="E1DFDD"/>
    </w:rPr>
  </w:style>
  <w:style w:type="paragraph" w:styleId="Revision">
    <w:name w:val="Revision"/>
    <w:hidden/>
    <w:uiPriority w:val="99"/>
    <w:semiHidden/>
    <w:rsid w:val="00B87060"/>
    <w:pPr>
      <w:spacing w:after="0" w:line="240" w:lineRule="auto"/>
    </w:pPr>
  </w:style>
  <w:style w:type="paragraph" w:styleId="Date">
    <w:name w:val="Date"/>
    <w:basedOn w:val="Normal"/>
    <w:next w:val="Normal"/>
    <w:link w:val="DateChar"/>
    <w:uiPriority w:val="99"/>
    <w:semiHidden/>
    <w:unhideWhenUsed/>
    <w:rsid w:val="00290FD6"/>
  </w:style>
  <w:style w:type="character" w:customStyle="1" w:styleId="DateChar">
    <w:name w:val="Date Char"/>
    <w:basedOn w:val="DefaultParagraphFont"/>
    <w:link w:val="Date"/>
    <w:uiPriority w:val="99"/>
    <w:semiHidden/>
    <w:rsid w:val="0029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1808">
      <w:bodyDiv w:val="1"/>
      <w:marLeft w:val="0"/>
      <w:marRight w:val="0"/>
      <w:marTop w:val="0"/>
      <w:marBottom w:val="0"/>
      <w:divBdr>
        <w:top w:val="none" w:sz="0" w:space="0" w:color="auto"/>
        <w:left w:val="none" w:sz="0" w:space="0" w:color="auto"/>
        <w:bottom w:val="none" w:sz="0" w:space="0" w:color="auto"/>
        <w:right w:val="none" w:sz="0" w:space="0" w:color="auto"/>
      </w:divBdr>
    </w:div>
    <w:div w:id="646906461">
      <w:bodyDiv w:val="1"/>
      <w:marLeft w:val="0"/>
      <w:marRight w:val="0"/>
      <w:marTop w:val="0"/>
      <w:marBottom w:val="0"/>
      <w:divBdr>
        <w:top w:val="none" w:sz="0" w:space="0" w:color="auto"/>
        <w:left w:val="none" w:sz="0" w:space="0" w:color="auto"/>
        <w:bottom w:val="none" w:sz="0" w:space="0" w:color="auto"/>
        <w:right w:val="none" w:sz="0" w:space="0" w:color="auto"/>
      </w:divBdr>
    </w:div>
    <w:div w:id="1123503874">
      <w:bodyDiv w:val="1"/>
      <w:marLeft w:val="0"/>
      <w:marRight w:val="0"/>
      <w:marTop w:val="0"/>
      <w:marBottom w:val="0"/>
      <w:divBdr>
        <w:top w:val="none" w:sz="0" w:space="0" w:color="auto"/>
        <w:left w:val="none" w:sz="0" w:space="0" w:color="auto"/>
        <w:bottom w:val="none" w:sz="0" w:space="0" w:color="auto"/>
        <w:right w:val="none" w:sz="0" w:space="0" w:color="auto"/>
      </w:divBdr>
    </w:div>
    <w:div w:id="20127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pplication_x0020_No_x002e_ xmlns="593de293-9045-45ed-8005-8a1685653a50" xsi:nil="true"/>
    <Market xmlns="593de293-9045-45ed-8005-8a1685653a50" xsi:nil="true"/>
    <Sequence_x0020_Number xmlns="593de293-9045-45ed-8005-8a1685653a50" xsi:nil="true"/>
    <TaxCatchAll xmlns="5790add3-dee5-4f1e-870b-2c02c05ab51b" xsi:nil="true"/>
    <lcf76f155ced4ddcb4097134ff3c332f xmlns="593de293-9045-45ed-8005-8a1685653a5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31B370D2783F418B7DC72B3F3FFE11" ma:contentTypeVersion="" ma:contentTypeDescription="Create a new document." ma:contentTypeScope="" ma:versionID="a3a2ca918bab9249d87eb413ae780260">
  <xsd:schema xmlns:xsd="http://www.w3.org/2001/XMLSchema" xmlns:xs="http://www.w3.org/2001/XMLSchema" xmlns:p="http://schemas.microsoft.com/office/2006/metadata/properties" xmlns:ns2="593de293-9045-45ed-8005-8a1685653a50" xmlns:ns3="5790add3-dee5-4f1e-870b-2c02c05ab51b" targetNamespace="http://schemas.microsoft.com/office/2006/metadata/properties" ma:root="true" ma:fieldsID="9b4404f4085a125580cd6c2396a93a12" ns2:_="" ns3:_="">
    <xsd:import namespace="593de293-9045-45ed-8005-8a1685653a50"/>
    <xsd:import namespace="5790add3-dee5-4f1e-870b-2c02c05ab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Application_x0020_No_x002e_" minOccurs="0"/>
                <xsd:element ref="ns2:Sequence_x0020_Number" minOccurs="0"/>
                <xsd:element ref="ns2:Market"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de293-9045-45ed-8005-8a1685653a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Application_x0020_No_x002e_" ma:index="20" nillable="true" ma:displayName="Application No." ma:description="Regulatory Submission Application Number" ma:internalName="Application_x0020_No_x002e_">
      <xsd:simpleType>
        <xsd:restriction base="dms:Text">
          <xsd:maxLength value="255"/>
        </xsd:restriction>
      </xsd:simpleType>
    </xsd:element>
    <xsd:element name="Sequence_x0020_Number" ma:index="21" nillable="true" ma:displayName="Sequence Number" ma:description="Regulatory Submission eCTD Sequence Numner" ma:internalName="Sequence_x0020_Number">
      <xsd:simpleType>
        <xsd:restriction base="dms:Text">
          <xsd:maxLength value="255"/>
        </xsd:restriction>
      </xsd:simpleType>
    </xsd:element>
    <xsd:element name="Market" ma:index="22" nillable="true" ma:displayName="Market" ma:internalName="Market">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32df6f0-9eba-4e0a-886d-b32798e1a4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90add3-dee5-4f1e-870b-2c02c05ab5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5382eba-2833-494c-9bcb-2af5a1f82752}" ma:internalName="TaxCatchAll" ma:showField="CatchAllData" ma:web="5790add3-dee5-4f1e-870b-2c02c05ab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EF236-8D51-4008-B5A2-9CF8A13E37CD}">
  <ds:schemaRefs>
    <ds:schemaRef ds:uri="http://schemas.openxmlformats.org/officeDocument/2006/bibliography"/>
  </ds:schemaRefs>
</ds:datastoreItem>
</file>

<file path=customXml/itemProps2.xml><?xml version="1.0" encoding="utf-8"?>
<ds:datastoreItem xmlns:ds="http://schemas.openxmlformats.org/officeDocument/2006/customXml" ds:itemID="{C7C8EFB1-AFBD-4286-8028-92E4938942C7}">
  <ds:schemaRefs>
    <ds:schemaRef ds:uri="http://schemas.microsoft.com/office/2006/metadata/properties"/>
    <ds:schemaRef ds:uri="http://schemas.microsoft.com/office/infopath/2007/PartnerControls"/>
    <ds:schemaRef ds:uri="593de293-9045-45ed-8005-8a1685653a50"/>
    <ds:schemaRef ds:uri="5790add3-dee5-4f1e-870b-2c02c05ab51b"/>
  </ds:schemaRefs>
</ds:datastoreItem>
</file>

<file path=customXml/itemProps3.xml><?xml version="1.0" encoding="utf-8"?>
<ds:datastoreItem xmlns:ds="http://schemas.openxmlformats.org/officeDocument/2006/customXml" ds:itemID="{70F12FE1-F970-40CA-8043-92461BD8C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de293-9045-45ed-8005-8a1685653a50"/>
    <ds:schemaRef ds:uri="5790add3-dee5-4f1e-870b-2c02c05ab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072B2D-A543-451D-B8AC-52ABC0FC3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5430</Words>
  <Characters>30953</Characters>
  <Application>Microsoft Office Word</Application>
  <DocSecurity>0</DocSecurity>
  <Lines>859</Lines>
  <Paragraphs>568</Paragraphs>
  <ScaleCrop>false</ScaleCrop>
  <HeadingPairs>
    <vt:vector size="2" baseType="variant">
      <vt:variant>
        <vt:lpstr>Title</vt:lpstr>
      </vt:variant>
      <vt:variant>
        <vt:i4>1</vt:i4>
      </vt:variant>
    </vt:vector>
  </HeadingPairs>
  <TitlesOfParts>
    <vt:vector size="1" baseType="lpstr">
      <vt:lpstr>AusPAR Attachment 1: Product Information for Nuceiva</vt:lpstr>
    </vt:vector>
  </TitlesOfParts>
  <Company/>
  <LinksUpToDate>false</LinksUpToDate>
  <CharactersWithSpaces>35815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Nuceiva</dc:title>
  <dc:subject>Prescription medicines</dc:subject>
  <dc:creator>PPD Australia Pty Ltd</dc:creator>
  <cp:lastModifiedBy>MCMAHON, Emily</cp:lastModifiedBy>
  <cp:revision>10</cp:revision>
  <cp:lastPrinted>2017-09-05T05:25:00Z</cp:lastPrinted>
  <dcterms:created xsi:type="dcterms:W3CDTF">2023-09-19T22:53:00Z</dcterms:created>
  <dcterms:modified xsi:type="dcterms:W3CDTF">2023-09-20T03:06:00Z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0x010100D331B370D2783F418B7DC72B3F3FFE11</vt:lpwstr>
  </property>
  <property fmtid="{D5CDD505-2E9C-101B-9397-08002B2CF9AE}" pid="3" name="MediaServiceImageTags">
    <vt:lpwstr/>
  </property>
</Properties>
</file>