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81B23C0" w:rsidR="00F02AEC" w:rsidRPr="00215D48" w:rsidRDefault="00346EC2" w:rsidP="007452E8">
            <w:pPr>
              <w:pStyle w:val="Title"/>
            </w:pPr>
            <w:r w:rsidRPr="00346EC2">
              <w:t xml:space="preserve">Australian Public Assessment Report for </w:t>
            </w:r>
            <w:r w:rsidR="007B43AB">
              <w:t>Keytruda</w:t>
            </w:r>
          </w:p>
        </w:tc>
      </w:tr>
      <w:tr w:rsidR="00F02AEC" w:rsidRPr="00215D48" w14:paraId="318A40A3" w14:textId="77777777" w:rsidTr="00346EC2">
        <w:trPr>
          <w:trHeight w:val="995"/>
        </w:trPr>
        <w:tc>
          <w:tcPr>
            <w:tcW w:w="8720" w:type="dxa"/>
          </w:tcPr>
          <w:p w14:paraId="1AA7C701" w14:textId="604AD9EE" w:rsidR="00F02AEC" w:rsidRPr="00215D48" w:rsidRDefault="00346EC2" w:rsidP="007452E8">
            <w:pPr>
              <w:pStyle w:val="Subtitle"/>
              <w:ind w:left="0"/>
            </w:pPr>
            <w:r w:rsidRPr="00346EC2">
              <w:t>Active ingredient:</w:t>
            </w:r>
            <w:r w:rsidR="007B43AB">
              <w:t xml:space="preserve"> </w:t>
            </w:r>
            <w:r w:rsidR="00E57158">
              <w:t>P</w:t>
            </w:r>
            <w:r w:rsidR="007B43AB">
              <w:t>embrolizumab</w:t>
            </w:r>
          </w:p>
        </w:tc>
      </w:tr>
      <w:tr w:rsidR="00346EC2" w:rsidRPr="00215D48" w14:paraId="362CCAE4" w14:textId="77777777" w:rsidTr="007452E8">
        <w:trPr>
          <w:trHeight w:val="1916"/>
        </w:trPr>
        <w:tc>
          <w:tcPr>
            <w:tcW w:w="8720" w:type="dxa"/>
          </w:tcPr>
          <w:p w14:paraId="709C45C0" w14:textId="613204F4" w:rsidR="00346EC2" w:rsidRPr="00215D48" w:rsidRDefault="00346EC2" w:rsidP="007452E8">
            <w:pPr>
              <w:pStyle w:val="Subtitle"/>
              <w:ind w:left="0"/>
            </w:pPr>
            <w:r w:rsidRPr="00346EC2">
              <w:t xml:space="preserve">Sponsor: </w:t>
            </w:r>
            <w:r w:rsidR="007B43AB" w:rsidRPr="007B43AB">
              <w:t>Merck Sharp &amp; Dohme (Australia) Pty Ltd</w:t>
            </w:r>
          </w:p>
        </w:tc>
      </w:tr>
      <w:tr w:rsidR="00F02AEC" w:rsidRPr="00215D48" w14:paraId="37F2AA1F" w14:textId="77777777" w:rsidTr="007452E8">
        <w:tc>
          <w:tcPr>
            <w:tcW w:w="8720" w:type="dxa"/>
          </w:tcPr>
          <w:p w14:paraId="1FDE8DCD" w14:textId="5D34E053" w:rsidR="00F02AEC" w:rsidRPr="00215D48" w:rsidRDefault="00BA79D5" w:rsidP="007452E8">
            <w:pPr>
              <w:pStyle w:val="Date"/>
            </w:pPr>
            <w:r>
              <w:t>August</w:t>
            </w:r>
            <w:r w:rsidR="007B43AB">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1C2AC92"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195A9429"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DA290C">
      <w:pPr>
        <w:pStyle w:val="LegalSubheading"/>
        <w:spacing w:before="3000"/>
      </w:pPr>
      <w:r w:rsidRPr="00BA0DFC">
        <w:t>Copyright</w:t>
      </w:r>
    </w:p>
    <w:p w14:paraId="170A8A5D" w14:textId="714BAFD6"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450C30C" w14:textId="125DB048" w:rsidR="004E7B11"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287132" w:history="1">
            <w:r w:rsidR="004E7B11" w:rsidRPr="00FA1B6B">
              <w:rPr>
                <w:rStyle w:val="Hyperlink"/>
                <w:noProof/>
              </w:rPr>
              <w:t>List of abbreviations</w:t>
            </w:r>
            <w:r w:rsidR="004E7B11">
              <w:rPr>
                <w:noProof/>
                <w:webHidden/>
              </w:rPr>
              <w:tab/>
            </w:r>
            <w:r w:rsidR="004E7B11">
              <w:rPr>
                <w:noProof/>
                <w:webHidden/>
              </w:rPr>
              <w:fldChar w:fldCharType="begin"/>
            </w:r>
            <w:r w:rsidR="004E7B11">
              <w:rPr>
                <w:noProof/>
                <w:webHidden/>
              </w:rPr>
              <w:instrText xml:space="preserve"> PAGEREF _Toc144287132 \h </w:instrText>
            </w:r>
            <w:r w:rsidR="004E7B11">
              <w:rPr>
                <w:noProof/>
                <w:webHidden/>
              </w:rPr>
            </w:r>
            <w:r w:rsidR="004E7B11">
              <w:rPr>
                <w:noProof/>
                <w:webHidden/>
              </w:rPr>
              <w:fldChar w:fldCharType="separate"/>
            </w:r>
            <w:r w:rsidR="004E7B11">
              <w:rPr>
                <w:noProof/>
                <w:webHidden/>
              </w:rPr>
              <w:t>4</w:t>
            </w:r>
            <w:r w:rsidR="004E7B11">
              <w:rPr>
                <w:noProof/>
                <w:webHidden/>
              </w:rPr>
              <w:fldChar w:fldCharType="end"/>
            </w:r>
          </w:hyperlink>
        </w:p>
        <w:p w14:paraId="19576D17" w14:textId="5ADE1388" w:rsidR="004E7B11" w:rsidRDefault="006B26C1">
          <w:pPr>
            <w:pStyle w:val="TOC1"/>
            <w:rPr>
              <w:rFonts w:asciiTheme="minorHAnsi" w:eastAsiaTheme="minorEastAsia" w:hAnsiTheme="minorHAnsi" w:cstheme="minorBidi"/>
              <w:b w:val="0"/>
              <w:noProof/>
              <w:color w:val="auto"/>
              <w:sz w:val="22"/>
              <w:szCs w:val="22"/>
              <w:lang w:eastAsia="en-AU"/>
            </w:rPr>
          </w:pPr>
          <w:hyperlink w:anchor="_Toc144287133" w:history="1">
            <w:r w:rsidR="004E7B11" w:rsidRPr="00FA1B6B">
              <w:rPr>
                <w:rStyle w:val="Hyperlink"/>
                <w:noProof/>
              </w:rPr>
              <w:t>Product submission</w:t>
            </w:r>
            <w:r w:rsidR="004E7B11">
              <w:rPr>
                <w:noProof/>
                <w:webHidden/>
              </w:rPr>
              <w:tab/>
            </w:r>
            <w:r w:rsidR="004E7B11">
              <w:rPr>
                <w:noProof/>
                <w:webHidden/>
              </w:rPr>
              <w:fldChar w:fldCharType="begin"/>
            </w:r>
            <w:r w:rsidR="004E7B11">
              <w:rPr>
                <w:noProof/>
                <w:webHidden/>
              </w:rPr>
              <w:instrText xml:space="preserve"> PAGEREF _Toc144287133 \h </w:instrText>
            </w:r>
            <w:r w:rsidR="004E7B11">
              <w:rPr>
                <w:noProof/>
                <w:webHidden/>
              </w:rPr>
            </w:r>
            <w:r w:rsidR="004E7B11">
              <w:rPr>
                <w:noProof/>
                <w:webHidden/>
              </w:rPr>
              <w:fldChar w:fldCharType="separate"/>
            </w:r>
            <w:r w:rsidR="004E7B11">
              <w:rPr>
                <w:noProof/>
                <w:webHidden/>
              </w:rPr>
              <w:t>5</w:t>
            </w:r>
            <w:r w:rsidR="004E7B11">
              <w:rPr>
                <w:noProof/>
                <w:webHidden/>
              </w:rPr>
              <w:fldChar w:fldCharType="end"/>
            </w:r>
          </w:hyperlink>
        </w:p>
        <w:p w14:paraId="4A00DB01" w14:textId="5516A0A5"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34" w:history="1">
            <w:r w:rsidR="004E7B11" w:rsidRPr="00FA1B6B">
              <w:rPr>
                <w:rStyle w:val="Hyperlink"/>
                <w:noProof/>
                <w:lang w:eastAsia="en-AU"/>
              </w:rPr>
              <w:t>Submission details</w:t>
            </w:r>
            <w:r w:rsidR="004E7B11">
              <w:rPr>
                <w:noProof/>
                <w:webHidden/>
              </w:rPr>
              <w:tab/>
            </w:r>
            <w:r w:rsidR="004E7B11">
              <w:rPr>
                <w:noProof/>
                <w:webHidden/>
              </w:rPr>
              <w:fldChar w:fldCharType="begin"/>
            </w:r>
            <w:r w:rsidR="004E7B11">
              <w:rPr>
                <w:noProof/>
                <w:webHidden/>
              </w:rPr>
              <w:instrText xml:space="preserve"> PAGEREF _Toc144287134 \h </w:instrText>
            </w:r>
            <w:r w:rsidR="004E7B11">
              <w:rPr>
                <w:noProof/>
                <w:webHidden/>
              </w:rPr>
            </w:r>
            <w:r w:rsidR="004E7B11">
              <w:rPr>
                <w:noProof/>
                <w:webHidden/>
              </w:rPr>
              <w:fldChar w:fldCharType="separate"/>
            </w:r>
            <w:r w:rsidR="004E7B11">
              <w:rPr>
                <w:noProof/>
                <w:webHidden/>
              </w:rPr>
              <w:t>5</w:t>
            </w:r>
            <w:r w:rsidR="004E7B11">
              <w:rPr>
                <w:noProof/>
                <w:webHidden/>
              </w:rPr>
              <w:fldChar w:fldCharType="end"/>
            </w:r>
          </w:hyperlink>
        </w:p>
        <w:p w14:paraId="1DDE926D" w14:textId="6404125A"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35" w:history="1">
            <w:r w:rsidR="004E7B11" w:rsidRPr="00FA1B6B">
              <w:rPr>
                <w:rStyle w:val="Hyperlink"/>
                <w:noProof/>
              </w:rPr>
              <w:t>Product background</w:t>
            </w:r>
            <w:r w:rsidR="004E7B11">
              <w:rPr>
                <w:noProof/>
                <w:webHidden/>
              </w:rPr>
              <w:tab/>
            </w:r>
            <w:r w:rsidR="004E7B11">
              <w:rPr>
                <w:noProof/>
                <w:webHidden/>
              </w:rPr>
              <w:fldChar w:fldCharType="begin"/>
            </w:r>
            <w:r w:rsidR="004E7B11">
              <w:rPr>
                <w:noProof/>
                <w:webHidden/>
              </w:rPr>
              <w:instrText xml:space="preserve"> PAGEREF _Toc144287135 \h </w:instrText>
            </w:r>
            <w:r w:rsidR="004E7B11">
              <w:rPr>
                <w:noProof/>
                <w:webHidden/>
              </w:rPr>
            </w:r>
            <w:r w:rsidR="004E7B11">
              <w:rPr>
                <w:noProof/>
                <w:webHidden/>
              </w:rPr>
              <w:fldChar w:fldCharType="separate"/>
            </w:r>
            <w:r w:rsidR="004E7B11">
              <w:rPr>
                <w:noProof/>
                <w:webHidden/>
              </w:rPr>
              <w:t>6</w:t>
            </w:r>
            <w:r w:rsidR="004E7B11">
              <w:rPr>
                <w:noProof/>
                <w:webHidden/>
              </w:rPr>
              <w:fldChar w:fldCharType="end"/>
            </w:r>
          </w:hyperlink>
        </w:p>
        <w:p w14:paraId="7EA429FF" w14:textId="6F53457C" w:rsidR="004E7B11" w:rsidRDefault="006B26C1">
          <w:pPr>
            <w:pStyle w:val="TOC3"/>
            <w:rPr>
              <w:rFonts w:asciiTheme="minorHAnsi" w:eastAsiaTheme="minorEastAsia" w:hAnsiTheme="minorHAnsi" w:cstheme="minorBidi"/>
              <w:b w:val="0"/>
              <w:noProof/>
              <w:color w:val="auto"/>
              <w:szCs w:val="22"/>
              <w:lang w:eastAsia="en-AU"/>
            </w:rPr>
          </w:pPr>
          <w:hyperlink w:anchor="_Toc144287136" w:history="1">
            <w:r w:rsidR="004E7B11" w:rsidRPr="00FA1B6B">
              <w:rPr>
                <w:rStyle w:val="Hyperlink"/>
                <w:noProof/>
              </w:rPr>
              <w:t>Current treatment options</w:t>
            </w:r>
            <w:r w:rsidR="004E7B11">
              <w:rPr>
                <w:noProof/>
                <w:webHidden/>
              </w:rPr>
              <w:tab/>
            </w:r>
            <w:r w:rsidR="004E7B11">
              <w:rPr>
                <w:noProof/>
                <w:webHidden/>
              </w:rPr>
              <w:fldChar w:fldCharType="begin"/>
            </w:r>
            <w:r w:rsidR="004E7B11">
              <w:rPr>
                <w:noProof/>
                <w:webHidden/>
              </w:rPr>
              <w:instrText xml:space="preserve"> PAGEREF _Toc144287136 \h </w:instrText>
            </w:r>
            <w:r w:rsidR="004E7B11">
              <w:rPr>
                <w:noProof/>
                <w:webHidden/>
              </w:rPr>
            </w:r>
            <w:r w:rsidR="004E7B11">
              <w:rPr>
                <w:noProof/>
                <w:webHidden/>
              </w:rPr>
              <w:fldChar w:fldCharType="separate"/>
            </w:r>
            <w:r w:rsidR="004E7B11">
              <w:rPr>
                <w:noProof/>
                <w:webHidden/>
              </w:rPr>
              <w:t>7</w:t>
            </w:r>
            <w:r w:rsidR="004E7B11">
              <w:rPr>
                <w:noProof/>
                <w:webHidden/>
              </w:rPr>
              <w:fldChar w:fldCharType="end"/>
            </w:r>
          </w:hyperlink>
        </w:p>
        <w:p w14:paraId="7AEC29FF" w14:textId="04093FF9" w:rsidR="004E7B11" w:rsidRDefault="006B26C1">
          <w:pPr>
            <w:pStyle w:val="TOC3"/>
            <w:rPr>
              <w:rFonts w:asciiTheme="minorHAnsi" w:eastAsiaTheme="minorEastAsia" w:hAnsiTheme="minorHAnsi" w:cstheme="minorBidi"/>
              <w:b w:val="0"/>
              <w:noProof/>
              <w:color w:val="auto"/>
              <w:szCs w:val="22"/>
              <w:lang w:eastAsia="en-AU"/>
            </w:rPr>
          </w:pPr>
          <w:hyperlink w:anchor="_Toc144287137" w:history="1">
            <w:r w:rsidR="004E7B11" w:rsidRPr="00FA1B6B">
              <w:rPr>
                <w:rStyle w:val="Hyperlink"/>
                <w:noProof/>
              </w:rPr>
              <w:t>Pembrolizumab</w:t>
            </w:r>
            <w:r w:rsidR="004E7B11">
              <w:rPr>
                <w:noProof/>
                <w:webHidden/>
              </w:rPr>
              <w:tab/>
            </w:r>
            <w:r w:rsidR="004E7B11">
              <w:rPr>
                <w:noProof/>
                <w:webHidden/>
              </w:rPr>
              <w:fldChar w:fldCharType="begin"/>
            </w:r>
            <w:r w:rsidR="004E7B11">
              <w:rPr>
                <w:noProof/>
                <w:webHidden/>
              </w:rPr>
              <w:instrText xml:space="preserve"> PAGEREF _Toc144287137 \h </w:instrText>
            </w:r>
            <w:r w:rsidR="004E7B11">
              <w:rPr>
                <w:noProof/>
                <w:webHidden/>
              </w:rPr>
            </w:r>
            <w:r w:rsidR="004E7B11">
              <w:rPr>
                <w:noProof/>
                <w:webHidden/>
              </w:rPr>
              <w:fldChar w:fldCharType="separate"/>
            </w:r>
            <w:r w:rsidR="004E7B11">
              <w:rPr>
                <w:noProof/>
                <w:webHidden/>
              </w:rPr>
              <w:t>7</w:t>
            </w:r>
            <w:r w:rsidR="004E7B11">
              <w:rPr>
                <w:noProof/>
                <w:webHidden/>
              </w:rPr>
              <w:fldChar w:fldCharType="end"/>
            </w:r>
          </w:hyperlink>
        </w:p>
        <w:p w14:paraId="51142056" w14:textId="36C82A3B"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38" w:history="1">
            <w:r w:rsidR="004E7B11" w:rsidRPr="00FA1B6B">
              <w:rPr>
                <w:rStyle w:val="Hyperlink"/>
                <w:noProof/>
              </w:rPr>
              <w:t>Regulatory status</w:t>
            </w:r>
            <w:r w:rsidR="004E7B11">
              <w:rPr>
                <w:noProof/>
                <w:webHidden/>
              </w:rPr>
              <w:tab/>
            </w:r>
            <w:r w:rsidR="004E7B11">
              <w:rPr>
                <w:noProof/>
                <w:webHidden/>
              </w:rPr>
              <w:fldChar w:fldCharType="begin"/>
            </w:r>
            <w:r w:rsidR="004E7B11">
              <w:rPr>
                <w:noProof/>
                <w:webHidden/>
              </w:rPr>
              <w:instrText xml:space="preserve"> PAGEREF _Toc144287138 \h </w:instrText>
            </w:r>
            <w:r w:rsidR="004E7B11">
              <w:rPr>
                <w:noProof/>
                <w:webHidden/>
              </w:rPr>
            </w:r>
            <w:r w:rsidR="004E7B11">
              <w:rPr>
                <w:noProof/>
                <w:webHidden/>
              </w:rPr>
              <w:fldChar w:fldCharType="separate"/>
            </w:r>
            <w:r w:rsidR="004E7B11">
              <w:rPr>
                <w:noProof/>
                <w:webHidden/>
              </w:rPr>
              <w:t>8</w:t>
            </w:r>
            <w:r w:rsidR="004E7B11">
              <w:rPr>
                <w:noProof/>
                <w:webHidden/>
              </w:rPr>
              <w:fldChar w:fldCharType="end"/>
            </w:r>
          </w:hyperlink>
        </w:p>
        <w:p w14:paraId="0C295119" w14:textId="53DB5C48"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39" w:history="1">
            <w:r w:rsidR="004E7B11" w:rsidRPr="00FA1B6B">
              <w:rPr>
                <w:rStyle w:val="Hyperlink"/>
                <w:noProof/>
              </w:rPr>
              <w:t>Product Information</w:t>
            </w:r>
            <w:r w:rsidR="004E7B11">
              <w:rPr>
                <w:noProof/>
                <w:webHidden/>
              </w:rPr>
              <w:tab/>
            </w:r>
            <w:r w:rsidR="004E7B11">
              <w:rPr>
                <w:noProof/>
                <w:webHidden/>
              </w:rPr>
              <w:fldChar w:fldCharType="begin"/>
            </w:r>
            <w:r w:rsidR="004E7B11">
              <w:rPr>
                <w:noProof/>
                <w:webHidden/>
              </w:rPr>
              <w:instrText xml:space="preserve"> PAGEREF _Toc144287139 \h </w:instrText>
            </w:r>
            <w:r w:rsidR="004E7B11">
              <w:rPr>
                <w:noProof/>
                <w:webHidden/>
              </w:rPr>
            </w:r>
            <w:r w:rsidR="004E7B11">
              <w:rPr>
                <w:noProof/>
                <w:webHidden/>
              </w:rPr>
              <w:fldChar w:fldCharType="separate"/>
            </w:r>
            <w:r w:rsidR="004E7B11">
              <w:rPr>
                <w:noProof/>
                <w:webHidden/>
              </w:rPr>
              <w:t>13</w:t>
            </w:r>
            <w:r w:rsidR="004E7B11">
              <w:rPr>
                <w:noProof/>
                <w:webHidden/>
              </w:rPr>
              <w:fldChar w:fldCharType="end"/>
            </w:r>
          </w:hyperlink>
        </w:p>
        <w:p w14:paraId="2818D4FF" w14:textId="26BE6F52" w:rsidR="004E7B11" w:rsidRDefault="006B26C1">
          <w:pPr>
            <w:pStyle w:val="TOC1"/>
            <w:rPr>
              <w:rFonts w:asciiTheme="minorHAnsi" w:eastAsiaTheme="minorEastAsia" w:hAnsiTheme="minorHAnsi" w:cstheme="minorBidi"/>
              <w:b w:val="0"/>
              <w:noProof/>
              <w:color w:val="auto"/>
              <w:sz w:val="22"/>
              <w:szCs w:val="22"/>
              <w:lang w:eastAsia="en-AU"/>
            </w:rPr>
          </w:pPr>
          <w:hyperlink w:anchor="_Toc144287140" w:history="1">
            <w:r w:rsidR="004E7B11" w:rsidRPr="00FA1B6B">
              <w:rPr>
                <w:rStyle w:val="Hyperlink"/>
                <w:noProof/>
              </w:rPr>
              <w:t>Registration timeline</w:t>
            </w:r>
            <w:r w:rsidR="004E7B11">
              <w:rPr>
                <w:noProof/>
                <w:webHidden/>
              </w:rPr>
              <w:tab/>
            </w:r>
            <w:r w:rsidR="004E7B11">
              <w:rPr>
                <w:noProof/>
                <w:webHidden/>
              </w:rPr>
              <w:fldChar w:fldCharType="begin"/>
            </w:r>
            <w:r w:rsidR="004E7B11">
              <w:rPr>
                <w:noProof/>
                <w:webHidden/>
              </w:rPr>
              <w:instrText xml:space="preserve"> PAGEREF _Toc144287140 \h </w:instrText>
            </w:r>
            <w:r w:rsidR="004E7B11">
              <w:rPr>
                <w:noProof/>
                <w:webHidden/>
              </w:rPr>
            </w:r>
            <w:r w:rsidR="004E7B11">
              <w:rPr>
                <w:noProof/>
                <w:webHidden/>
              </w:rPr>
              <w:fldChar w:fldCharType="separate"/>
            </w:r>
            <w:r w:rsidR="004E7B11">
              <w:rPr>
                <w:noProof/>
                <w:webHidden/>
              </w:rPr>
              <w:t>13</w:t>
            </w:r>
            <w:r w:rsidR="004E7B11">
              <w:rPr>
                <w:noProof/>
                <w:webHidden/>
              </w:rPr>
              <w:fldChar w:fldCharType="end"/>
            </w:r>
          </w:hyperlink>
        </w:p>
        <w:p w14:paraId="5BAFF4DB" w14:textId="11A26A65" w:rsidR="004E7B11" w:rsidRDefault="006B26C1">
          <w:pPr>
            <w:pStyle w:val="TOC1"/>
            <w:rPr>
              <w:rFonts w:asciiTheme="minorHAnsi" w:eastAsiaTheme="minorEastAsia" w:hAnsiTheme="minorHAnsi" w:cstheme="minorBidi"/>
              <w:b w:val="0"/>
              <w:noProof/>
              <w:color w:val="auto"/>
              <w:sz w:val="22"/>
              <w:szCs w:val="22"/>
              <w:lang w:eastAsia="en-AU"/>
            </w:rPr>
          </w:pPr>
          <w:hyperlink w:anchor="_Toc144287141" w:history="1">
            <w:r w:rsidR="004E7B11" w:rsidRPr="00FA1B6B">
              <w:rPr>
                <w:rStyle w:val="Hyperlink"/>
                <w:noProof/>
              </w:rPr>
              <w:t>Submission overview and risk/benefit assessment</w:t>
            </w:r>
            <w:r w:rsidR="004E7B11">
              <w:rPr>
                <w:noProof/>
                <w:webHidden/>
              </w:rPr>
              <w:tab/>
            </w:r>
            <w:r w:rsidR="004E7B11">
              <w:rPr>
                <w:noProof/>
                <w:webHidden/>
              </w:rPr>
              <w:fldChar w:fldCharType="begin"/>
            </w:r>
            <w:r w:rsidR="004E7B11">
              <w:rPr>
                <w:noProof/>
                <w:webHidden/>
              </w:rPr>
              <w:instrText xml:space="preserve"> PAGEREF _Toc144287141 \h </w:instrText>
            </w:r>
            <w:r w:rsidR="004E7B11">
              <w:rPr>
                <w:noProof/>
                <w:webHidden/>
              </w:rPr>
            </w:r>
            <w:r w:rsidR="004E7B11">
              <w:rPr>
                <w:noProof/>
                <w:webHidden/>
              </w:rPr>
              <w:fldChar w:fldCharType="separate"/>
            </w:r>
            <w:r w:rsidR="004E7B11">
              <w:rPr>
                <w:noProof/>
                <w:webHidden/>
              </w:rPr>
              <w:t>14</w:t>
            </w:r>
            <w:r w:rsidR="004E7B11">
              <w:rPr>
                <w:noProof/>
                <w:webHidden/>
              </w:rPr>
              <w:fldChar w:fldCharType="end"/>
            </w:r>
          </w:hyperlink>
        </w:p>
        <w:p w14:paraId="08515492" w14:textId="1169B68A"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42" w:history="1">
            <w:r w:rsidR="004E7B11" w:rsidRPr="00FA1B6B">
              <w:rPr>
                <w:rStyle w:val="Hyperlink"/>
                <w:noProof/>
              </w:rPr>
              <w:t>Quality</w:t>
            </w:r>
            <w:r w:rsidR="004E7B11">
              <w:rPr>
                <w:noProof/>
                <w:webHidden/>
              </w:rPr>
              <w:tab/>
            </w:r>
            <w:r w:rsidR="004E7B11">
              <w:rPr>
                <w:noProof/>
                <w:webHidden/>
              </w:rPr>
              <w:fldChar w:fldCharType="begin"/>
            </w:r>
            <w:r w:rsidR="004E7B11">
              <w:rPr>
                <w:noProof/>
                <w:webHidden/>
              </w:rPr>
              <w:instrText xml:space="preserve"> PAGEREF _Toc144287142 \h </w:instrText>
            </w:r>
            <w:r w:rsidR="004E7B11">
              <w:rPr>
                <w:noProof/>
                <w:webHidden/>
              </w:rPr>
            </w:r>
            <w:r w:rsidR="004E7B11">
              <w:rPr>
                <w:noProof/>
                <w:webHidden/>
              </w:rPr>
              <w:fldChar w:fldCharType="separate"/>
            </w:r>
            <w:r w:rsidR="004E7B11">
              <w:rPr>
                <w:noProof/>
                <w:webHidden/>
              </w:rPr>
              <w:t>14</w:t>
            </w:r>
            <w:r w:rsidR="004E7B11">
              <w:rPr>
                <w:noProof/>
                <w:webHidden/>
              </w:rPr>
              <w:fldChar w:fldCharType="end"/>
            </w:r>
          </w:hyperlink>
        </w:p>
        <w:p w14:paraId="332624CE" w14:textId="33C2BBBF"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43" w:history="1">
            <w:r w:rsidR="004E7B11" w:rsidRPr="00FA1B6B">
              <w:rPr>
                <w:rStyle w:val="Hyperlink"/>
                <w:noProof/>
              </w:rPr>
              <w:t>Nonclinical</w:t>
            </w:r>
            <w:r w:rsidR="004E7B11">
              <w:rPr>
                <w:noProof/>
                <w:webHidden/>
              </w:rPr>
              <w:tab/>
            </w:r>
            <w:r w:rsidR="004E7B11">
              <w:rPr>
                <w:noProof/>
                <w:webHidden/>
              </w:rPr>
              <w:fldChar w:fldCharType="begin"/>
            </w:r>
            <w:r w:rsidR="004E7B11">
              <w:rPr>
                <w:noProof/>
                <w:webHidden/>
              </w:rPr>
              <w:instrText xml:space="preserve"> PAGEREF _Toc144287143 \h </w:instrText>
            </w:r>
            <w:r w:rsidR="004E7B11">
              <w:rPr>
                <w:noProof/>
                <w:webHidden/>
              </w:rPr>
            </w:r>
            <w:r w:rsidR="004E7B11">
              <w:rPr>
                <w:noProof/>
                <w:webHidden/>
              </w:rPr>
              <w:fldChar w:fldCharType="separate"/>
            </w:r>
            <w:r w:rsidR="004E7B11">
              <w:rPr>
                <w:noProof/>
                <w:webHidden/>
              </w:rPr>
              <w:t>14</w:t>
            </w:r>
            <w:r w:rsidR="004E7B11">
              <w:rPr>
                <w:noProof/>
                <w:webHidden/>
              </w:rPr>
              <w:fldChar w:fldCharType="end"/>
            </w:r>
          </w:hyperlink>
        </w:p>
        <w:p w14:paraId="595EBC6A" w14:textId="364C401F"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44" w:history="1">
            <w:r w:rsidR="004E7B11" w:rsidRPr="00FA1B6B">
              <w:rPr>
                <w:rStyle w:val="Hyperlink"/>
                <w:noProof/>
              </w:rPr>
              <w:t>Clinical</w:t>
            </w:r>
            <w:r w:rsidR="004E7B11">
              <w:rPr>
                <w:noProof/>
                <w:webHidden/>
              </w:rPr>
              <w:tab/>
            </w:r>
            <w:r w:rsidR="004E7B11">
              <w:rPr>
                <w:noProof/>
                <w:webHidden/>
              </w:rPr>
              <w:fldChar w:fldCharType="begin"/>
            </w:r>
            <w:r w:rsidR="004E7B11">
              <w:rPr>
                <w:noProof/>
                <w:webHidden/>
              </w:rPr>
              <w:instrText xml:space="preserve"> PAGEREF _Toc144287144 \h </w:instrText>
            </w:r>
            <w:r w:rsidR="004E7B11">
              <w:rPr>
                <w:noProof/>
                <w:webHidden/>
              </w:rPr>
            </w:r>
            <w:r w:rsidR="004E7B11">
              <w:rPr>
                <w:noProof/>
                <w:webHidden/>
              </w:rPr>
              <w:fldChar w:fldCharType="separate"/>
            </w:r>
            <w:r w:rsidR="004E7B11">
              <w:rPr>
                <w:noProof/>
                <w:webHidden/>
              </w:rPr>
              <w:t>15</w:t>
            </w:r>
            <w:r w:rsidR="004E7B11">
              <w:rPr>
                <w:noProof/>
                <w:webHidden/>
              </w:rPr>
              <w:fldChar w:fldCharType="end"/>
            </w:r>
          </w:hyperlink>
        </w:p>
        <w:p w14:paraId="226F1696" w14:textId="00503FD6" w:rsidR="004E7B11" w:rsidRDefault="006B26C1">
          <w:pPr>
            <w:pStyle w:val="TOC3"/>
            <w:rPr>
              <w:rFonts w:asciiTheme="minorHAnsi" w:eastAsiaTheme="minorEastAsia" w:hAnsiTheme="minorHAnsi" w:cstheme="minorBidi"/>
              <w:b w:val="0"/>
              <w:noProof/>
              <w:color w:val="auto"/>
              <w:szCs w:val="22"/>
              <w:lang w:eastAsia="en-AU"/>
            </w:rPr>
          </w:pPr>
          <w:hyperlink w:anchor="_Toc144287145" w:history="1">
            <w:r w:rsidR="004E7B11" w:rsidRPr="00FA1B6B">
              <w:rPr>
                <w:rStyle w:val="Hyperlink"/>
                <w:noProof/>
              </w:rPr>
              <w:t>Summary of clinical studies</w:t>
            </w:r>
            <w:r w:rsidR="004E7B11">
              <w:rPr>
                <w:noProof/>
                <w:webHidden/>
              </w:rPr>
              <w:tab/>
            </w:r>
            <w:r w:rsidR="004E7B11">
              <w:rPr>
                <w:noProof/>
                <w:webHidden/>
              </w:rPr>
              <w:fldChar w:fldCharType="begin"/>
            </w:r>
            <w:r w:rsidR="004E7B11">
              <w:rPr>
                <w:noProof/>
                <w:webHidden/>
              </w:rPr>
              <w:instrText xml:space="preserve"> PAGEREF _Toc144287145 \h </w:instrText>
            </w:r>
            <w:r w:rsidR="004E7B11">
              <w:rPr>
                <w:noProof/>
                <w:webHidden/>
              </w:rPr>
            </w:r>
            <w:r w:rsidR="004E7B11">
              <w:rPr>
                <w:noProof/>
                <w:webHidden/>
              </w:rPr>
              <w:fldChar w:fldCharType="separate"/>
            </w:r>
            <w:r w:rsidR="004E7B11">
              <w:rPr>
                <w:noProof/>
                <w:webHidden/>
              </w:rPr>
              <w:t>15</w:t>
            </w:r>
            <w:r w:rsidR="004E7B11">
              <w:rPr>
                <w:noProof/>
                <w:webHidden/>
              </w:rPr>
              <w:fldChar w:fldCharType="end"/>
            </w:r>
          </w:hyperlink>
        </w:p>
        <w:p w14:paraId="1AC2376F" w14:textId="4173FDEB" w:rsidR="004E7B11" w:rsidRDefault="006B26C1">
          <w:pPr>
            <w:pStyle w:val="TOC3"/>
            <w:rPr>
              <w:rFonts w:asciiTheme="minorHAnsi" w:eastAsiaTheme="minorEastAsia" w:hAnsiTheme="minorHAnsi" w:cstheme="minorBidi"/>
              <w:b w:val="0"/>
              <w:noProof/>
              <w:color w:val="auto"/>
              <w:szCs w:val="22"/>
              <w:lang w:eastAsia="en-AU"/>
            </w:rPr>
          </w:pPr>
          <w:hyperlink w:anchor="_Toc144287146" w:history="1">
            <w:r w:rsidR="004E7B11" w:rsidRPr="00FA1B6B">
              <w:rPr>
                <w:rStyle w:val="Hyperlink"/>
                <w:noProof/>
              </w:rPr>
              <w:t>Efficacy</w:t>
            </w:r>
            <w:r w:rsidR="004E7B11">
              <w:rPr>
                <w:noProof/>
                <w:webHidden/>
              </w:rPr>
              <w:tab/>
            </w:r>
            <w:r w:rsidR="004E7B11">
              <w:rPr>
                <w:noProof/>
                <w:webHidden/>
              </w:rPr>
              <w:fldChar w:fldCharType="begin"/>
            </w:r>
            <w:r w:rsidR="004E7B11">
              <w:rPr>
                <w:noProof/>
                <w:webHidden/>
              </w:rPr>
              <w:instrText xml:space="preserve"> PAGEREF _Toc144287146 \h </w:instrText>
            </w:r>
            <w:r w:rsidR="004E7B11">
              <w:rPr>
                <w:noProof/>
                <w:webHidden/>
              </w:rPr>
            </w:r>
            <w:r w:rsidR="004E7B11">
              <w:rPr>
                <w:noProof/>
                <w:webHidden/>
              </w:rPr>
              <w:fldChar w:fldCharType="separate"/>
            </w:r>
            <w:r w:rsidR="004E7B11">
              <w:rPr>
                <w:noProof/>
                <w:webHidden/>
              </w:rPr>
              <w:t>15</w:t>
            </w:r>
            <w:r w:rsidR="004E7B11">
              <w:rPr>
                <w:noProof/>
                <w:webHidden/>
              </w:rPr>
              <w:fldChar w:fldCharType="end"/>
            </w:r>
          </w:hyperlink>
        </w:p>
        <w:p w14:paraId="27D566FB" w14:textId="7EC11AA7" w:rsidR="004E7B11" w:rsidRDefault="006B26C1">
          <w:pPr>
            <w:pStyle w:val="TOC3"/>
            <w:rPr>
              <w:rFonts w:asciiTheme="minorHAnsi" w:eastAsiaTheme="minorEastAsia" w:hAnsiTheme="minorHAnsi" w:cstheme="minorBidi"/>
              <w:b w:val="0"/>
              <w:noProof/>
              <w:color w:val="auto"/>
              <w:szCs w:val="22"/>
              <w:lang w:eastAsia="en-AU"/>
            </w:rPr>
          </w:pPr>
          <w:hyperlink w:anchor="_Toc144287147" w:history="1">
            <w:r w:rsidR="004E7B11" w:rsidRPr="00FA1B6B">
              <w:rPr>
                <w:rStyle w:val="Hyperlink"/>
                <w:noProof/>
              </w:rPr>
              <w:t>Safety</w:t>
            </w:r>
            <w:r w:rsidR="004E7B11">
              <w:rPr>
                <w:noProof/>
                <w:webHidden/>
              </w:rPr>
              <w:tab/>
            </w:r>
            <w:r w:rsidR="004E7B11">
              <w:rPr>
                <w:noProof/>
                <w:webHidden/>
              </w:rPr>
              <w:fldChar w:fldCharType="begin"/>
            </w:r>
            <w:r w:rsidR="004E7B11">
              <w:rPr>
                <w:noProof/>
                <w:webHidden/>
              </w:rPr>
              <w:instrText xml:space="preserve"> PAGEREF _Toc144287147 \h </w:instrText>
            </w:r>
            <w:r w:rsidR="004E7B11">
              <w:rPr>
                <w:noProof/>
                <w:webHidden/>
              </w:rPr>
            </w:r>
            <w:r w:rsidR="004E7B11">
              <w:rPr>
                <w:noProof/>
                <w:webHidden/>
              </w:rPr>
              <w:fldChar w:fldCharType="separate"/>
            </w:r>
            <w:r w:rsidR="004E7B11">
              <w:rPr>
                <w:noProof/>
                <w:webHidden/>
              </w:rPr>
              <w:t>33</w:t>
            </w:r>
            <w:r w:rsidR="004E7B11">
              <w:rPr>
                <w:noProof/>
                <w:webHidden/>
              </w:rPr>
              <w:fldChar w:fldCharType="end"/>
            </w:r>
          </w:hyperlink>
        </w:p>
        <w:p w14:paraId="40DC73DD" w14:textId="599692BE"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48" w:history="1">
            <w:r w:rsidR="004E7B11" w:rsidRPr="00FA1B6B">
              <w:rPr>
                <w:rStyle w:val="Hyperlink"/>
                <w:noProof/>
                <w:lang w:eastAsia="en-AU"/>
              </w:rPr>
              <w:t>Risk management plan</w:t>
            </w:r>
            <w:r w:rsidR="004E7B11">
              <w:rPr>
                <w:noProof/>
                <w:webHidden/>
              </w:rPr>
              <w:tab/>
            </w:r>
            <w:r w:rsidR="004E7B11">
              <w:rPr>
                <w:noProof/>
                <w:webHidden/>
              </w:rPr>
              <w:fldChar w:fldCharType="begin"/>
            </w:r>
            <w:r w:rsidR="004E7B11">
              <w:rPr>
                <w:noProof/>
                <w:webHidden/>
              </w:rPr>
              <w:instrText xml:space="preserve"> PAGEREF _Toc144287148 \h </w:instrText>
            </w:r>
            <w:r w:rsidR="004E7B11">
              <w:rPr>
                <w:noProof/>
                <w:webHidden/>
              </w:rPr>
            </w:r>
            <w:r w:rsidR="004E7B11">
              <w:rPr>
                <w:noProof/>
                <w:webHidden/>
              </w:rPr>
              <w:fldChar w:fldCharType="separate"/>
            </w:r>
            <w:r w:rsidR="004E7B11">
              <w:rPr>
                <w:noProof/>
                <w:webHidden/>
              </w:rPr>
              <w:t>40</w:t>
            </w:r>
            <w:r w:rsidR="004E7B11">
              <w:rPr>
                <w:noProof/>
                <w:webHidden/>
              </w:rPr>
              <w:fldChar w:fldCharType="end"/>
            </w:r>
          </w:hyperlink>
        </w:p>
        <w:p w14:paraId="6455C677" w14:textId="7359CDE6"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49" w:history="1">
            <w:r w:rsidR="004E7B11" w:rsidRPr="00FA1B6B">
              <w:rPr>
                <w:rStyle w:val="Hyperlink"/>
                <w:noProof/>
              </w:rPr>
              <w:t>Risk-benefit analysis</w:t>
            </w:r>
            <w:r w:rsidR="004E7B11">
              <w:rPr>
                <w:noProof/>
                <w:webHidden/>
              </w:rPr>
              <w:tab/>
            </w:r>
            <w:r w:rsidR="004E7B11">
              <w:rPr>
                <w:noProof/>
                <w:webHidden/>
              </w:rPr>
              <w:fldChar w:fldCharType="begin"/>
            </w:r>
            <w:r w:rsidR="004E7B11">
              <w:rPr>
                <w:noProof/>
                <w:webHidden/>
              </w:rPr>
              <w:instrText xml:space="preserve"> PAGEREF _Toc144287149 \h </w:instrText>
            </w:r>
            <w:r w:rsidR="004E7B11">
              <w:rPr>
                <w:noProof/>
                <w:webHidden/>
              </w:rPr>
            </w:r>
            <w:r w:rsidR="004E7B11">
              <w:rPr>
                <w:noProof/>
                <w:webHidden/>
              </w:rPr>
              <w:fldChar w:fldCharType="separate"/>
            </w:r>
            <w:r w:rsidR="004E7B11">
              <w:rPr>
                <w:noProof/>
                <w:webHidden/>
              </w:rPr>
              <w:t>41</w:t>
            </w:r>
            <w:r w:rsidR="004E7B11">
              <w:rPr>
                <w:noProof/>
                <w:webHidden/>
              </w:rPr>
              <w:fldChar w:fldCharType="end"/>
            </w:r>
          </w:hyperlink>
        </w:p>
        <w:p w14:paraId="49ABB39F" w14:textId="1A25F8CA" w:rsidR="004E7B11" w:rsidRDefault="006B26C1">
          <w:pPr>
            <w:pStyle w:val="TOC3"/>
            <w:rPr>
              <w:rFonts w:asciiTheme="minorHAnsi" w:eastAsiaTheme="minorEastAsia" w:hAnsiTheme="minorHAnsi" w:cstheme="minorBidi"/>
              <w:b w:val="0"/>
              <w:noProof/>
              <w:color w:val="auto"/>
              <w:szCs w:val="22"/>
              <w:lang w:eastAsia="en-AU"/>
            </w:rPr>
          </w:pPr>
          <w:hyperlink w:anchor="_Toc144287150" w:history="1">
            <w:r w:rsidR="004E7B11" w:rsidRPr="00FA1B6B">
              <w:rPr>
                <w:rStyle w:val="Hyperlink"/>
                <w:noProof/>
              </w:rPr>
              <w:t>Delegate’s considerations</w:t>
            </w:r>
            <w:r w:rsidR="004E7B11">
              <w:rPr>
                <w:noProof/>
                <w:webHidden/>
              </w:rPr>
              <w:tab/>
            </w:r>
            <w:r w:rsidR="004E7B11">
              <w:rPr>
                <w:noProof/>
                <w:webHidden/>
              </w:rPr>
              <w:fldChar w:fldCharType="begin"/>
            </w:r>
            <w:r w:rsidR="004E7B11">
              <w:rPr>
                <w:noProof/>
                <w:webHidden/>
              </w:rPr>
              <w:instrText xml:space="preserve"> PAGEREF _Toc144287150 \h </w:instrText>
            </w:r>
            <w:r w:rsidR="004E7B11">
              <w:rPr>
                <w:noProof/>
                <w:webHidden/>
              </w:rPr>
            </w:r>
            <w:r w:rsidR="004E7B11">
              <w:rPr>
                <w:noProof/>
                <w:webHidden/>
              </w:rPr>
              <w:fldChar w:fldCharType="separate"/>
            </w:r>
            <w:r w:rsidR="004E7B11">
              <w:rPr>
                <w:noProof/>
                <w:webHidden/>
              </w:rPr>
              <w:t>41</w:t>
            </w:r>
            <w:r w:rsidR="004E7B11">
              <w:rPr>
                <w:noProof/>
                <w:webHidden/>
              </w:rPr>
              <w:fldChar w:fldCharType="end"/>
            </w:r>
          </w:hyperlink>
        </w:p>
        <w:p w14:paraId="5B16C648" w14:textId="04ADCCE4" w:rsidR="004E7B11" w:rsidRDefault="006B26C1">
          <w:pPr>
            <w:pStyle w:val="TOC3"/>
            <w:rPr>
              <w:rFonts w:asciiTheme="minorHAnsi" w:eastAsiaTheme="minorEastAsia" w:hAnsiTheme="minorHAnsi" w:cstheme="minorBidi"/>
              <w:b w:val="0"/>
              <w:noProof/>
              <w:color w:val="auto"/>
              <w:szCs w:val="22"/>
              <w:lang w:eastAsia="en-AU"/>
            </w:rPr>
          </w:pPr>
          <w:hyperlink w:anchor="_Toc144287151" w:history="1">
            <w:r w:rsidR="004E7B11" w:rsidRPr="00FA1B6B">
              <w:rPr>
                <w:rStyle w:val="Hyperlink"/>
                <w:noProof/>
              </w:rPr>
              <w:t>Proposed action</w:t>
            </w:r>
            <w:r w:rsidR="004E7B11">
              <w:rPr>
                <w:noProof/>
                <w:webHidden/>
              </w:rPr>
              <w:tab/>
            </w:r>
            <w:r w:rsidR="004E7B11">
              <w:rPr>
                <w:noProof/>
                <w:webHidden/>
              </w:rPr>
              <w:fldChar w:fldCharType="begin"/>
            </w:r>
            <w:r w:rsidR="004E7B11">
              <w:rPr>
                <w:noProof/>
                <w:webHidden/>
              </w:rPr>
              <w:instrText xml:space="preserve"> PAGEREF _Toc144287151 \h </w:instrText>
            </w:r>
            <w:r w:rsidR="004E7B11">
              <w:rPr>
                <w:noProof/>
                <w:webHidden/>
              </w:rPr>
            </w:r>
            <w:r w:rsidR="004E7B11">
              <w:rPr>
                <w:noProof/>
                <w:webHidden/>
              </w:rPr>
              <w:fldChar w:fldCharType="separate"/>
            </w:r>
            <w:r w:rsidR="004E7B11">
              <w:rPr>
                <w:noProof/>
                <w:webHidden/>
              </w:rPr>
              <w:t>45</w:t>
            </w:r>
            <w:r w:rsidR="004E7B11">
              <w:rPr>
                <w:noProof/>
                <w:webHidden/>
              </w:rPr>
              <w:fldChar w:fldCharType="end"/>
            </w:r>
          </w:hyperlink>
        </w:p>
        <w:p w14:paraId="13C1AB19" w14:textId="45EDB360" w:rsidR="004E7B11" w:rsidRDefault="006B26C1">
          <w:pPr>
            <w:pStyle w:val="TOC3"/>
            <w:rPr>
              <w:rFonts w:asciiTheme="minorHAnsi" w:eastAsiaTheme="minorEastAsia" w:hAnsiTheme="minorHAnsi" w:cstheme="minorBidi"/>
              <w:b w:val="0"/>
              <w:noProof/>
              <w:color w:val="auto"/>
              <w:szCs w:val="22"/>
              <w:lang w:eastAsia="en-AU"/>
            </w:rPr>
          </w:pPr>
          <w:hyperlink w:anchor="_Toc144287152" w:history="1">
            <w:r w:rsidR="004E7B11" w:rsidRPr="00FA1B6B">
              <w:rPr>
                <w:rStyle w:val="Hyperlink"/>
                <w:noProof/>
              </w:rPr>
              <w:t>Questions for the sponsor</w:t>
            </w:r>
            <w:r w:rsidR="004E7B11">
              <w:rPr>
                <w:noProof/>
                <w:webHidden/>
              </w:rPr>
              <w:tab/>
            </w:r>
            <w:r w:rsidR="004E7B11">
              <w:rPr>
                <w:noProof/>
                <w:webHidden/>
              </w:rPr>
              <w:fldChar w:fldCharType="begin"/>
            </w:r>
            <w:r w:rsidR="004E7B11">
              <w:rPr>
                <w:noProof/>
                <w:webHidden/>
              </w:rPr>
              <w:instrText xml:space="preserve"> PAGEREF _Toc144287152 \h </w:instrText>
            </w:r>
            <w:r w:rsidR="004E7B11">
              <w:rPr>
                <w:noProof/>
                <w:webHidden/>
              </w:rPr>
            </w:r>
            <w:r w:rsidR="004E7B11">
              <w:rPr>
                <w:noProof/>
                <w:webHidden/>
              </w:rPr>
              <w:fldChar w:fldCharType="separate"/>
            </w:r>
            <w:r w:rsidR="004E7B11">
              <w:rPr>
                <w:noProof/>
                <w:webHidden/>
              </w:rPr>
              <w:t>46</w:t>
            </w:r>
            <w:r w:rsidR="004E7B11">
              <w:rPr>
                <w:noProof/>
                <w:webHidden/>
              </w:rPr>
              <w:fldChar w:fldCharType="end"/>
            </w:r>
          </w:hyperlink>
        </w:p>
        <w:p w14:paraId="07CDA9FD" w14:textId="53D453C1" w:rsidR="004E7B11" w:rsidRDefault="006B26C1">
          <w:pPr>
            <w:pStyle w:val="TOC3"/>
            <w:rPr>
              <w:rFonts w:asciiTheme="minorHAnsi" w:eastAsiaTheme="minorEastAsia" w:hAnsiTheme="minorHAnsi" w:cstheme="minorBidi"/>
              <w:b w:val="0"/>
              <w:noProof/>
              <w:color w:val="auto"/>
              <w:szCs w:val="22"/>
              <w:lang w:eastAsia="en-AU"/>
            </w:rPr>
          </w:pPr>
          <w:hyperlink w:anchor="_Toc144287153" w:history="1">
            <w:r w:rsidR="004E7B11" w:rsidRPr="00FA1B6B">
              <w:rPr>
                <w:rStyle w:val="Hyperlink"/>
                <w:noProof/>
              </w:rPr>
              <w:t>Advisory Committee considerations</w:t>
            </w:r>
            <w:r w:rsidR="004E7B11">
              <w:rPr>
                <w:noProof/>
                <w:webHidden/>
              </w:rPr>
              <w:tab/>
            </w:r>
            <w:r w:rsidR="004E7B11">
              <w:rPr>
                <w:noProof/>
                <w:webHidden/>
              </w:rPr>
              <w:fldChar w:fldCharType="begin"/>
            </w:r>
            <w:r w:rsidR="004E7B11">
              <w:rPr>
                <w:noProof/>
                <w:webHidden/>
              </w:rPr>
              <w:instrText xml:space="preserve"> PAGEREF _Toc144287153 \h </w:instrText>
            </w:r>
            <w:r w:rsidR="004E7B11">
              <w:rPr>
                <w:noProof/>
                <w:webHidden/>
              </w:rPr>
            </w:r>
            <w:r w:rsidR="004E7B11">
              <w:rPr>
                <w:noProof/>
                <w:webHidden/>
              </w:rPr>
              <w:fldChar w:fldCharType="separate"/>
            </w:r>
            <w:r w:rsidR="004E7B11">
              <w:rPr>
                <w:noProof/>
                <w:webHidden/>
              </w:rPr>
              <w:t>47</w:t>
            </w:r>
            <w:r w:rsidR="004E7B11">
              <w:rPr>
                <w:noProof/>
                <w:webHidden/>
              </w:rPr>
              <w:fldChar w:fldCharType="end"/>
            </w:r>
          </w:hyperlink>
        </w:p>
        <w:p w14:paraId="77FF0275" w14:textId="33388936" w:rsidR="004E7B11" w:rsidRDefault="006B26C1">
          <w:pPr>
            <w:pStyle w:val="TOC1"/>
            <w:rPr>
              <w:rFonts w:asciiTheme="minorHAnsi" w:eastAsiaTheme="minorEastAsia" w:hAnsiTheme="minorHAnsi" w:cstheme="minorBidi"/>
              <w:b w:val="0"/>
              <w:noProof/>
              <w:color w:val="auto"/>
              <w:sz w:val="22"/>
              <w:szCs w:val="22"/>
              <w:lang w:eastAsia="en-AU"/>
            </w:rPr>
          </w:pPr>
          <w:hyperlink w:anchor="_Toc144287154" w:history="1">
            <w:r w:rsidR="004E7B11" w:rsidRPr="00FA1B6B">
              <w:rPr>
                <w:rStyle w:val="Hyperlink"/>
                <w:noProof/>
              </w:rPr>
              <w:t>Outcome</w:t>
            </w:r>
            <w:r w:rsidR="004E7B11">
              <w:rPr>
                <w:noProof/>
                <w:webHidden/>
              </w:rPr>
              <w:tab/>
            </w:r>
            <w:r w:rsidR="004E7B11">
              <w:rPr>
                <w:noProof/>
                <w:webHidden/>
              </w:rPr>
              <w:fldChar w:fldCharType="begin"/>
            </w:r>
            <w:r w:rsidR="004E7B11">
              <w:rPr>
                <w:noProof/>
                <w:webHidden/>
              </w:rPr>
              <w:instrText xml:space="preserve"> PAGEREF _Toc144287154 \h </w:instrText>
            </w:r>
            <w:r w:rsidR="004E7B11">
              <w:rPr>
                <w:noProof/>
                <w:webHidden/>
              </w:rPr>
            </w:r>
            <w:r w:rsidR="004E7B11">
              <w:rPr>
                <w:noProof/>
                <w:webHidden/>
              </w:rPr>
              <w:fldChar w:fldCharType="separate"/>
            </w:r>
            <w:r w:rsidR="004E7B11">
              <w:rPr>
                <w:noProof/>
                <w:webHidden/>
              </w:rPr>
              <w:t>47</w:t>
            </w:r>
            <w:r w:rsidR="004E7B11">
              <w:rPr>
                <w:noProof/>
                <w:webHidden/>
              </w:rPr>
              <w:fldChar w:fldCharType="end"/>
            </w:r>
          </w:hyperlink>
        </w:p>
        <w:p w14:paraId="0D0E4183" w14:textId="48B9826E" w:rsidR="004E7B11" w:rsidRDefault="006B26C1">
          <w:pPr>
            <w:pStyle w:val="TOC2"/>
            <w:rPr>
              <w:rFonts w:asciiTheme="minorHAnsi" w:eastAsiaTheme="minorEastAsia" w:hAnsiTheme="minorHAnsi" w:cstheme="minorBidi"/>
              <w:b w:val="0"/>
              <w:noProof/>
              <w:color w:val="auto"/>
              <w:sz w:val="22"/>
              <w:szCs w:val="22"/>
              <w:lang w:eastAsia="en-AU"/>
            </w:rPr>
          </w:pPr>
          <w:hyperlink w:anchor="_Toc144287155" w:history="1">
            <w:r w:rsidR="004E7B11" w:rsidRPr="00FA1B6B">
              <w:rPr>
                <w:rStyle w:val="Hyperlink"/>
                <w:noProof/>
              </w:rPr>
              <w:t>Specific conditions of registration applying to these goods</w:t>
            </w:r>
            <w:r w:rsidR="004E7B11">
              <w:rPr>
                <w:noProof/>
                <w:webHidden/>
              </w:rPr>
              <w:tab/>
            </w:r>
            <w:r w:rsidR="004E7B11">
              <w:rPr>
                <w:noProof/>
                <w:webHidden/>
              </w:rPr>
              <w:fldChar w:fldCharType="begin"/>
            </w:r>
            <w:r w:rsidR="004E7B11">
              <w:rPr>
                <w:noProof/>
                <w:webHidden/>
              </w:rPr>
              <w:instrText xml:space="preserve"> PAGEREF _Toc144287155 \h </w:instrText>
            </w:r>
            <w:r w:rsidR="004E7B11">
              <w:rPr>
                <w:noProof/>
                <w:webHidden/>
              </w:rPr>
            </w:r>
            <w:r w:rsidR="004E7B11">
              <w:rPr>
                <w:noProof/>
                <w:webHidden/>
              </w:rPr>
              <w:fldChar w:fldCharType="separate"/>
            </w:r>
            <w:r w:rsidR="004E7B11">
              <w:rPr>
                <w:noProof/>
                <w:webHidden/>
              </w:rPr>
              <w:t>51</w:t>
            </w:r>
            <w:r w:rsidR="004E7B11">
              <w:rPr>
                <w:noProof/>
                <w:webHidden/>
              </w:rPr>
              <w:fldChar w:fldCharType="end"/>
            </w:r>
          </w:hyperlink>
        </w:p>
        <w:p w14:paraId="76F3ED91" w14:textId="30FCA64C" w:rsidR="004E7B11" w:rsidRDefault="006B26C1">
          <w:pPr>
            <w:pStyle w:val="TOC1"/>
            <w:rPr>
              <w:rFonts w:asciiTheme="minorHAnsi" w:eastAsiaTheme="minorEastAsia" w:hAnsiTheme="minorHAnsi" w:cstheme="minorBidi"/>
              <w:b w:val="0"/>
              <w:noProof/>
              <w:color w:val="auto"/>
              <w:sz w:val="22"/>
              <w:szCs w:val="22"/>
              <w:lang w:eastAsia="en-AU"/>
            </w:rPr>
          </w:pPr>
          <w:hyperlink w:anchor="_Toc144287156" w:history="1">
            <w:r w:rsidR="004E7B11" w:rsidRPr="00FA1B6B">
              <w:rPr>
                <w:rStyle w:val="Hyperlink"/>
                <w:noProof/>
              </w:rPr>
              <w:t>Attachment 1. Product Information</w:t>
            </w:r>
            <w:r w:rsidR="004E7B11">
              <w:rPr>
                <w:noProof/>
                <w:webHidden/>
              </w:rPr>
              <w:tab/>
            </w:r>
            <w:r w:rsidR="004E7B11">
              <w:rPr>
                <w:noProof/>
                <w:webHidden/>
              </w:rPr>
              <w:fldChar w:fldCharType="begin"/>
            </w:r>
            <w:r w:rsidR="004E7B11">
              <w:rPr>
                <w:noProof/>
                <w:webHidden/>
              </w:rPr>
              <w:instrText xml:space="preserve"> PAGEREF _Toc144287156 \h </w:instrText>
            </w:r>
            <w:r w:rsidR="004E7B11">
              <w:rPr>
                <w:noProof/>
                <w:webHidden/>
              </w:rPr>
            </w:r>
            <w:r w:rsidR="004E7B11">
              <w:rPr>
                <w:noProof/>
                <w:webHidden/>
              </w:rPr>
              <w:fldChar w:fldCharType="separate"/>
            </w:r>
            <w:r w:rsidR="004E7B11">
              <w:rPr>
                <w:noProof/>
                <w:webHidden/>
              </w:rPr>
              <w:t>51</w:t>
            </w:r>
            <w:r w:rsidR="004E7B11">
              <w:rPr>
                <w:noProof/>
                <w:webHidden/>
              </w:rPr>
              <w:fldChar w:fldCharType="end"/>
            </w:r>
          </w:hyperlink>
        </w:p>
        <w:p w14:paraId="77659F2D" w14:textId="06EDCF9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4287132"/>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DA290C" w:rsidRPr="00D01DDB" w14:paraId="2B6E20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4334F6" w14:textId="0F9C0745" w:rsidR="00DA290C" w:rsidRPr="00D01DDB" w:rsidRDefault="00DA290C" w:rsidP="00324B33">
            <w:pPr>
              <w:rPr>
                <w:szCs w:val="22"/>
              </w:rPr>
            </w:pPr>
            <w:proofErr w:type="spellStart"/>
            <w:r>
              <w:rPr>
                <w:szCs w:val="22"/>
              </w:rPr>
              <w:t>APaT</w:t>
            </w:r>
            <w:proofErr w:type="spellEnd"/>
          </w:p>
        </w:tc>
        <w:tc>
          <w:tcPr>
            <w:tcW w:w="3800" w:type="pct"/>
          </w:tcPr>
          <w:p w14:paraId="7153804E" w14:textId="07C0EBB4" w:rsidR="00DA290C"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All participants as treated</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EE5F8D" w:rsidRPr="00D01DDB" w14:paraId="2939D7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52C48E" w14:textId="0B1B6B51" w:rsidR="00EE5F8D" w:rsidRPr="00D01DDB" w:rsidRDefault="00EE5F8D" w:rsidP="00324B33">
            <w:pPr>
              <w:rPr>
                <w:szCs w:val="22"/>
              </w:rPr>
            </w:pPr>
            <w:r w:rsidRPr="00EE5F8D">
              <w:rPr>
                <w:szCs w:val="22"/>
              </w:rPr>
              <w:t>BICR</w:t>
            </w:r>
          </w:p>
        </w:tc>
        <w:tc>
          <w:tcPr>
            <w:tcW w:w="3800" w:type="pct"/>
          </w:tcPr>
          <w:p w14:paraId="474B2792" w14:textId="4EBB530F" w:rsidR="00EE5F8D" w:rsidRPr="00D01DDB" w:rsidRDefault="00EE5F8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Blinded independent central review</w:t>
            </w:r>
          </w:p>
        </w:tc>
      </w:tr>
      <w:tr w:rsidR="00B93005" w:rsidRPr="00D01DDB" w14:paraId="75E250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695F21" w14:textId="3582885D" w:rsidR="00B93005" w:rsidRPr="00D01DDB" w:rsidRDefault="00B93005" w:rsidP="00324B33">
            <w:pPr>
              <w:rPr>
                <w:szCs w:val="22"/>
              </w:rPr>
            </w:pPr>
            <w:r>
              <w:rPr>
                <w:szCs w:val="22"/>
              </w:rPr>
              <w:t>CI</w:t>
            </w:r>
          </w:p>
        </w:tc>
        <w:tc>
          <w:tcPr>
            <w:tcW w:w="3800" w:type="pct"/>
          </w:tcPr>
          <w:p w14:paraId="667371D1" w14:textId="231D38C4" w:rsidR="00B93005" w:rsidRPr="00D01DDB" w:rsidRDefault="00B9300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74696B" w:rsidRPr="00D01DDB" w14:paraId="67E3AA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DE9E54" w14:textId="3003744D" w:rsidR="003F26E9" w:rsidRPr="00D01DDB" w:rsidRDefault="003F26E9" w:rsidP="00324B33">
            <w:pPr>
              <w:rPr>
                <w:szCs w:val="22"/>
              </w:rPr>
            </w:pPr>
            <w:r>
              <w:rPr>
                <w:szCs w:val="22"/>
              </w:rPr>
              <w:t>CPS</w:t>
            </w:r>
          </w:p>
        </w:tc>
        <w:tc>
          <w:tcPr>
            <w:tcW w:w="3800" w:type="pct"/>
          </w:tcPr>
          <w:p w14:paraId="506CB5D6" w14:textId="308A983B" w:rsidR="003F26E9" w:rsidRPr="00D01DDB" w:rsidRDefault="003F26E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Combined positive score</w:t>
            </w:r>
          </w:p>
        </w:tc>
      </w:tr>
      <w:tr w:rsidR="00D745B4" w:rsidRPr="00D01DDB" w14:paraId="1CEBE7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97A3A8" w14:textId="603F3E78" w:rsidR="00D745B4" w:rsidRPr="00D01DDB" w:rsidRDefault="00D745B4" w:rsidP="00324B33">
            <w:pPr>
              <w:rPr>
                <w:szCs w:val="22"/>
              </w:rPr>
            </w:pPr>
            <w:r>
              <w:rPr>
                <w:szCs w:val="22"/>
              </w:rPr>
              <w:t>DFS</w:t>
            </w:r>
          </w:p>
        </w:tc>
        <w:tc>
          <w:tcPr>
            <w:tcW w:w="3800" w:type="pct"/>
          </w:tcPr>
          <w:p w14:paraId="426E4F7B" w14:textId="62C58C24" w:rsidR="00D745B4"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Disease free survival</w:t>
            </w:r>
          </w:p>
        </w:tc>
      </w:tr>
      <w:tr w:rsidR="00D745B4" w:rsidRPr="00D01DDB" w14:paraId="04E661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EFA422" w14:textId="787F77D1" w:rsidR="00D745B4" w:rsidRPr="00D01DDB" w:rsidRDefault="00494530" w:rsidP="00324B33">
            <w:pPr>
              <w:rPr>
                <w:szCs w:val="22"/>
              </w:rPr>
            </w:pPr>
            <w:r>
              <w:rPr>
                <w:szCs w:val="22"/>
              </w:rPr>
              <w:t>DRSS</w:t>
            </w:r>
          </w:p>
        </w:tc>
        <w:tc>
          <w:tcPr>
            <w:tcW w:w="3800" w:type="pct"/>
          </w:tcPr>
          <w:p w14:paraId="17788080" w14:textId="40871831" w:rsidR="00D745B4" w:rsidRPr="00D01DDB" w:rsidRDefault="0049453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Disease recurrence-specific survival</w:t>
            </w:r>
          </w:p>
        </w:tc>
      </w:tr>
      <w:tr w:rsidR="00494530" w:rsidRPr="00D01DDB" w14:paraId="2372976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2D52C8" w14:textId="02CE03C9" w:rsidR="00494530" w:rsidRDefault="00494530" w:rsidP="00324B33">
            <w:pPr>
              <w:rPr>
                <w:szCs w:val="22"/>
              </w:rPr>
            </w:pPr>
            <w:r>
              <w:rPr>
                <w:szCs w:val="22"/>
              </w:rPr>
              <w:t>EFS</w:t>
            </w:r>
          </w:p>
        </w:tc>
        <w:tc>
          <w:tcPr>
            <w:tcW w:w="3800" w:type="pct"/>
          </w:tcPr>
          <w:p w14:paraId="02CD924F" w14:textId="35AAC127" w:rsidR="00494530" w:rsidRDefault="0049453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Event free survival</w:t>
            </w:r>
          </w:p>
        </w:tc>
      </w:tr>
      <w:tr w:rsidR="005941BE" w:rsidRPr="00D01DDB" w14:paraId="7DE8EE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EFC4C2" w14:textId="0A7D9E34" w:rsidR="005941BE" w:rsidRDefault="005941BE" w:rsidP="00324B33">
            <w:pPr>
              <w:rPr>
                <w:szCs w:val="22"/>
              </w:rPr>
            </w:pPr>
            <w:r>
              <w:rPr>
                <w:szCs w:val="22"/>
              </w:rPr>
              <w:t>EMA</w:t>
            </w:r>
          </w:p>
        </w:tc>
        <w:tc>
          <w:tcPr>
            <w:tcW w:w="3800" w:type="pct"/>
          </w:tcPr>
          <w:p w14:paraId="245C244A" w14:textId="403753C6" w:rsidR="005941BE" w:rsidRDefault="005941B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43114B" w:rsidRPr="00D01DDB" w14:paraId="40B5977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A132E1" w14:textId="3C05975E" w:rsidR="0043114B" w:rsidRDefault="0043114B" w:rsidP="0043114B">
            <w:pPr>
              <w:rPr>
                <w:szCs w:val="22"/>
              </w:rPr>
            </w:pPr>
            <w:r w:rsidRPr="00681332">
              <w:t>EORTC QLQ</w:t>
            </w:r>
          </w:p>
        </w:tc>
        <w:tc>
          <w:tcPr>
            <w:tcW w:w="3800" w:type="pct"/>
          </w:tcPr>
          <w:p w14:paraId="7D299E94" w14:textId="5C0D7B7B" w:rsidR="0043114B" w:rsidRDefault="0043114B" w:rsidP="0043114B">
            <w:pPr>
              <w:cnfStyle w:val="000000000000" w:firstRow="0" w:lastRow="0" w:firstColumn="0" w:lastColumn="0" w:oddVBand="0" w:evenVBand="0" w:oddHBand="0" w:evenHBand="0" w:firstRowFirstColumn="0" w:firstRowLastColumn="0" w:lastRowFirstColumn="0" w:lastRowLastColumn="0"/>
              <w:rPr>
                <w:szCs w:val="22"/>
              </w:rPr>
            </w:pPr>
            <w:r w:rsidRPr="0043114B">
              <w:t>European Organisation for Research and Treatment of Cancer Quality of Life questionnaire</w:t>
            </w:r>
          </w:p>
        </w:tc>
      </w:tr>
      <w:tr w:rsidR="00B93005" w:rsidRPr="00D01DDB" w14:paraId="7BDA04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474585" w14:textId="497949F3" w:rsidR="00B93005" w:rsidRDefault="00B93005" w:rsidP="00324B33">
            <w:pPr>
              <w:rPr>
                <w:szCs w:val="22"/>
              </w:rPr>
            </w:pPr>
            <w:r w:rsidRPr="00B93005">
              <w:rPr>
                <w:szCs w:val="22"/>
              </w:rPr>
              <w:t>FDA</w:t>
            </w:r>
          </w:p>
        </w:tc>
        <w:tc>
          <w:tcPr>
            <w:tcW w:w="3800" w:type="pct"/>
          </w:tcPr>
          <w:p w14:paraId="6B42C705" w14:textId="54FA72D5" w:rsidR="00B93005" w:rsidRDefault="00B9300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w:t>
            </w:r>
          </w:p>
        </w:tc>
      </w:tr>
      <w:tr w:rsidR="002F49D5" w:rsidRPr="00D01DDB" w14:paraId="7E269C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5479D3" w14:textId="76B67A82" w:rsidR="002F49D5" w:rsidRPr="00B93005" w:rsidRDefault="002F49D5" w:rsidP="002F49D5">
            <w:pPr>
              <w:rPr>
                <w:szCs w:val="22"/>
              </w:rPr>
            </w:pPr>
            <w:r w:rsidRPr="002C77BD">
              <w:t>FKSI-DRS</w:t>
            </w:r>
          </w:p>
        </w:tc>
        <w:tc>
          <w:tcPr>
            <w:tcW w:w="3800" w:type="pct"/>
          </w:tcPr>
          <w:p w14:paraId="2DD276DC" w14:textId="19C357F7" w:rsidR="002F49D5" w:rsidRDefault="002F49D5" w:rsidP="002F49D5">
            <w:pPr>
              <w:cnfStyle w:val="000000000000" w:firstRow="0" w:lastRow="0" w:firstColumn="0" w:lastColumn="0" w:oddVBand="0" w:evenVBand="0" w:oddHBand="0" w:evenHBand="0" w:firstRowFirstColumn="0" w:firstRowLastColumn="0" w:lastRowFirstColumn="0" w:lastRowLastColumn="0"/>
              <w:rPr>
                <w:szCs w:val="22"/>
              </w:rPr>
            </w:pPr>
            <w:r w:rsidRPr="002F49D5">
              <w:rPr>
                <w:szCs w:val="22"/>
              </w:rPr>
              <w:t xml:space="preserve">Functional </w:t>
            </w:r>
            <w:r>
              <w:rPr>
                <w:szCs w:val="22"/>
              </w:rPr>
              <w:t>a</w:t>
            </w:r>
            <w:r w:rsidRPr="002F49D5">
              <w:rPr>
                <w:szCs w:val="22"/>
              </w:rPr>
              <w:t xml:space="preserve">ssessment of </w:t>
            </w:r>
            <w:r>
              <w:rPr>
                <w:szCs w:val="22"/>
              </w:rPr>
              <w:t>c</w:t>
            </w:r>
            <w:r w:rsidRPr="002F49D5">
              <w:rPr>
                <w:szCs w:val="22"/>
              </w:rPr>
              <w:t xml:space="preserve">ancer </w:t>
            </w:r>
            <w:r>
              <w:rPr>
                <w:szCs w:val="22"/>
              </w:rPr>
              <w:t>t</w:t>
            </w:r>
            <w:r w:rsidRPr="002F49D5">
              <w:rPr>
                <w:szCs w:val="22"/>
              </w:rPr>
              <w:t xml:space="preserve">herapy </w:t>
            </w:r>
            <w:r>
              <w:rPr>
                <w:szCs w:val="22"/>
              </w:rPr>
              <w:t>k</w:t>
            </w:r>
            <w:r w:rsidRPr="002F49D5">
              <w:rPr>
                <w:szCs w:val="22"/>
              </w:rPr>
              <w:t xml:space="preserve">idney </w:t>
            </w:r>
            <w:r>
              <w:rPr>
                <w:szCs w:val="22"/>
              </w:rPr>
              <w:t>c</w:t>
            </w:r>
            <w:r w:rsidRPr="002F49D5">
              <w:rPr>
                <w:szCs w:val="22"/>
              </w:rPr>
              <w:t xml:space="preserve">ancer </w:t>
            </w:r>
            <w:r>
              <w:rPr>
                <w:szCs w:val="22"/>
              </w:rPr>
              <w:t>s</w:t>
            </w:r>
            <w:r w:rsidRPr="002F49D5">
              <w:rPr>
                <w:szCs w:val="22"/>
              </w:rPr>
              <w:t xml:space="preserve">ymptom </w:t>
            </w:r>
            <w:r w:rsidR="002C77BD">
              <w:rPr>
                <w:szCs w:val="22"/>
              </w:rPr>
              <w:t>i</w:t>
            </w:r>
            <w:r w:rsidRPr="002F49D5">
              <w:rPr>
                <w:szCs w:val="22"/>
              </w:rPr>
              <w:t xml:space="preserve">ndex - </w:t>
            </w:r>
            <w:r w:rsidR="002C77BD">
              <w:rPr>
                <w:szCs w:val="22"/>
              </w:rPr>
              <w:t>d</w:t>
            </w:r>
            <w:r w:rsidRPr="002F49D5">
              <w:rPr>
                <w:szCs w:val="22"/>
              </w:rPr>
              <w:t xml:space="preserve">isease </w:t>
            </w:r>
            <w:r w:rsidR="002C77BD">
              <w:rPr>
                <w:szCs w:val="22"/>
              </w:rPr>
              <w:t>r</w:t>
            </w:r>
            <w:r w:rsidRPr="002F49D5">
              <w:rPr>
                <w:szCs w:val="22"/>
              </w:rPr>
              <w:t xml:space="preserve">elated </w:t>
            </w:r>
            <w:r w:rsidR="002C77BD">
              <w:rPr>
                <w:szCs w:val="22"/>
              </w:rPr>
              <w:t>s</w:t>
            </w:r>
            <w:r w:rsidRPr="002F49D5">
              <w:rPr>
                <w:szCs w:val="22"/>
              </w:rPr>
              <w:t>ymptoms</w:t>
            </w:r>
          </w:p>
        </w:tc>
      </w:tr>
      <w:tr w:rsidR="000E5474" w:rsidRPr="00D01DDB" w14:paraId="622B55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5C69C0" w14:textId="1C6BB917" w:rsidR="000E5474" w:rsidRPr="00D01DDB" w:rsidRDefault="000E5474" w:rsidP="00324B33">
            <w:pPr>
              <w:rPr>
                <w:szCs w:val="22"/>
              </w:rPr>
            </w:pPr>
            <w:r>
              <w:rPr>
                <w:szCs w:val="22"/>
              </w:rPr>
              <w:t>ITT</w:t>
            </w:r>
          </w:p>
        </w:tc>
        <w:tc>
          <w:tcPr>
            <w:tcW w:w="3800" w:type="pct"/>
          </w:tcPr>
          <w:p w14:paraId="6A51E0D6" w14:textId="2BA598DF" w:rsidR="000E5474" w:rsidRPr="00D01DDB" w:rsidRDefault="000E547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Intent to treat</w:t>
            </w:r>
          </w:p>
        </w:tc>
      </w:tr>
      <w:tr w:rsidR="0001036D" w:rsidRPr="00D01DDB" w14:paraId="057B056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CD0F53" w14:textId="5A507B1A" w:rsidR="0001036D" w:rsidRPr="00D01DDB" w:rsidRDefault="000E5474" w:rsidP="00324B33">
            <w:pPr>
              <w:rPr>
                <w:szCs w:val="22"/>
              </w:rPr>
            </w:pPr>
            <w:r>
              <w:rPr>
                <w:szCs w:val="22"/>
              </w:rPr>
              <w:t>IV</w:t>
            </w:r>
          </w:p>
        </w:tc>
        <w:tc>
          <w:tcPr>
            <w:tcW w:w="3800" w:type="pct"/>
          </w:tcPr>
          <w:p w14:paraId="75D19CD8" w14:textId="05744F8D" w:rsidR="0001036D"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Intravenous</w:t>
            </w:r>
            <w:r w:rsidR="0043114B">
              <w:rPr>
                <w:szCs w:val="22"/>
              </w:rPr>
              <w:t>(</w:t>
            </w:r>
            <w:proofErr w:type="spellStart"/>
            <w:r>
              <w:rPr>
                <w:szCs w:val="22"/>
              </w:rPr>
              <w:t>ly</w:t>
            </w:r>
            <w:proofErr w:type="spellEnd"/>
            <w:r w:rsidR="0043114B">
              <w:rPr>
                <w:szCs w:val="22"/>
              </w:rPr>
              <w:t>)</w:t>
            </w:r>
          </w:p>
        </w:tc>
      </w:tr>
      <w:tr w:rsidR="000E5474" w:rsidRPr="00D01DDB" w14:paraId="54EA41A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96E14A" w14:textId="05E8C0C0" w:rsidR="000E5474" w:rsidRPr="0001036D" w:rsidRDefault="000E5474" w:rsidP="00324B33">
            <w:pPr>
              <w:rPr>
                <w:szCs w:val="22"/>
              </w:rPr>
            </w:pPr>
            <w:r w:rsidRPr="00DA290C">
              <w:rPr>
                <w:szCs w:val="22"/>
              </w:rPr>
              <w:t>NCCN</w:t>
            </w:r>
          </w:p>
        </w:tc>
        <w:tc>
          <w:tcPr>
            <w:tcW w:w="3800" w:type="pct"/>
          </w:tcPr>
          <w:p w14:paraId="414D7E12" w14:textId="65FB3049" w:rsidR="000E5474"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National Comprehensive Cancer Network</w:t>
            </w:r>
          </w:p>
        </w:tc>
      </w:tr>
      <w:tr w:rsidR="000E5474" w:rsidRPr="00D01DDB" w14:paraId="0D66BF1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55543E" w14:textId="2A1B7B25" w:rsidR="000E5474" w:rsidRPr="0001036D" w:rsidRDefault="000E5474" w:rsidP="00324B33">
            <w:pPr>
              <w:rPr>
                <w:szCs w:val="22"/>
              </w:rPr>
            </w:pPr>
            <w:r>
              <w:rPr>
                <w:szCs w:val="22"/>
              </w:rPr>
              <w:t>NED</w:t>
            </w:r>
          </w:p>
        </w:tc>
        <w:tc>
          <w:tcPr>
            <w:tcW w:w="3800" w:type="pct"/>
          </w:tcPr>
          <w:p w14:paraId="238DAE5C" w14:textId="156BA3AC" w:rsidR="000E5474"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 evidence of disease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01036D" w:rsidRPr="00D01DDB" w14:paraId="6076B5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861B8D" w14:textId="2C5AFE0F" w:rsidR="0001036D" w:rsidRPr="00D01DDB" w:rsidRDefault="0001036D" w:rsidP="00324B33">
            <w:pPr>
              <w:rPr>
                <w:szCs w:val="22"/>
              </w:rPr>
            </w:pPr>
            <w:r>
              <w:rPr>
                <w:szCs w:val="22"/>
              </w:rPr>
              <w:t>RCC</w:t>
            </w:r>
          </w:p>
        </w:tc>
        <w:tc>
          <w:tcPr>
            <w:tcW w:w="3800" w:type="pct"/>
          </w:tcPr>
          <w:p w14:paraId="38DBB9E1" w14:textId="660925FA" w:rsidR="0001036D" w:rsidRPr="00D01DDB" w:rsidRDefault="0001036D" w:rsidP="00324B33">
            <w:pPr>
              <w:cnfStyle w:val="000000000000" w:firstRow="0" w:lastRow="0" w:firstColumn="0" w:lastColumn="0" w:oddVBand="0" w:evenVBand="0" w:oddHBand="0" w:evenHBand="0" w:firstRowFirstColumn="0" w:firstRowLastColumn="0" w:lastRowFirstColumn="0" w:lastRowLastColumn="0"/>
              <w:rPr>
                <w:szCs w:val="22"/>
              </w:rPr>
            </w:pPr>
            <w:r w:rsidRPr="0001036D">
              <w:rPr>
                <w:szCs w:val="22"/>
              </w:rPr>
              <w:t>Renal cell carcinoma</w:t>
            </w:r>
          </w:p>
        </w:tc>
      </w:tr>
      <w:tr w:rsidR="00324B33"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324B33" w:rsidRPr="00D01DDB" w:rsidRDefault="00324B33" w:rsidP="00324B33">
            <w:pPr>
              <w:rPr>
                <w:szCs w:val="22"/>
              </w:rPr>
            </w:pPr>
            <w:r w:rsidRPr="00D01DDB">
              <w:rPr>
                <w:szCs w:val="22"/>
              </w:rPr>
              <w:t>RMP</w:t>
            </w:r>
          </w:p>
        </w:tc>
        <w:tc>
          <w:tcPr>
            <w:tcW w:w="3800" w:type="pct"/>
          </w:tcPr>
          <w:p w14:paraId="2C862F75" w14:textId="2355E842"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324B33"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324B33" w:rsidRPr="00D01DDB" w:rsidRDefault="00324B33" w:rsidP="00324B33">
            <w:pPr>
              <w:rPr>
                <w:szCs w:val="22"/>
              </w:rPr>
            </w:pPr>
            <w:r w:rsidRPr="00D01DDB">
              <w:rPr>
                <w:szCs w:val="22"/>
              </w:rPr>
              <w:t>TGA</w:t>
            </w:r>
          </w:p>
        </w:tc>
        <w:tc>
          <w:tcPr>
            <w:tcW w:w="3800" w:type="pct"/>
          </w:tcPr>
          <w:p w14:paraId="29EA6BA3" w14:textId="6F99059F"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941BE" w:rsidRPr="00D01DDB" w14:paraId="350FC3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253D8C" w14:textId="13AE119F" w:rsidR="005941BE" w:rsidRDefault="005941BE" w:rsidP="00324B33">
            <w:pPr>
              <w:rPr>
                <w:szCs w:val="22"/>
              </w:rPr>
            </w:pPr>
            <w:r>
              <w:rPr>
                <w:szCs w:val="22"/>
              </w:rPr>
              <w:t>ULN</w:t>
            </w:r>
          </w:p>
        </w:tc>
        <w:tc>
          <w:tcPr>
            <w:tcW w:w="3800" w:type="pct"/>
          </w:tcPr>
          <w:p w14:paraId="11B7038C" w14:textId="4F1C1488" w:rsidR="005941BE" w:rsidRDefault="005941B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Upper limit of normal</w:t>
            </w:r>
          </w:p>
        </w:tc>
      </w:tr>
      <w:tr w:rsidR="000E5474" w:rsidRPr="00D01DDB" w14:paraId="3AB0898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F25AA7" w14:textId="4F5160F8" w:rsidR="000E5474" w:rsidRPr="00D01DDB" w:rsidRDefault="000E5474" w:rsidP="00324B33">
            <w:pPr>
              <w:rPr>
                <w:szCs w:val="22"/>
              </w:rPr>
            </w:pPr>
            <w:r>
              <w:rPr>
                <w:szCs w:val="22"/>
              </w:rPr>
              <w:t>US</w:t>
            </w:r>
            <w:r w:rsidR="002C77BD">
              <w:rPr>
                <w:szCs w:val="22"/>
              </w:rPr>
              <w:t>(A)</w:t>
            </w:r>
          </w:p>
        </w:tc>
        <w:tc>
          <w:tcPr>
            <w:tcW w:w="3800" w:type="pct"/>
          </w:tcPr>
          <w:p w14:paraId="0E8C62A2" w14:textId="7C65C88A" w:rsidR="000E5474" w:rsidRPr="00D01DDB" w:rsidRDefault="00DA290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w:t>
            </w:r>
            <w:r w:rsidR="002C77BD">
              <w:rPr>
                <w:szCs w:val="22"/>
              </w:rPr>
              <w:t xml:space="preserve"> (of America)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4287133"/>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4287134"/>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2698A705">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A25D8F8" w:rsidR="00324B33" w:rsidRPr="00BD5DBD" w:rsidRDefault="007B43AB" w:rsidP="007452E8">
            <w:pPr>
              <w:rPr>
                <w:szCs w:val="22"/>
              </w:rPr>
            </w:pPr>
            <w:bookmarkStart w:id="11" w:name="_Hlk144716679"/>
            <w:r>
              <w:rPr>
                <w:szCs w:val="22"/>
              </w:rPr>
              <w:t>Extension of indications</w:t>
            </w:r>
            <w:bookmarkEnd w:id="11"/>
          </w:p>
        </w:tc>
      </w:tr>
      <w:tr w:rsidR="00324B33" w:rsidRPr="00BD5DBD" w14:paraId="13482B61" w14:textId="77777777" w:rsidTr="2698A705">
        <w:tc>
          <w:tcPr>
            <w:tcW w:w="1577" w:type="pct"/>
          </w:tcPr>
          <w:p w14:paraId="2C427FCF" w14:textId="667260B5" w:rsidR="00324B33" w:rsidRPr="00BD5DBD" w:rsidRDefault="00324B33" w:rsidP="007452E8">
            <w:pPr>
              <w:rPr>
                <w:i/>
                <w:szCs w:val="22"/>
              </w:rPr>
            </w:pPr>
            <w:r w:rsidRPr="00BD5DBD">
              <w:rPr>
                <w:i/>
                <w:szCs w:val="22"/>
              </w:rPr>
              <w:t>Product name:</w:t>
            </w:r>
          </w:p>
        </w:tc>
        <w:tc>
          <w:tcPr>
            <w:tcW w:w="3423" w:type="pct"/>
          </w:tcPr>
          <w:p w14:paraId="0E2DEF76" w14:textId="274EE825" w:rsidR="00324B33" w:rsidRPr="00BD5DBD" w:rsidRDefault="007B43AB" w:rsidP="007452E8">
            <w:pPr>
              <w:rPr>
                <w:szCs w:val="22"/>
              </w:rPr>
            </w:pPr>
            <w:r>
              <w:rPr>
                <w:szCs w:val="22"/>
              </w:rPr>
              <w:t>Keytruda</w:t>
            </w:r>
          </w:p>
        </w:tc>
      </w:tr>
      <w:tr w:rsidR="00324B33" w:rsidRPr="00BD5DBD" w14:paraId="01255B5B" w14:textId="77777777" w:rsidTr="2698A705">
        <w:tc>
          <w:tcPr>
            <w:tcW w:w="1577" w:type="pct"/>
          </w:tcPr>
          <w:p w14:paraId="52B4F3D7" w14:textId="78352277" w:rsidR="00324B33" w:rsidRPr="00BD5DBD" w:rsidRDefault="00324B33" w:rsidP="007452E8">
            <w:pPr>
              <w:rPr>
                <w:i/>
                <w:szCs w:val="22"/>
              </w:rPr>
            </w:pPr>
            <w:r w:rsidRPr="00BD5DBD">
              <w:rPr>
                <w:i/>
                <w:szCs w:val="22"/>
              </w:rPr>
              <w:t>Active ingredient:</w:t>
            </w:r>
          </w:p>
        </w:tc>
        <w:tc>
          <w:tcPr>
            <w:tcW w:w="3423" w:type="pct"/>
          </w:tcPr>
          <w:p w14:paraId="02FB6383" w14:textId="2F50198B" w:rsidR="00324B33" w:rsidRPr="00BD5DBD" w:rsidRDefault="007B43AB" w:rsidP="007452E8">
            <w:pPr>
              <w:rPr>
                <w:szCs w:val="22"/>
              </w:rPr>
            </w:pPr>
            <w:r>
              <w:rPr>
                <w:szCs w:val="22"/>
              </w:rPr>
              <w:t>Pembrolizumab</w:t>
            </w:r>
          </w:p>
        </w:tc>
      </w:tr>
      <w:tr w:rsidR="00324B33" w:rsidRPr="00BD5DBD" w14:paraId="219A281B" w14:textId="77777777" w:rsidTr="2698A705">
        <w:tc>
          <w:tcPr>
            <w:tcW w:w="1577" w:type="pct"/>
          </w:tcPr>
          <w:p w14:paraId="112E5F78" w14:textId="1B80508E" w:rsidR="00324B33" w:rsidRPr="00BD5DBD" w:rsidRDefault="20C2831C" w:rsidP="2698A705">
            <w:pPr>
              <w:rPr>
                <w:i/>
                <w:iCs/>
              </w:rPr>
            </w:pPr>
            <w:r w:rsidRPr="2698A705">
              <w:rPr>
                <w:i/>
                <w:iCs/>
              </w:rPr>
              <w:t>Dec</w:t>
            </w:r>
            <w:r w:rsidR="66BED804" w:rsidRPr="2698A705">
              <w:rPr>
                <w:i/>
                <w:iCs/>
              </w:rPr>
              <w:t>ision:</w:t>
            </w:r>
          </w:p>
        </w:tc>
        <w:tc>
          <w:tcPr>
            <w:tcW w:w="3423" w:type="pct"/>
          </w:tcPr>
          <w:p w14:paraId="3B114BEA" w14:textId="2978217F" w:rsidR="00324B33" w:rsidRPr="00BD5DBD" w:rsidRDefault="00324B33" w:rsidP="007452E8">
            <w:pPr>
              <w:rPr>
                <w:szCs w:val="22"/>
              </w:rPr>
            </w:pPr>
            <w:r w:rsidRPr="00BD5DBD">
              <w:rPr>
                <w:szCs w:val="22"/>
              </w:rPr>
              <w:t xml:space="preserve">Approved </w:t>
            </w:r>
          </w:p>
        </w:tc>
      </w:tr>
      <w:tr w:rsidR="00AE1947" w:rsidRPr="00BD5DBD" w14:paraId="32B72632" w14:textId="77777777" w:rsidTr="2698A705">
        <w:tc>
          <w:tcPr>
            <w:tcW w:w="1577" w:type="pct"/>
          </w:tcPr>
          <w:p w14:paraId="332A5CD5" w14:textId="52AFC097" w:rsidR="00AE1947" w:rsidRPr="007B43AB" w:rsidRDefault="00AE1947" w:rsidP="007B43AB">
            <w:pPr>
              <w:rPr>
                <w:i/>
                <w:szCs w:val="22"/>
              </w:rPr>
            </w:pPr>
            <w:r w:rsidRPr="00BD5DBD">
              <w:rPr>
                <w:i/>
                <w:szCs w:val="22"/>
              </w:rPr>
              <w:t>Date of decision:</w:t>
            </w:r>
          </w:p>
        </w:tc>
        <w:tc>
          <w:tcPr>
            <w:tcW w:w="3423" w:type="pct"/>
          </w:tcPr>
          <w:p w14:paraId="7B381CD6" w14:textId="0B1E5A99" w:rsidR="00AE1947" w:rsidRPr="00BD5DBD" w:rsidRDefault="007B43AB" w:rsidP="00EE5F8D">
            <w:pPr>
              <w:rPr>
                <w:szCs w:val="22"/>
              </w:rPr>
            </w:pPr>
            <w:r>
              <w:rPr>
                <w:szCs w:val="22"/>
              </w:rPr>
              <w:t>30 September 2022</w:t>
            </w:r>
          </w:p>
        </w:tc>
      </w:tr>
      <w:tr w:rsidR="00324B33" w:rsidRPr="00BD5DBD" w14:paraId="60A25F5A" w14:textId="77777777" w:rsidTr="2698A705">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57BB73D" w:rsidR="00324B33" w:rsidRPr="00BD5DBD" w:rsidRDefault="007B43AB" w:rsidP="007452E8">
            <w:pPr>
              <w:rPr>
                <w:szCs w:val="22"/>
              </w:rPr>
            </w:pPr>
            <w:r>
              <w:rPr>
                <w:szCs w:val="22"/>
              </w:rPr>
              <w:t>6 October 2022</w:t>
            </w:r>
            <w:r w:rsidR="00324B33" w:rsidRPr="00BD5DBD">
              <w:rPr>
                <w:szCs w:val="22"/>
              </w:rPr>
              <w:t xml:space="preserve"> </w:t>
            </w:r>
          </w:p>
        </w:tc>
      </w:tr>
      <w:tr w:rsidR="00324B33" w:rsidRPr="00BD5DBD" w14:paraId="547E08D7" w14:textId="77777777" w:rsidTr="2698A705">
        <w:tc>
          <w:tcPr>
            <w:tcW w:w="1577" w:type="pct"/>
          </w:tcPr>
          <w:p w14:paraId="5030EF30" w14:textId="14A1952F" w:rsidR="00324B33" w:rsidRPr="00BD5DBD" w:rsidRDefault="00324B33" w:rsidP="007452E8">
            <w:pPr>
              <w:rPr>
                <w:i/>
                <w:szCs w:val="22"/>
              </w:rPr>
            </w:pPr>
            <w:r w:rsidRPr="00BD5DBD">
              <w:rPr>
                <w:i/>
                <w:szCs w:val="22"/>
              </w:rPr>
              <w:t>ARTG number:</w:t>
            </w:r>
          </w:p>
        </w:tc>
        <w:tc>
          <w:tcPr>
            <w:tcW w:w="3423" w:type="pct"/>
          </w:tcPr>
          <w:p w14:paraId="0054E912" w14:textId="56F7BD5E" w:rsidR="00324B33" w:rsidRPr="00BD5DBD" w:rsidRDefault="007B43AB" w:rsidP="007452E8">
            <w:pPr>
              <w:rPr>
                <w:szCs w:val="22"/>
              </w:rPr>
            </w:pPr>
            <w:r>
              <w:rPr>
                <w:szCs w:val="22"/>
              </w:rPr>
              <w:t>263932</w:t>
            </w:r>
          </w:p>
        </w:tc>
      </w:tr>
      <w:tr w:rsidR="00324B33" w:rsidRPr="00BD5DBD" w14:paraId="7618393F" w14:textId="77777777" w:rsidTr="2698A705">
        <w:tc>
          <w:tcPr>
            <w:tcW w:w="1577" w:type="pct"/>
          </w:tcPr>
          <w:p w14:paraId="6C24CEB6" w14:textId="608247FE"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571D4449" w:rsidR="00324B33" w:rsidRPr="00BD5DBD" w:rsidRDefault="00324B33" w:rsidP="007452E8">
            <w:pPr>
              <w:rPr>
                <w:szCs w:val="22"/>
              </w:rPr>
            </w:pPr>
            <w:r w:rsidRPr="00BD5DBD">
              <w:rPr>
                <w:szCs w:val="22"/>
              </w:rPr>
              <w:t>No</w:t>
            </w:r>
          </w:p>
        </w:tc>
      </w:tr>
      <w:tr w:rsidR="00324B33" w:rsidRPr="00BD5DBD" w14:paraId="179E09FE" w14:textId="77777777" w:rsidTr="2698A705">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301FF30" w14:textId="77777777" w:rsidR="008A1DBD" w:rsidRDefault="007B43AB" w:rsidP="008A1DBD">
            <w:r w:rsidRPr="008A1DBD">
              <w:t>Merck Sharp &amp; Dohme (Australia) Pty Ltd</w:t>
            </w:r>
          </w:p>
          <w:p w14:paraId="68DD94B0" w14:textId="123807C1" w:rsidR="00324B33" w:rsidRPr="00BD5DBD" w:rsidRDefault="007B43AB" w:rsidP="008A1DBD">
            <w:r w:rsidRPr="008A1DBD">
              <w:t>Level 1, Building A, 26 Talavera Roa</w:t>
            </w:r>
            <w:r w:rsidR="008A1DBD">
              <w:t>d</w:t>
            </w:r>
            <w:r w:rsidR="008A1DBD">
              <w:br/>
            </w:r>
            <w:r w:rsidRPr="008A1DBD">
              <w:t>Macquarie Park, NSW 2113, Australia</w:t>
            </w:r>
          </w:p>
        </w:tc>
      </w:tr>
      <w:tr w:rsidR="00324B33" w:rsidRPr="00BD5DBD" w14:paraId="5322B989" w14:textId="77777777" w:rsidTr="2698A705">
        <w:tc>
          <w:tcPr>
            <w:tcW w:w="1577" w:type="pct"/>
          </w:tcPr>
          <w:p w14:paraId="24F217E3" w14:textId="1053CEBF" w:rsidR="00324B33" w:rsidRPr="00BD5DBD" w:rsidRDefault="00324B33" w:rsidP="007452E8">
            <w:pPr>
              <w:rPr>
                <w:i/>
                <w:szCs w:val="22"/>
              </w:rPr>
            </w:pPr>
            <w:r w:rsidRPr="00BD5DBD">
              <w:rPr>
                <w:i/>
                <w:szCs w:val="22"/>
              </w:rPr>
              <w:t>Dose form:</w:t>
            </w:r>
          </w:p>
        </w:tc>
        <w:tc>
          <w:tcPr>
            <w:tcW w:w="3423" w:type="pct"/>
          </w:tcPr>
          <w:p w14:paraId="768B254C" w14:textId="320A420B" w:rsidR="00324B33" w:rsidRPr="00BD5DBD" w:rsidRDefault="007B43AB" w:rsidP="007452E8">
            <w:pPr>
              <w:rPr>
                <w:szCs w:val="22"/>
              </w:rPr>
            </w:pPr>
            <w:r>
              <w:rPr>
                <w:szCs w:val="22"/>
              </w:rPr>
              <w:t>Concentrated solution for injection</w:t>
            </w:r>
          </w:p>
        </w:tc>
      </w:tr>
      <w:tr w:rsidR="00324B33" w:rsidRPr="00BD5DBD" w14:paraId="115243E6" w14:textId="77777777" w:rsidTr="2698A705">
        <w:tc>
          <w:tcPr>
            <w:tcW w:w="1577" w:type="pct"/>
          </w:tcPr>
          <w:p w14:paraId="7634B062" w14:textId="7D1FD4CC" w:rsidR="00324B33" w:rsidRPr="00BD5DBD" w:rsidRDefault="00324B33" w:rsidP="007452E8">
            <w:pPr>
              <w:rPr>
                <w:i/>
                <w:szCs w:val="22"/>
              </w:rPr>
            </w:pPr>
            <w:r w:rsidRPr="00BD5DBD">
              <w:rPr>
                <w:i/>
                <w:szCs w:val="22"/>
              </w:rPr>
              <w:t>Strength:</w:t>
            </w:r>
          </w:p>
        </w:tc>
        <w:tc>
          <w:tcPr>
            <w:tcW w:w="3423" w:type="pct"/>
          </w:tcPr>
          <w:p w14:paraId="5E5F83DB" w14:textId="2A9A5538" w:rsidR="00324B33" w:rsidRPr="00BD5DBD" w:rsidRDefault="007B43AB" w:rsidP="007452E8">
            <w:pPr>
              <w:rPr>
                <w:szCs w:val="22"/>
              </w:rPr>
            </w:pPr>
            <w:r>
              <w:rPr>
                <w:szCs w:val="22"/>
              </w:rPr>
              <w:t>100 mg/4 mL</w:t>
            </w:r>
          </w:p>
        </w:tc>
      </w:tr>
      <w:tr w:rsidR="00324B33" w:rsidRPr="00BD5DBD" w14:paraId="34B07BA6" w14:textId="77777777" w:rsidTr="2698A705">
        <w:tc>
          <w:tcPr>
            <w:tcW w:w="1577" w:type="pct"/>
          </w:tcPr>
          <w:p w14:paraId="1C039224" w14:textId="33C71172" w:rsidR="00324B33" w:rsidRPr="00BD5DBD" w:rsidRDefault="00324B33" w:rsidP="007452E8">
            <w:pPr>
              <w:rPr>
                <w:i/>
                <w:szCs w:val="22"/>
              </w:rPr>
            </w:pPr>
            <w:r w:rsidRPr="00BD5DBD">
              <w:rPr>
                <w:i/>
                <w:szCs w:val="22"/>
              </w:rPr>
              <w:t>Container:</w:t>
            </w:r>
          </w:p>
        </w:tc>
        <w:tc>
          <w:tcPr>
            <w:tcW w:w="3423" w:type="pct"/>
          </w:tcPr>
          <w:p w14:paraId="500A42C6" w14:textId="09CB4ED9" w:rsidR="00324B33" w:rsidRPr="00BD5DBD" w:rsidRDefault="007B43AB" w:rsidP="007452E8">
            <w:pPr>
              <w:rPr>
                <w:szCs w:val="22"/>
              </w:rPr>
            </w:pPr>
            <w:r>
              <w:rPr>
                <w:szCs w:val="22"/>
              </w:rPr>
              <w:t>Vial</w:t>
            </w:r>
          </w:p>
        </w:tc>
      </w:tr>
      <w:tr w:rsidR="00324B33" w:rsidRPr="00BD5DBD" w14:paraId="176B6773" w14:textId="77777777" w:rsidTr="2698A705">
        <w:tc>
          <w:tcPr>
            <w:tcW w:w="1577" w:type="pct"/>
          </w:tcPr>
          <w:p w14:paraId="71846159" w14:textId="36EFAFBF" w:rsidR="00324B33" w:rsidRPr="00BD5DBD" w:rsidRDefault="00324B33" w:rsidP="007452E8">
            <w:pPr>
              <w:rPr>
                <w:i/>
                <w:szCs w:val="22"/>
              </w:rPr>
            </w:pPr>
            <w:r w:rsidRPr="00BD5DBD">
              <w:rPr>
                <w:i/>
                <w:szCs w:val="22"/>
              </w:rPr>
              <w:t>Pack size:</w:t>
            </w:r>
          </w:p>
        </w:tc>
        <w:tc>
          <w:tcPr>
            <w:tcW w:w="3423" w:type="pct"/>
          </w:tcPr>
          <w:p w14:paraId="7E978F8F" w14:textId="3D891494" w:rsidR="00324B33" w:rsidRPr="00BD5DBD" w:rsidRDefault="007B43AB" w:rsidP="007452E8">
            <w:pPr>
              <w:rPr>
                <w:szCs w:val="22"/>
              </w:rPr>
            </w:pPr>
            <w:r>
              <w:rPr>
                <w:szCs w:val="22"/>
              </w:rPr>
              <w:t>1 Vial</w:t>
            </w:r>
          </w:p>
        </w:tc>
      </w:tr>
      <w:tr w:rsidR="00324B33" w:rsidRPr="007B43AB" w14:paraId="19A2544A" w14:textId="77777777" w:rsidTr="2698A705">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422EB36B" w14:textId="5651AB3A" w:rsidR="007B43AB" w:rsidRPr="007B43AB" w:rsidRDefault="17910A44" w:rsidP="2698A705">
            <w:pPr>
              <w:rPr>
                <w:b/>
                <w:bCs/>
                <w:i/>
                <w:iCs/>
              </w:rPr>
            </w:pPr>
            <w:r w:rsidRPr="2698A705">
              <w:rPr>
                <w:b/>
                <w:bCs/>
                <w:i/>
                <w:iCs/>
              </w:rPr>
              <w:t>Renal Cell Car</w:t>
            </w:r>
            <w:r w:rsidR="4DF2C4F2" w:rsidRPr="2698A705">
              <w:rPr>
                <w:b/>
                <w:bCs/>
                <w:i/>
                <w:iCs/>
              </w:rPr>
              <w:t>c</w:t>
            </w:r>
            <w:r w:rsidRPr="2698A705">
              <w:rPr>
                <w:b/>
                <w:bCs/>
                <w:i/>
                <w:iCs/>
              </w:rPr>
              <w:t>inoma (RCC)</w:t>
            </w:r>
          </w:p>
          <w:p w14:paraId="6E143E2E" w14:textId="403D4084" w:rsidR="00324B33" w:rsidRPr="007B43AB" w:rsidRDefault="00264AF8" w:rsidP="007B43AB">
            <w:pPr>
              <w:rPr>
                <w:i/>
                <w:iCs/>
                <w:szCs w:val="22"/>
              </w:rPr>
            </w:pPr>
            <w:r>
              <w:rPr>
                <w:i/>
                <w:iCs/>
                <w:szCs w:val="22"/>
              </w:rPr>
              <w:t>Keytruda</w:t>
            </w:r>
            <w:r w:rsidR="007B43AB" w:rsidRPr="007B43AB">
              <w:rPr>
                <w:i/>
                <w:iCs/>
                <w:szCs w:val="22"/>
              </w:rPr>
              <w:t xml:space="preserve"> (pembrolizumab), as monotherapy, is indicated for the adjuvant treatment of</w:t>
            </w:r>
            <w:r w:rsidR="007B43AB">
              <w:rPr>
                <w:i/>
                <w:iCs/>
                <w:szCs w:val="22"/>
              </w:rPr>
              <w:t xml:space="preserve"> </w:t>
            </w:r>
            <w:r w:rsidR="007B43AB" w:rsidRPr="007B43AB">
              <w:rPr>
                <w:i/>
                <w:iCs/>
                <w:szCs w:val="22"/>
              </w:rPr>
              <w:t>patients with RCC with a clear cell component who are at intermediate-high or high risk of</w:t>
            </w:r>
            <w:r w:rsidR="007B43AB">
              <w:rPr>
                <w:i/>
                <w:iCs/>
                <w:szCs w:val="22"/>
              </w:rPr>
              <w:t xml:space="preserve"> </w:t>
            </w:r>
            <w:r w:rsidR="007B43AB" w:rsidRPr="007B43AB">
              <w:rPr>
                <w:i/>
                <w:iCs/>
                <w:szCs w:val="22"/>
              </w:rPr>
              <w:t xml:space="preserve">recurrence following </w:t>
            </w:r>
            <w:proofErr w:type="gramStart"/>
            <w:r w:rsidR="007B43AB" w:rsidRPr="007B43AB">
              <w:rPr>
                <w:i/>
                <w:iCs/>
                <w:szCs w:val="22"/>
              </w:rPr>
              <w:t>nephrectomy, or</w:t>
            </w:r>
            <w:proofErr w:type="gramEnd"/>
            <w:r w:rsidR="007B43AB" w:rsidRPr="007B43AB">
              <w:rPr>
                <w:i/>
                <w:iCs/>
                <w:szCs w:val="22"/>
              </w:rPr>
              <w:t xml:space="preserve"> following nephrectomy and resection of metastatic</w:t>
            </w:r>
            <w:r w:rsidR="007B43AB">
              <w:rPr>
                <w:i/>
                <w:iCs/>
                <w:szCs w:val="22"/>
              </w:rPr>
              <w:t xml:space="preserve"> </w:t>
            </w:r>
            <w:r w:rsidR="007B43AB" w:rsidRPr="007B43AB">
              <w:rPr>
                <w:i/>
                <w:iCs/>
                <w:szCs w:val="22"/>
              </w:rPr>
              <w:t>lesions (see section 5.1, Clinical Trials: Renal Cell Carcinoma).</w:t>
            </w:r>
          </w:p>
        </w:tc>
      </w:tr>
      <w:tr w:rsidR="00324B33" w:rsidRPr="00BD5DBD" w14:paraId="5AFDEED3" w14:textId="77777777" w:rsidTr="2698A705">
        <w:tc>
          <w:tcPr>
            <w:tcW w:w="1577" w:type="pct"/>
          </w:tcPr>
          <w:p w14:paraId="03884BD1" w14:textId="2C28524F" w:rsidR="00324B33" w:rsidRPr="00BD5DBD" w:rsidRDefault="00324B33" w:rsidP="007452E8">
            <w:pPr>
              <w:rPr>
                <w:i/>
                <w:szCs w:val="22"/>
              </w:rPr>
            </w:pPr>
            <w:r w:rsidRPr="00BD5DBD">
              <w:rPr>
                <w:i/>
                <w:szCs w:val="22"/>
              </w:rPr>
              <w:t>Route of administration:</w:t>
            </w:r>
          </w:p>
        </w:tc>
        <w:tc>
          <w:tcPr>
            <w:tcW w:w="3423" w:type="pct"/>
          </w:tcPr>
          <w:p w14:paraId="1ED1357E" w14:textId="29F8AFD0" w:rsidR="00324B33" w:rsidRPr="00BD5DBD" w:rsidRDefault="007B43AB" w:rsidP="007452E8">
            <w:pPr>
              <w:rPr>
                <w:szCs w:val="22"/>
              </w:rPr>
            </w:pPr>
            <w:r>
              <w:rPr>
                <w:szCs w:val="22"/>
              </w:rPr>
              <w:t>Intravenous infusion</w:t>
            </w:r>
          </w:p>
        </w:tc>
      </w:tr>
      <w:tr w:rsidR="00324B33" w:rsidRPr="00BD5DBD" w14:paraId="70D7E9FA" w14:textId="77777777" w:rsidTr="2698A705">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7C021F7" w14:textId="77777777" w:rsidR="00C012C0" w:rsidRDefault="007B43AB" w:rsidP="007B43AB">
            <w:pPr>
              <w:rPr>
                <w:szCs w:val="22"/>
              </w:rPr>
            </w:pPr>
            <w:r w:rsidRPr="007B43AB">
              <w:rPr>
                <w:szCs w:val="22"/>
              </w:rPr>
              <w:t>Treatment must be initiated and supervised by specialised healthcare professionals</w:t>
            </w:r>
            <w:r>
              <w:rPr>
                <w:szCs w:val="22"/>
              </w:rPr>
              <w:t xml:space="preserve"> </w:t>
            </w:r>
            <w:r w:rsidRPr="007B43AB">
              <w:rPr>
                <w:szCs w:val="22"/>
              </w:rPr>
              <w:t>experienced in the treatment of cancer.</w:t>
            </w:r>
          </w:p>
          <w:p w14:paraId="16DBD5DB" w14:textId="0F84766E" w:rsidR="007B43AB" w:rsidRPr="007B43AB" w:rsidRDefault="00264AF8" w:rsidP="007B43AB">
            <w:r>
              <w:t>Keytruda</w:t>
            </w:r>
            <w:r w:rsidR="007B43AB" w:rsidRPr="007B43AB">
              <w:t xml:space="preserve"> is administered as an intravenous infusion over 30 minutes.</w:t>
            </w:r>
          </w:p>
          <w:p w14:paraId="0AA7FE51" w14:textId="62CD04A5" w:rsidR="007B43AB" w:rsidRPr="007B43AB" w:rsidRDefault="007B43AB" w:rsidP="007B43AB">
            <w:r w:rsidRPr="007B43AB">
              <w:t xml:space="preserve">The recommended dose of </w:t>
            </w:r>
            <w:r w:rsidR="00264AF8">
              <w:t>Keytruda</w:t>
            </w:r>
            <w:r w:rsidRPr="007B43AB">
              <w:t xml:space="preserve"> in adults is either:</w:t>
            </w:r>
          </w:p>
          <w:p w14:paraId="69D40F0A" w14:textId="46941571" w:rsidR="007B43AB" w:rsidRPr="007B43AB" w:rsidRDefault="007B43AB" w:rsidP="007B43AB">
            <w:pPr>
              <w:pStyle w:val="ListBullet"/>
            </w:pPr>
            <w:r w:rsidRPr="007B43AB">
              <w:lastRenderedPageBreak/>
              <w:t>200 mg every 3 weeks or</w:t>
            </w:r>
          </w:p>
          <w:p w14:paraId="1246B144" w14:textId="481A5126" w:rsidR="00324B33" w:rsidRPr="007B43AB" w:rsidRDefault="007B43AB" w:rsidP="007B43AB">
            <w:pPr>
              <w:pStyle w:val="ListBullet"/>
            </w:pPr>
            <w:r w:rsidRPr="007B43AB">
              <w:t>400 mg every 6 weeks</w:t>
            </w:r>
          </w:p>
          <w:p w14:paraId="3D0B2D5C" w14:textId="7AAB6E28" w:rsidR="00324B33" w:rsidRPr="00BD5DBD" w:rsidRDefault="00324B33" w:rsidP="007452E8">
            <w:pPr>
              <w:rPr>
                <w:szCs w:val="22"/>
              </w:rPr>
            </w:pPr>
            <w:r w:rsidRPr="00BD5DBD">
              <w:rPr>
                <w:szCs w:val="22"/>
              </w:rPr>
              <w:t>For further information regarding dosage</w:t>
            </w:r>
            <w:r w:rsidR="007B43AB">
              <w:rPr>
                <w:szCs w:val="22"/>
              </w:rPr>
              <w:t xml:space="preserve"> and dose modifications</w:t>
            </w:r>
            <w:r w:rsidRPr="00BD5DBD">
              <w:rPr>
                <w:szCs w:val="22"/>
              </w:rPr>
              <w:t>, refer to the Product Information.</w:t>
            </w:r>
          </w:p>
        </w:tc>
      </w:tr>
      <w:tr w:rsidR="00324B33" w:rsidRPr="00BD5DBD" w14:paraId="24DC408E" w14:textId="77777777" w:rsidTr="2698A705">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3749BD2D" w14:textId="22EB39B2" w:rsidR="007B43AB" w:rsidRDefault="007B43AB" w:rsidP="007B43AB">
            <w:r>
              <w:t>D</w:t>
            </w:r>
          </w:p>
          <w:p w14:paraId="35112D0B" w14:textId="2EC132FE" w:rsidR="007B43AB" w:rsidRDefault="007B43AB" w:rsidP="007B43AB">
            <w:r w:rsidRPr="007B43AB">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044DC766" w:rsidR="00324B33" w:rsidRPr="00BD5DBD" w:rsidRDefault="00324B33" w:rsidP="007B43AB">
            <w:r w:rsidRPr="00BD5DB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44287135"/>
      <w:r>
        <w:t>Product background</w:t>
      </w:r>
      <w:bookmarkEnd w:id="12"/>
      <w:bookmarkEnd w:id="13"/>
      <w:bookmarkEnd w:id="14"/>
      <w:bookmarkEnd w:id="15"/>
    </w:p>
    <w:p w14:paraId="56B27CF2" w14:textId="7983F880" w:rsidR="00324B33" w:rsidRDefault="00324B33" w:rsidP="00324B33">
      <w:pPr>
        <w:rPr>
          <w:szCs w:val="22"/>
        </w:rPr>
      </w:pPr>
      <w:r w:rsidRPr="00BD5DBD">
        <w:rPr>
          <w:szCs w:val="22"/>
        </w:rPr>
        <w:t xml:space="preserve">This AusPAR describes the submission by </w:t>
      </w:r>
      <w:r w:rsidR="008A1DBD" w:rsidRPr="008A1DBD">
        <w:rPr>
          <w:szCs w:val="22"/>
        </w:rPr>
        <w:t xml:space="preserve">Merck Sharp &amp; Dohme (Australia) Pty Ltd </w:t>
      </w:r>
      <w:r w:rsidRPr="00BD5DBD">
        <w:rPr>
          <w:szCs w:val="22"/>
        </w:rPr>
        <w:t>(the sponsor) to register</w:t>
      </w:r>
      <w:r w:rsidR="008A1DBD">
        <w:rPr>
          <w:szCs w:val="22"/>
        </w:rPr>
        <w:t xml:space="preserve"> Keytruda </w:t>
      </w:r>
      <w:r w:rsidR="008A1DBD" w:rsidRPr="008A1DBD">
        <w:rPr>
          <w:szCs w:val="22"/>
        </w:rPr>
        <w:t>pembrolizumab</w:t>
      </w:r>
      <w:r w:rsidR="008A1DBD">
        <w:rPr>
          <w:szCs w:val="22"/>
        </w:rPr>
        <w:t xml:space="preserve"> 100 mg/4 mL concentrated solution for injection vial </w:t>
      </w:r>
      <w:r w:rsidRPr="00BD5DBD">
        <w:rPr>
          <w:szCs w:val="22"/>
        </w:rPr>
        <w:t>for the following proposed extension of indications:</w:t>
      </w:r>
      <w:bookmarkStart w:id="16" w:name="_Ref135403677"/>
      <w:r w:rsidR="00D63760" w:rsidRPr="00BD5DBD">
        <w:rPr>
          <w:rStyle w:val="FootnoteReference"/>
          <w:szCs w:val="22"/>
        </w:rPr>
        <w:footnoteReference w:id="1"/>
      </w:r>
      <w:bookmarkEnd w:id="16"/>
    </w:p>
    <w:p w14:paraId="56E14008" w14:textId="36636641" w:rsidR="008A1DBD" w:rsidRDefault="00264AF8" w:rsidP="008A1DBD">
      <w:pPr>
        <w:ind w:left="720"/>
        <w:rPr>
          <w:i/>
          <w:iCs/>
          <w:szCs w:val="22"/>
        </w:rPr>
      </w:pPr>
      <w:r>
        <w:rPr>
          <w:i/>
          <w:iCs/>
          <w:szCs w:val="22"/>
        </w:rPr>
        <w:t>Keytruda</w:t>
      </w:r>
      <w:r w:rsidR="008A1DBD" w:rsidRPr="008A1DBD">
        <w:rPr>
          <w:i/>
          <w:iCs/>
          <w:szCs w:val="22"/>
        </w:rPr>
        <w:t xml:space="preserve"> (pembrolizumab), as monotherapy, is indicated for the adjuvant treatment of patients with RCC at intermediate-high or high risk of recurrence following </w:t>
      </w:r>
      <w:proofErr w:type="gramStart"/>
      <w:r w:rsidR="008A1DBD" w:rsidRPr="008A1DBD">
        <w:rPr>
          <w:i/>
          <w:iCs/>
          <w:szCs w:val="22"/>
        </w:rPr>
        <w:t>nephrectomy,</w:t>
      </w:r>
      <w:r w:rsidR="00C012C0">
        <w:rPr>
          <w:i/>
          <w:iCs/>
          <w:szCs w:val="22"/>
        </w:rPr>
        <w:t xml:space="preserve"> </w:t>
      </w:r>
      <w:r w:rsidR="008A1DBD" w:rsidRPr="008A1DBD">
        <w:rPr>
          <w:i/>
          <w:iCs/>
          <w:szCs w:val="22"/>
        </w:rPr>
        <w:t>or</w:t>
      </w:r>
      <w:proofErr w:type="gramEnd"/>
      <w:r w:rsidR="008A1DBD" w:rsidRPr="008A1DBD">
        <w:rPr>
          <w:i/>
          <w:iCs/>
          <w:szCs w:val="22"/>
        </w:rPr>
        <w:t xml:space="preserve"> following nephrectomy and resection of metastatic lesions.</w:t>
      </w:r>
    </w:p>
    <w:p w14:paraId="53781FDA" w14:textId="77777777" w:rsidR="00C012C0" w:rsidRDefault="008A1DBD" w:rsidP="008A1DBD">
      <w:bookmarkStart w:id="17" w:name="_Toc314842485"/>
      <w:bookmarkStart w:id="18" w:name="_Toc247691504"/>
      <w:r>
        <w:t xml:space="preserve">Kidney cancer ranks </w:t>
      </w:r>
      <w:r w:rsidR="0001036D">
        <w:t>seventh</w:t>
      </w:r>
      <w:r>
        <w:t xml:space="preserve"> among the most diagnosed cancers in Australia, accounting for 944 deaths in 2019. The age-standardised incidence (per 100,000 population) is 17.9 in males and 8.3 in females, with an age-standardised mortality rate of 4.7 and 2.0 per 100,000 males and females, respectively. The overall incidence has increased from 6.2 to 12.9 per 100,000 people between 1982 and 2019.</w:t>
      </w:r>
      <w:r w:rsidRPr="00941D9C">
        <w:rPr>
          <w:rStyle w:val="FootnoteReference"/>
        </w:rPr>
        <w:t xml:space="preserve"> </w:t>
      </w:r>
      <w:r>
        <w:t>Mean age at diagnosis is 64 years.</w:t>
      </w:r>
      <w:r>
        <w:rPr>
          <w:rStyle w:val="FootnoteReference"/>
        </w:rPr>
        <w:footnoteReference w:id="2"/>
      </w:r>
    </w:p>
    <w:p w14:paraId="76D3890B" w14:textId="2A50DD8D" w:rsidR="00C012C0" w:rsidRDefault="008A1DBD" w:rsidP="008A1DBD">
      <w:r>
        <w:t xml:space="preserve">Renal cell carcinoma (RCC) accounts for around 90% of all kidney cancers. </w:t>
      </w:r>
      <w:proofErr w:type="gramStart"/>
      <w:r>
        <w:t>The majority of</w:t>
      </w:r>
      <w:proofErr w:type="gramEnd"/>
      <w:r>
        <w:t xml:space="preserve"> </w:t>
      </w:r>
      <w:r w:rsidR="00C012C0">
        <w:t>renal cell carcinoma</w:t>
      </w:r>
      <w:r>
        <w:t>s (</w:t>
      </w:r>
      <w:r w:rsidR="0001036D">
        <w:t xml:space="preserve">approximately </w:t>
      </w:r>
      <w:r>
        <w:t xml:space="preserve">75%) are of clear cell histology. Risk factors </w:t>
      </w:r>
      <w:r w:rsidR="00C012C0">
        <w:t xml:space="preserve">for renal cell carcinomas </w:t>
      </w:r>
      <w:r>
        <w:t>include smoking, obesity, and hypertension, while around 2</w:t>
      </w:r>
      <w:r w:rsidR="0001036D">
        <w:t xml:space="preserve">% to </w:t>
      </w:r>
      <w:r>
        <w:t>3% of cases are hereditary. The classical presentation of flank pain, gross haematuria and an abdominal mass is now uncommon and associated with advanced disease. More than 50% of</w:t>
      </w:r>
      <w:r w:rsidR="00C012C0">
        <w:t xml:space="preserve"> renal cell carcinomas</w:t>
      </w:r>
      <w:r>
        <w:t xml:space="preserve"> are diagnosed incidentally.</w:t>
      </w:r>
      <w:bookmarkStart w:id="19" w:name="_Ref95814230"/>
      <w:r>
        <w:rPr>
          <w:rStyle w:val="FootnoteReference"/>
        </w:rPr>
        <w:footnoteReference w:id="3"/>
      </w:r>
      <w:bookmarkEnd w:id="19"/>
    </w:p>
    <w:p w14:paraId="4B43757A" w14:textId="77777777" w:rsidR="00C012C0" w:rsidRDefault="008A1DBD" w:rsidP="0001036D">
      <w:r>
        <w:lastRenderedPageBreak/>
        <w:t xml:space="preserve">Prognosis is dependent upon tumour stage, grade, local extent, regional nodal spread, and metastatic disease at presentation. </w:t>
      </w:r>
      <w:r w:rsidR="0001036D">
        <w:t>Five-</w:t>
      </w:r>
      <w:r>
        <w:t>year survival ranges from 93% for localised disease, to 12% for metastatic disease.</w:t>
      </w:r>
      <w:r>
        <w:rPr>
          <w:rStyle w:val="FootnoteReference"/>
        </w:rPr>
        <w:footnoteReference w:id="4"/>
      </w:r>
    </w:p>
    <w:p w14:paraId="66ABB009" w14:textId="2C3D6B20" w:rsidR="008A1DBD" w:rsidRDefault="008A1DBD" w:rsidP="0001036D">
      <w:pPr>
        <w:pStyle w:val="Heading4"/>
      </w:pPr>
      <w:bookmarkStart w:id="20" w:name="_Toc144287136"/>
      <w:r>
        <w:t>Current treatment options</w:t>
      </w:r>
      <w:bookmarkEnd w:id="20"/>
    </w:p>
    <w:p w14:paraId="638D37A3" w14:textId="02D99C44" w:rsidR="008A1DBD" w:rsidRDefault="008A1DBD" w:rsidP="008A1DBD">
      <w:r>
        <w:t>Standard of care for locoregional disease is partial (nephron-sparing) or radical nephrectomy. For select patients with Stage I disease, active surveillance and ablation techniques are also options. Patients with Stage IV disease that is amenable to resection may be candidates for cytoreductive nephrectomy.</w:t>
      </w:r>
      <w:bookmarkStart w:id="21" w:name="_Ref95900010"/>
      <w:bookmarkStart w:id="22" w:name="_Ref95900073"/>
      <w:r>
        <w:rPr>
          <w:rStyle w:val="FootnoteReference"/>
        </w:rPr>
        <w:footnoteReference w:id="5"/>
      </w:r>
      <w:bookmarkEnd w:id="21"/>
      <w:bookmarkEnd w:id="22"/>
    </w:p>
    <w:p w14:paraId="3B9C5769" w14:textId="27512749" w:rsidR="008A1DBD" w:rsidRDefault="008A1DBD" w:rsidP="008A1DBD">
      <w:r>
        <w:t>The risk of recurrence following surgery increases with tumour stage and is estimated to develop in around 30</w:t>
      </w:r>
      <w:r w:rsidR="0001036D">
        <w:t xml:space="preserve">% to </w:t>
      </w:r>
      <w:r>
        <w:t>55% of patients meeting eligibility criteria for adjuvant checkpoint inhibitor trials.</w:t>
      </w:r>
      <w:r>
        <w:rPr>
          <w:rStyle w:val="FootnoteReference"/>
        </w:rPr>
        <w:footnoteReference w:id="6"/>
      </w:r>
      <w:r>
        <w:t xml:space="preserve"> Most recurrences occur within the first 3</w:t>
      </w:r>
      <w:r w:rsidR="0001036D">
        <w:t xml:space="preserve"> to </w:t>
      </w:r>
      <w:r>
        <w:t>5 years following surgery, although late recurrence is possible.</w:t>
      </w:r>
    </w:p>
    <w:p w14:paraId="77D21FE6" w14:textId="478DE2F0" w:rsidR="008A1DBD" w:rsidRDefault="008A1DBD" w:rsidP="008A1DBD">
      <w:r>
        <w:t>Adjuvant treatment options are limited. In Australia, there is n</w:t>
      </w:r>
      <w:r w:rsidRPr="00DA290C">
        <w:t xml:space="preserve">o drug therapy approved for adjuvant treatment of </w:t>
      </w:r>
      <w:r w:rsidR="00C012C0">
        <w:t>renal cell carcinoma</w:t>
      </w:r>
      <w:r w:rsidRPr="00DA290C">
        <w:t xml:space="preserve">. </w:t>
      </w:r>
      <w:r w:rsidR="00DA290C" w:rsidRPr="00DA290C">
        <w:t>National Comprehensive Cancer Network (</w:t>
      </w:r>
      <w:r w:rsidRPr="00DA290C">
        <w:t>NCCN</w:t>
      </w:r>
      <w:r w:rsidR="00DA290C" w:rsidRPr="00DA290C">
        <w:t>)</w:t>
      </w:r>
      <w:r w:rsidRPr="00DA290C">
        <w:t xml:space="preserve"> guidelines</w:t>
      </w:r>
      <w:r w:rsidR="00C012C0">
        <w:t>,</w:t>
      </w:r>
      <w:r w:rsidR="00C012C0">
        <w:fldChar w:fldCharType="begin"/>
      </w:r>
      <w:r w:rsidR="00C012C0">
        <w:instrText xml:space="preserve"> NOTEREF _Ref95900010 \f \h </w:instrText>
      </w:r>
      <w:r w:rsidR="00C012C0">
        <w:fldChar w:fldCharType="separate"/>
      </w:r>
      <w:r w:rsidR="004E7B11" w:rsidRPr="004E7B11">
        <w:rPr>
          <w:rStyle w:val="FootnoteReference"/>
        </w:rPr>
        <w:t>5</w:t>
      </w:r>
      <w:r w:rsidR="00C012C0">
        <w:fldChar w:fldCharType="end"/>
      </w:r>
      <w:r>
        <w:t xml:space="preserve"> recommend a clinical trial as an alternative adjuvant option, while post-nephrectomy surveillance (</w:t>
      </w:r>
      <w:r w:rsidR="0001036D">
        <w:t>C</w:t>
      </w:r>
      <w:r>
        <w:t>ategory 2A) and adjuvant sunitinib (</w:t>
      </w:r>
      <w:r w:rsidR="0001036D">
        <w:t>C</w:t>
      </w:r>
      <w:r>
        <w:t xml:space="preserve">ategory 3) are also recommended in the 2021 NCCN guidelines. Based on the outcomes of </w:t>
      </w:r>
      <w:r w:rsidR="0001036D">
        <w:t>KEYNOTE</w:t>
      </w:r>
      <w:r w:rsidR="00E57158">
        <w:t>-</w:t>
      </w:r>
      <w:r w:rsidR="0001036D">
        <w:t>564</w:t>
      </w:r>
      <w:r w:rsidR="00E57158">
        <w:t xml:space="preserve"> </w:t>
      </w:r>
      <w:r w:rsidR="0001036D">
        <w:t>trial</w:t>
      </w:r>
      <w:r>
        <w:t xml:space="preserve">, these guidelines were recently updated to include </w:t>
      </w:r>
      <w:r w:rsidR="0001036D">
        <w:t>C</w:t>
      </w:r>
      <w:r>
        <w:t xml:space="preserve">ategory 2A recommendations for use of adjuvant pembrolizumab for Stage II, </w:t>
      </w:r>
      <w:r w:rsidR="0001036D">
        <w:t>G</w:t>
      </w:r>
      <w:r>
        <w:t xml:space="preserve">rade 4 tumours with clear cell histology </w:t>
      </w:r>
      <w:r w:rsidR="0001036D">
        <w:t>with and without</w:t>
      </w:r>
      <w:r>
        <w:t xml:space="preserve"> </w:t>
      </w:r>
      <w:proofErr w:type="spellStart"/>
      <w:r>
        <w:t>sarcomatoid</w:t>
      </w:r>
      <w:proofErr w:type="spellEnd"/>
      <w:r>
        <w:t xml:space="preserve"> features, Stage III tumours with clear cell histology, and following </w:t>
      </w:r>
      <w:proofErr w:type="spellStart"/>
      <w:r>
        <w:t>metastasectomy</w:t>
      </w:r>
      <w:proofErr w:type="spellEnd"/>
      <w:r>
        <w:t xml:space="preserve"> within one year of nephrectomy.</w:t>
      </w:r>
      <w:r w:rsidRPr="00352253">
        <w:rPr>
          <w:vertAlign w:val="superscript"/>
        </w:rPr>
        <w:fldChar w:fldCharType="begin"/>
      </w:r>
      <w:r w:rsidRPr="00352253">
        <w:rPr>
          <w:vertAlign w:val="superscript"/>
        </w:rPr>
        <w:instrText xml:space="preserve"> NOTEREF _Ref95900073 \h </w:instrText>
      </w:r>
      <w:r>
        <w:rPr>
          <w:vertAlign w:val="superscript"/>
        </w:rPr>
        <w:instrText xml:space="preserve"> \* MERGEFORMAT </w:instrText>
      </w:r>
      <w:r w:rsidRPr="00352253">
        <w:rPr>
          <w:vertAlign w:val="superscript"/>
        </w:rPr>
      </w:r>
      <w:r w:rsidRPr="00352253">
        <w:rPr>
          <w:vertAlign w:val="superscript"/>
        </w:rPr>
        <w:fldChar w:fldCharType="separate"/>
      </w:r>
      <w:r w:rsidR="004E7B11">
        <w:rPr>
          <w:vertAlign w:val="superscript"/>
        </w:rPr>
        <w:t>5</w:t>
      </w:r>
      <w:r w:rsidRPr="00352253">
        <w:rPr>
          <w:vertAlign w:val="superscript"/>
        </w:rPr>
        <w:fldChar w:fldCharType="end"/>
      </w:r>
      <w:r>
        <w:rPr>
          <w:vertAlign w:val="superscript"/>
        </w:rPr>
        <w:t>,</w:t>
      </w:r>
      <w:r>
        <w:rPr>
          <w:rStyle w:val="FootnoteReference"/>
        </w:rPr>
        <w:footnoteReference w:id="7"/>
      </w:r>
    </w:p>
    <w:p w14:paraId="531EA2B4" w14:textId="79F467AC" w:rsidR="008A1DBD" w:rsidRDefault="008A1DBD" w:rsidP="008A1DBD">
      <w:r>
        <w:t xml:space="preserve">Sunitinib in Australia has an indication for the treatment of advanced </w:t>
      </w:r>
      <w:r w:rsidR="00C012C0">
        <w:t>renal cell carcinoma</w:t>
      </w:r>
      <w:r>
        <w:t xml:space="preserve"> but is not indicated for adjuvant therapy.</w:t>
      </w:r>
    </w:p>
    <w:p w14:paraId="5954BFD0" w14:textId="77777777" w:rsidR="008A1DBD" w:rsidRDefault="008A1DBD" w:rsidP="008A1DBD">
      <w:pPr>
        <w:pStyle w:val="Heading4"/>
      </w:pPr>
      <w:bookmarkStart w:id="23" w:name="_Toc144287137"/>
      <w:r>
        <w:t>Pembrolizumab</w:t>
      </w:r>
      <w:bookmarkEnd w:id="23"/>
    </w:p>
    <w:p w14:paraId="234F6209" w14:textId="36EFC16D" w:rsidR="008A1DBD" w:rsidRPr="00040891" w:rsidRDefault="008A1DBD" w:rsidP="008A1DBD">
      <w:r>
        <w:t>Pembrolizumab is a selective, humanized m</w:t>
      </w:r>
      <w:r w:rsidR="00C012C0">
        <w:t>onoclonal antibody</w:t>
      </w:r>
      <w:r>
        <w:t xml:space="preserve"> of the immunoglobulin G4/kappa isotype that binds to the human </w:t>
      </w:r>
      <w:r w:rsidRPr="00516D49">
        <w:t>programmed cell death-1</w:t>
      </w:r>
      <w:r>
        <w:t xml:space="preserve"> (PD-1) receptor and blocks the interaction between PD-1 and its ligands, PD-L1 and PD-L2. This reactivates tumour-specific cytotoxic T lymphocytes in the tumour microenvironment and reactivates anti-tumour immunity.</w:t>
      </w:r>
    </w:p>
    <w:p w14:paraId="7B82E603" w14:textId="77777777" w:rsidR="001645D8" w:rsidRDefault="00324B33" w:rsidP="00324B33">
      <w:pPr>
        <w:rPr>
          <w:szCs w:val="22"/>
        </w:rPr>
      </w:pPr>
      <w:r w:rsidRPr="00BD5DBD">
        <w:rPr>
          <w:szCs w:val="22"/>
        </w:rPr>
        <w:t xml:space="preserve">This evaluation was facilitated through </w:t>
      </w:r>
      <w:hyperlink r:id="rId19" w:history="1">
        <w:r w:rsidRPr="00BD5DBD">
          <w:rPr>
            <w:rStyle w:val="Hyperlink"/>
            <w:szCs w:val="22"/>
          </w:rPr>
          <w:t>Project Orbis</w:t>
        </w:r>
      </w:hyperlink>
      <w:r w:rsidRPr="00BD5DBD">
        <w:rPr>
          <w:szCs w:val="22"/>
        </w:rPr>
        <w:t xml:space="preserve">, an initiative of the United States Food and Drug Administration </w:t>
      </w:r>
      <w:r w:rsidR="008C754C" w:rsidRPr="00BD5DBD">
        <w:rPr>
          <w:szCs w:val="22"/>
        </w:rPr>
        <w:t xml:space="preserve">(FDA) </w:t>
      </w:r>
      <w:r w:rsidRPr="00BD5DBD">
        <w:rPr>
          <w:szCs w:val="22"/>
        </w:rPr>
        <w:t xml:space="preserve">Oncology </w:t>
      </w:r>
      <w:proofErr w:type="spellStart"/>
      <w:r w:rsidRPr="00BD5DBD">
        <w:rPr>
          <w:szCs w:val="22"/>
        </w:rPr>
        <w:t>Center</w:t>
      </w:r>
      <w:proofErr w:type="spellEnd"/>
      <w:r w:rsidRPr="00BD5DBD">
        <w:rPr>
          <w:szCs w:val="22"/>
        </w:rPr>
        <w:t xml:space="preserve"> of Excellence. Under this project, the </w:t>
      </w:r>
      <w:r w:rsidRPr="000674CA">
        <w:rPr>
          <w:szCs w:val="22"/>
        </w:rPr>
        <w:t xml:space="preserve">FDA, Health Canada, </w:t>
      </w:r>
      <w:proofErr w:type="spellStart"/>
      <w:r w:rsidRPr="000674CA">
        <w:rPr>
          <w:szCs w:val="22"/>
        </w:rPr>
        <w:t>Swissmedic</w:t>
      </w:r>
      <w:proofErr w:type="spellEnd"/>
      <w:r w:rsidRPr="000674CA">
        <w:rPr>
          <w:szCs w:val="22"/>
        </w:rPr>
        <w:t xml:space="preserve"> (Switzerland), </w:t>
      </w:r>
      <w:r w:rsidRPr="00BD5DBD">
        <w:rPr>
          <w:szCs w:val="22"/>
        </w:rPr>
        <w:t>and the TGA collaboratively reviewed the submission.</w:t>
      </w:r>
    </w:p>
    <w:p w14:paraId="5F9FC507" w14:textId="67BF0722" w:rsidR="00324B33" w:rsidRPr="00BD5DBD" w:rsidRDefault="00324B33" w:rsidP="00324B33">
      <w:pPr>
        <w:rPr>
          <w:szCs w:val="22"/>
        </w:rPr>
      </w:pPr>
      <w:r w:rsidRPr="00BD5DBD">
        <w:rPr>
          <w:szCs w:val="22"/>
        </w:rPr>
        <w:lastRenderedPageBreak/>
        <w:t>This evaluation process provided a framework for process alignment and management of evaluation issues in real-time across jurisdictions. Each regulator made independent decisions regarding approval (market authorisation) of the new medicine.</w:t>
      </w:r>
    </w:p>
    <w:p w14:paraId="0D615854" w14:textId="2998F852" w:rsidR="00324B33" w:rsidRDefault="00324B33" w:rsidP="00324B33">
      <w:pPr>
        <w:pStyle w:val="Heading3"/>
      </w:pPr>
      <w:bookmarkStart w:id="24" w:name="_Toc103679291"/>
      <w:bookmarkStart w:id="25" w:name="_Toc144287138"/>
      <w:r>
        <w:t>Regulatory status</w:t>
      </w:r>
      <w:bookmarkEnd w:id="17"/>
      <w:bookmarkEnd w:id="18"/>
      <w:bookmarkEnd w:id="24"/>
      <w:bookmarkEnd w:id="25"/>
    </w:p>
    <w:p w14:paraId="2E0AB979" w14:textId="115FE30E" w:rsidR="00C30F2E" w:rsidRDefault="00C30F2E" w:rsidP="00C30F2E">
      <w:pPr>
        <w:rPr>
          <w:sz w:val="20"/>
        </w:rPr>
      </w:pPr>
      <w:r>
        <w:t xml:space="preserve">Keytruda (pembrolizumab) was initially registered on the </w:t>
      </w:r>
      <w:hyperlink r:id="rId20" w:history="1">
        <w:r>
          <w:rPr>
            <w:rStyle w:val="Hyperlink"/>
          </w:rPr>
          <w:t>Australian Register of Therapeutic Goods</w:t>
        </w:r>
      </w:hyperlink>
      <w:r>
        <w:t xml:space="preserve"> (</w:t>
      </w:r>
      <w:hyperlink r:id="rId21" w:history="1">
        <w:r>
          <w:rPr>
            <w:rStyle w:val="Hyperlink"/>
          </w:rPr>
          <w:t>ARTG</w:t>
        </w:r>
      </w:hyperlink>
      <w:r>
        <w:t>) for the treatment of advanced melanoma on 16 April 2016.</w:t>
      </w:r>
    </w:p>
    <w:p w14:paraId="53C00F10" w14:textId="163D1B10" w:rsidR="00324B33" w:rsidRPr="00C30F2E" w:rsidRDefault="00C30F2E" w:rsidP="00324B33">
      <w:r>
        <w:t xml:space="preserve">Since initial registration </w:t>
      </w:r>
      <w:r w:rsidR="00BA79D5">
        <w:t xml:space="preserve">there have been </w:t>
      </w:r>
      <w:r>
        <w:t>many subsequent submissions to extend the indications of Keytruda (pembrolizumab).</w:t>
      </w:r>
      <w:r w:rsidR="00C012C0">
        <w:t xml:space="preserve"> </w:t>
      </w:r>
      <w:r w:rsidR="00750D70" w:rsidRPr="00BD5DBD">
        <w:rPr>
          <w:szCs w:val="22"/>
        </w:rPr>
        <w:t>At the time that this</w:t>
      </w:r>
      <w:r>
        <w:rPr>
          <w:szCs w:val="22"/>
        </w:rPr>
        <w:t xml:space="preserve"> extension of indication</w:t>
      </w:r>
      <w:r w:rsidR="00750D70" w:rsidRPr="00BD5DBD">
        <w:rPr>
          <w:szCs w:val="22"/>
        </w:rPr>
        <w:t xml:space="preserve"> submission was considered </w:t>
      </w:r>
      <w:r>
        <w:rPr>
          <w:szCs w:val="22"/>
        </w:rPr>
        <w:t>the product</w:t>
      </w:r>
      <w:r w:rsidR="00750D70" w:rsidRPr="00BD5DBD">
        <w:rPr>
          <w:szCs w:val="22"/>
        </w:rPr>
        <w:t xml:space="preserve"> was approved for the following indications:</w:t>
      </w:r>
    </w:p>
    <w:tbl>
      <w:tblPr>
        <w:tblStyle w:val="TableTGAblue2023"/>
        <w:tblW w:w="0" w:type="auto"/>
        <w:tblLook w:val="04A0" w:firstRow="1" w:lastRow="0" w:firstColumn="1" w:lastColumn="0" w:noHBand="0" w:noVBand="1"/>
      </w:tblPr>
      <w:tblGrid>
        <w:gridCol w:w="2263"/>
        <w:gridCol w:w="6797"/>
      </w:tblGrid>
      <w:tr w:rsidR="00264AF8" w14:paraId="28866376" w14:textId="77777777" w:rsidTr="00010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729C39" w14:textId="77777777" w:rsidR="00264AF8" w:rsidRDefault="00264AF8" w:rsidP="00324B33">
            <w:pPr>
              <w:rPr>
                <w:szCs w:val="22"/>
              </w:rPr>
            </w:pPr>
          </w:p>
        </w:tc>
        <w:tc>
          <w:tcPr>
            <w:tcW w:w="6797" w:type="dxa"/>
          </w:tcPr>
          <w:p w14:paraId="21DFF9FF" w14:textId="1B98EDC5" w:rsidR="00264AF8" w:rsidRDefault="00264AF8"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Indication</w:t>
            </w:r>
          </w:p>
        </w:tc>
      </w:tr>
      <w:tr w:rsidR="00264AF8" w14:paraId="1B4CEAEE"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46A265B5" w14:textId="129AC8F6" w:rsidR="00264AF8" w:rsidRDefault="00264AF8" w:rsidP="00324B33">
            <w:pPr>
              <w:rPr>
                <w:szCs w:val="22"/>
              </w:rPr>
            </w:pPr>
            <w:r w:rsidRPr="00264AF8">
              <w:rPr>
                <w:szCs w:val="22"/>
              </w:rPr>
              <w:t>Melanoma</w:t>
            </w:r>
          </w:p>
        </w:tc>
        <w:tc>
          <w:tcPr>
            <w:tcW w:w="6797" w:type="dxa"/>
          </w:tcPr>
          <w:p w14:paraId="09F4597E" w14:textId="6447AD35"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unresectable or metastatic melanoma in adults.</w:t>
            </w:r>
          </w:p>
          <w:p w14:paraId="5F24A14D" w14:textId="46A825E0"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adjuvant treatment of patients with melanoma with lymph node involvement who have undergone complete resection.</w:t>
            </w:r>
          </w:p>
        </w:tc>
      </w:tr>
      <w:tr w:rsidR="00264AF8" w14:paraId="36FE6B09"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70DD6BC6" w14:textId="2949C5E2" w:rsidR="00264AF8" w:rsidRDefault="00264AF8" w:rsidP="00324B33">
            <w:pPr>
              <w:rPr>
                <w:szCs w:val="22"/>
              </w:rPr>
            </w:pPr>
            <w:r w:rsidRPr="00264AF8">
              <w:rPr>
                <w:szCs w:val="22"/>
              </w:rPr>
              <w:t>Non-small cell lung cancer (NSCLC)</w:t>
            </w:r>
          </w:p>
        </w:tc>
        <w:tc>
          <w:tcPr>
            <w:tcW w:w="6797" w:type="dxa"/>
          </w:tcPr>
          <w:p w14:paraId="47B980EC" w14:textId="176C18AE"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in combination with pemetrexed and platinum chemotherapy, is indicated for the first-line treatment of patients with metastatic non-squamous NSCLC, with no EGFR or ALK genomic tumour aberrations.</w:t>
            </w:r>
          </w:p>
          <w:p w14:paraId="3293CB5B" w14:textId="5631B556"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in combination with carboplatin and either paclitaxel or </w:t>
            </w:r>
            <w:proofErr w:type="spellStart"/>
            <w:r w:rsidRPr="0001036D">
              <w:rPr>
                <w:i/>
                <w:iCs/>
                <w:szCs w:val="22"/>
              </w:rPr>
              <w:t>nabpaclitaxel</w:t>
            </w:r>
            <w:proofErr w:type="spellEnd"/>
            <w:r w:rsidRPr="0001036D">
              <w:rPr>
                <w:i/>
                <w:iCs/>
                <w:szCs w:val="22"/>
              </w:rPr>
              <w:t>, is indicated for the first-line treatment of patients with metastatic squamous NSCLC.</w:t>
            </w:r>
          </w:p>
          <w:p w14:paraId="6AED31EE" w14:textId="331F3AC6"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first-line treatment of patients with NSCLC expressing PD-L1 [tumour proportion score (TPS) ≥1%] as determined by a validated test, with no EGFR or ALK genomic tumour aberrations, and is</w:t>
            </w:r>
          </w:p>
          <w:p w14:paraId="28A1696E" w14:textId="0E6C2DE4" w:rsidR="00264AF8" w:rsidRPr="00E57158" w:rsidRDefault="00E57158" w:rsidP="00E57158">
            <w:pPr>
              <w:pStyle w:val="ListBullet"/>
              <w:cnfStyle w:val="000000000000" w:firstRow="0" w:lastRow="0" w:firstColumn="0" w:lastColumn="0" w:oddVBand="0" w:evenVBand="0" w:oddHBand="0" w:evenHBand="0" w:firstRowFirstColumn="0" w:firstRowLastColumn="0" w:lastRowFirstColumn="0" w:lastRowLastColumn="0"/>
              <w:rPr>
                <w:i/>
                <w:iCs/>
              </w:rPr>
            </w:pPr>
            <w:r w:rsidRPr="00E57158">
              <w:rPr>
                <w:i/>
                <w:iCs/>
              </w:rPr>
              <w:t>S</w:t>
            </w:r>
            <w:r w:rsidR="00264AF8" w:rsidRPr="00E57158">
              <w:rPr>
                <w:i/>
                <w:iCs/>
              </w:rPr>
              <w:t>tage III where patients are not candidates for surgical resection or definitive chemoradiation, or</w:t>
            </w:r>
          </w:p>
          <w:p w14:paraId="53565F13" w14:textId="26EA8169" w:rsidR="00264AF8" w:rsidRPr="00E57158" w:rsidRDefault="00264AF8" w:rsidP="00E57158">
            <w:pPr>
              <w:pStyle w:val="ListBullet"/>
              <w:cnfStyle w:val="000000000000" w:firstRow="0" w:lastRow="0" w:firstColumn="0" w:lastColumn="0" w:oddVBand="0" w:evenVBand="0" w:oddHBand="0" w:evenHBand="0" w:firstRowFirstColumn="0" w:firstRowLastColumn="0" w:lastRowFirstColumn="0" w:lastRowLastColumn="0"/>
              <w:rPr>
                <w:i/>
                <w:iCs/>
              </w:rPr>
            </w:pPr>
            <w:r w:rsidRPr="00E57158">
              <w:rPr>
                <w:i/>
                <w:iCs/>
              </w:rPr>
              <w:t>metastatic.</w:t>
            </w:r>
          </w:p>
          <w:p w14:paraId="797C776C" w14:textId="67293906"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patients with advanced NSCLC whose tumours express PD-L1 with a ≥</w:t>
            </w:r>
            <w:r w:rsidR="00E57158">
              <w:rPr>
                <w:i/>
                <w:iCs/>
                <w:szCs w:val="22"/>
              </w:rPr>
              <w:t xml:space="preserve"> </w:t>
            </w:r>
            <w:r w:rsidRPr="0001036D">
              <w:rPr>
                <w:i/>
                <w:iCs/>
                <w:szCs w:val="22"/>
              </w:rPr>
              <w:t>1% TPS as determined by a validated test and who have received platinum-containing chemotherapy. Patients with EGFR or ALK genomic tumour aberrations should have received prior therapy for these aberrations prior to receiving Keytruda.</w:t>
            </w:r>
          </w:p>
        </w:tc>
      </w:tr>
      <w:tr w:rsidR="00264AF8" w14:paraId="2F45BB4D"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595D1B66" w14:textId="72E17769" w:rsidR="00264AF8" w:rsidRDefault="00264AF8" w:rsidP="00324B33">
            <w:pPr>
              <w:rPr>
                <w:szCs w:val="22"/>
              </w:rPr>
            </w:pPr>
            <w:r w:rsidRPr="00264AF8">
              <w:rPr>
                <w:szCs w:val="22"/>
              </w:rPr>
              <w:lastRenderedPageBreak/>
              <w:t>Head and Neck Squamous Cell Cancer (HNSCC)</w:t>
            </w:r>
          </w:p>
        </w:tc>
        <w:tc>
          <w:tcPr>
            <w:tcW w:w="6797" w:type="dxa"/>
          </w:tcPr>
          <w:p w14:paraId="62874757" w14:textId="0DE3E278"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63F0FDCE" w14:textId="483D3A78"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patients with metastatic or unresectable recurrent HNSCC with disease progression on or after platinum containing chemotherapy and whose tumours express PD-L1 [Combined Positive Score (CPS) ≥1] as determined by a validated test.</w:t>
            </w:r>
          </w:p>
        </w:tc>
      </w:tr>
      <w:tr w:rsidR="00264AF8" w14:paraId="6E62B153"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212F4F4B" w14:textId="4486C367" w:rsidR="00264AF8" w:rsidRDefault="00264AF8" w:rsidP="00264AF8">
            <w:pPr>
              <w:tabs>
                <w:tab w:val="left" w:pos="1786"/>
              </w:tabs>
              <w:rPr>
                <w:szCs w:val="22"/>
              </w:rPr>
            </w:pPr>
            <w:r w:rsidRPr="00264AF8">
              <w:rPr>
                <w:szCs w:val="22"/>
              </w:rPr>
              <w:t>Classical Hodgkin Lymphoma (</w:t>
            </w:r>
            <w:proofErr w:type="spellStart"/>
            <w:r w:rsidRPr="00264AF8">
              <w:rPr>
                <w:szCs w:val="22"/>
              </w:rPr>
              <w:t>cHL</w:t>
            </w:r>
            <w:proofErr w:type="spellEnd"/>
            <w:r w:rsidRPr="00264AF8">
              <w:rPr>
                <w:szCs w:val="22"/>
              </w:rPr>
              <w:t>)</w:t>
            </w:r>
          </w:p>
        </w:tc>
        <w:tc>
          <w:tcPr>
            <w:tcW w:w="6797" w:type="dxa"/>
          </w:tcPr>
          <w:p w14:paraId="4F706D35" w14:textId="3957F011"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adult and paediatric patients with relapsed or refractory classical Hodgkin Lymphoma (</w:t>
            </w:r>
            <w:proofErr w:type="spellStart"/>
            <w:r w:rsidRPr="0001036D">
              <w:rPr>
                <w:i/>
                <w:iCs/>
                <w:szCs w:val="22"/>
              </w:rPr>
              <w:t>cHL</w:t>
            </w:r>
            <w:proofErr w:type="spellEnd"/>
            <w:r w:rsidRPr="0001036D">
              <w:rPr>
                <w:i/>
                <w:iCs/>
                <w:szCs w:val="22"/>
              </w:rPr>
              <w:t>):</w:t>
            </w:r>
          </w:p>
          <w:p w14:paraId="271A6B70" w14:textId="02804329" w:rsidR="00264AF8" w:rsidRPr="00E57158" w:rsidRDefault="00264AF8" w:rsidP="00E57158">
            <w:pPr>
              <w:pStyle w:val="Numberbullet0"/>
              <w:cnfStyle w:val="000000000000" w:firstRow="0" w:lastRow="0" w:firstColumn="0" w:lastColumn="0" w:oddVBand="0" w:evenVBand="0" w:oddHBand="0" w:evenHBand="0" w:firstRowFirstColumn="0" w:firstRowLastColumn="0" w:lastRowFirstColumn="0" w:lastRowLastColumn="0"/>
              <w:rPr>
                <w:i/>
                <w:iCs/>
              </w:rPr>
            </w:pPr>
            <w:r w:rsidRPr="00E57158">
              <w:rPr>
                <w:i/>
                <w:iCs/>
              </w:rPr>
              <w:t>following autologous stem cell transplant (ASCT) or</w:t>
            </w:r>
          </w:p>
          <w:p w14:paraId="3B9871B8" w14:textId="629B00C7" w:rsidR="00264AF8" w:rsidRPr="00E57158" w:rsidRDefault="00264AF8" w:rsidP="00E57158">
            <w:pPr>
              <w:pStyle w:val="Numberbullet0"/>
              <w:cnfStyle w:val="000000000000" w:firstRow="0" w:lastRow="0" w:firstColumn="0" w:lastColumn="0" w:oddVBand="0" w:evenVBand="0" w:oddHBand="0" w:evenHBand="0" w:firstRowFirstColumn="0" w:firstRowLastColumn="0" w:lastRowFirstColumn="0" w:lastRowLastColumn="0"/>
              <w:rPr>
                <w:i/>
                <w:iCs/>
              </w:rPr>
            </w:pPr>
            <w:r w:rsidRPr="00E57158">
              <w:rPr>
                <w:i/>
                <w:iCs/>
              </w:rPr>
              <w:t>following at least two prior therapies when ASCT or multi-agent chemotherapy is not a treatment option.</w:t>
            </w:r>
          </w:p>
          <w:p w14:paraId="2F01AD50" w14:textId="624F6500"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The approval of this indication in paediatric patients is </w:t>
            </w:r>
            <w:proofErr w:type="gramStart"/>
            <w:r w:rsidRPr="0001036D">
              <w:rPr>
                <w:i/>
                <w:iCs/>
                <w:szCs w:val="22"/>
              </w:rPr>
              <w:t>on the basis of</w:t>
            </w:r>
            <w:proofErr w:type="gramEnd"/>
            <w:r w:rsidRPr="0001036D">
              <w:rPr>
                <w:i/>
                <w:iCs/>
                <w:szCs w:val="22"/>
              </w:rPr>
              <w:t xml:space="preserve"> objective response rate from patients aged 11 years and older from single arm trial data and extrapolation from adult data (see Section 5.1 Pharmacodynamic properties, Clinical Trials).</w:t>
            </w:r>
          </w:p>
        </w:tc>
      </w:tr>
      <w:tr w:rsidR="00264AF8" w14:paraId="2598F6D6"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5B39A022" w14:textId="01A3F536" w:rsidR="00264AF8" w:rsidRDefault="00264AF8" w:rsidP="00324B33">
            <w:pPr>
              <w:rPr>
                <w:szCs w:val="22"/>
              </w:rPr>
            </w:pPr>
            <w:r w:rsidRPr="00264AF8">
              <w:rPr>
                <w:szCs w:val="22"/>
              </w:rPr>
              <w:t>Primary mediastinal B-Cell Lymphoma (PMBCL)</w:t>
            </w:r>
          </w:p>
        </w:tc>
        <w:tc>
          <w:tcPr>
            <w:tcW w:w="6797" w:type="dxa"/>
          </w:tcPr>
          <w:p w14:paraId="4CC1103E" w14:textId="3C01DDBF" w:rsidR="00264AF8" w:rsidRPr="0001036D" w:rsidRDefault="00264AF8" w:rsidP="00324B33">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is indicated for the treatment of adult and paediatric patients with refractory primary mediastinal B-cell lymphoma (PMBCL), or who have relapsed after 2 or more prior lines of therapy. The approval of this indication is </w:t>
            </w:r>
            <w:proofErr w:type="gramStart"/>
            <w:r w:rsidRPr="0001036D">
              <w:rPr>
                <w:i/>
                <w:iCs/>
                <w:szCs w:val="22"/>
              </w:rPr>
              <w:t>on the basis of</w:t>
            </w:r>
            <w:proofErr w:type="gramEnd"/>
            <w:r w:rsidRPr="0001036D">
              <w:rPr>
                <w:i/>
                <w:iCs/>
                <w:szCs w:val="22"/>
              </w:rPr>
              <w:t xml:space="preserve"> objective response rate (ORR) and duration of response from non-randomised studies. See Section 5.1 Pharmacodynamic properties, Clinical Trials.</w:t>
            </w:r>
          </w:p>
        </w:tc>
      </w:tr>
      <w:tr w:rsidR="00264AF8" w14:paraId="42900042" w14:textId="77777777" w:rsidTr="00E57158">
        <w:trPr>
          <w:cantSplit w:val="0"/>
        </w:trPr>
        <w:tc>
          <w:tcPr>
            <w:cnfStyle w:val="001000000000" w:firstRow="0" w:lastRow="0" w:firstColumn="1" w:lastColumn="0" w:oddVBand="0" w:evenVBand="0" w:oddHBand="0" w:evenHBand="0" w:firstRowFirstColumn="0" w:firstRowLastColumn="0" w:lastRowFirstColumn="0" w:lastRowLastColumn="0"/>
            <w:tcW w:w="2263" w:type="dxa"/>
          </w:tcPr>
          <w:p w14:paraId="78424130" w14:textId="3DA6DB40" w:rsidR="00264AF8" w:rsidRDefault="00264AF8" w:rsidP="00324B33">
            <w:pPr>
              <w:rPr>
                <w:szCs w:val="22"/>
              </w:rPr>
            </w:pPr>
            <w:r w:rsidRPr="00264AF8">
              <w:rPr>
                <w:szCs w:val="22"/>
              </w:rPr>
              <w:t>Urothelial carcinoma</w:t>
            </w:r>
          </w:p>
        </w:tc>
        <w:tc>
          <w:tcPr>
            <w:tcW w:w="6797" w:type="dxa"/>
          </w:tcPr>
          <w:p w14:paraId="66AA20A6" w14:textId="7F159B42"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patients with locally advanced or metastatic urothelial carcinoma who are not eligible for any platinum containing chemotherapy. This indication is approved based on overall response rate and duration of response in a single-arm study. Improvements in overall survival, progression-free survival, or health-related quality of life have not been established.</w:t>
            </w:r>
          </w:p>
          <w:p w14:paraId="27B371F9" w14:textId="3A9666F5"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patients with locally advanced or metastatic urothelial carcinoma who have received platinum-containing chemotherapy.</w:t>
            </w:r>
          </w:p>
          <w:p w14:paraId="20CBB94A" w14:textId="20238C4D"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sidRPr="0001036D">
              <w:rPr>
                <w:b/>
                <w:bCs/>
                <w:i/>
                <w:iCs/>
                <w:szCs w:val="22"/>
              </w:rPr>
              <w:t>provisional approval</w:t>
            </w:r>
            <w:r w:rsidRPr="0001036D">
              <w:rPr>
                <w:i/>
                <w:iCs/>
                <w:szCs w:val="22"/>
              </w:rPr>
              <w:t xml:space="preserve"> pathway based on complete response rate and duration of response. Continued approval of this indication </w:t>
            </w:r>
            <w:r w:rsidRPr="0001036D">
              <w:rPr>
                <w:i/>
                <w:iCs/>
                <w:szCs w:val="22"/>
              </w:rPr>
              <w:lastRenderedPageBreak/>
              <w:t>depends on verification and description of benefit in confirmatory trials.</w:t>
            </w:r>
          </w:p>
        </w:tc>
      </w:tr>
      <w:tr w:rsidR="00264AF8" w14:paraId="7A9496F9"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3DF1513F" w14:textId="4281503E" w:rsidR="00264AF8" w:rsidRPr="00264AF8" w:rsidRDefault="00264AF8" w:rsidP="00324B33">
            <w:pPr>
              <w:rPr>
                <w:szCs w:val="22"/>
              </w:rPr>
            </w:pPr>
            <w:r w:rsidRPr="00264AF8">
              <w:rPr>
                <w:szCs w:val="22"/>
              </w:rPr>
              <w:lastRenderedPageBreak/>
              <w:t>Microsatellite instability-high (MSI-H) or mismatch repair deficient (</w:t>
            </w:r>
            <w:proofErr w:type="spellStart"/>
            <w:r w:rsidRPr="00264AF8">
              <w:rPr>
                <w:szCs w:val="22"/>
              </w:rPr>
              <w:t>dMMR</w:t>
            </w:r>
            <w:proofErr w:type="spellEnd"/>
            <w:r w:rsidRPr="00264AF8">
              <w:rPr>
                <w:szCs w:val="22"/>
              </w:rPr>
              <w:t>) cancer</w:t>
            </w:r>
          </w:p>
        </w:tc>
        <w:tc>
          <w:tcPr>
            <w:tcW w:w="6797" w:type="dxa"/>
          </w:tcPr>
          <w:p w14:paraId="69DF13AE" w14:textId="77777777"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Colorectal (previously untreated)</w:t>
            </w:r>
          </w:p>
          <w:p w14:paraId="2E02DEEA" w14:textId="7BEE4F0C"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is indicated for the first-line treatment of patients with unresectable or metastatic colorectal cancer (CRC) that is MSI-H or </w:t>
            </w:r>
            <w:proofErr w:type="spellStart"/>
            <w:r w:rsidRPr="0001036D">
              <w:rPr>
                <w:i/>
                <w:iCs/>
                <w:szCs w:val="22"/>
              </w:rPr>
              <w:t>dMMR</w:t>
            </w:r>
            <w:proofErr w:type="spellEnd"/>
            <w:r w:rsidRPr="0001036D">
              <w:rPr>
                <w:i/>
                <w:iCs/>
                <w:szCs w:val="22"/>
              </w:rPr>
              <w:t xml:space="preserve"> as determined by a validated test.</w:t>
            </w:r>
          </w:p>
          <w:p w14:paraId="3F2E95A5" w14:textId="77777777"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Colorectal (previously treated)</w:t>
            </w:r>
          </w:p>
          <w:p w14:paraId="792F9E39" w14:textId="50819156"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is indicated in adult and paediatric patients for the treatment of unresectable or metastatic CRC that is MSI-H or </w:t>
            </w:r>
            <w:proofErr w:type="spellStart"/>
            <w:r w:rsidRPr="0001036D">
              <w:rPr>
                <w:i/>
                <w:iCs/>
                <w:szCs w:val="22"/>
              </w:rPr>
              <w:t>dMMR</w:t>
            </w:r>
            <w:proofErr w:type="spellEnd"/>
            <w:r w:rsidRPr="0001036D">
              <w:rPr>
                <w:i/>
                <w:iCs/>
                <w:szCs w:val="22"/>
              </w:rPr>
              <w:t xml:space="preserve"> as determined by a validated test, and that has progressed following treatment with a fluoropyrimidine, oxaliplatin, and irinotecan. This indication was approved via the </w:t>
            </w:r>
            <w:r w:rsidRPr="0001036D">
              <w:rPr>
                <w:b/>
                <w:bCs/>
                <w:i/>
                <w:iCs/>
                <w:szCs w:val="22"/>
              </w:rPr>
              <w:t>provisional approval</w:t>
            </w:r>
            <w:r w:rsidRPr="0001036D">
              <w:rPr>
                <w:i/>
                <w:iCs/>
                <w:szCs w:val="22"/>
              </w:rPr>
              <w:t xml:space="preserve"> pathway, based on objective response rate and response duration in a single-arm trial. Continued approval for this indication depends on verification and description of clinical benefit in the confirmatory trials.</w:t>
            </w:r>
          </w:p>
          <w:p w14:paraId="32D5F542" w14:textId="77777777"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Non-colorectal</w:t>
            </w:r>
          </w:p>
          <w:p w14:paraId="552EA4E4" w14:textId="5281A4B6"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is indicated in adult and paediatric patients for the treatment of unresectable or metastatic solid tumours that are MSI-H or </w:t>
            </w:r>
            <w:proofErr w:type="spellStart"/>
            <w:r w:rsidRPr="0001036D">
              <w:rPr>
                <w:i/>
                <w:iCs/>
                <w:szCs w:val="22"/>
              </w:rPr>
              <w:t>dMMR</w:t>
            </w:r>
            <w:proofErr w:type="spellEnd"/>
            <w:r w:rsidRPr="0001036D">
              <w:rPr>
                <w:i/>
                <w:iCs/>
                <w:szCs w:val="22"/>
              </w:rPr>
              <w:t xml:space="preserve"> as determined by a validated test, that have progressed following prior treatment and when there are no satisfactory alternative treatment options. This indication was approved via the </w:t>
            </w:r>
            <w:r w:rsidRPr="0001036D">
              <w:rPr>
                <w:b/>
                <w:bCs/>
                <w:i/>
                <w:iCs/>
                <w:szCs w:val="22"/>
              </w:rPr>
              <w:t>provisional approval</w:t>
            </w:r>
            <w:r w:rsidRPr="0001036D">
              <w:rPr>
                <w:i/>
                <w:iCs/>
                <w:szCs w:val="22"/>
              </w:rP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Pr="0001036D">
              <w:rPr>
                <w:i/>
                <w:iCs/>
                <w:szCs w:val="22"/>
              </w:rPr>
              <w:t>dMMR</w:t>
            </w:r>
            <w:proofErr w:type="spellEnd"/>
            <w:r w:rsidRPr="0001036D">
              <w:rPr>
                <w:i/>
                <w:iCs/>
                <w:szCs w:val="22"/>
              </w:rPr>
              <w:t xml:space="preserve"> tests for each of the tissue types, individually. The assumption that MSI-H/</w:t>
            </w:r>
            <w:proofErr w:type="spellStart"/>
            <w:r w:rsidRPr="0001036D">
              <w:rPr>
                <w:i/>
                <w:iCs/>
                <w:szCs w:val="22"/>
              </w:rPr>
              <w:t>dMMR</w:t>
            </w:r>
            <w:proofErr w:type="spellEnd"/>
            <w:r w:rsidRPr="0001036D">
              <w:rPr>
                <w:i/>
                <w:iCs/>
                <w:szCs w:val="22"/>
              </w:rPr>
              <w:t>-status is predictive of the treatment effect of</w:t>
            </w:r>
          </w:p>
          <w:p w14:paraId="6DC6B181" w14:textId="43DDBFF5"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for every tissue type has not been verified. Continued approval for this indication depends on verification and description of clinical benefit in the confirmatory trials. The safety and effectiveness of Keytruda in paediatric patients with MSI-H/</w:t>
            </w:r>
            <w:proofErr w:type="spellStart"/>
            <w:r w:rsidRPr="0001036D">
              <w:rPr>
                <w:i/>
                <w:iCs/>
                <w:szCs w:val="22"/>
              </w:rPr>
              <w:t>dMMR</w:t>
            </w:r>
            <w:proofErr w:type="spellEnd"/>
            <w:r w:rsidRPr="0001036D">
              <w:rPr>
                <w:i/>
                <w:iCs/>
                <w:szCs w:val="22"/>
              </w:rPr>
              <w:t xml:space="preserve"> central nervous system cancers have not been established.</w:t>
            </w:r>
          </w:p>
        </w:tc>
      </w:tr>
      <w:tr w:rsidR="00264AF8" w14:paraId="5043156A"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5F83F886" w14:textId="34C29079" w:rsidR="00264AF8" w:rsidRPr="00264AF8" w:rsidRDefault="00264AF8" w:rsidP="00264AF8">
            <w:pPr>
              <w:rPr>
                <w:szCs w:val="22"/>
              </w:rPr>
            </w:pPr>
            <w:r w:rsidRPr="00264AF8">
              <w:rPr>
                <w:szCs w:val="22"/>
              </w:rPr>
              <w:t>Endometrial carcinoma</w:t>
            </w:r>
          </w:p>
        </w:tc>
        <w:tc>
          <w:tcPr>
            <w:tcW w:w="6797" w:type="dxa"/>
          </w:tcPr>
          <w:p w14:paraId="64E214C1" w14:textId="497E55AE"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in combination with </w:t>
            </w:r>
            <w:proofErr w:type="spellStart"/>
            <w:r w:rsidRPr="0001036D">
              <w:rPr>
                <w:i/>
                <w:iCs/>
                <w:szCs w:val="22"/>
              </w:rPr>
              <w:t>lenvatinib</w:t>
            </w:r>
            <w:proofErr w:type="spellEnd"/>
            <w:r w:rsidRPr="0001036D">
              <w:rPr>
                <w:i/>
                <w:iCs/>
                <w:szCs w:val="22"/>
              </w:rPr>
              <w:t xml:space="preserve">, is indicated for the treatment of patients with advanced endometrial carcinoma that is not MSI-H or </w:t>
            </w:r>
            <w:proofErr w:type="spellStart"/>
            <w:r w:rsidRPr="0001036D">
              <w:rPr>
                <w:i/>
                <w:iCs/>
                <w:szCs w:val="22"/>
              </w:rPr>
              <w:t>dMMR</w:t>
            </w:r>
            <w:proofErr w:type="spellEnd"/>
            <w:r w:rsidRPr="0001036D">
              <w:rPr>
                <w:i/>
                <w:iCs/>
                <w:szCs w:val="22"/>
              </w:rPr>
              <w:t>, who have disease progression following prior systemic therapy in any setting and are not candidates for curative surgery or radiation.</w:t>
            </w:r>
          </w:p>
        </w:tc>
      </w:tr>
      <w:tr w:rsidR="00264AF8" w14:paraId="7437D8EC"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58F9B2CD" w14:textId="245039B5" w:rsidR="00264AF8" w:rsidRPr="00264AF8" w:rsidRDefault="00264AF8" w:rsidP="00264AF8">
            <w:pPr>
              <w:rPr>
                <w:szCs w:val="22"/>
              </w:rPr>
            </w:pPr>
            <w:r w:rsidRPr="00264AF8">
              <w:rPr>
                <w:szCs w:val="22"/>
              </w:rPr>
              <w:lastRenderedPageBreak/>
              <w:t>Cervical Cancer</w:t>
            </w:r>
          </w:p>
        </w:tc>
        <w:tc>
          <w:tcPr>
            <w:tcW w:w="6797" w:type="dxa"/>
          </w:tcPr>
          <w:p w14:paraId="7E4D3D5B" w14:textId="259A2025"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in combination with platinum chemotherapy and paclitaxel, with or without bevacizumab, is indicated for the treatment of patients with persistent, recurrent, or metastatic cervical cancer whose tumours express PD-L1 [Combined Positive Score (CPS) ≥1] as determined by a validated test.</w:t>
            </w:r>
          </w:p>
        </w:tc>
      </w:tr>
      <w:tr w:rsidR="00264AF8" w14:paraId="408A2756"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4FD3730E" w14:textId="32AAA230" w:rsidR="00264AF8" w:rsidRPr="00264AF8" w:rsidRDefault="00264AF8" w:rsidP="00264AF8">
            <w:pPr>
              <w:rPr>
                <w:szCs w:val="22"/>
              </w:rPr>
            </w:pPr>
            <w:r w:rsidRPr="00264AF8">
              <w:rPr>
                <w:szCs w:val="22"/>
              </w:rPr>
              <w:t>Renal Cell Carcinoma (RCC)</w:t>
            </w:r>
          </w:p>
        </w:tc>
        <w:tc>
          <w:tcPr>
            <w:tcW w:w="6797" w:type="dxa"/>
          </w:tcPr>
          <w:p w14:paraId="5D8DFD97" w14:textId="56B30304"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 xml:space="preserve">Keytruda (pembrolizumab), in combination with </w:t>
            </w:r>
            <w:proofErr w:type="spellStart"/>
            <w:r w:rsidRPr="0001036D">
              <w:rPr>
                <w:i/>
                <w:iCs/>
                <w:szCs w:val="22"/>
              </w:rPr>
              <w:t>axitinib</w:t>
            </w:r>
            <w:proofErr w:type="spellEnd"/>
            <w:r w:rsidRPr="0001036D">
              <w:rPr>
                <w:i/>
                <w:iCs/>
                <w:szCs w:val="22"/>
              </w:rPr>
              <w:t>, is indicated for the first-line treatment of patients with advanced renal cell carcinoma (RCC).</w:t>
            </w:r>
          </w:p>
          <w:p w14:paraId="7DF1CE74" w14:textId="3C4B9045" w:rsidR="00264AF8" w:rsidRPr="0001036D" w:rsidRDefault="00264AF8" w:rsidP="00014494">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in combination with LENVIMA® (</w:t>
            </w:r>
            <w:proofErr w:type="spellStart"/>
            <w:r w:rsidRPr="0001036D">
              <w:rPr>
                <w:i/>
                <w:iCs/>
                <w:szCs w:val="22"/>
              </w:rPr>
              <w:t>lenvatinib</w:t>
            </w:r>
            <w:proofErr w:type="spellEnd"/>
            <w:r w:rsidRPr="0001036D">
              <w:rPr>
                <w:i/>
                <w:iCs/>
                <w:szCs w:val="22"/>
              </w:rPr>
              <w:t>) is indicated for the first-line treatment of adult patients with advanced renal cell carcinoma (RCC).</w:t>
            </w:r>
          </w:p>
        </w:tc>
      </w:tr>
      <w:tr w:rsidR="00264AF8" w14:paraId="0AB5266E"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4DCEB436" w14:textId="571CDEE8" w:rsidR="00264AF8" w:rsidRPr="00264AF8" w:rsidRDefault="00264AF8" w:rsidP="00264AF8">
            <w:pPr>
              <w:rPr>
                <w:szCs w:val="22"/>
              </w:rPr>
            </w:pPr>
            <w:r w:rsidRPr="00264AF8">
              <w:rPr>
                <w:szCs w:val="22"/>
              </w:rPr>
              <w:t>Cutaneous Squamous Cell Carcinoma</w:t>
            </w:r>
          </w:p>
        </w:tc>
        <w:tc>
          <w:tcPr>
            <w:tcW w:w="6797" w:type="dxa"/>
          </w:tcPr>
          <w:p w14:paraId="0DE44EF1" w14:textId="61F9CD88"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as monotherapy for the treatment of adult patients with recurrent or metastatic cutaneous squamous cell carcinoma (</w:t>
            </w:r>
            <w:proofErr w:type="spellStart"/>
            <w:r w:rsidRPr="0001036D">
              <w:rPr>
                <w:i/>
                <w:iCs/>
                <w:szCs w:val="22"/>
              </w:rPr>
              <w:t>cSCC</w:t>
            </w:r>
            <w:proofErr w:type="spellEnd"/>
            <w:r w:rsidRPr="0001036D">
              <w:rPr>
                <w:i/>
                <w:iCs/>
                <w:szCs w:val="22"/>
              </w:rPr>
              <w:t xml:space="preserve">) or locally advanced </w:t>
            </w:r>
            <w:proofErr w:type="spellStart"/>
            <w:r w:rsidRPr="0001036D">
              <w:rPr>
                <w:i/>
                <w:iCs/>
                <w:szCs w:val="22"/>
              </w:rPr>
              <w:t>cSCC</w:t>
            </w:r>
            <w:proofErr w:type="spellEnd"/>
            <w:r w:rsidRPr="0001036D">
              <w:rPr>
                <w:i/>
                <w:iCs/>
                <w:szCs w:val="22"/>
              </w:rPr>
              <w:t xml:space="preserve"> that is not curable by surgery or radiation. This indication was approved via the </w:t>
            </w:r>
            <w:r w:rsidRPr="0001036D">
              <w:rPr>
                <w:b/>
                <w:bCs/>
                <w:i/>
                <w:iCs/>
                <w:szCs w:val="22"/>
              </w:rPr>
              <w:t>provisional approval</w:t>
            </w:r>
            <w:r w:rsidRPr="0001036D">
              <w:rPr>
                <w:i/>
                <w:iCs/>
                <w:szCs w:val="22"/>
              </w:rPr>
              <w:t xml:space="preserve"> pathway based on objective response rate and duration of response from a single-arm study. Improvements in overall survival, progression-free survival, or health related quality of life have not been established. Full registration for this indication depends on submission of further clinical data to confirm the clinical benefit of the medicine.</w:t>
            </w:r>
          </w:p>
        </w:tc>
      </w:tr>
      <w:tr w:rsidR="00264AF8" w14:paraId="79D860CB"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67B35032" w14:textId="09A05176" w:rsidR="00264AF8" w:rsidRPr="00264AF8" w:rsidRDefault="00264AF8" w:rsidP="00264AF8">
            <w:pPr>
              <w:rPr>
                <w:szCs w:val="22"/>
              </w:rPr>
            </w:pPr>
            <w:r w:rsidRPr="00264AF8">
              <w:rPr>
                <w:szCs w:val="22"/>
              </w:rPr>
              <w:t>Oesophageal Cancer</w:t>
            </w:r>
          </w:p>
        </w:tc>
        <w:tc>
          <w:tcPr>
            <w:tcW w:w="6797" w:type="dxa"/>
          </w:tcPr>
          <w:p w14:paraId="65188CA4" w14:textId="322EDD82"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tc>
      </w:tr>
      <w:tr w:rsidR="00264AF8" w14:paraId="23124CC2"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3724FE61" w14:textId="07C0A674" w:rsidR="00264AF8" w:rsidRPr="00264AF8" w:rsidRDefault="00264AF8" w:rsidP="00264AF8">
            <w:pPr>
              <w:rPr>
                <w:szCs w:val="22"/>
              </w:rPr>
            </w:pPr>
            <w:r w:rsidRPr="00264AF8">
              <w:rPr>
                <w:szCs w:val="22"/>
              </w:rPr>
              <w:t>Tumour Mutational Burden-High (TMB-H) cancer</w:t>
            </w:r>
          </w:p>
        </w:tc>
        <w:tc>
          <w:tcPr>
            <w:tcW w:w="6797" w:type="dxa"/>
          </w:tcPr>
          <w:p w14:paraId="213FAE66" w14:textId="590287C0"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for the treatment of adult and paediatric patients with unresectable or metastatic tumour mutational burden-high (TMB-H) [≥10 mutations/</w:t>
            </w:r>
            <w:proofErr w:type="spellStart"/>
            <w:r w:rsidRPr="0001036D">
              <w:rPr>
                <w:i/>
                <w:iCs/>
                <w:szCs w:val="22"/>
              </w:rPr>
              <w:t>megabase</w:t>
            </w:r>
            <w:proofErr w:type="spellEnd"/>
            <w:r w:rsidRPr="0001036D">
              <w:rPr>
                <w:i/>
                <w:iCs/>
                <w:szCs w:val="22"/>
              </w:rPr>
              <w:t xml:space="preserve"> (mut/Mb)] solid tumours, as determined by a validated test, that have progressed following prior treatment and who have no satisfactory alternative treatment options. This indication was approved via the </w:t>
            </w:r>
            <w:r w:rsidRPr="0001036D">
              <w:rPr>
                <w:b/>
                <w:bCs/>
                <w:i/>
                <w:iCs/>
                <w:szCs w:val="22"/>
              </w:rPr>
              <w:t>provisional approval</w:t>
            </w:r>
            <w:r w:rsidRPr="0001036D">
              <w:rPr>
                <w:i/>
                <w:iCs/>
                <w:szCs w:val="22"/>
              </w:rPr>
              <w:t xml:space="preserve"> pathway, based on the pooling of data on objective response rate and response duration across multiple different tissue types in a single-arm trial. The assumption that TMB-H status is predictive of the treatment effect of Keytruda for every tissue type has not been verified. Full registration for this indication depends on verification and description of clinical benefit in confirmatory trials.</w:t>
            </w:r>
          </w:p>
        </w:tc>
      </w:tr>
      <w:tr w:rsidR="00264AF8" w14:paraId="0A198CC2" w14:textId="77777777" w:rsidTr="0001036D">
        <w:tc>
          <w:tcPr>
            <w:cnfStyle w:val="001000000000" w:firstRow="0" w:lastRow="0" w:firstColumn="1" w:lastColumn="0" w:oddVBand="0" w:evenVBand="0" w:oddHBand="0" w:evenHBand="0" w:firstRowFirstColumn="0" w:firstRowLastColumn="0" w:lastRowFirstColumn="0" w:lastRowLastColumn="0"/>
            <w:tcW w:w="2263" w:type="dxa"/>
          </w:tcPr>
          <w:p w14:paraId="6C85CADE" w14:textId="2476B9A7" w:rsidR="00264AF8" w:rsidRPr="00264AF8" w:rsidRDefault="00264AF8" w:rsidP="00264AF8">
            <w:pPr>
              <w:rPr>
                <w:szCs w:val="22"/>
              </w:rPr>
            </w:pPr>
            <w:r w:rsidRPr="00264AF8">
              <w:rPr>
                <w:szCs w:val="22"/>
              </w:rPr>
              <w:lastRenderedPageBreak/>
              <w:t>Triple-Negative Breast Cancer</w:t>
            </w:r>
          </w:p>
        </w:tc>
        <w:tc>
          <w:tcPr>
            <w:tcW w:w="6797" w:type="dxa"/>
          </w:tcPr>
          <w:p w14:paraId="41D23260" w14:textId="7B5F62C7"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is indicated for the treatment of patients with high-risk early-stage triple-negative breast cancer (TNBC) in combination with chemotherapy as neoadjuvant treatment, and then continued as monotherapy as adjuvant treatment after surgery.</w:t>
            </w:r>
          </w:p>
          <w:p w14:paraId="63C4A5CD" w14:textId="39CDB044" w:rsidR="00264AF8" w:rsidRPr="0001036D" w:rsidRDefault="00264AF8" w:rsidP="00264AF8">
            <w:pPr>
              <w:cnfStyle w:val="000000000000" w:firstRow="0" w:lastRow="0" w:firstColumn="0" w:lastColumn="0" w:oddVBand="0" w:evenVBand="0" w:oddHBand="0" w:evenHBand="0" w:firstRowFirstColumn="0" w:firstRowLastColumn="0" w:lastRowFirstColumn="0" w:lastRowLastColumn="0"/>
              <w:rPr>
                <w:i/>
                <w:iCs/>
                <w:szCs w:val="22"/>
              </w:rPr>
            </w:pPr>
            <w:r w:rsidRPr="0001036D">
              <w:rPr>
                <w:i/>
                <w:iCs/>
                <w:szCs w:val="22"/>
              </w:rPr>
              <w:t>Keytruda (pembrolizumab), in combination with chemotherapy, is indicated for the treatment of patients with locally recurrent unresectable or metastatic TNBC whose tumours express PD-L1 (CPS ≥10) as determined by a validated test and who have not received prior chemotherapy for metastatic disease.</w:t>
            </w:r>
          </w:p>
        </w:tc>
      </w:tr>
    </w:tbl>
    <w:p w14:paraId="1B9AB90D" w14:textId="4B1702BF" w:rsidR="00324B33" w:rsidRPr="00BD5DBD" w:rsidRDefault="00324B33" w:rsidP="00324B33">
      <w:pPr>
        <w:rPr>
          <w:szCs w:val="22"/>
        </w:rPr>
      </w:pPr>
      <w:r w:rsidRPr="00BD5DBD">
        <w:rPr>
          <w:szCs w:val="22"/>
        </w:rPr>
        <w:t xml:space="preserve">At the time the TGA considered this </w:t>
      </w:r>
      <w:r w:rsidR="00C30F2E">
        <w:rPr>
          <w:szCs w:val="22"/>
        </w:rPr>
        <w:t xml:space="preserve">extension of indication </w:t>
      </w:r>
      <w:r w:rsidRPr="00BD5DBD">
        <w:rPr>
          <w:szCs w:val="22"/>
        </w:rPr>
        <w:t>submission,</w:t>
      </w:r>
      <w:r w:rsidR="00392142">
        <w:rPr>
          <w:szCs w:val="22"/>
        </w:rPr>
        <w:t xml:space="preserve"> similar</w:t>
      </w:r>
      <w:r w:rsidRPr="00BD5DBD">
        <w:rPr>
          <w:szCs w:val="22"/>
        </w:rPr>
        <w:t xml:space="preserve"> submission</w:t>
      </w:r>
      <w:r w:rsidR="00392142">
        <w:rPr>
          <w:szCs w:val="22"/>
        </w:rPr>
        <w:t>s</w:t>
      </w:r>
      <w:r w:rsidRPr="00BD5DBD">
        <w:rPr>
          <w:szCs w:val="22"/>
        </w:rPr>
        <w:t xml:space="preserve"> had been approved</w:t>
      </w:r>
      <w:r w:rsidR="00392142">
        <w:rPr>
          <w:szCs w:val="22"/>
        </w:rPr>
        <w:t xml:space="preserve"> in the United States of America and the European Union and </w:t>
      </w:r>
      <w:r w:rsidR="00BA79D5">
        <w:rPr>
          <w:szCs w:val="22"/>
        </w:rPr>
        <w:t xml:space="preserve">were </w:t>
      </w:r>
      <w:r w:rsidR="00392142">
        <w:rPr>
          <w:szCs w:val="22"/>
        </w:rPr>
        <w:t xml:space="preserve">under consideration in Canada, New Zealand, </w:t>
      </w:r>
      <w:proofErr w:type="gramStart"/>
      <w:r w:rsidR="00392142">
        <w:rPr>
          <w:szCs w:val="22"/>
        </w:rPr>
        <w:t>Singapore</w:t>
      </w:r>
      <w:proofErr w:type="gramEnd"/>
      <w:r w:rsidR="00392142">
        <w:rPr>
          <w:szCs w:val="22"/>
        </w:rPr>
        <w:t xml:space="preserve"> and Brazil. A similar submission was withdrawn from Switzerland. </w:t>
      </w:r>
      <w:r w:rsidRPr="00BD5DBD">
        <w:rPr>
          <w:szCs w:val="22"/>
        </w:rPr>
        <w:t>The following table</w:t>
      </w:r>
      <w:r w:rsidR="00392142">
        <w:rPr>
          <w:szCs w:val="22"/>
        </w:rPr>
        <w:t xml:space="preserve"> summarises these submissions.</w:t>
      </w:r>
    </w:p>
    <w:p w14:paraId="19B9E0AC" w14:textId="3D68AAA6" w:rsidR="00324B33" w:rsidRDefault="00324B33" w:rsidP="00324B33">
      <w:pPr>
        <w:pStyle w:val="TableTitle"/>
      </w:pPr>
      <w:bookmarkStart w:id="26" w:name="_Ref99705479"/>
      <w:r>
        <w:t xml:space="preserve">Table </w:t>
      </w:r>
      <w:r>
        <w:fldChar w:fldCharType="begin"/>
      </w:r>
      <w:r>
        <w:instrText>SEQ Table \* ARABIC</w:instrText>
      </w:r>
      <w:r>
        <w:fldChar w:fldCharType="separate"/>
      </w:r>
      <w:r w:rsidR="004E7B11">
        <w:rPr>
          <w:noProof/>
        </w:rPr>
        <w:t>1</w:t>
      </w:r>
      <w:r>
        <w:fldChar w:fldCharType="end"/>
      </w:r>
      <w:bookmarkEnd w:id="26"/>
      <w:r>
        <w:t>: International regulatory status</w:t>
      </w:r>
    </w:p>
    <w:tbl>
      <w:tblPr>
        <w:tblStyle w:val="TableTGAblue2023"/>
        <w:tblW w:w="5000" w:type="pct"/>
        <w:tblLook w:val="04A0" w:firstRow="1" w:lastRow="0" w:firstColumn="1" w:lastColumn="0" w:noHBand="0" w:noVBand="1"/>
      </w:tblPr>
      <w:tblGrid>
        <w:gridCol w:w="1837"/>
        <w:gridCol w:w="1843"/>
        <w:gridCol w:w="1984"/>
        <w:gridCol w:w="3396"/>
      </w:tblGrid>
      <w:tr w:rsidR="00324B33" w:rsidRPr="00D01DDB" w14:paraId="405E5D78" w14:textId="16839333" w:rsidTr="31767052">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7"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095"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874"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4C540DE5" w14:textId="15B28DC0" w:rsidR="008B1FE2" w:rsidRPr="008B1FE2" w:rsidRDefault="003C5854" w:rsidP="00E63736">
            <w:pPr>
              <w:rPr>
                <w:szCs w:val="22"/>
              </w:rPr>
            </w:pPr>
            <w:r>
              <w:rPr>
                <w:szCs w:val="22"/>
              </w:rPr>
              <w:t>United States of America</w:t>
            </w:r>
          </w:p>
        </w:tc>
        <w:tc>
          <w:tcPr>
            <w:tcW w:w="1017" w:type="pct"/>
          </w:tcPr>
          <w:p w14:paraId="4FA5DDA9" w14:textId="06D62485" w:rsidR="00324B33" w:rsidRPr="00D01DDB" w:rsidRDefault="008B1F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June 2021</w:t>
            </w:r>
          </w:p>
        </w:tc>
        <w:tc>
          <w:tcPr>
            <w:tcW w:w="1095" w:type="pct"/>
          </w:tcPr>
          <w:p w14:paraId="29358393" w14:textId="4343396B" w:rsidR="00324B33" w:rsidRPr="00D01DDB" w:rsidRDefault="007A009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w:t>
            </w:r>
            <w:r>
              <w:rPr>
                <w:szCs w:val="22"/>
              </w:rPr>
              <w:br/>
            </w:r>
            <w:r w:rsidRPr="007A0095">
              <w:rPr>
                <w:szCs w:val="22"/>
              </w:rPr>
              <w:t>17 November 2021</w:t>
            </w:r>
          </w:p>
        </w:tc>
        <w:tc>
          <w:tcPr>
            <w:tcW w:w="1874" w:type="pct"/>
          </w:tcPr>
          <w:p w14:paraId="05055674" w14:textId="200103F6" w:rsidR="00324B33" w:rsidRPr="007A0095" w:rsidRDefault="007A0095" w:rsidP="00324B33">
            <w:pPr>
              <w:cnfStyle w:val="000000000000" w:firstRow="0" w:lastRow="0" w:firstColumn="0" w:lastColumn="0" w:oddVBand="0" w:evenVBand="0" w:oddHBand="0" w:evenHBand="0" w:firstRowFirstColumn="0" w:firstRowLastColumn="0" w:lastRowFirstColumn="0" w:lastRowLastColumn="0"/>
              <w:rPr>
                <w:i/>
                <w:iCs/>
                <w:szCs w:val="22"/>
              </w:rPr>
            </w:pPr>
            <w:r w:rsidRPr="007A0095">
              <w:rPr>
                <w:i/>
                <w:iCs/>
                <w:szCs w:val="22"/>
              </w:rPr>
              <w:t xml:space="preserve">Keytruda is indicated for the adjuvant treatment of patients with RCC at intermediate-high or high risk of recurrence following </w:t>
            </w:r>
            <w:proofErr w:type="gramStart"/>
            <w:r w:rsidRPr="007A0095">
              <w:rPr>
                <w:i/>
                <w:iCs/>
                <w:szCs w:val="22"/>
              </w:rPr>
              <w:t>nephrectomy, or</w:t>
            </w:r>
            <w:proofErr w:type="gramEnd"/>
            <w:r w:rsidRPr="007A0095">
              <w:rPr>
                <w:i/>
                <w:iCs/>
                <w:szCs w:val="22"/>
              </w:rPr>
              <w:t xml:space="preserve"> following nephrectomy and resection of metastatic lesions.</w:t>
            </w:r>
          </w:p>
        </w:tc>
      </w:tr>
      <w:tr w:rsidR="00324B33" w:rsidRPr="00D01DDB" w14:paraId="18B6E2AA" w14:textId="7783D66F"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7F348960" w14:textId="31838B45" w:rsidR="008B1FE2" w:rsidRPr="008B1FE2" w:rsidRDefault="009C3573" w:rsidP="00E131FB">
            <w:pPr>
              <w:rPr>
                <w:szCs w:val="22"/>
              </w:rPr>
            </w:pPr>
            <w:r>
              <w:rPr>
                <w:szCs w:val="22"/>
              </w:rPr>
              <w:t>European Medicines Agency (EMA</w:t>
            </w:r>
            <w:r w:rsidR="008B1FE2">
              <w:rPr>
                <w:szCs w:val="22"/>
              </w:rPr>
              <w:t>, centralised procedure</w:t>
            </w:r>
            <w:r>
              <w:rPr>
                <w:szCs w:val="22"/>
              </w:rPr>
              <w:t>)</w:t>
            </w:r>
          </w:p>
        </w:tc>
        <w:tc>
          <w:tcPr>
            <w:tcW w:w="1017" w:type="pct"/>
          </w:tcPr>
          <w:p w14:paraId="1D871E57" w14:textId="59AF0437" w:rsidR="00324B33" w:rsidRPr="00D01DDB" w:rsidRDefault="008B1F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2021</w:t>
            </w:r>
          </w:p>
        </w:tc>
        <w:tc>
          <w:tcPr>
            <w:tcW w:w="1095" w:type="pct"/>
          </w:tcPr>
          <w:p w14:paraId="63A3A9D3" w14:textId="0F5C6DBC" w:rsidR="00324B33" w:rsidRPr="00D01DDB" w:rsidRDefault="009C357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w:t>
            </w:r>
            <w:r>
              <w:rPr>
                <w:szCs w:val="22"/>
              </w:rPr>
              <w:br/>
            </w:r>
            <w:r w:rsidRPr="009C3573">
              <w:rPr>
                <w:szCs w:val="22"/>
              </w:rPr>
              <w:t>27 January 2022</w:t>
            </w:r>
          </w:p>
        </w:tc>
        <w:tc>
          <w:tcPr>
            <w:tcW w:w="1874" w:type="pct"/>
          </w:tcPr>
          <w:p w14:paraId="17C650B8" w14:textId="0B2D3FAC" w:rsidR="00324B33" w:rsidRPr="009C3573" w:rsidRDefault="009C3573" w:rsidP="00324B33">
            <w:pPr>
              <w:cnfStyle w:val="000000000000" w:firstRow="0" w:lastRow="0" w:firstColumn="0" w:lastColumn="0" w:oddVBand="0" w:evenVBand="0" w:oddHBand="0" w:evenHBand="0" w:firstRowFirstColumn="0" w:firstRowLastColumn="0" w:lastRowFirstColumn="0" w:lastRowLastColumn="0"/>
              <w:rPr>
                <w:i/>
                <w:iCs/>
                <w:szCs w:val="22"/>
              </w:rPr>
            </w:pPr>
            <w:r w:rsidRPr="009C3573">
              <w:rPr>
                <w:i/>
                <w:iCs/>
                <w:szCs w:val="22"/>
              </w:rPr>
              <w:t xml:space="preserve">Keytruda as monotherapy is indicated for the adjuvant treatment of adults with renal cell carcinoma at increased risk of recurrence following </w:t>
            </w:r>
            <w:proofErr w:type="gramStart"/>
            <w:r w:rsidRPr="009C3573">
              <w:rPr>
                <w:i/>
                <w:iCs/>
                <w:szCs w:val="22"/>
              </w:rPr>
              <w:t>nephrectomy, or</w:t>
            </w:r>
            <w:proofErr w:type="gramEnd"/>
            <w:r w:rsidRPr="009C3573">
              <w:rPr>
                <w:i/>
                <w:iCs/>
                <w:szCs w:val="22"/>
              </w:rPr>
              <w:t xml:space="preserve"> following nephrectomy and resection of metastatic lesions (for selection criteria, please see section 5.1).</w:t>
            </w:r>
            <w:r w:rsidR="00C012C0">
              <w:rPr>
                <w:i/>
                <w:iCs/>
                <w:szCs w:val="22"/>
              </w:rPr>
              <w:t xml:space="preserve"> </w:t>
            </w:r>
          </w:p>
        </w:tc>
      </w:tr>
      <w:tr w:rsidR="008B1FE2" w:rsidRPr="00D01DDB" w14:paraId="54347CC3" w14:textId="77777777"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04EAAEBB" w14:textId="2C1ABAA1" w:rsidR="008B1FE2" w:rsidRDefault="008B1FE2" w:rsidP="00324B33">
            <w:pPr>
              <w:rPr>
                <w:szCs w:val="22"/>
              </w:rPr>
            </w:pPr>
            <w:r>
              <w:rPr>
                <w:szCs w:val="22"/>
              </w:rPr>
              <w:t>Switzerland</w:t>
            </w:r>
          </w:p>
        </w:tc>
        <w:tc>
          <w:tcPr>
            <w:tcW w:w="1017" w:type="pct"/>
          </w:tcPr>
          <w:p w14:paraId="3A3DE226" w14:textId="0F09CD0E" w:rsidR="008B1FE2" w:rsidRDefault="008B1F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2021</w:t>
            </w:r>
          </w:p>
        </w:tc>
        <w:tc>
          <w:tcPr>
            <w:tcW w:w="1095" w:type="pct"/>
          </w:tcPr>
          <w:p w14:paraId="731997B4" w14:textId="5803B477" w:rsidR="008B1FE2" w:rsidRDefault="008B1FE2" w:rsidP="00324B33">
            <w:pPr>
              <w:cnfStyle w:val="000000000000" w:firstRow="0" w:lastRow="0" w:firstColumn="0" w:lastColumn="0" w:oddVBand="0" w:evenVBand="0" w:oddHBand="0" w:evenHBand="0" w:firstRowFirstColumn="0" w:firstRowLastColumn="0" w:lastRowFirstColumn="0" w:lastRowLastColumn="0"/>
              <w:rPr>
                <w:szCs w:val="22"/>
              </w:rPr>
            </w:pPr>
            <w:proofErr w:type="spellStart"/>
            <w:r>
              <w:rPr>
                <w:szCs w:val="22"/>
              </w:rPr>
              <w:t>Withdrawn</w:t>
            </w:r>
            <w:r w:rsidR="00392142" w:rsidRPr="00392142">
              <w:rPr>
                <w:szCs w:val="22"/>
                <w:vertAlign w:val="superscript"/>
              </w:rPr>
              <w:t>a</w:t>
            </w:r>
            <w:proofErr w:type="spellEnd"/>
          </w:p>
        </w:tc>
        <w:tc>
          <w:tcPr>
            <w:tcW w:w="1874" w:type="pct"/>
          </w:tcPr>
          <w:p w14:paraId="37DDD4AB" w14:textId="77777777" w:rsidR="008B1FE2" w:rsidRPr="009C3573" w:rsidRDefault="008B1FE2" w:rsidP="00324B33">
            <w:pPr>
              <w:cnfStyle w:val="000000000000" w:firstRow="0" w:lastRow="0" w:firstColumn="0" w:lastColumn="0" w:oddVBand="0" w:evenVBand="0" w:oddHBand="0" w:evenHBand="0" w:firstRowFirstColumn="0" w:firstRowLastColumn="0" w:lastRowFirstColumn="0" w:lastRowLastColumn="0"/>
              <w:rPr>
                <w:i/>
                <w:iCs/>
                <w:szCs w:val="22"/>
              </w:rPr>
            </w:pPr>
          </w:p>
        </w:tc>
      </w:tr>
      <w:tr w:rsidR="008B1FE2" w:rsidRPr="00D01DDB" w14:paraId="682A0B88" w14:textId="77777777"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310E7E15" w14:textId="56BFF920" w:rsidR="008B1FE2" w:rsidRDefault="008B1FE2" w:rsidP="00324B33">
            <w:pPr>
              <w:rPr>
                <w:szCs w:val="22"/>
              </w:rPr>
            </w:pPr>
            <w:r>
              <w:rPr>
                <w:szCs w:val="22"/>
              </w:rPr>
              <w:t>Canada</w:t>
            </w:r>
          </w:p>
        </w:tc>
        <w:tc>
          <w:tcPr>
            <w:tcW w:w="1017" w:type="pct"/>
          </w:tcPr>
          <w:p w14:paraId="1407AF84" w14:textId="13098462" w:rsidR="008B1FE2" w:rsidRDefault="008B1F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September 2021</w:t>
            </w:r>
          </w:p>
        </w:tc>
        <w:tc>
          <w:tcPr>
            <w:tcW w:w="1095" w:type="pct"/>
          </w:tcPr>
          <w:p w14:paraId="7641D172" w14:textId="7926083A" w:rsidR="008B1FE2" w:rsidRDefault="65ECA433" w:rsidP="00324B33">
            <w:pPr>
              <w:cnfStyle w:val="000000000000" w:firstRow="0" w:lastRow="0" w:firstColumn="0" w:lastColumn="0" w:oddVBand="0" w:evenVBand="0" w:oddHBand="0" w:evenHBand="0" w:firstRowFirstColumn="0" w:firstRowLastColumn="0" w:lastRowFirstColumn="0" w:lastRowLastColumn="0"/>
            </w:pPr>
            <w:r>
              <w:t xml:space="preserve">Approved </w:t>
            </w:r>
          </w:p>
          <w:p w14:paraId="05E52429" w14:textId="7DF4B12C" w:rsidR="008B1FE2" w:rsidRDefault="65ECA433" w:rsidP="00E63736">
            <w:pPr>
              <w:cnfStyle w:val="000000000000" w:firstRow="0" w:lastRow="0" w:firstColumn="0" w:lastColumn="0" w:oddVBand="0" w:evenVBand="0" w:oddHBand="0" w:evenHBand="0" w:firstRowFirstColumn="0" w:firstRowLastColumn="0" w:lastRowFirstColumn="0" w:lastRowLastColumn="0"/>
            </w:pPr>
            <w:r>
              <w:t xml:space="preserve">18 August 2022 </w:t>
            </w:r>
          </w:p>
        </w:tc>
        <w:tc>
          <w:tcPr>
            <w:tcW w:w="1874" w:type="pct"/>
          </w:tcPr>
          <w:p w14:paraId="42A8FE21" w14:textId="495FBB5F" w:rsidR="008B1FE2" w:rsidRPr="009C3573" w:rsidRDefault="00D15B67" w:rsidP="00950A6A">
            <w:pPr>
              <w:autoSpaceDE w:val="0"/>
              <w:autoSpaceDN w:val="0"/>
              <w:adjustRightInd w:val="0"/>
              <w:spacing w:before="0" w:after="0" w:line="240" w:lineRule="auto"/>
              <w:cnfStyle w:val="000000000000" w:firstRow="0" w:lastRow="0" w:firstColumn="0" w:lastColumn="0" w:oddVBand="0" w:evenVBand="0" w:oddHBand="0" w:evenHBand="0" w:firstRowFirstColumn="0" w:firstRowLastColumn="0" w:lastRowFirstColumn="0" w:lastRowLastColumn="0"/>
              <w:rPr>
                <w:i/>
                <w:iCs/>
                <w:szCs w:val="22"/>
              </w:rPr>
            </w:pPr>
            <w:r>
              <w:rPr>
                <w:i/>
                <w:iCs/>
              </w:rPr>
              <w:t xml:space="preserve">Keytruda as monotherapy is </w:t>
            </w:r>
            <w:r w:rsidRPr="00950A6A">
              <w:rPr>
                <w:i/>
                <w:iCs/>
              </w:rPr>
              <w:t xml:space="preserve">indicated for </w:t>
            </w:r>
            <w:r w:rsidRPr="00950A6A">
              <w:rPr>
                <w:rFonts w:cs="Arial"/>
                <w:i/>
                <w:iCs/>
                <w:szCs w:val="22"/>
                <w:lang w:val="en-US"/>
              </w:rPr>
              <w:t>the adjuvant</w:t>
            </w:r>
            <w:r>
              <w:rPr>
                <w:rFonts w:cs="Arial"/>
                <w:i/>
                <w:iCs/>
                <w:szCs w:val="22"/>
                <w:lang w:val="en-US"/>
              </w:rPr>
              <w:t xml:space="preserve"> </w:t>
            </w:r>
            <w:r w:rsidRPr="00950A6A">
              <w:rPr>
                <w:rFonts w:cs="Arial"/>
                <w:i/>
                <w:iCs/>
                <w:szCs w:val="22"/>
                <w:lang w:val="en-US"/>
              </w:rPr>
              <w:t>treatment of adult patients with RCC at intermediate-high or high risk of recurrence following nephrectomy, or following nephrectomy and resection of metastatic lesions</w:t>
            </w:r>
          </w:p>
        </w:tc>
      </w:tr>
      <w:tr w:rsidR="008B1FE2" w:rsidRPr="00D01DDB" w14:paraId="149CFFC2" w14:textId="77777777"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4000DD4F" w14:textId="3F2C81E0" w:rsidR="008B1FE2" w:rsidRDefault="008B1FE2" w:rsidP="00324B33">
            <w:pPr>
              <w:rPr>
                <w:szCs w:val="22"/>
              </w:rPr>
            </w:pPr>
            <w:r>
              <w:rPr>
                <w:szCs w:val="22"/>
              </w:rPr>
              <w:t>New Zealand</w:t>
            </w:r>
          </w:p>
        </w:tc>
        <w:tc>
          <w:tcPr>
            <w:tcW w:w="1017" w:type="pct"/>
          </w:tcPr>
          <w:p w14:paraId="7C36E395" w14:textId="34B5AE99" w:rsidR="008B1FE2" w:rsidRDefault="008B1FE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November 2021</w:t>
            </w:r>
          </w:p>
        </w:tc>
        <w:tc>
          <w:tcPr>
            <w:tcW w:w="1095" w:type="pct"/>
          </w:tcPr>
          <w:p w14:paraId="39BCF6A0" w14:textId="4F5EB5BD" w:rsidR="008B1FE2" w:rsidRDefault="453F16CC" w:rsidP="00324B33">
            <w:pPr>
              <w:cnfStyle w:val="000000000000" w:firstRow="0" w:lastRow="0" w:firstColumn="0" w:lastColumn="0" w:oddVBand="0" w:evenVBand="0" w:oddHBand="0" w:evenHBand="0" w:firstRowFirstColumn="0" w:firstRowLastColumn="0" w:lastRowFirstColumn="0" w:lastRowLastColumn="0"/>
            </w:pPr>
            <w:r>
              <w:t>Approved</w:t>
            </w:r>
          </w:p>
          <w:p w14:paraId="60C5BAB2" w14:textId="6BEDEE00" w:rsidR="008B1FE2" w:rsidRDefault="453F16CC" w:rsidP="31767052">
            <w:pPr>
              <w:cnfStyle w:val="000000000000" w:firstRow="0" w:lastRow="0" w:firstColumn="0" w:lastColumn="0" w:oddVBand="0" w:evenVBand="0" w:oddHBand="0" w:evenHBand="0" w:firstRowFirstColumn="0" w:firstRowLastColumn="0" w:lastRowFirstColumn="0" w:lastRowLastColumn="0"/>
            </w:pPr>
            <w:r>
              <w:t xml:space="preserve">16 August 2022 </w:t>
            </w:r>
          </w:p>
        </w:tc>
        <w:tc>
          <w:tcPr>
            <w:tcW w:w="1874" w:type="pct"/>
          </w:tcPr>
          <w:p w14:paraId="1C982A57" w14:textId="035A42C0" w:rsidR="008B1FE2" w:rsidRPr="009C3573" w:rsidRDefault="0BA88236" w:rsidP="31767052">
            <w:pPr>
              <w:cnfStyle w:val="000000000000" w:firstRow="0" w:lastRow="0" w:firstColumn="0" w:lastColumn="0" w:oddVBand="0" w:evenVBand="0" w:oddHBand="0" w:evenHBand="0" w:firstRowFirstColumn="0" w:firstRowLastColumn="0" w:lastRowFirstColumn="0" w:lastRowLastColumn="0"/>
              <w:rPr>
                <w:i/>
                <w:iCs/>
              </w:rPr>
            </w:pPr>
            <w:r w:rsidRPr="31767052">
              <w:rPr>
                <w:i/>
                <w:iCs/>
              </w:rPr>
              <w:t xml:space="preserve">KEYTRUDA, as monotherapy, is indicated for the adjuvant treatment of patients with RCC at </w:t>
            </w:r>
            <w:r w:rsidRPr="31767052">
              <w:rPr>
                <w:i/>
                <w:iCs/>
              </w:rPr>
              <w:lastRenderedPageBreak/>
              <w:t xml:space="preserve">intermediate-high or high risk of recurrence following </w:t>
            </w:r>
            <w:proofErr w:type="gramStart"/>
            <w:r w:rsidRPr="31767052">
              <w:rPr>
                <w:i/>
                <w:iCs/>
              </w:rPr>
              <w:t>nephrectomy, or</w:t>
            </w:r>
            <w:proofErr w:type="gramEnd"/>
            <w:r w:rsidRPr="31767052">
              <w:rPr>
                <w:i/>
                <w:iCs/>
              </w:rPr>
              <w:t xml:space="preserve"> following nephrectomy and resection of metastatic lesions.</w:t>
            </w:r>
          </w:p>
        </w:tc>
      </w:tr>
      <w:tr w:rsidR="00392142" w:rsidRPr="00D01DDB" w14:paraId="2A8FEAC4" w14:textId="77777777" w:rsidTr="31767052">
        <w:trPr>
          <w:cantSplit w:val="0"/>
        </w:trPr>
        <w:tc>
          <w:tcPr>
            <w:cnfStyle w:val="001000000000" w:firstRow="0" w:lastRow="0" w:firstColumn="1" w:lastColumn="0" w:oddVBand="0" w:evenVBand="0" w:oddHBand="0" w:evenHBand="0" w:firstRowFirstColumn="0" w:firstRowLastColumn="0" w:lastRowFirstColumn="0" w:lastRowLastColumn="0"/>
            <w:tcW w:w="1014" w:type="pct"/>
          </w:tcPr>
          <w:p w14:paraId="0D442875" w14:textId="414A3C9A" w:rsidR="00392142" w:rsidRDefault="00392142" w:rsidP="00324B33">
            <w:pPr>
              <w:rPr>
                <w:szCs w:val="22"/>
              </w:rPr>
            </w:pPr>
            <w:r>
              <w:rPr>
                <w:szCs w:val="22"/>
              </w:rPr>
              <w:lastRenderedPageBreak/>
              <w:t>Brazil</w:t>
            </w:r>
          </w:p>
        </w:tc>
        <w:tc>
          <w:tcPr>
            <w:tcW w:w="1017" w:type="pct"/>
          </w:tcPr>
          <w:p w14:paraId="0AD0CB1A" w14:textId="0F9E635D" w:rsidR="00392142" w:rsidRDefault="003921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July 2021</w:t>
            </w:r>
          </w:p>
        </w:tc>
        <w:tc>
          <w:tcPr>
            <w:tcW w:w="1095" w:type="pct"/>
          </w:tcPr>
          <w:p w14:paraId="629B88F8" w14:textId="77777777" w:rsidR="00392142" w:rsidRDefault="003921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w:t>
            </w:r>
          </w:p>
          <w:p w14:paraId="070C5993" w14:textId="59F51D69" w:rsidR="00392142" w:rsidRPr="00392142" w:rsidRDefault="003921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December 2021</w:t>
            </w:r>
          </w:p>
        </w:tc>
        <w:tc>
          <w:tcPr>
            <w:tcW w:w="1874" w:type="pct"/>
          </w:tcPr>
          <w:p w14:paraId="7FD5078F" w14:textId="47ADEBF0" w:rsidR="00392142" w:rsidRPr="009C3573" w:rsidRDefault="00392142" w:rsidP="00392142">
            <w:pPr>
              <w:cnfStyle w:val="000000000000" w:firstRow="0" w:lastRow="0" w:firstColumn="0" w:lastColumn="0" w:oddVBand="0" w:evenVBand="0" w:oddHBand="0" w:evenHBand="0" w:firstRowFirstColumn="0" w:firstRowLastColumn="0" w:lastRowFirstColumn="0" w:lastRowLastColumn="0"/>
              <w:rPr>
                <w:i/>
                <w:iCs/>
                <w:szCs w:val="22"/>
              </w:rPr>
            </w:pPr>
            <w:r w:rsidRPr="00392142">
              <w:rPr>
                <w:i/>
                <w:iCs/>
                <w:szCs w:val="22"/>
              </w:rPr>
              <w:t>K</w:t>
            </w:r>
            <w:r>
              <w:rPr>
                <w:i/>
                <w:iCs/>
                <w:szCs w:val="22"/>
              </w:rPr>
              <w:t>eytruda</w:t>
            </w:r>
            <w:r w:rsidRPr="00392142">
              <w:rPr>
                <w:i/>
                <w:iCs/>
                <w:szCs w:val="22"/>
              </w:rPr>
              <w:t>, as monotherapy, is</w:t>
            </w:r>
            <w:r>
              <w:rPr>
                <w:i/>
                <w:iCs/>
                <w:szCs w:val="22"/>
              </w:rPr>
              <w:t xml:space="preserve"> </w:t>
            </w:r>
            <w:r w:rsidRPr="00392142">
              <w:rPr>
                <w:i/>
                <w:iCs/>
                <w:szCs w:val="22"/>
              </w:rPr>
              <w:t>indicated for the adjuvant treatment</w:t>
            </w:r>
            <w:r>
              <w:rPr>
                <w:i/>
                <w:iCs/>
                <w:szCs w:val="22"/>
              </w:rPr>
              <w:t xml:space="preserve"> </w:t>
            </w:r>
            <w:r w:rsidRPr="00392142">
              <w:rPr>
                <w:i/>
                <w:iCs/>
                <w:szCs w:val="22"/>
              </w:rPr>
              <w:t>of patients with RCC at intermediate</w:t>
            </w:r>
            <w:r>
              <w:rPr>
                <w:i/>
                <w:iCs/>
                <w:szCs w:val="22"/>
              </w:rPr>
              <w:t>-</w:t>
            </w:r>
            <w:r w:rsidRPr="00392142">
              <w:rPr>
                <w:i/>
                <w:iCs/>
                <w:szCs w:val="22"/>
              </w:rPr>
              <w:t>high</w:t>
            </w:r>
            <w:r>
              <w:rPr>
                <w:i/>
                <w:iCs/>
                <w:szCs w:val="22"/>
              </w:rPr>
              <w:t xml:space="preserve"> </w:t>
            </w:r>
            <w:r w:rsidRPr="00392142">
              <w:rPr>
                <w:i/>
                <w:iCs/>
                <w:szCs w:val="22"/>
              </w:rPr>
              <w:t>or high risk of recurrence</w:t>
            </w:r>
            <w:r>
              <w:rPr>
                <w:i/>
                <w:iCs/>
                <w:szCs w:val="22"/>
              </w:rPr>
              <w:t xml:space="preserve"> </w:t>
            </w:r>
            <w:r w:rsidRPr="00392142">
              <w:rPr>
                <w:i/>
                <w:iCs/>
                <w:szCs w:val="22"/>
              </w:rPr>
              <w:t xml:space="preserve">following </w:t>
            </w:r>
            <w:proofErr w:type="gramStart"/>
            <w:r w:rsidRPr="00392142">
              <w:rPr>
                <w:i/>
                <w:iCs/>
                <w:szCs w:val="22"/>
              </w:rPr>
              <w:t>nephrectomy, or</w:t>
            </w:r>
            <w:proofErr w:type="gramEnd"/>
            <w:r w:rsidRPr="00392142">
              <w:rPr>
                <w:i/>
                <w:iCs/>
                <w:szCs w:val="22"/>
              </w:rPr>
              <w:t xml:space="preserve"> following</w:t>
            </w:r>
            <w:r>
              <w:rPr>
                <w:i/>
                <w:iCs/>
                <w:szCs w:val="22"/>
              </w:rPr>
              <w:t xml:space="preserve"> </w:t>
            </w:r>
            <w:r w:rsidRPr="00392142">
              <w:rPr>
                <w:i/>
                <w:iCs/>
                <w:szCs w:val="22"/>
              </w:rPr>
              <w:t>nephrectomy and resection of</w:t>
            </w:r>
            <w:r>
              <w:rPr>
                <w:i/>
                <w:iCs/>
                <w:szCs w:val="22"/>
              </w:rPr>
              <w:t xml:space="preserve"> </w:t>
            </w:r>
            <w:r w:rsidRPr="00392142">
              <w:rPr>
                <w:i/>
                <w:iCs/>
                <w:szCs w:val="22"/>
              </w:rPr>
              <w:t>metastatic lesions.</w:t>
            </w:r>
          </w:p>
        </w:tc>
      </w:tr>
    </w:tbl>
    <w:p w14:paraId="475663EC" w14:textId="134FDBBC" w:rsidR="00C012C0" w:rsidRDefault="00392142" w:rsidP="00392142">
      <w:pPr>
        <w:pStyle w:val="TableDescription"/>
      </w:pPr>
      <w:bookmarkStart w:id="27" w:name="_Toc103679292"/>
      <w:r w:rsidRPr="00392142">
        <w:rPr>
          <w:vertAlign w:val="superscript"/>
        </w:rPr>
        <w:t>a</w:t>
      </w:r>
      <w:r>
        <w:t xml:space="preserve"> </w:t>
      </w:r>
      <w:proofErr w:type="spellStart"/>
      <w:r>
        <w:t>Swissmedic</w:t>
      </w:r>
      <w:proofErr w:type="spellEnd"/>
      <w:r>
        <w:t xml:space="preserve"> did not accept </w:t>
      </w:r>
      <w:r w:rsidR="00014494">
        <w:t xml:space="preserve">a </w:t>
      </w:r>
      <w:proofErr w:type="gramStart"/>
      <w:r w:rsidR="00014494">
        <w:t>di</w:t>
      </w:r>
      <w:r w:rsidR="00014494" w:rsidRPr="00014494">
        <w:t>sease free</w:t>
      </w:r>
      <w:proofErr w:type="gramEnd"/>
      <w:r w:rsidR="00014494" w:rsidRPr="00014494">
        <w:t xml:space="preserve"> survival</w:t>
      </w:r>
      <w:r>
        <w:t xml:space="preserve"> endpoint as a surrogate for overall survival. The submission will be re-submitted when addition</w:t>
      </w:r>
      <w:r w:rsidR="00BA79D5">
        <w:t>al</w:t>
      </w:r>
      <w:r>
        <w:t xml:space="preserve"> overall survival data are available.</w:t>
      </w:r>
    </w:p>
    <w:p w14:paraId="064CCADF" w14:textId="0440DC77" w:rsidR="00324B33" w:rsidRDefault="00324B33" w:rsidP="00324B33">
      <w:pPr>
        <w:pStyle w:val="Heading3"/>
      </w:pPr>
      <w:bookmarkStart w:id="28" w:name="_Toc144287139"/>
      <w:r>
        <w:t>Product Information</w:t>
      </w:r>
      <w:bookmarkEnd w:id="27"/>
      <w:bookmarkEnd w:id="28"/>
    </w:p>
    <w:p w14:paraId="4B0F7D57" w14:textId="7CC27D6C" w:rsidR="00324B33" w:rsidRPr="00BD5DBD" w:rsidRDefault="00324B33" w:rsidP="00324B33">
      <w:pPr>
        <w:rPr>
          <w:szCs w:val="22"/>
        </w:rPr>
      </w:pPr>
      <w:bookmarkStart w:id="29" w:name="_Toc504480011"/>
      <w:r w:rsidRPr="00BD5DBD">
        <w:rPr>
          <w:szCs w:val="22"/>
        </w:rPr>
        <w:t xml:space="preserve">The </w:t>
      </w:r>
      <w:hyperlink r:id="rId22" w:history="1">
        <w:r w:rsidRPr="00BD5DBD">
          <w:rPr>
            <w:rStyle w:val="Hyperlink"/>
            <w:szCs w:val="22"/>
          </w:rPr>
          <w:t>Product Information</w:t>
        </w:r>
      </w:hyperlink>
      <w:r w:rsidRPr="00BD5DBD">
        <w:rPr>
          <w:szCs w:val="22"/>
        </w:rPr>
        <w:t xml:space="preserve"> (</w:t>
      </w:r>
      <w:hyperlink r:id="rId23"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4"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5" w:history="1">
        <w:r w:rsidRPr="00BD5DBD">
          <w:rPr>
            <w:rStyle w:val="Hyperlink"/>
            <w:szCs w:val="22"/>
          </w:rPr>
          <w:t>PI/CMI search facility.</w:t>
        </w:r>
      </w:hyperlink>
    </w:p>
    <w:p w14:paraId="6D92589C" w14:textId="77777777" w:rsidR="00324B33" w:rsidRDefault="00324B33" w:rsidP="00324B33">
      <w:pPr>
        <w:pStyle w:val="Heading2"/>
      </w:pPr>
      <w:bookmarkStart w:id="30" w:name="_Toc103679293"/>
      <w:bookmarkStart w:id="31" w:name="_Toc144287140"/>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178C53FD"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5BBDE90E" w:rsidR="00324B33" w:rsidRDefault="00324B33" w:rsidP="0013528C">
      <w:pPr>
        <w:pStyle w:val="TableTitle"/>
      </w:pPr>
      <w:r w:rsidRPr="00731E15">
        <w:t xml:space="preserve">Table </w:t>
      </w:r>
      <w:r>
        <w:fldChar w:fldCharType="begin"/>
      </w:r>
      <w:r>
        <w:instrText>SEQ Table \* ARABIC</w:instrText>
      </w:r>
      <w:r>
        <w:fldChar w:fldCharType="separate"/>
      </w:r>
      <w:r w:rsidR="004E7B11">
        <w:rPr>
          <w:noProof/>
        </w:rPr>
        <w:t>2</w:t>
      </w:r>
      <w:r>
        <w:fldChar w:fldCharType="end"/>
      </w:r>
      <w:r w:rsidRPr="00731E15">
        <w:t>:</w:t>
      </w:r>
      <w:r w:rsidRPr="006A58A8">
        <w:t xml:space="preserve"> Timeline for Submission </w:t>
      </w:r>
      <w:r w:rsidR="00731E15" w:rsidRPr="00731E15">
        <w:t>PM-2021-04316-1-4</w:t>
      </w:r>
    </w:p>
    <w:tbl>
      <w:tblPr>
        <w:tblStyle w:val="TableTGAblue2023"/>
        <w:tblW w:w="9067" w:type="dxa"/>
        <w:tblLook w:val="04A0" w:firstRow="1" w:lastRow="0" w:firstColumn="1" w:lastColumn="0" w:noHBand="0" w:noVBand="1"/>
      </w:tblPr>
      <w:tblGrid>
        <w:gridCol w:w="6374"/>
        <w:gridCol w:w="2693"/>
      </w:tblGrid>
      <w:tr w:rsidR="00324B33" w:rsidRPr="00D01DDB" w14:paraId="6C59BE9C" w14:textId="77777777" w:rsidTr="00E637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693"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693" w:type="dxa"/>
          </w:tcPr>
          <w:p w14:paraId="2963D9D8" w14:textId="727AEFD4" w:rsidR="00324B33" w:rsidRPr="00D01DDB" w:rsidRDefault="003921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November 2021</w:t>
            </w:r>
          </w:p>
        </w:tc>
      </w:tr>
      <w:tr w:rsidR="00324B33" w:rsidRPr="00D01DDB" w14:paraId="767E33A4"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4AFC5B50" w14:textId="0726FCAB" w:rsidR="00324B33" w:rsidRPr="00D01DDB" w:rsidRDefault="00DD4CF8" w:rsidP="00324B33">
            <w:pPr>
              <w:rPr>
                <w:szCs w:val="22"/>
              </w:rPr>
            </w:pPr>
            <w:r>
              <w:rPr>
                <w:szCs w:val="22"/>
              </w:rPr>
              <w:t>E</w:t>
            </w:r>
            <w:r w:rsidR="00324B33" w:rsidRPr="00D01DDB">
              <w:rPr>
                <w:szCs w:val="22"/>
              </w:rPr>
              <w:t>valuation completed</w:t>
            </w:r>
          </w:p>
        </w:tc>
        <w:tc>
          <w:tcPr>
            <w:tcW w:w="2693" w:type="dxa"/>
          </w:tcPr>
          <w:p w14:paraId="4E47DF62" w14:textId="71999AFA"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April 2021</w:t>
            </w:r>
          </w:p>
        </w:tc>
      </w:tr>
      <w:tr w:rsidR="00324B33" w:rsidRPr="00D01DDB" w14:paraId="302FCB45"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716E9DC1" w14:textId="36295BCB" w:rsidR="00324B33" w:rsidRPr="00D01DDB" w:rsidRDefault="00324B33" w:rsidP="00324B33">
            <w:pPr>
              <w:rPr>
                <w:szCs w:val="22"/>
              </w:rPr>
            </w:pPr>
            <w:r w:rsidRPr="00D01DDB">
              <w:rPr>
                <w:szCs w:val="22"/>
              </w:rPr>
              <w:t xml:space="preserve">Delegate’s Overall benefit-risk </w:t>
            </w:r>
            <w:r w:rsidRPr="00DD4CF8">
              <w:rPr>
                <w:color w:val="auto"/>
                <w:szCs w:val="22"/>
              </w:rPr>
              <w:t>assessment and request for Advisory Committee advice</w:t>
            </w:r>
          </w:p>
        </w:tc>
        <w:tc>
          <w:tcPr>
            <w:tcW w:w="2693" w:type="dxa"/>
          </w:tcPr>
          <w:p w14:paraId="3BA6EF79" w14:textId="07C45E8B"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May 2021</w:t>
            </w:r>
          </w:p>
        </w:tc>
      </w:tr>
      <w:tr w:rsidR="00324B33" w:rsidRPr="00D01DDB" w14:paraId="5832EBC8"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720592DE" w14:textId="1F72CD22" w:rsidR="00324B33" w:rsidRPr="00D01DDB" w:rsidRDefault="00324B33" w:rsidP="00324B33">
            <w:pPr>
              <w:rPr>
                <w:szCs w:val="22"/>
              </w:rPr>
            </w:pPr>
            <w:r w:rsidRPr="00D01DDB">
              <w:rPr>
                <w:szCs w:val="22"/>
              </w:rPr>
              <w:t>Sponsor’s pre-Advisory Committee response</w:t>
            </w:r>
          </w:p>
        </w:tc>
        <w:tc>
          <w:tcPr>
            <w:tcW w:w="2693" w:type="dxa"/>
          </w:tcPr>
          <w:p w14:paraId="5AE04841" w14:textId="6741FCE7"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May 2021</w:t>
            </w:r>
          </w:p>
        </w:tc>
      </w:tr>
      <w:tr w:rsidR="00324B33" w:rsidRPr="00D01DDB" w14:paraId="5754F7AC"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789DE187" w14:textId="123446EE" w:rsidR="00324B33" w:rsidRPr="00D01DDB" w:rsidRDefault="00324B33" w:rsidP="00324B33">
            <w:pPr>
              <w:rPr>
                <w:szCs w:val="22"/>
              </w:rPr>
            </w:pPr>
            <w:r w:rsidRPr="00D01DDB">
              <w:rPr>
                <w:szCs w:val="22"/>
              </w:rPr>
              <w:t>Advisory Committee meeting</w:t>
            </w:r>
          </w:p>
        </w:tc>
        <w:tc>
          <w:tcPr>
            <w:tcW w:w="2693" w:type="dxa"/>
          </w:tcPr>
          <w:p w14:paraId="5BE1EDE7" w14:textId="7D3E0215"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sidRPr="00DD4CF8">
              <w:rPr>
                <w:szCs w:val="22"/>
              </w:rPr>
              <w:t>2 and 3 June 2022</w:t>
            </w:r>
          </w:p>
        </w:tc>
      </w:tr>
      <w:tr w:rsidR="00324B33" w:rsidRPr="00D01DDB" w14:paraId="6E5D32FE"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D01DDB" w:rsidRDefault="00324B33" w:rsidP="00324B33">
            <w:pPr>
              <w:rPr>
                <w:szCs w:val="22"/>
              </w:rPr>
            </w:pPr>
            <w:r w:rsidRPr="00D01DDB">
              <w:rPr>
                <w:szCs w:val="22"/>
              </w:rPr>
              <w:t>Registration decision (Outcome)</w:t>
            </w:r>
          </w:p>
        </w:tc>
        <w:tc>
          <w:tcPr>
            <w:tcW w:w="2693" w:type="dxa"/>
          </w:tcPr>
          <w:p w14:paraId="62987ABD" w14:textId="09AB23DD"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September 2022</w:t>
            </w:r>
          </w:p>
        </w:tc>
      </w:tr>
      <w:tr w:rsidR="00324B33" w:rsidRPr="00D01DDB" w14:paraId="6DDCDDA4"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192FD19D" w14:textId="458EB044" w:rsidR="00324B33" w:rsidRPr="00D01DDB" w:rsidRDefault="00324B33" w:rsidP="00324B33">
            <w:pPr>
              <w:rPr>
                <w:szCs w:val="22"/>
              </w:rPr>
            </w:pPr>
            <w:r w:rsidRPr="00D01DDB">
              <w:rPr>
                <w:szCs w:val="22"/>
              </w:rPr>
              <w:t>Completion of administrative activities and registration on the ARTG</w:t>
            </w:r>
          </w:p>
        </w:tc>
        <w:tc>
          <w:tcPr>
            <w:tcW w:w="2693" w:type="dxa"/>
          </w:tcPr>
          <w:p w14:paraId="5A8923FD" w14:textId="3CAE43EA"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October 2022</w:t>
            </w:r>
          </w:p>
        </w:tc>
      </w:tr>
      <w:tr w:rsidR="00324B33" w:rsidRPr="00D01DDB" w14:paraId="56D922E2" w14:textId="77777777" w:rsidTr="00E63736">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D01DDB" w:rsidRDefault="00324B33" w:rsidP="00324B33">
            <w:pPr>
              <w:rPr>
                <w:szCs w:val="22"/>
              </w:rPr>
            </w:pPr>
            <w:r w:rsidRPr="00D01DDB">
              <w:rPr>
                <w:szCs w:val="22"/>
              </w:rPr>
              <w:lastRenderedPageBreak/>
              <w:t>Number of working days from submission dossier acceptance to registration decision*</w:t>
            </w:r>
          </w:p>
        </w:tc>
        <w:tc>
          <w:tcPr>
            <w:tcW w:w="2693" w:type="dxa"/>
          </w:tcPr>
          <w:p w14:paraId="5BAF9FA1" w14:textId="5F0878B1" w:rsidR="00324B33" w:rsidRPr="00D01DDB" w:rsidRDefault="00DD4C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44287141"/>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2F7F0BD4" w14:textId="5F117BDD" w:rsidR="00C22214" w:rsidRDefault="007072A1" w:rsidP="00731E15">
      <w:r w:rsidRPr="00BD5DBD">
        <w:rPr>
          <w:szCs w:val="22"/>
        </w:rPr>
        <w:t>Relevant guidelines or guidance documents referred to by the Delegate are listed below</w:t>
      </w:r>
      <w:r w:rsidR="00731E15">
        <w:rPr>
          <w:szCs w:val="22"/>
        </w:rPr>
        <w:t>:</w:t>
      </w:r>
    </w:p>
    <w:p w14:paraId="5B70F936" w14:textId="3B6633E0" w:rsidR="00DD4CF8" w:rsidRDefault="00DD4CF8" w:rsidP="00DD4CF8">
      <w:pPr>
        <w:pStyle w:val="ListBullet"/>
        <w:numPr>
          <w:ilvl w:val="0"/>
          <w:numId w:val="21"/>
        </w:numPr>
        <w:rPr>
          <w:sz w:val="20"/>
        </w:rPr>
      </w:pPr>
      <w:r>
        <w:t xml:space="preserve">European Medicines Agency. </w:t>
      </w:r>
      <w:hyperlink r:id="rId27" w:history="1">
        <w:r>
          <w:rPr>
            <w:rStyle w:val="Hyperlink"/>
          </w:rPr>
          <w:t>Guideline on the evaluation of anticancer medicinal products in man</w:t>
        </w:r>
      </w:hyperlink>
      <w:r>
        <w:t>. EMA/CHMP/205/95/Rev.4; (2012); TGA-adopted, effective date: 1 April 2014</w:t>
      </w:r>
      <w:r w:rsidR="00014494">
        <w:t>.</w:t>
      </w:r>
    </w:p>
    <w:p w14:paraId="756390A1" w14:textId="003AD65E" w:rsidR="008A1DBD" w:rsidRPr="001B7DC9" w:rsidRDefault="001B7DC9" w:rsidP="008A1DBD">
      <w:pPr>
        <w:pStyle w:val="ListBullet"/>
        <w:rPr>
          <w:lang w:val="en-US" w:eastAsia="zh-TW"/>
        </w:rPr>
      </w:pPr>
      <w:r w:rsidRPr="001B7DC9">
        <w:rPr>
          <w:lang w:val="en-US" w:eastAsia="zh-TW"/>
        </w:rPr>
        <w:t xml:space="preserve">European Medicines Agency. </w:t>
      </w:r>
      <w:hyperlink r:id="rId28" w:history="1">
        <w:r w:rsidR="008A1DBD" w:rsidRPr="001B7DC9">
          <w:rPr>
            <w:rStyle w:val="Hyperlink"/>
            <w:lang w:val="en-US" w:eastAsia="zh-TW"/>
          </w:rPr>
          <w:t>Appendix 1 to the guideline on the evaluation of anticancer medicinal products in man: Methodological consideration for using progression-free survival (PFS) or disease-free survival (DFS) in confirmatory trials</w:t>
        </w:r>
      </w:hyperlink>
      <w:r w:rsidRPr="001B7DC9">
        <w:rPr>
          <w:lang w:val="en-US" w:eastAsia="zh-TW"/>
        </w:rPr>
        <w:t>; TGA-adopted, effective date: 1 April 2014</w:t>
      </w:r>
      <w:r w:rsidR="00014494">
        <w:rPr>
          <w:lang w:val="en-US" w:eastAsia="zh-TW"/>
        </w:rPr>
        <w:t>.</w:t>
      </w:r>
    </w:p>
    <w:p w14:paraId="37F5A1C0" w14:textId="77777777" w:rsidR="00C22214" w:rsidRDefault="00C22214" w:rsidP="00C22214">
      <w:pPr>
        <w:pStyle w:val="Heading3"/>
      </w:pPr>
      <w:bookmarkStart w:id="39" w:name="_Toc103679295"/>
      <w:bookmarkStart w:id="40" w:name="_Toc144287142"/>
      <w:r>
        <w:t>Quality</w:t>
      </w:r>
      <w:bookmarkEnd w:id="37"/>
      <w:bookmarkEnd w:id="38"/>
      <w:bookmarkEnd w:id="39"/>
      <w:bookmarkEnd w:id="40"/>
    </w:p>
    <w:p w14:paraId="29A3BB75" w14:textId="0E3FDCB4"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8A1DBD">
        <w:rPr>
          <w:szCs w:val="22"/>
        </w:rPr>
        <w:t>.</w:t>
      </w:r>
    </w:p>
    <w:p w14:paraId="2BE90AAE" w14:textId="77777777" w:rsidR="00C22214" w:rsidRDefault="00C22214" w:rsidP="00C22214">
      <w:pPr>
        <w:pStyle w:val="Heading3"/>
      </w:pPr>
      <w:bookmarkStart w:id="41" w:name="_Toc314842512"/>
      <w:bookmarkStart w:id="42" w:name="_Toc103679296"/>
      <w:bookmarkStart w:id="43" w:name="_Toc144287143"/>
      <w:r>
        <w:t>Nonclinical</w:t>
      </w:r>
      <w:bookmarkEnd w:id="41"/>
      <w:bookmarkEnd w:id="42"/>
      <w:bookmarkEnd w:id="43"/>
    </w:p>
    <w:p w14:paraId="15C51A23" w14:textId="0153F15D" w:rsidR="008804CF" w:rsidRPr="00BD5DBD" w:rsidRDefault="008804CF" w:rsidP="008804CF">
      <w:pPr>
        <w:rPr>
          <w:b/>
          <w:bCs/>
          <w:szCs w:val="22"/>
        </w:rPr>
      </w:pPr>
      <w:bookmarkStart w:id="44" w:name="_Toc247691530"/>
      <w:bookmarkStart w:id="45" w:name="_Toc314842513"/>
      <w:bookmarkStart w:id="46"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7" w:name="_Toc144287144"/>
      <w:r>
        <w:t>Clinical</w:t>
      </w:r>
      <w:bookmarkEnd w:id="44"/>
      <w:bookmarkEnd w:id="45"/>
      <w:bookmarkEnd w:id="46"/>
      <w:bookmarkEnd w:id="47"/>
    </w:p>
    <w:p w14:paraId="32B0DEDA" w14:textId="77777777" w:rsidR="00C22214" w:rsidRPr="00433318" w:rsidRDefault="00C22214" w:rsidP="00433318">
      <w:pPr>
        <w:pStyle w:val="Heading4"/>
      </w:pPr>
      <w:bookmarkStart w:id="48" w:name="_Toc98931928"/>
      <w:bookmarkStart w:id="49" w:name="_Toc144287145"/>
      <w:r>
        <w:t>Summary of clinical studies</w:t>
      </w:r>
      <w:bookmarkEnd w:id="48"/>
      <w:bookmarkEnd w:id="49"/>
    </w:p>
    <w:p w14:paraId="6AA0B896" w14:textId="680FA6EC" w:rsidR="008A1DBD" w:rsidRDefault="008A1DBD" w:rsidP="008A1DBD">
      <w:r w:rsidRPr="003465EB">
        <w:t>The submission was supported by clinical data from</w:t>
      </w:r>
      <w:r w:rsidR="00E131FB" w:rsidRPr="00E131FB">
        <w:t xml:space="preserve"> KEYNOTE-564 trial</w:t>
      </w:r>
      <w:r w:rsidR="00E131FB">
        <w:t>:</w:t>
      </w:r>
      <w:r w:rsidR="00014494" w:rsidRPr="00014494">
        <w:t xml:space="preserve"> </w:t>
      </w:r>
      <w:r w:rsidR="00014494">
        <w:t>A</w:t>
      </w:r>
      <w:r w:rsidR="00014494" w:rsidRPr="00014494">
        <w:t xml:space="preserve"> Phase </w:t>
      </w:r>
      <w:r w:rsidR="00014494">
        <w:t>III</w:t>
      </w:r>
      <w:r w:rsidR="00014494" w:rsidRPr="00014494">
        <w:t xml:space="preserve">, </w:t>
      </w:r>
      <w:r w:rsidR="00014494">
        <w:t>r</w:t>
      </w:r>
      <w:r w:rsidR="00014494" w:rsidRPr="00014494">
        <w:t xml:space="preserve">andomized, </w:t>
      </w:r>
      <w:r w:rsidR="00014494">
        <w:t>d</w:t>
      </w:r>
      <w:r w:rsidR="00014494" w:rsidRPr="00014494">
        <w:t>ouble-</w:t>
      </w:r>
      <w:r w:rsidR="00014494">
        <w:t>b</w:t>
      </w:r>
      <w:r w:rsidR="00014494" w:rsidRPr="00014494">
        <w:t xml:space="preserve">lind, </w:t>
      </w:r>
      <w:r w:rsidR="00014494">
        <w:t>p</w:t>
      </w:r>
      <w:r w:rsidR="00014494" w:rsidRPr="00014494">
        <w:t>lacebo-</w:t>
      </w:r>
      <w:r w:rsidR="00014494">
        <w:t>c</w:t>
      </w:r>
      <w:r w:rsidR="00014494" w:rsidRPr="00014494">
        <w:t xml:space="preserve">ontrolled </w:t>
      </w:r>
      <w:r w:rsidR="00014494">
        <w:t>c</w:t>
      </w:r>
      <w:r w:rsidR="00014494" w:rsidRPr="00014494">
        <w:t xml:space="preserve">linical </w:t>
      </w:r>
      <w:r w:rsidR="00014494">
        <w:t>t</w:t>
      </w:r>
      <w:r w:rsidR="00014494" w:rsidRPr="00014494">
        <w:t xml:space="preserve">rial of </w:t>
      </w:r>
      <w:r w:rsidR="00014494">
        <w:t>p</w:t>
      </w:r>
      <w:r w:rsidR="00014494" w:rsidRPr="00014494">
        <w:t xml:space="preserve">embrolizumab as </w:t>
      </w:r>
      <w:r w:rsidR="00014494">
        <w:t>m</w:t>
      </w:r>
      <w:r w:rsidR="00014494" w:rsidRPr="00014494">
        <w:t xml:space="preserve">onotherapy in the </w:t>
      </w:r>
      <w:r w:rsidR="00014494">
        <w:t>a</w:t>
      </w:r>
      <w:r w:rsidR="00014494" w:rsidRPr="00014494">
        <w:t xml:space="preserve">djuvant </w:t>
      </w:r>
      <w:r w:rsidR="00014494">
        <w:t>t</w:t>
      </w:r>
      <w:r w:rsidR="00014494" w:rsidRPr="00014494">
        <w:t xml:space="preserve">reatment of </w:t>
      </w:r>
      <w:r w:rsidR="00014494">
        <w:t>r</w:t>
      </w:r>
      <w:r w:rsidR="00014494" w:rsidRPr="00014494">
        <w:t xml:space="preserve">enal </w:t>
      </w:r>
      <w:r w:rsidR="00014494">
        <w:t>c</w:t>
      </w:r>
      <w:r w:rsidR="00014494" w:rsidRPr="00014494">
        <w:t xml:space="preserve">ell </w:t>
      </w:r>
      <w:r w:rsidR="00014494">
        <w:t>c</w:t>
      </w:r>
      <w:r w:rsidR="00014494" w:rsidRPr="00014494">
        <w:t xml:space="preserve">arcinoma </w:t>
      </w:r>
      <w:r w:rsidR="00014494">
        <w:t>p</w:t>
      </w:r>
      <w:r w:rsidR="00014494" w:rsidRPr="00014494">
        <w:t xml:space="preserve">ost </w:t>
      </w:r>
      <w:r w:rsidR="00014494">
        <w:t>n</w:t>
      </w:r>
      <w:r w:rsidR="00014494" w:rsidRPr="00014494">
        <w:t>ephrectomy</w:t>
      </w:r>
      <w:r w:rsidR="000C001E">
        <w:t>.</w:t>
      </w:r>
      <w:r w:rsidRPr="003465EB">
        <w:rPr>
          <w:rStyle w:val="FootnoteReference"/>
        </w:rPr>
        <w:footnoteReference w:id="8"/>
      </w:r>
    </w:p>
    <w:p w14:paraId="49F0237E" w14:textId="52FA0500" w:rsidR="008A1DBD" w:rsidRDefault="008A1DBD" w:rsidP="008A1DBD">
      <w:pPr>
        <w:pStyle w:val="Heading4"/>
      </w:pPr>
      <w:bookmarkStart w:id="50" w:name="_Toc144287146"/>
      <w:r w:rsidRPr="00AA53F4">
        <w:lastRenderedPageBreak/>
        <w:t>Effic</w:t>
      </w:r>
      <w:r w:rsidR="00E131FB">
        <w:t>acy</w:t>
      </w:r>
      <w:bookmarkEnd w:id="50"/>
    </w:p>
    <w:p w14:paraId="011346A9" w14:textId="77777777" w:rsidR="008A1DBD" w:rsidRDefault="008A1DBD" w:rsidP="00EE5F8D">
      <w:pPr>
        <w:pStyle w:val="Heading5"/>
      </w:pPr>
      <w:r>
        <w:t>Study design and methodology</w:t>
      </w:r>
    </w:p>
    <w:p w14:paraId="61F32854" w14:textId="456BAF1D" w:rsidR="00C012C0" w:rsidRDefault="000E5474" w:rsidP="008A1DBD">
      <w:r>
        <w:t>The first patient first visit was 30 June 2017.</w:t>
      </w:r>
      <w:r w:rsidR="00C012C0">
        <w:t xml:space="preserve"> </w:t>
      </w:r>
      <w:r w:rsidR="000C001E" w:rsidRPr="000C001E">
        <w:t xml:space="preserve">The clinical study report </w:t>
      </w:r>
      <w:r w:rsidR="000C001E">
        <w:t>was</w:t>
      </w:r>
      <w:r w:rsidR="000C001E" w:rsidRPr="000C001E">
        <w:t xml:space="preserve"> dated 7 June 2021</w:t>
      </w:r>
      <w:r w:rsidR="000C001E">
        <w:t xml:space="preserve"> with the </w:t>
      </w:r>
      <w:r>
        <w:t xml:space="preserve">data cut-off date for the </w:t>
      </w:r>
      <w:r w:rsidR="00FE2686">
        <w:t>first interim analysis</w:t>
      </w:r>
      <w:r>
        <w:t xml:space="preserve"> </w:t>
      </w:r>
      <w:r w:rsidR="000C001E">
        <w:t xml:space="preserve">occurring on </w:t>
      </w:r>
      <w:r>
        <w:t xml:space="preserve">14 </w:t>
      </w:r>
      <w:r w:rsidR="00FE2686">
        <w:t>December</w:t>
      </w:r>
      <w:r>
        <w:t xml:space="preserve"> 2020.</w:t>
      </w:r>
      <w:r w:rsidR="000C001E">
        <w:t xml:space="preserve"> The </w:t>
      </w:r>
      <w:r w:rsidR="000C001E" w:rsidRPr="000C001E">
        <w:t>efficacy update report and the safety update report</w:t>
      </w:r>
      <w:r w:rsidR="000C001E">
        <w:t xml:space="preserve">, include update analysis with a </w:t>
      </w:r>
      <w:r>
        <w:t xml:space="preserve">data cut-off date </w:t>
      </w:r>
      <w:r w:rsidR="000C001E">
        <w:t xml:space="preserve">of </w:t>
      </w:r>
      <w:r>
        <w:t xml:space="preserve">14 June </w:t>
      </w:r>
      <w:r w:rsidR="000C001E">
        <w:t>2</w:t>
      </w:r>
      <w:r>
        <w:t>021</w:t>
      </w:r>
      <w:r w:rsidR="00E131FB">
        <w:t>.</w:t>
      </w:r>
    </w:p>
    <w:p w14:paraId="76F73DF3" w14:textId="725FD820" w:rsidR="000E5474" w:rsidRDefault="000E5474" w:rsidP="008A1DBD">
      <w:r>
        <w:t>The study was conducted over 212 sites across 21 countries.</w:t>
      </w:r>
    </w:p>
    <w:p w14:paraId="7F228473" w14:textId="780E9A77" w:rsidR="00C012C0" w:rsidRDefault="000E5474" w:rsidP="008A1DBD">
      <w:r>
        <w:t xml:space="preserve">The study schema is at </w:t>
      </w:r>
      <w:r>
        <w:fldChar w:fldCharType="begin"/>
      </w:r>
      <w:r>
        <w:instrText xml:space="preserve"> REF _Ref133853095 \h </w:instrText>
      </w:r>
      <w:r>
        <w:fldChar w:fldCharType="separate"/>
      </w:r>
      <w:r w:rsidR="004E7B11">
        <w:t xml:space="preserve">Figure </w:t>
      </w:r>
      <w:r w:rsidR="004E7B11">
        <w:rPr>
          <w:noProof/>
        </w:rPr>
        <w:t>1</w:t>
      </w:r>
      <w:r>
        <w:fldChar w:fldCharType="end"/>
      </w:r>
      <w:r>
        <w:t>.</w:t>
      </w:r>
    </w:p>
    <w:p w14:paraId="72A2C6FB" w14:textId="035877DE" w:rsidR="000E5474" w:rsidRDefault="000E5474" w:rsidP="00E63736">
      <w:pPr>
        <w:pStyle w:val="FigureTitle"/>
      </w:pPr>
      <w:bookmarkStart w:id="51" w:name="_Ref133853095"/>
      <w:r>
        <w:t xml:space="preserve">Figure </w:t>
      </w:r>
      <w:r>
        <w:fldChar w:fldCharType="begin"/>
      </w:r>
      <w:r>
        <w:instrText>SEQ Figure \* ARABIC</w:instrText>
      </w:r>
      <w:r>
        <w:fldChar w:fldCharType="separate"/>
      </w:r>
      <w:r w:rsidR="004E7B11">
        <w:rPr>
          <w:noProof/>
        </w:rPr>
        <w:t>1</w:t>
      </w:r>
      <w:r>
        <w:fldChar w:fldCharType="end"/>
      </w:r>
      <w:bookmarkEnd w:id="51"/>
      <w:r>
        <w:t xml:space="preserve">: </w:t>
      </w:r>
      <w:r w:rsidR="00E131FB">
        <w:t xml:space="preserve">KEYNOTE-564 trial </w:t>
      </w:r>
      <w:r w:rsidR="000976AE">
        <w:t>s</w:t>
      </w:r>
      <w:r>
        <w:t>tudy schema</w:t>
      </w:r>
    </w:p>
    <w:p w14:paraId="43BE441B" w14:textId="00834AA5" w:rsidR="006450DE" w:rsidRDefault="006450DE" w:rsidP="00E63736">
      <w:r>
        <w:rPr>
          <w:noProof/>
        </w:rPr>
        <w:drawing>
          <wp:inline distT="0" distB="0" distL="0" distR="0" wp14:anchorId="47D34BAC" wp14:editId="2FBF9BE8">
            <wp:extent cx="5759450" cy="2890520"/>
            <wp:effectExtent l="0" t="0" r="0" b="5080"/>
            <wp:docPr id="2" name="Picture 2" descr="This figure shows the KEYNOTE-564 trial study schema.  The screening period enrolled 994 participants meeting the inclusion criteria.  The participants were randomised 1:1.  During the treatment period, participants were treated with pembrolizumab or placebo.  The primary endpoint was disease-free survival. Post-treatment follow-up included safety, efficacy and surviva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KEYNOTE-564 trial study schema.  The screening period enrolled 994 participants meeting the inclusion criteria.  The participants were randomised 1:1.  During the treatment period, participants were treated with pembrolizumab or placebo.  The primary endpoint was disease-free survival. Post-treatment follow-up included safety, efficacy and survival follow-up."/>
                    <pic:cNvPicPr/>
                  </pic:nvPicPr>
                  <pic:blipFill>
                    <a:blip r:embed="rId29"/>
                    <a:stretch>
                      <a:fillRect/>
                    </a:stretch>
                  </pic:blipFill>
                  <pic:spPr>
                    <a:xfrm>
                      <a:off x="0" y="0"/>
                      <a:ext cx="5759450" cy="2890520"/>
                    </a:xfrm>
                    <a:prstGeom prst="rect">
                      <a:avLst/>
                    </a:prstGeom>
                  </pic:spPr>
                </pic:pic>
              </a:graphicData>
            </a:graphic>
          </wp:inline>
        </w:drawing>
      </w:r>
    </w:p>
    <w:p w14:paraId="0B3248F8" w14:textId="379125FF" w:rsidR="00D35298" w:rsidRDefault="00D35298" w:rsidP="00EC1BEC">
      <w:pPr>
        <w:pStyle w:val="TableDescription"/>
      </w:pPr>
      <w:r w:rsidRPr="00D35298">
        <w:t>Abbr</w:t>
      </w:r>
      <w:r>
        <w:t xml:space="preserve">eviations: CT = computed tomography, ECOG PS = Eastern Cooperative Oncology Group Performance Score, </w:t>
      </w:r>
      <w:proofErr w:type="spellStart"/>
      <w:r>
        <w:t>mo</w:t>
      </w:r>
      <w:proofErr w:type="spellEnd"/>
      <w:r>
        <w:t xml:space="preserve"> = month, MRI = magnetic resonance imaging, NED = no evidence of disease, Q3W = once every three weeks, US = United States</w:t>
      </w:r>
    </w:p>
    <w:p w14:paraId="10B09F74" w14:textId="77777777" w:rsidR="00C012C0" w:rsidRDefault="00D35298" w:rsidP="00EC1BEC">
      <w:pPr>
        <w:pStyle w:val="TableDescription"/>
      </w:pPr>
      <w:r>
        <w:t>** Safety follow-up: 30 days post last dose; Efficacy follow-up: every 12, 16 or 24 weeks; Survival follow-up: every 12 weeks.</w:t>
      </w:r>
    </w:p>
    <w:p w14:paraId="6552279D" w14:textId="5A1C7929" w:rsidR="000E5474" w:rsidRDefault="000E5474" w:rsidP="00E63736">
      <w:pPr>
        <w:pageBreakBefore/>
      </w:pPr>
      <w:r>
        <w:lastRenderedPageBreak/>
        <w:t>There were 994 participants randomised which was the intent to treat (ITT) population.</w:t>
      </w:r>
      <w:r w:rsidR="00C012C0">
        <w:t xml:space="preserve"> </w:t>
      </w:r>
      <w:r>
        <w:t xml:space="preserve">Randomisation was stratified by metastasis </w:t>
      </w:r>
      <w:r w:rsidRPr="000C001E">
        <w:t>status (M0</w:t>
      </w:r>
      <w:r w:rsidR="00E131FB" w:rsidRPr="000C001E">
        <w:t xml:space="preserve"> or</w:t>
      </w:r>
      <w:r w:rsidRPr="000C001E">
        <w:t xml:space="preserve"> M1 </w:t>
      </w:r>
      <w:r w:rsidR="00DA290C" w:rsidRPr="000C001E">
        <w:t>no evidence of disease (</w:t>
      </w:r>
      <w:r w:rsidRPr="000C001E">
        <w:t>NED</w:t>
      </w:r>
      <w:r w:rsidR="00DA290C" w:rsidRPr="000C001E">
        <w:t>)</w:t>
      </w:r>
      <w:r w:rsidRPr="000C001E">
        <w:t>).</w:t>
      </w:r>
      <w:r w:rsidR="000C001E" w:rsidRPr="000C001E">
        <w:rPr>
          <w:rStyle w:val="FootnoteReference"/>
        </w:rPr>
        <w:footnoteReference w:id="9"/>
      </w:r>
      <w:r>
        <w:t xml:space="preserve"> The M0 group was further stratified by ECOG PS</w:t>
      </w:r>
      <w:bookmarkStart w:id="52" w:name="_Ref134092388"/>
      <w:r w:rsidR="00E131FB">
        <w:rPr>
          <w:rStyle w:val="FootnoteReference"/>
        </w:rPr>
        <w:footnoteReference w:id="10"/>
      </w:r>
      <w:bookmarkEnd w:id="52"/>
      <w:r>
        <w:t xml:space="preserve"> (0</w:t>
      </w:r>
      <w:r w:rsidR="00E131FB">
        <w:t xml:space="preserve"> or</w:t>
      </w:r>
      <w:r>
        <w:t xml:space="preserve"> 1) and geographic region (US</w:t>
      </w:r>
      <w:r w:rsidR="00E131FB">
        <w:t xml:space="preserve"> or</w:t>
      </w:r>
      <w:r>
        <w:t xml:space="preserve"> non-US).</w:t>
      </w:r>
    </w:p>
    <w:p w14:paraId="03E9B9F6" w14:textId="683E953B" w:rsidR="000E5474" w:rsidRDefault="000E5474" w:rsidP="000E5474">
      <w:r>
        <w:t>The treatment arms were:</w:t>
      </w:r>
    </w:p>
    <w:p w14:paraId="3D848E57" w14:textId="346AE1BD" w:rsidR="000E5474" w:rsidRDefault="000E5474" w:rsidP="00DA290C">
      <w:pPr>
        <w:pStyle w:val="ListBullet"/>
      </w:pPr>
      <w:r w:rsidRPr="00DA290C">
        <w:t>Pembrolizumab</w:t>
      </w:r>
      <w:r>
        <w:t xml:space="preserve"> 200 mg once every three weeks by intravenous (IV) infusion (n = 496 randomised)</w:t>
      </w:r>
    </w:p>
    <w:p w14:paraId="43EFEA40" w14:textId="729D36C5" w:rsidR="000E5474" w:rsidRDefault="000E5474" w:rsidP="000E5474">
      <w:pPr>
        <w:pStyle w:val="ListBullet"/>
      </w:pPr>
      <w:r>
        <w:t>Saline solution once every three weeks by intravenous infusion (n = 498 randomised)</w:t>
      </w:r>
    </w:p>
    <w:p w14:paraId="39D6D7ED" w14:textId="6B1A044D" w:rsidR="008A1DBD" w:rsidRDefault="008A1DBD" w:rsidP="00D745B4">
      <w:r w:rsidRPr="00D745B4">
        <w:t xml:space="preserve">Treatment continued </w:t>
      </w:r>
      <w:r w:rsidR="00D745B4">
        <w:t>once every three weeks</w:t>
      </w:r>
      <w:r w:rsidRPr="00D745B4">
        <w:t xml:space="preserve"> for up to 17 cycles (</w:t>
      </w:r>
      <w:r w:rsidR="00D745B4">
        <w:t xml:space="preserve">approximately </w:t>
      </w:r>
      <w:r w:rsidRPr="00D745B4">
        <w:t>12 months) or until confirmed recurrence</w:t>
      </w:r>
      <w:r w:rsidR="00E131FB">
        <w:t>.</w:t>
      </w:r>
    </w:p>
    <w:p w14:paraId="0DDE0FF6" w14:textId="77777777" w:rsidR="00C012C0" w:rsidRDefault="008A1DBD" w:rsidP="00D745B4">
      <w:r w:rsidRPr="00D745B4">
        <w:t xml:space="preserve">Scheduled imaging for assessment of </w:t>
      </w:r>
      <w:proofErr w:type="gramStart"/>
      <w:r w:rsidR="00DA290C">
        <w:t>disease free</w:t>
      </w:r>
      <w:proofErr w:type="gramEnd"/>
      <w:r w:rsidR="00DA290C">
        <w:t xml:space="preserve"> survival</w:t>
      </w:r>
      <w:r w:rsidR="00494530">
        <w:t xml:space="preserve"> was</w:t>
      </w:r>
      <w:r w:rsidRPr="00D745B4">
        <w:t xml:space="preserve"> </w:t>
      </w:r>
      <w:r w:rsidR="00D745B4">
        <w:t>once every 12 weeks</w:t>
      </w:r>
      <w:r w:rsidRPr="00D745B4">
        <w:t xml:space="preserve"> during treatment</w:t>
      </w:r>
      <w:r w:rsidR="00E131FB">
        <w:t>, once every 12 weeks</w:t>
      </w:r>
      <w:r w:rsidR="00494530">
        <w:t xml:space="preserve"> during</w:t>
      </w:r>
      <w:r w:rsidRPr="00D745B4">
        <w:t xml:space="preserve"> follow-up</w:t>
      </w:r>
      <w:r w:rsidR="00494530">
        <w:t xml:space="preserve"> in </w:t>
      </w:r>
      <w:r w:rsidR="00D745B4">
        <w:t>Y</w:t>
      </w:r>
      <w:r w:rsidRPr="00D745B4">
        <w:t xml:space="preserve">ear 1, </w:t>
      </w:r>
      <w:r w:rsidR="00D745B4">
        <w:t>once every 16 weeks</w:t>
      </w:r>
      <w:r w:rsidRPr="00D745B4">
        <w:t xml:space="preserve"> during follow-up </w:t>
      </w:r>
      <w:r w:rsidR="00494530">
        <w:t xml:space="preserve">in </w:t>
      </w:r>
      <w:r w:rsidR="00D745B4">
        <w:t>Y</w:t>
      </w:r>
      <w:r w:rsidRPr="00D745B4">
        <w:t xml:space="preserve">ears 2 to 4, then </w:t>
      </w:r>
      <w:r w:rsidR="00D745B4">
        <w:t>once every 24 weeks</w:t>
      </w:r>
      <w:r w:rsidRPr="00D745B4">
        <w:t xml:space="preserve"> </w:t>
      </w:r>
      <w:r w:rsidR="00494530">
        <w:t>during</w:t>
      </w:r>
      <w:r w:rsidRPr="00D745B4">
        <w:t xml:space="preserve"> follow-up </w:t>
      </w:r>
      <w:r w:rsidR="00494530">
        <w:t xml:space="preserve">in </w:t>
      </w:r>
      <w:r w:rsidR="00D745B4">
        <w:t>Y</w:t>
      </w:r>
      <w:r w:rsidRPr="00D745B4">
        <w:t>ear 5 and beyond</w:t>
      </w:r>
      <w:r w:rsidR="00D745B4">
        <w:t>.</w:t>
      </w:r>
    </w:p>
    <w:p w14:paraId="3AF42511" w14:textId="7530FA47" w:rsidR="00D745B4" w:rsidRDefault="00D745B4" w:rsidP="00D745B4">
      <w:r>
        <w:t>The patient flow</w:t>
      </w:r>
      <w:r w:rsidR="00716CAE">
        <w:t xml:space="preserve"> for the </w:t>
      </w:r>
      <w:proofErr w:type="spellStart"/>
      <w:r w:rsidR="00716CAE">
        <w:t>APaT</w:t>
      </w:r>
      <w:proofErr w:type="spellEnd"/>
      <w:r w:rsidR="00716CAE">
        <w:t xml:space="preserve"> population</w:t>
      </w:r>
      <w:r>
        <w:t xml:space="preserve"> at the </w:t>
      </w:r>
      <w:r w:rsidR="00FE2686">
        <w:t xml:space="preserve">first interim analysis </w:t>
      </w:r>
      <w:r>
        <w:t>was:</w:t>
      </w:r>
    </w:p>
    <w:p w14:paraId="03614940" w14:textId="45583F85" w:rsidR="008A1DBD" w:rsidRPr="00F35999" w:rsidRDefault="008A1DBD" w:rsidP="00D745B4">
      <w:pPr>
        <w:pStyle w:val="ListBullet"/>
      </w:pPr>
      <w:r w:rsidRPr="00F35999">
        <w:t xml:space="preserve">All </w:t>
      </w:r>
      <w:r w:rsidR="00D745B4">
        <w:t>p</w:t>
      </w:r>
      <w:r w:rsidRPr="00F35999">
        <w:t xml:space="preserve">articipants as </w:t>
      </w:r>
      <w:r w:rsidR="00D745B4">
        <w:t>t</w:t>
      </w:r>
      <w:r w:rsidRPr="00F35999">
        <w:t>reated (</w:t>
      </w:r>
      <w:proofErr w:type="spellStart"/>
      <w:r w:rsidRPr="00F35999">
        <w:t>APaT</w:t>
      </w:r>
      <w:proofErr w:type="spellEnd"/>
      <w:r w:rsidR="00D745B4">
        <w:t>) (</w:t>
      </w:r>
      <w:r w:rsidRPr="00F35999">
        <w:t xml:space="preserve">received </w:t>
      </w:r>
      <w:r>
        <w:t>at least</w:t>
      </w:r>
      <w:r w:rsidRPr="00F35999">
        <w:t xml:space="preserve"> </w:t>
      </w:r>
      <w:r w:rsidR="00D745B4">
        <w:t>one</w:t>
      </w:r>
      <w:r w:rsidRPr="00F35999">
        <w:t xml:space="preserve"> dose): 488</w:t>
      </w:r>
      <w:r w:rsidR="00E131FB">
        <w:t xml:space="preserve"> out of </w:t>
      </w:r>
      <w:r w:rsidRPr="00F35999">
        <w:t>496 pembrolizumab</w:t>
      </w:r>
      <w:r w:rsidR="00003412">
        <w:t xml:space="preserve"> participants</w:t>
      </w:r>
      <w:r w:rsidRPr="00F35999">
        <w:t>; 496</w:t>
      </w:r>
      <w:r w:rsidR="00E131FB">
        <w:t xml:space="preserve"> out of </w:t>
      </w:r>
      <w:r w:rsidRPr="00F35999">
        <w:t>498 placebo</w:t>
      </w:r>
      <w:r w:rsidR="00003412">
        <w:t xml:space="preserve"> </w:t>
      </w:r>
      <w:r w:rsidR="00003412" w:rsidRPr="00003412">
        <w:t>participants</w:t>
      </w:r>
      <w:r w:rsidR="006928DC">
        <w:t>.</w:t>
      </w:r>
    </w:p>
    <w:p w14:paraId="5D7121D6" w14:textId="6589B040" w:rsidR="00C012C0" w:rsidRDefault="008A1DBD" w:rsidP="004F74F2">
      <w:pPr>
        <w:pStyle w:val="ListBullet"/>
      </w:pPr>
      <w:r>
        <w:t>Completed study treatment: 298</w:t>
      </w:r>
      <w:r w:rsidR="00003412">
        <w:t xml:space="preserve"> out of </w:t>
      </w:r>
      <w:r>
        <w:t>488 pembrolizumab (61.1%)</w:t>
      </w:r>
      <w:r w:rsidR="00003412">
        <w:t xml:space="preserve"> participants</w:t>
      </w:r>
      <w:r>
        <w:t>; 365</w:t>
      </w:r>
      <w:r w:rsidR="00003412">
        <w:t xml:space="preserve"> out of </w:t>
      </w:r>
      <w:r>
        <w:t>496 placebo (73.6%)</w:t>
      </w:r>
      <w:r w:rsidR="00003412">
        <w:t xml:space="preserve"> </w:t>
      </w:r>
      <w:r w:rsidR="00003412" w:rsidRPr="00003412">
        <w:t>participants</w:t>
      </w:r>
      <w:r w:rsidR="006928DC">
        <w:t>.</w:t>
      </w:r>
    </w:p>
    <w:p w14:paraId="307F7B86" w14:textId="1E23D870" w:rsidR="008A1DBD" w:rsidRPr="00FE45F0" w:rsidRDefault="008A1DBD" w:rsidP="004F74F2">
      <w:pPr>
        <w:pStyle w:val="ListBullet"/>
      </w:pPr>
      <w:r w:rsidRPr="00260128">
        <w:t xml:space="preserve">Discontinued </w:t>
      </w:r>
      <w:r>
        <w:t>treatment</w:t>
      </w:r>
      <w:r w:rsidRPr="00260128">
        <w:t>: 190</w:t>
      </w:r>
      <w:r w:rsidR="00003412">
        <w:t xml:space="preserve"> out of </w:t>
      </w:r>
      <w:r w:rsidRPr="00260128">
        <w:t>488 pembrolizumab (38.9%)</w:t>
      </w:r>
      <w:r w:rsidR="00003412">
        <w:t xml:space="preserve"> </w:t>
      </w:r>
      <w:r w:rsidR="00003412" w:rsidRPr="00003412">
        <w:t>partic</w:t>
      </w:r>
      <w:r w:rsidR="00003412">
        <w:t>i</w:t>
      </w:r>
      <w:r w:rsidR="00003412" w:rsidRPr="00003412">
        <w:t>pants</w:t>
      </w:r>
      <w:r w:rsidRPr="00260128">
        <w:t>; 130</w:t>
      </w:r>
      <w:r w:rsidR="00003412">
        <w:t xml:space="preserve"> out of </w:t>
      </w:r>
      <w:r w:rsidRPr="00260128">
        <w:t>496 placebo (26.2%)</w:t>
      </w:r>
      <w:r w:rsidR="00003412">
        <w:t xml:space="preserve"> </w:t>
      </w:r>
      <w:r w:rsidR="00003412" w:rsidRPr="00003412">
        <w:t>partic</w:t>
      </w:r>
      <w:r w:rsidR="00003412">
        <w:t>i</w:t>
      </w:r>
      <w:r w:rsidR="00003412" w:rsidRPr="00003412">
        <w:t>pants</w:t>
      </w:r>
      <w:r w:rsidR="006928DC">
        <w:t>.</w:t>
      </w:r>
    </w:p>
    <w:p w14:paraId="25B28398" w14:textId="65523764" w:rsidR="008A1DBD" w:rsidRPr="00EF23AC" w:rsidRDefault="008A1DBD" w:rsidP="00D745B4">
      <w:pPr>
        <w:pStyle w:val="ListBullet"/>
        <w:rPr>
          <w:color w:val="385623" w:themeColor="accent6" w:themeShade="80"/>
        </w:rPr>
      </w:pPr>
      <w:r w:rsidRPr="00260128">
        <w:t>Discontinued</w:t>
      </w:r>
      <w:r>
        <w:t xml:space="preserve"> treatment</w:t>
      </w:r>
      <w:r w:rsidRPr="00260128">
        <w:t xml:space="preserve"> due to adverse events: 104</w:t>
      </w:r>
      <w:r w:rsidR="00003412">
        <w:t xml:space="preserve"> out of </w:t>
      </w:r>
      <w:r w:rsidRPr="00260128">
        <w:t>488 pembrolizumab (21.3%)</w:t>
      </w:r>
      <w:r w:rsidR="00003412">
        <w:t xml:space="preserve"> </w:t>
      </w:r>
      <w:r w:rsidR="00003412" w:rsidRPr="00003412">
        <w:t>participants</w:t>
      </w:r>
      <w:r w:rsidRPr="00260128">
        <w:t>; 11</w:t>
      </w:r>
      <w:r w:rsidR="00003412">
        <w:t xml:space="preserve"> out of </w:t>
      </w:r>
      <w:r w:rsidRPr="00260128">
        <w:t>496 placebo (2.2%)</w:t>
      </w:r>
      <w:r w:rsidR="00003412">
        <w:t xml:space="preserve"> </w:t>
      </w:r>
      <w:r w:rsidR="00003412" w:rsidRPr="00003412">
        <w:t>partic</w:t>
      </w:r>
      <w:r w:rsidR="00003412">
        <w:t>i</w:t>
      </w:r>
      <w:r w:rsidR="00003412" w:rsidRPr="00003412">
        <w:t>pants</w:t>
      </w:r>
      <w:r w:rsidR="006928DC">
        <w:t>.</w:t>
      </w:r>
    </w:p>
    <w:p w14:paraId="4C6F35BC" w14:textId="77D497D8" w:rsidR="008A1DBD" w:rsidRPr="00EF23AC" w:rsidRDefault="008A1DBD" w:rsidP="00D745B4">
      <w:pPr>
        <w:pStyle w:val="ListBullet"/>
      </w:pPr>
      <w:r w:rsidRPr="00260128">
        <w:t xml:space="preserve">Discontinued </w:t>
      </w:r>
      <w:r>
        <w:t xml:space="preserve">treatment </w:t>
      </w:r>
      <w:r w:rsidRPr="00260128">
        <w:t>due to disease</w:t>
      </w:r>
      <w:r>
        <w:t xml:space="preserve"> relapse</w:t>
      </w:r>
      <w:r w:rsidRPr="00260128">
        <w:t>:</w:t>
      </w:r>
      <w:r>
        <w:t xml:space="preserve"> 51</w:t>
      </w:r>
      <w:r w:rsidR="00003412">
        <w:t xml:space="preserve"> out of </w:t>
      </w:r>
      <w:r>
        <w:t>488 pembrolizumab (10.5%); 101/496 placebo (20.4%)</w:t>
      </w:r>
      <w:r w:rsidR="00003412">
        <w:t xml:space="preserve"> </w:t>
      </w:r>
      <w:r w:rsidR="00003412" w:rsidRPr="00003412">
        <w:t>participants</w:t>
      </w:r>
      <w:r w:rsidR="006928DC">
        <w:t>.</w:t>
      </w:r>
    </w:p>
    <w:p w14:paraId="616D4D21" w14:textId="7FB2A815" w:rsidR="008A1DBD" w:rsidRPr="00260128" w:rsidRDefault="3499C27A" w:rsidP="00D745B4">
      <w:pPr>
        <w:pStyle w:val="ListBullet"/>
        <w:rPr>
          <w:color w:val="385623" w:themeColor="accent6" w:themeShade="80"/>
        </w:rPr>
      </w:pPr>
      <w:r>
        <w:t>Discontinued study due to death: 1</w:t>
      </w:r>
      <w:r w:rsidR="001B16D2">
        <w:t>7</w:t>
      </w:r>
      <w:r w:rsidR="6057EAD4">
        <w:t xml:space="preserve"> out of </w:t>
      </w:r>
      <w:r>
        <w:t>488 pembrolizumab (3.</w:t>
      </w:r>
      <w:r w:rsidR="001B16D2">
        <w:t>5</w:t>
      </w:r>
      <w:r>
        <w:t>%)</w:t>
      </w:r>
      <w:r w:rsidR="6057EAD4">
        <w:t xml:space="preserve"> participants</w:t>
      </w:r>
      <w:r>
        <w:t>; 33</w:t>
      </w:r>
      <w:r w:rsidR="00843295">
        <w:t xml:space="preserve"> out of </w:t>
      </w:r>
      <w:r>
        <w:t xml:space="preserve">496 placebo (6.7%) </w:t>
      </w:r>
      <w:r w:rsidR="6057EAD4">
        <w:t>participants</w:t>
      </w:r>
      <w:r w:rsidR="5549C8C7">
        <w:t>.</w:t>
      </w:r>
    </w:p>
    <w:p w14:paraId="3934D10B" w14:textId="1001F09F" w:rsidR="008A1DBD" w:rsidRDefault="008A1DBD" w:rsidP="00D745B4">
      <w:pPr>
        <w:pStyle w:val="ListBullet"/>
      </w:pPr>
      <w:r>
        <w:lastRenderedPageBreak/>
        <w:t>Ongoing in study: 46</w:t>
      </w:r>
      <w:r w:rsidR="001B16D2">
        <w:t>0</w:t>
      </w:r>
      <w:r w:rsidR="00003412">
        <w:t xml:space="preserve"> out of </w:t>
      </w:r>
      <w:r>
        <w:t>488 pembrolizumab</w:t>
      </w:r>
      <w:r w:rsidR="00003412">
        <w:t xml:space="preserve"> participants</w:t>
      </w:r>
      <w:r>
        <w:t xml:space="preserve"> (9</w:t>
      </w:r>
      <w:r w:rsidR="001B16D2">
        <w:t>4</w:t>
      </w:r>
      <w:r w:rsidR="003F26E9">
        <w:t>.3</w:t>
      </w:r>
      <w:r>
        <w:t xml:space="preserve">%); </w:t>
      </w:r>
      <w:r w:rsidR="001B16D2">
        <w:t>453</w:t>
      </w:r>
      <w:r w:rsidR="003F26E9">
        <w:t>4</w:t>
      </w:r>
      <w:r w:rsidR="00003412">
        <w:t xml:space="preserve"> out of </w:t>
      </w:r>
      <w:r>
        <w:t>496 placebo (91.</w:t>
      </w:r>
      <w:r w:rsidR="00303ED8">
        <w:t>3</w:t>
      </w:r>
      <w:r>
        <w:t>%)</w:t>
      </w:r>
      <w:r w:rsidR="00003412">
        <w:t xml:space="preserve"> participants.</w:t>
      </w:r>
    </w:p>
    <w:p w14:paraId="2AE1E722" w14:textId="77777777" w:rsidR="00C012C0" w:rsidRDefault="008A1DBD" w:rsidP="00D745B4">
      <w:pPr>
        <w:pStyle w:val="ListBullet"/>
      </w:pPr>
      <w:r>
        <w:t>Median duration of follow up: 23.9 months</w:t>
      </w:r>
    </w:p>
    <w:p w14:paraId="6A950781" w14:textId="122A49E4" w:rsidR="008A1DBD" w:rsidRPr="00880E1D" w:rsidRDefault="006928DC" w:rsidP="00D745B4">
      <w:r>
        <w:rPr>
          <w:lang w:eastAsia="en-AU"/>
        </w:rPr>
        <w:t>At the first interim analysis n</w:t>
      </w:r>
      <w:r w:rsidR="008A1DBD">
        <w:rPr>
          <w:lang w:eastAsia="en-AU"/>
        </w:rPr>
        <w:t xml:space="preserve">o patients were continuing </w:t>
      </w:r>
      <w:r>
        <w:rPr>
          <w:lang w:eastAsia="en-AU"/>
        </w:rPr>
        <w:t>pembrolizumab treatment</w:t>
      </w:r>
      <w:r w:rsidR="00D745B4">
        <w:rPr>
          <w:lang w:eastAsia="en-AU"/>
        </w:rPr>
        <w:t>. O</w:t>
      </w:r>
      <w:r w:rsidR="008A1DBD">
        <w:rPr>
          <w:lang w:eastAsia="en-AU"/>
        </w:rPr>
        <w:t>ne patient in</w:t>
      </w:r>
      <w:r w:rsidR="00D745B4">
        <w:rPr>
          <w:lang w:eastAsia="en-AU"/>
        </w:rPr>
        <w:t xml:space="preserve"> the</w:t>
      </w:r>
      <w:r w:rsidR="008A1DBD">
        <w:rPr>
          <w:lang w:eastAsia="en-AU"/>
        </w:rPr>
        <w:t xml:space="preserve"> placebo group listed as continuing had received the last dose but </w:t>
      </w:r>
      <w:r w:rsidR="00D745B4">
        <w:rPr>
          <w:lang w:eastAsia="en-AU"/>
        </w:rPr>
        <w:t xml:space="preserve">did </w:t>
      </w:r>
      <w:r w:rsidR="008A1DBD">
        <w:rPr>
          <w:lang w:eastAsia="en-AU"/>
        </w:rPr>
        <w:t>not complete the treatment discontinuation visit</w:t>
      </w:r>
      <w:r w:rsidR="00D745B4">
        <w:rPr>
          <w:lang w:eastAsia="en-AU"/>
        </w:rPr>
        <w:t>.</w:t>
      </w:r>
    </w:p>
    <w:p w14:paraId="724DC4CA" w14:textId="0EA54280" w:rsidR="008A1DBD" w:rsidRPr="00880E1D" w:rsidRDefault="00494530" w:rsidP="00D745B4">
      <w:r>
        <w:rPr>
          <w:lang w:eastAsia="en-AU"/>
        </w:rPr>
        <w:t xml:space="preserve">The </w:t>
      </w:r>
      <w:r w:rsidR="008A1DBD">
        <w:rPr>
          <w:lang w:eastAsia="en-AU"/>
        </w:rPr>
        <w:t xml:space="preserve">patient flow </w:t>
      </w:r>
      <w:r w:rsidR="009A58C5">
        <w:rPr>
          <w:lang w:eastAsia="en-AU"/>
        </w:rPr>
        <w:t xml:space="preserve">for the intent to treat population </w:t>
      </w:r>
      <w:r w:rsidR="006928DC">
        <w:rPr>
          <w:lang w:eastAsia="en-AU"/>
        </w:rPr>
        <w:t xml:space="preserve">in the </w:t>
      </w:r>
      <w:r w:rsidR="00D745B4">
        <w:rPr>
          <w:lang w:eastAsia="en-AU"/>
        </w:rPr>
        <w:t>efficacy update report</w:t>
      </w:r>
      <w:r w:rsidR="006928DC">
        <w:rPr>
          <w:lang w:eastAsia="en-AU"/>
        </w:rPr>
        <w:t xml:space="preserve"> was:</w:t>
      </w:r>
    </w:p>
    <w:p w14:paraId="2C836CEC" w14:textId="70AF9177" w:rsidR="008A1DBD" w:rsidRDefault="008A1DBD" w:rsidP="00D745B4">
      <w:pPr>
        <w:pStyle w:val="ListBullet"/>
      </w:pPr>
      <w:r>
        <w:t>Median duration of follow up</w:t>
      </w:r>
      <w:r w:rsidR="006928DC">
        <w:t>:</w:t>
      </w:r>
      <w:r>
        <w:t xml:space="preserve"> 29.7 months </w:t>
      </w:r>
      <w:r w:rsidR="006928DC">
        <w:t>which was a</w:t>
      </w:r>
      <w:r w:rsidR="00D745B4">
        <w:t>pproximate</w:t>
      </w:r>
      <w:r w:rsidR="006928DC">
        <w:t>ly</w:t>
      </w:r>
      <w:r w:rsidR="00D745B4">
        <w:t xml:space="preserve"> </w:t>
      </w:r>
      <w:r>
        <w:t>6 months longer than at</w:t>
      </w:r>
      <w:r w:rsidR="00D745B4">
        <w:t xml:space="preserve"> the first interim analysis</w:t>
      </w:r>
      <w:r w:rsidR="006928DC">
        <w:t>.</w:t>
      </w:r>
    </w:p>
    <w:p w14:paraId="48F6772B" w14:textId="7BCA7033" w:rsidR="008A1DBD" w:rsidRDefault="3499C27A" w:rsidP="00D745B4">
      <w:pPr>
        <w:pStyle w:val="ListBullet"/>
      </w:pPr>
      <w:r>
        <w:t>On</w:t>
      </w:r>
      <w:r w:rsidR="5549C8C7">
        <w:t>-</w:t>
      </w:r>
      <w:r>
        <w:t>going in study: 458</w:t>
      </w:r>
      <w:r w:rsidR="6057EAD4">
        <w:t xml:space="preserve"> out of </w:t>
      </w:r>
      <w:r>
        <w:t>488 pembrolizumab (93.9%)</w:t>
      </w:r>
      <w:r w:rsidR="6057EAD4">
        <w:t xml:space="preserve"> participants</w:t>
      </w:r>
      <w:r w:rsidR="009A58C5">
        <w:t xml:space="preserve"> that started study treatment</w:t>
      </w:r>
      <w:r>
        <w:t>; 442</w:t>
      </w:r>
      <w:r w:rsidR="6057EAD4">
        <w:t xml:space="preserve"> out of </w:t>
      </w:r>
      <w:r>
        <w:t>496 placebo (89.1%)</w:t>
      </w:r>
      <w:r w:rsidR="6057EAD4">
        <w:t xml:space="preserve"> participants</w:t>
      </w:r>
      <w:r w:rsidR="009A58C5">
        <w:t xml:space="preserve"> that started study treatment</w:t>
      </w:r>
      <w:r w:rsidR="5549C8C7">
        <w:t>.</w:t>
      </w:r>
    </w:p>
    <w:p w14:paraId="65ADDB23" w14:textId="1B941EA5" w:rsidR="00C012C0" w:rsidRDefault="3499C27A" w:rsidP="00D745B4">
      <w:pPr>
        <w:pStyle w:val="ListBullet"/>
      </w:pPr>
      <w:r>
        <w:t>Discontinued study due to death: 23</w:t>
      </w:r>
      <w:r w:rsidR="6057EAD4">
        <w:t xml:space="preserve"> out of </w:t>
      </w:r>
      <w:r>
        <w:t>488 pembrolizumab (4.7%)</w:t>
      </w:r>
      <w:r w:rsidR="6057EAD4">
        <w:t xml:space="preserve"> participants</w:t>
      </w:r>
      <w:r w:rsidR="009A58C5">
        <w:t xml:space="preserve"> </w:t>
      </w:r>
      <w:r w:rsidR="009A58C5" w:rsidRPr="009A58C5">
        <w:t>that started study treatment</w:t>
      </w:r>
      <w:r>
        <w:t>; 43</w:t>
      </w:r>
      <w:r w:rsidR="6057EAD4">
        <w:t xml:space="preserve"> out of </w:t>
      </w:r>
      <w:r>
        <w:t>496 placebo (8.7%)</w:t>
      </w:r>
      <w:r w:rsidR="009A58C5" w:rsidRPr="009A58C5">
        <w:t xml:space="preserve"> that started study treatment</w:t>
      </w:r>
      <w:r w:rsidR="5549C8C7">
        <w:t>.</w:t>
      </w:r>
    </w:p>
    <w:p w14:paraId="63B65E3A" w14:textId="376CD82C" w:rsidR="008A1DBD" w:rsidRDefault="008A1DBD" w:rsidP="00EE5F8D">
      <w:pPr>
        <w:pStyle w:val="Heading6"/>
      </w:pPr>
      <w:r w:rsidRPr="009B4838">
        <w:t>Key inclusion criteria</w:t>
      </w:r>
    </w:p>
    <w:p w14:paraId="46F95B3C" w14:textId="6207D379" w:rsidR="00961AA4" w:rsidRPr="00961AA4" w:rsidRDefault="00961AA4" w:rsidP="00961AA4">
      <w:r>
        <w:t>The key inclusion criteria were:</w:t>
      </w:r>
    </w:p>
    <w:p w14:paraId="6649CF1A" w14:textId="40AD1999" w:rsidR="008A1DBD" w:rsidRPr="009B4838" w:rsidRDefault="008A1DBD" w:rsidP="00961AA4">
      <w:pPr>
        <w:pStyle w:val="ListBullet"/>
      </w:pPr>
      <w:r w:rsidRPr="009B4838">
        <w:t xml:space="preserve">Histologically confirmed diagnosis of </w:t>
      </w:r>
      <w:r w:rsidR="006928DC">
        <w:t>renal cell carcinoma</w:t>
      </w:r>
      <w:r w:rsidRPr="009B4838">
        <w:t xml:space="preserve"> with clear cell component with or without</w:t>
      </w:r>
      <w:r>
        <w:t xml:space="preserve"> </w:t>
      </w:r>
      <w:proofErr w:type="spellStart"/>
      <w:r w:rsidRPr="009B4838">
        <w:t>sarcomatoid</w:t>
      </w:r>
      <w:proofErr w:type="spellEnd"/>
      <w:r w:rsidRPr="009B4838">
        <w:t xml:space="preserve"> features by local review</w:t>
      </w:r>
      <w:r w:rsidR="00303ED8">
        <w:t>.</w:t>
      </w:r>
    </w:p>
    <w:p w14:paraId="389B1833" w14:textId="6187B355" w:rsidR="008A1DBD" w:rsidRDefault="008A1DBD" w:rsidP="00961AA4">
      <w:pPr>
        <w:pStyle w:val="ListBullet"/>
      </w:pPr>
      <w:r w:rsidRPr="009B4838">
        <w:t xml:space="preserve">Had intermediate-high risk, high risk, or </w:t>
      </w:r>
      <w:r w:rsidRPr="006928DC">
        <w:t xml:space="preserve">M1 </w:t>
      </w:r>
      <w:r w:rsidR="00DA290C" w:rsidRPr="006928DC">
        <w:t>no evidence of disease</w:t>
      </w:r>
      <w:r w:rsidRPr="006928DC">
        <w:t xml:space="preserve"> </w:t>
      </w:r>
      <w:r w:rsidR="006928DC" w:rsidRPr="006928DC">
        <w:t>renal</w:t>
      </w:r>
      <w:r w:rsidR="006928DC">
        <w:t xml:space="preserve"> cell carcinoma.</w:t>
      </w:r>
    </w:p>
    <w:p w14:paraId="30FC2AC1" w14:textId="77777777" w:rsidR="008A1DBD" w:rsidRDefault="008A1DBD" w:rsidP="00961AA4">
      <w:pPr>
        <w:pStyle w:val="ListBullet2"/>
      </w:pPr>
      <w:r w:rsidRPr="009B4838">
        <w:t>Intermediate-high risk</w:t>
      </w:r>
      <w:r>
        <w:t>:</w:t>
      </w:r>
    </w:p>
    <w:p w14:paraId="5500F9DD" w14:textId="27263904" w:rsidR="008A1DBD" w:rsidRDefault="008A1DBD" w:rsidP="00961AA4">
      <w:pPr>
        <w:pStyle w:val="ListBullet3"/>
      </w:pPr>
      <w:r w:rsidRPr="00212E34">
        <w:rPr>
          <w:lang w:eastAsia="en-AU"/>
        </w:rPr>
        <w:t>pT2, Gr</w:t>
      </w:r>
      <w:r w:rsidR="00494530">
        <w:rPr>
          <w:lang w:eastAsia="en-AU"/>
        </w:rPr>
        <w:t xml:space="preserve">ade </w:t>
      </w:r>
      <w:r w:rsidRPr="00212E34">
        <w:rPr>
          <w:lang w:eastAsia="en-AU"/>
        </w:rPr>
        <w:t xml:space="preserve">4 or </w:t>
      </w:r>
      <w:proofErr w:type="spellStart"/>
      <w:r w:rsidRPr="00212E34">
        <w:rPr>
          <w:lang w:eastAsia="en-AU"/>
        </w:rPr>
        <w:t>sarcomatoid</w:t>
      </w:r>
      <w:proofErr w:type="spellEnd"/>
      <w:r w:rsidRPr="00212E34">
        <w:rPr>
          <w:lang w:eastAsia="en-AU"/>
        </w:rPr>
        <w:t>, N0, M0</w:t>
      </w:r>
    </w:p>
    <w:p w14:paraId="217E85A1" w14:textId="2BF5B2FF" w:rsidR="008A1DBD" w:rsidRPr="00212E34" w:rsidRDefault="008A1DBD" w:rsidP="00961AA4">
      <w:pPr>
        <w:pStyle w:val="ListBullet3"/>
      </w:pPr>
      <w:r w:rsidRPr="00212E34">
        <w:t xml:space="preserve">pT3, </w:t>
      </w:r>
      <w:r w:rsidR="00494530">
        <w:t>a</w:t>
      </w:r>
      <w:r w:rsidRPr="00212E34">
        <w:t>ny Gr</w:t>
      </w:r>
      <w:r w:rsidR="00494530">
        <w:t>ade</w:t>
      </w:r>
      <w:r w:rsidRPr="00212E34">
        <w:t>, N0, M0</w:t>
      </w:r>
    </w:p>
    <w:p w14:paraId="0DD92C03" w14:textId="77777777" w:rsidR="008A1DBD" w:rsidRPr="00212E34" w:rsidRDefault="008A1DBD" w:rsidP="00961AA4">
      <w:pPr>
        <w:pStyle w:val="ListBullet2"/>
        <w:rPr>
          <w:lang w:eastAsia="en-AU"/>
        </w:rPr>
      </w:pPr>
      <w:r w:rsidRPr="00212E34">
        <w:rPr>
          <w:lang w:eastAsia="en-AU"/>
        </w:rPr>
        <w:t>High risk</w:t>
      </w:r>
      <w:r>
        <w:rPr>
          <w:lang w:eastAsia="en-AU"/>
        </w:rPr>
        <w:t>:</w:t>
      </w:r>
    </w:p>
    <w:p w14:paraId="5F7A1D3E" w14:textId="30813024" w:rsidR="008A1DBD" w:rsidRPr="009B4838" w:rsidRDefault="008A1DBD" w:rsidP="00961AA4">
      <w:pPr>
        <w:pStyle w:val="ListBullet3"/>
      </w:pPr>
      <w:r w:rsidRPr="009B4838">
        <w:t xml:space="preserve">pT4, </w:t>
      </w:r>
      <w:r w:rsidR="00494530">
        <w:t>a</w:t>
      </w:r>
      <w:r w:rsidRPr="009B4838">
        <w:t>ny Gr</w:t>
      </w:r>
      <w:r w:rsidR="00494530">
        <w:t>ade</w:t>
      </w:r>
      <w:r>
        <w:t>,</w:t>
      </w:r>
      <w:r w:rsidRPr="009B4838">
        <w:t xml:space="preserve"> N0, M0</w:t>
      </w:r>
    </w:p>
    <w:p w14:paraId="6AC0CF87" w14:textId="2DE401E7" w:rsidR="008A1DBD" w:rsidRPr="009B4838" w:rsidRDefault="008A1DBD" w:rsidP="00961AA4">
      <w:pPr>
        <w:pStyle w:val="ListBullet3"/>
      </w:pPr>
      <w:proofErr w:type="spellStart"/>
      <w:r w:rsidRPr="009B4838">
        <w:t>pT</w:t>
      </w:r>
      <w:proofErr w:type="spellEnd"/>
      <w:r w:rsidR="00494530">
        <w:t>, a</w:t>
      </w:r>
      <w:r w:rsidRPr="009B4838">
        <w:t xml:space="preserve">ny </w:t>
      </w:r>
      <w:r w:rsidR="00494530">
        <w:t>S</w:t>
      </w:r>
      <w:r w:rsidRPr="009B4838">
        <w:t xml:space="preserve">tage, </w:t>
      </w:r>
      <w:r w:rsidR="00494530">
        <w:t>a</w:t>
      </w:r>
      <w:r w:rsidRPr="009B4838">
        <w:t>ny Gr</w:t>
      </w:r>
      <w:r w:rsidR="00494530">
        <w:t>ade</w:t>
      </w:r>
      <w:r w:rsidRPr="009B4838">
        <w:t>, N+, M0</w:t>
      </w:r>
    </w:p>
    <w:p w14:paraId="01E65F7D" w14:textId="4BBBDAD9" w:rsidR="008A1DBD" w:rsidRPr="00212E34" w:rsidRDefault="008A1DBD" w:rsidP="00961AA4">
      <w:pPr>
        <w:pStyle w:val="ListBullet2"/>
      </w:pPr>
      <w:r w:rsidRPr="00212E34">
        <w:t xml:space="preserve">M1 </w:t>
      </w:r>
      <w:r w:rsidR="00DA290C" w:rsidRPr="00DA290C">
        <w:t>no evidence of disease</w:t>
      </w:r>
      <w:r w:rsidRPr="00212E34">
        <w:t xml:space="preserve"> (primary kidney tumour</w:t>
      </w:r>
      <w:r>
        <w:t xml:space="preserve"> </w:t>
      </w:r>
      <w:r w:rsidR="00494530">
        <w:t>with</w:t>
      </w:r>
      <w:r>
        <w:t xml:space="preserve"> </w:t>
      </w:r>
      <w:r w:rsidRPr="00212E34">
        <w:t>solid, isolated, soft tissue metastases that can be completely resected at the time</w:t>
      </w:r>
      <w:r>
        <w:t xml:space="preserve"> </w:t>
      </w:r>
      <w:r w:rsidRPr="00212E34">
        <w:t>of nephrectomy</w:t>
      </w:r>
      <w:r>
        <w:t xml:space="preserve"> </w:t>
      </w:r>
      <w:r w:rsidR="00494530">
        <w:t>(</w:t>
      </w:r>
      <w:r>
        <w:t xml:space="preserve">or within a year after, </w:t>
      </w:r>
      <w:r w:rsidR="00494530">
        <w:t xml:space="preserve">as </w:t>
      </w:r>
      <w:r>
        <w:t>per Amendment 1</w:t>
      </w:r>
      <w:r w:rsidR="00494530">
        <w:t>)</w:t>
      </w:r>
      <w:r w:rsidRPr="00212E34">
        <w:t>)</w:t>
      </w:r>
      <w:r w:rsidR="00303ED8">
        <w:t>.</w:t>
      </w:r>
    </w:p>
    <w:p w14:paraId="7DE9F208" w14:textId="00C78FA0" w:rsidR="008A1DBD" w:rsidRPr="009B4838" w:rsidRDefault="008B5056" w:rsidP="00961AA4">
      <w:pPr>
        <w:pStyle w:val="ListBullet"/>
      </w:pPr>
      <w:r>
        <w:t>Had n</w:t>
      </w:r>
      <w:r w:rsidR="008A1DBD" w:rsidRPr="009B4838">
        <w:t>o prior systemic therapy for advanced</w:t>
      </w:r>
      <w:r w:rsidR="006928DC">
        <w:t xml:space="preserve"> renal cell carcinoma</w:t>
      </w:r>
      <w:r w:rsidR="00303ED8">
        <w:t>.</w:t>
      </w:r>
    </w:p>
    <w:p w14:paraId="12F722E2" w14:textId="464B5A33" w:rsidR="008A1DBD" w:rsidRPr="009B4838" w:rsidRDefault="008B5056" w:rsidP="00961AA4">
      <w:pPr>
        <w:pStyle w:val="ListBullet"/>
      </w:pPr>
      <w:r>
        <w:t xml:space="preserve">Had </w:t>
      </w:r>
      <w:r w:rsidR="008A1DBD" w:rsidRPr="009B4838">
        <w:t>ECOG PS 0 or 1</w:t>
      </w:r>
      <w:r w:rsidR="005C6F8D">
        <w:t>.</w:t>
      </w:r>
    </w:p>
    <w:p w14:paraId="2E01F9F7" w14:textId="02DDA9F9" w:rsidR="008A1DBD" w:rsidRPr="00212E34" w:rsidRDefault="008A1DBD" w:rsidP="00961AA4">
      <w:pPr>
        <w:pStyle w:val="ListBullet"/>
      </w:pPr>
      <w:r w:rsidRPr="00212E34">
        <w:t>Underwent a partial nephroprotective or radical complete nephrectomy (and</w:t>
      </w:r>
      <w:r>
        <w:t xml:space="preserve"> </w:t>
      </w:r>
      <w:r w:rsidRPr="00212E34">
        <w:t>complete resection of</w:t>
      </w:r>
      <w:r>
        <w:t xml:space="preserve"> </w:t>
      </w:r>
      <w:r w:rsidRPr="00212E34">
        <w:t xml:space="preserve">metastatic lesion(s) in M1 </w:t>
      </w:r>
      <w:r w:rsidR="00DA290C" w:rsidRPr="00DA290C">
        <w:t>no evidence of disease</w:t>
      </w:r>
      <w:r w:rsidRPr="00212E34">
        <w:t xml:space="preserve"> participants) with negative surgical margins ≥</w:t>
      </w:r>
      <w:r w:rsidR="00DA290C">
        <w:t xml:space="preserve"> </w:t>
      </w:r>
      <w:r w:rsidRPr="00212E34">
        <w:t>4 weeks prior to screening</w:t>
      </w:r>
      <w:r w:rsidR="00303ED8">
        <w:t>.</w:t>
      </w:r>
    </w:p>
    <w:p w14:paraId="1CDF459C" w14:textId="0CCE5575" w:rsidR="008A1DBD" w:rsidRDefault="008A1DBD" w:rsidP="00961AA4">
      <w:pPr>
        <w:pStyle w:val="ListBullet"/>
      </w:pPr>
      <w:r w:rsidRPr="009B4838">
        <w:t>Was tumour free (</w:t>
      </w:r>
      <w:r w:rsidR="00494530">
        <w:t>computerise tomography</w:t>
      </w:r>
      <w:r w:rsidRPr="009B4838">
        <w:t xml:space="preserve"> or</w:t>
      </w:r>
      <w:r w:rsidR="00494530">
        <w:t xml:space="preserve"> magnetic resonance imaging</w:t>
      </w:r>
      <w:r w:rsidRPr="009B4838">
        <w:t xml:space="preserve"> of the brain, chest, abdomen, and pelvis, and a bone scan ≤</w:t>
      </w:r>
      <w:r w:rsidR="00494530">
        <w:t xml:space="preserve"> </w:t>
      </w:r>
      <w:r w:rsidRPr="009B4838">
        <w:t>28 days from randomization) as assessed by the investigator</w:t>
      </w:r>
      <w:r w:rsidR="00303ED8">
        <w:t>.</w:t>
      </w:r>
    </w:p>
    <w:p w14:paraId="778462EF" w14:textId="05EF1E70" w:rsidR="008A1DBD" w:rsidRDefault="008A1DBD" w:rsidP="00E63736">
      <w:pPr>
        <w:pStyle w:val="Heading6"/>
        <w:pageBreakBefore/>
      </w:pPr>
      <w:r w:rsidRPr="009B4838">
        <w:lastRenderedPageBreak/>
        <w:t>Key exclusion criteria</w:t>
      </w:r>
    </w:p>
    <w:p w14:paraId="416F593F" w14:textId="1A2BB138" w:rsidR="008B5056" w:rsidRPr="008B5056" w:rsidRDefault="008B5056" w:rsidP="008B5056">
      <w:r>
        <w:t>The key exclusion criteria were:</w:t>
      </w:r>
    </w:p>
    <w:p w14:paraId="2CD465A2" w14:textId="53D03C5B" w:rsidR="008A1DBD" w:rsidRPr="009B4838" w:rsidRDefault="008A1DBD" w:rsidP="00961AA4">
      <w:pPr>
        <w:pStyle w:val="ListBullet"/>
        <w:rPr>
          <w:lang w:eastAsia="en-AU"/>
        </w:rPr>
      </w:pPr>
      <w:r w:rsidRPr="009B4838">
        <w:rPr>
          <w:lang w:eastAsia="en-AU"/>
        </w:rPr>
        <w:t>Major surgery, other than nephrectomy and/or resection of pre-existing metastases</w:t>
      </w:r>
      <w:r>
        <w:rPr>
          <w:lang w:eastAsia="en-AU"/>
        </w:rPr>
        <w:t xml:space="preserve"> </w:t>
      </w:r>
      <w:r w:rsidRPr="009B4838">
        <w:rPr>
          <w:lang w:eastAsia="en-AU"/>
        </w:rPr>
        <w:t xml:space="preserve">for M1 </w:t>
      </w:r>
      <w:r w:rsidR="00DA290C" w:rsidRPr="00DA290C">
        <w:rPr>
          <w:lang w:eastAsia="en-AU"/>
        </w:rPr>
        <w:t xml:space="preserve">no evidence of disease </w:t>
      </w:r>
      <w:r w:rsidRPr="009B4838">
        <w:rPr>
          <w:lang w:eastAsia="en-AU"/>
        </w:rPr>
        <w:t>participants, within 12 weeks prior to</w:t>
      </w:r>
      <w:r>
        <w:rPr>
          <w:lang w:eastAsia="en-AU"/>
        </w:rPr>
        <w:t xml:space="preserve"> </w:t>
      </w:r>
      <w:r w:rsidRPr="009B4838">
        <w:rPr>
          <w:lang w:eastAsia="en-AU"/>
        </w:rPr>
        <w:t>randomization</w:t>
      </w:r>
      <w:r w:rsidR="005C6F8D">
        <w:rPr>
          <w:lang w:eastAsia="en-AU"/>
        </w:rPr>
        <w:t>.</w:t>
      </w:r>
    </w:p>
    <w:p w14:paraId="6B4BC699" w14:textId="76A84320" w:rsidR="008A1DBD" w:rsidRPr="009B4838" w:rsidRDefault="008A1DBD" w:rsidP="00961AA4">
      <w:pPr>
        <w:pStyle w:val="ListBullet"/>
        <w:rPr>
          <w:lang w:eastAsia="en-AU"/>
        </w:rPr>
      </w:pPr>
      <w:r w:rsidRPr="009B4838">
        <w:rPr>
          <w:lang w:eastAsia="en-AU"/>
        </w:rPr>
        <w:t xml:space="preserve">Received prior radiotherapy for </w:t>
      </w:r>
      <w:r w:rsidR="008B5056">
        <w:rPr>
          <w:lang w:eastAsia="en-AU"/>
        </w:rPr>
        <w:t>renal cell carcinoma</w:t>
      </w:r>
      <w:r w:rsidR="005C6F8D">
        <w:rPr>
          <w:lang w:eastAsia="en-AU"/>
        </w:rPr>
        <w:t>.</w:t>
      </w:r>
    </w:p>
    <w:p w14:paraId="550ED81D" w14:textId="30241B30" w:rsidR="008A1DBD" w:rsidRPr="009B4838" w:rsidRDefault="008A1DBD" w:rsidP="00961AA4">
      <w:pPr>
        <w:pStyle w:val="ListBullet"/>
        <w:rPr>
          <w:lang w:eastAsia="en-AU"/>
        </w:rPr>
      </w:pPr>
      <w:r w:rsidRPr="009B4838">
        <w:rPr>
          <w:lang w:eastAsia="en-AU"/>
        </w:rPr>
        <w:t>Ha</w:t>
      </w:r>
      <w:r>
        <w:rPr>
          <w:lang w:eastAsia="en-AU"/>
        </w:rPr>
        <w:t>d</w:t>
      </w:r>
      <w:r w:rsidRPr="009B4838">
        <w:rPr>
          <w:lang w:eastAsia="en-AU"/>
        </w:rPr>
        <w:t xml:space="preserve"> pre</w:t>
      </w:r>
      <w:r>
        <w:rPr>
          <w:lang w:eastAsia="en-AU"/>
        </w:rPr>
        <w:t>-</w:t>
      </w:r>
      <w:r w:rsidRPr="009B4838">
        <w:rPr>
          <w:lang w:eastAsia="en-AU"/>
        </w:rPr>
        <w:t>existing brain or bone metastatic lesion</w:t>
      </w:r>
      <w:r w:rsidR="005C6F8D">
        <w:rPr>
          <w:lang w:eastAsia="en-AU"/>
        </w:rPr>
        <w:t>.</w:t>
      </w:r>
    </w:p>
    <w:p w14:paraId="3585A62E" w14:textId="7433BDF3" w:rsidR="008A1DBD" w:rsidRPr="009B4838" w:rsidRDefault="008A1DBD" w:rsidP="00961AA4">
      <w:pPr>
        <w:pStyle w:val="ListBullet"/>
        <w:rPr>
          <w:lang w:eastAsia="en-AU"/>
        </w:rPr>
      </w:pPr>
      <w:r w:rsidRPr="009B4838">
        <w:rPr>
          <w:lang w:eastAsia="en-AU"/>
        </w:rPr>
        <w:t>Ha</w:t>
      </w:r>
      <w:r>
        <w:rPr>
          <w:lang w:eastAsia="en-AU"/>
        </w:rPr>
        <w:t>d</w:t>
      </w:r>
      <w:r w:rsidRPr="009B4838">
        <w:rPr>
          <w:lang w:eastAsia="en-AU"/>
        </w:rPr>
        <w:t xml:space="preserve"> residual thrombus post nephrectomy in the vena </w:t>
      </w:r>
      <w:proofErr w:type="spellStart"/>
      <w:r w:rsidRPr="009B4838">
        <w:rPr>
          <w:lang w:eastAsia="en-AU"/>
        </w:rPr>
        <w:t>renalis</w:t>
      </w:r>
      <w:proofErr w:type="spellEnd"/>
      <w:r w:rsidRPr="009B4838">
        <w:rPr>
          <w:lang w:eastAsia="en-AU"/>
        </w:rPr>
        <w:t xml:space="preserve"> or vena cava</w:t>
      </w:r>
      <w:r w:rsidR="005C6F8D">
        <w:rPr>
          <w:lang w:eastAsia="en-AU"/>
        </w:rPr>
        <w:t>.</w:t>
      </w:r>
    </w:p>
    <w:p w14:paraId="6344FDCA" w14:textId="000B185B" w:rsidR="008A1DBD" w:rsidRDefault="008A1DBD" w:rsidP="00961AA4">
      <w:pPr>
        <w:pStyle w:val="ListBullet"/>
        <w:rPr>
          <w:lang w:eastAsia="en-AU"/>
        </w:rPr>
      </w:pPr>
      <w:r w:rsidRPr="009B4838">
        <w:rPr>
          <w:lang w:eastAsia="en-AU"/>
        </w:rPr>
        <w:t>Had other medical conditions or history that would interfere with the participant’s</w:t>
      </w:r>
      <w:r>
        <w:rPr>
          <w:lang w:eastAsia="en-AU"/>
        </w:rPr>
        <w:t xml:space="preserve"> </w:t>
      </w:r>
      <w:r w:rsidRPr="009B4838">
        <w:rPr>
          <w:lang w:eastAsia="en-AU"/>
        </w:rPr>
        <w:t xml:space="preserve">participation for the full duration of the </w:t>
      </w:r>
      <w:proofErr w:type="gramStart"/>
      <w:r w:rsidRPr="009B4838">
        <w:rPr>
          <w:lang w:eastAsia="en-AU"/>
        </w:rPr>
        <w:t>study, or</w:t>
      </w:r>
      <w:proofErr w:type="gramEnd"/>
      <w:r w:rsidRPr="009B4838">
        <w:rPr>
          <w:lang w:eastAsia="en-AU"/>
        </w:rPr>
        <w:t xml:space="preserve"> was not in the best interest of the</w:t>
      </w:r>
      <w:r>
        <w:rPr>
          <w:lang w:eastAsia="en-AU"/>
        </w:rPr>
        <w:t xml:space="preserve"> </w:t>
      </w:r>
      <w:r w:rsidRPr="009B4838">
        <w:rPr>
          <w:lang w:eastAsia="en-AU"/>
        </w:rPr>
        <w:t>participant to participate</w:t>
      </w:r>
      <w:r w:rsidR="005C6F8D">
        <w:rPr>
          <w:lang w:eastAsia="en-AU"/>
        </w:rPr>
        <w:t>.</w:t>
      </w:r>
    </w:p>
    <w:p w14:paraId="325459F8" w14:textId="77777777" w:rsidR="00494530" w:rsidRDefault="00494530" w:rsidP="00EE5F8D">
      <w:pPr>
        <w:pStyle w:val="Heading6"/>
        <w:rPr>
          <w:lang w:eastAsia="en-AU"/>
        </w:rPr>
      </w:pPr>
      <w:r>
        <w:rPr>
          <w:lang w:eastAsia="en-AU"/>
        </w:rPr>
        <w:t>Endpoints</w:t>
      </w:r>
    </w:p>
    <w:p w14:paraId="0558D406" w14:textId="77777777" w:rsidR="00494530" w:rsidRDefault="00494530" w:rsidP="00494530">
      <w:pPr>
        <w:pStyle w:val="Heading7"/>
        <w:rPr>
          <w:lang w:eastAsia="en-AU"/>
        </w:rPr>
      </w:pPr>
      <w:r>
        <w:rPr>
          <w:lang w:eastAsia="en-AU"/>
        </w:rPr>
        <w:t>Primary endpoint</w:t>
      </w:r>
    </w:p>
    <w:p w14:paraId="690C4F91" w14:textId="3014A6C9" w:rsidR="00494530" w:rsidRDefault="00494530" w:rsidP="00494530">
      <w:pPr>
        <w:rPr>
          <w:lang w:eastAsia="en-AU"/>
        </w:rPr>
      </w:pPr>
      <w:r>
        <w:rPr>
          <w:lang w:eastAsia="en-AU"/>
        </w:rPr>
        <w:t>The primary endpoint was disease-free survival (DFS) as assessed by the investigator.</w:t>
      </w:r>
    </w:p>
    <w:p w14:paraId="7D516480" w14:textId="3DFF4C2A" w:rsidR="00494530" w:rsidRDefault="00494530" w:rsidP="00494530">
      <w:pPr>
        <w:pStyle w:val="Heading7"/>
        <w:rPr>
          <w:lang w:eastAsia="en-AU"/>
        </w:rPr>
      </w:pPr>
      <w:r>
        <w:rPr>
          <w:lang w:eastAsia="en-AU"/>
        </w:rPr>
        <w:t>Key secondary</w:t>
      </w:r>
    </w:p>
    <w:p w14:paraId="18554AAA" w14:textId="234F36D3" w:rsidR="00494530" w:rsidRDefault="00494530" w:rsidP="00494530">
      <w:pPr>
        <w:rPr>
          <w:lang w:eastAsia="en-AU"/>
        </w:rPr>
      </w:pPr>
      <w:r>
        <w:rPr>
          <w:lang w:eastAsia="en-AU"/>
        </w:rPr>
        <w:t>The key secondary endpoint was overall survival (OS).</w:t>
      </w:r>
    </w:p>
    <w:p w14:paraId="7932F9B7" w14:textId="513A6F60" w:rsidR="00494530" w:rsidRDefault="00494530" w:rsidP="00494530">
      <w:pPr>
        <w:pStyle w:val="Heading7"/>
        <w:rPr>
          <w:lang w:eastAsia="en-AU"/>
        </w:rPr>
      </w:pPr>
      <w:r>
        <w:rPr>
          <w:lang w:eastAsia="en-AU"/>
        </w:rPr>
        <w:t>Other secondary endpoints</w:t>
      </w:r>
    </w:p>
    <w:p w14:paraId="1B1E1F32" w14:textId="05231AC4" w:rsidR="00494530" w:rsidRDefault="00494530" w:rsidP="00494530">
      <w:pPr>
        <w:rPr>
          <w:lang w:eastAsia="en-AU"/>
        </w:rPr>
      </w:pPr>
      <w:r>
        <w:rPr>
          <w:lang w:eastAsia="en-AU"/>
        </w:rPr>
        <w:t>Other secondary endpoints included disease recurrence-specific survival (DRSS), event-free survival (EFS), disease free survival and overall survival by PD-L1 status, patient-reported outcomes, and safety.</w:t>
      </w:r>
    </w:p>
    <w:p w14:paraId="2A2196EF" w14:textId="551BEAA9" w:rsidR="00494530" w:rsidRDefault="00494530" w:rsidP="00494530">
      <w:pPr>
        <w:rPr>
          <w:lang w:eastAsia="en-AU"/>
        </w:rPr>
      </w:pPr>
      <w:r>
        <w:rPr>
          <w:lang w:eastAsia="en-AU"/>
        </w:rPr>
        <w:t xml:space="preserve">The endpoint definitions are </w:t>
      </w:r>
      <w:r w:rsidR="00003412">
        <w:rPr>
          <w:lang w:eastAsia="en-AU"/>
        </w:rPr>
        <w:t>in</w:t>
      </w:r>
      <w:r>
        <w:rPr>
          <w:lang w:eastAsia="en-AU"/>
        </w:rPr>
        <w:t xml:space="preserve"> </w:t>
      </w:r>
      <w:r>
        <w:rPr>
          <w:lang w:eastAsia="en-AU"/>
        </w:rPr>
        <w:fldChar w:fldCharType="begin"/>
      </w:r>
      <w:r>
        <w:rPr>
          <w:lang w:eastAsia="en-AU"/>
        </w:rPr>
        <w:instrText xml:space="preserve"> REF _Ref133921667 \h </w:instrText>
      </w:r>
      <w:r>
        <w:rPr>
          <w:lang w:eastAsia="en-AU"/>
        </w:rPr>
      </w:r>
      <w:r>
        <w:rPr>
          <w:lang w:eastAsia="en-AU"/>
        </w:rPr>
        <w:fldChar w:fldCharType="separate"/>
      </w:r>
      <w:r w:rsidR="004E7B11">
        <w:t xml:space="preserve">Table </w:t>
      </w:r>
      <w:r w:rsidR="004E7B11">
        <w:rPr>
          <w:noProof/>
        </w:rPr>
        <w:t>3</w:t>
      </w:r>
      <w:r>
        <w:rPr>
          <w:lang w:eastAsia="en-AU"/>
        </w:rPr>
        <w:fldChar w:fldCharType="end"/>
      </w:r>
      <w:r>
        <w:rPr>
          <w:lang w:eastAsia="en-AU"/>
        </w:rPr>
        <w:t>.</w:t>
      </w:r>
    </w:p>
    <w:p w14:paraId="2F5670F0" w14:textId="3A31291F" w:rsidR="00494530" w:rsidRDefault="00494530" w:rsidP="00494530">
      <w:pPr>
        <w:pStyle w:val="TableTitle"/>
      </w:pPr>
      <w:bookmarkStart w:id="53" w:name="_Ref133921667"/>
      <w:r>
        <w:t xml:space="preserve">Table </w:t>
      </w:r>
      <w:r>
        <w:fldChar w:fldCharType="begin"/>
      </w:r>
      <w:r>
        <w:instrText>SEQ Table \* ARABIC</w:instrText>
      </w:r>
      <w:r>
        <w:fldChar w:fldCharType="separate"/>
      </w:r>
      <w:r w:rsidR="004E7B11">
        <w:rPr>
          <w:noProof/>
        </w:rPr>
        <w:t>3</w:t>
      </w:r>
      <w:r>
        <w:fldChar w:fldCharType="end"/>
      </w:r>
      <w:bookmarkEnd w:id="53"/>
      <w:r>
        <w:t>:</w:t>
      </w:r>
      <w:r w:rsidR="004B5399">
        <w:t xml:space="preserve"> </w:t>
      </w:r>
      <w:r w:rsidR="004B5399" w:rsidRPr="004B5399">
        <w:t>KEYNOTE-564 trial</w:t>
      </w:r>
      <w:r w:rsidR="004B5399">
        <w:t xml:space="preserve"> e</w:t>
      </w:r>
      <w:r>
        <w:t>ndpoint definitions</w:t>
      </w:r>
    </w:p>
    <w:tbl>
      <w:tblPr>
        <w:tblStyle w:val="TGABlack2023"/>
        <w:tblW w:w="0" w:type="auto"/>
        <w:tblLook w:val="04A0" w:firstRow="1" w:lastRow="0" w:firstColumn="1" w:lastColumn="0" w:noHBand="0" w:noVBand="1"/>
      </w:tblPr>
      <w:tblGrid>
        <w:gridCol w:w="3114"/>
        <w:gridCol w:w="5946"/>
      </w:tblGrid>
      <w:tr w:rsidR="000F6362" w:rsidRPr="006921E7" w14:paraId="36BE1609" w14:textId="77777777" w:rsidTr="000F6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B35FC97" w14:textId="10F0788E" w:rsidR="000F6362" w:rsidRPr="006921E7" w:rsidRDefault="000F6362" w:rsidP="006921E7">
            <w:pPr>
              <w:rPr>
                <w:b w:val="0"/>
                <w:color w:val="auto"/>
                <w:sz w:val="20"/>
                <w:szCs w:val="20"/>
              </w:rPr>
            </w:pPr>
            <w:r w:rsidRPr="006921E7">
              <w:rPr>
                <w:color w:val="auto"/>
                <w:sz w:val="20"/>
                <w:szCs w:val="20"/>
              </w:rPr>
              <w:t>Endpoint</w:t>
            </w:r>
          </w:p>
        </w:tc>
        <w:tc>
          <w:tcPr>
            <w:tcW w:w="5946" w:type="dxa"/>
            <w:shd w:val="clear" w:color="auto" w:fill="auto"/>
          </w:tcPr>
          <w:p w14:paraId="41280113" w14:textId="29970849" w:rsidR="000F6362" w:rsidRPr="006921E7" w:rsidRDefault="000F6362" w:rsidP="006921E7">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6921E7">
              <w:rPr>
                <w:color w:val="auto"/>
                <w:sz w:val="20"/>
                <w:szCs w:val="20"/>
              </w:rPr>
              <w:t>Definition</w:t>
            </w:r>
          </w:p>
        </w:tc>
      </w:tr>
      <w:tr w:rsidR="000F6362" w:rsidRPr="006921E7" w14:paraId="5AD44B58"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356032D5" w14:textId="08564B76" w:rsidR="000F6362" w:rsidRPr="006921E7" w:rsidRDefault="000F6362" w:rsidP="006921E7">
            <w:pPr>
              <w:rPr>
                <w:sz w:val="20"/>
                <w:szCs w:val="20"/>
              </w:rPr>
            </w:pPr>
            <w:r w:rsidRPr="006921E7">
              <w:rPr>
                <w:sz w:val="20"/>
                <w:szCs w:val="20"/>
              </w:rPr>
              <w:t>Disease free survival</w:t>
            </w:r>
            <w:r w:rsidRPr="006921E7">
              <w:rPr>
                <w:sz w:val="20"/>
                <w:szCs w:val="20"/>
              </w:rPr>
              <w:br/>
              <w:t>(assessed by Investigator)</w:t>
            </w:r>
          </w:p>
        </w:tc>
        <w:tc>
          <w:tcPr>
            <w:tcW w:w="5946" w:type="dxa"/>
          </w:tcPr>
          <w:p w14:paraId="6A3EF274"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Time from randomization to the first documented local recurrence, or occurrence of distant kidney cancer metastasis(es), or death due to any cause, whichever occurs first.</w:t>
            </w:r>
          </w:p>
          <w:p w14:paraId="468AEDDF" w14:textId="0BE82E86"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Hypothesis: Pembrolizumab is superior to placebo</w:t>
            </w:r>
          </w:p>
        </w:tc>
      </w:tr>
      <w:tr w:rsidR="000F6362" w:rsidRPr="006921E7" w14:paraId="69B1FEC6"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1D5B45D0" w14:textId="7199A9CF" w:rsidR="000F6362" w:rsidRPr="006921E7" w:rsidRDefault="000F6362" w:rsidP="006921E7">
            <w:pPr>
              <w:rPr>
                <w:sz w:val="20"/>
                <w:szCs w:val="20"/>
              </w:rPr>
            </w:pPr>
            <w:r w:rsidRPr="006921E7">
              <w:rPr>
                <w:sz w:val="20"/>
                <w:szCs w:val="20"/>
              </w:rPr>
              <w:t>Overall survival</w:t>
            </w:r>
          </w:p>
        </w:tc>
        <w:tc>
          <w:tcPr>
            <w:tcW w:w="5946" w:type="dxa"/>
          </w:tcPr>
          <w:p w14:paraId="6BC4D57B"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Time from randomization to death due to any cause</w:t>
            </w:r>
          </w:p>
          <w:p w14:paraId="5192040B" w14:textId="793EC89D"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Hypothesis: Pembrolizumab is superior to placebo</w:t>
            </w:r>
          </w:p>
        </w:tc>
      </w:tr>
      <w:tr w:rsidR="000F6362" w:rsidRPr="006921E7" w14:paraId="500DEC75"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6C87D788" w14:textId="2F145007" w:rsidR="000F6362" w:rsidRPr="006921E7" w:rsidRDefault="000F6362" w:rsidP="006921E7">
            <w:pPr>
              <w:rPr>
                <w:sz w:val="20"/>
                <w:szCs w:val="20"/>
              </w:rPr>
            </w:pPr>
            <w:r w:rsidRPr="006921E7">
              <w:rPr>
                <w:sz w:val="20"/>
                <w:szCs w:val="20"/>
              </w:rPr>
              <w:t>Disease recurrence specific survival</w:t>
            </w:r>
            <w:r w:rsidR="0043114B" w:rsidRPr="006921E7">
              <w:rPr>
                <w:sz w:val="20"/>
                <w:szCs w:val="20"/>
              </w:rPr>
              <w:t xml:space="preserve"> (DRSS)</w:t>
            </w:r>
            <w:r w:rsidRPr="006921E7">
              <w:rPr>
                <w:sz w:val="20"/>
                <w:szCs w:val="20"/>
              </w:rPr>
              <w:br/>
              <w:t>(assessed by Investigator)</w:t>
            </w:r>
          </w:p>
        </w:tc>
        <w:tc>
          <w:tcPr>
            <w:tcW w:w="5946" w:type="dxa"/>
          </w:tcPr>
          <w:p w14:paraId="2854FD87"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DRSS1: time from randomization to the first documented local recurrence of RCC</w:t>
            </w:r>
          </w:p>
          <w:p w14:paraId="326461EF" w14:textId="5F8EF31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DRSS2: time from randomization to the first documented local recurrence with visceral lesion or occurrence of distant kidney cancer metastasis(es) with visceral lesion, whichever occurs first.</w:t>
            </w:r>
          </w:p>
        </w:tc>
      </w:tr>
      <w:tr w:rsidR="000F6362" w:rsidRPr="006921E7" w14:paraId="7FA19EE5"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41352E27" w14:textId="048AB24F" w:rsidR="000F6362" w:rsidRPr="006921E7" w:rsidRDefault="000F6362" w:rsidP="006921E7">
            <w:pPr>
              <w:rPr>
                <w:sz w:val="20"/>
                <w:szCs w:val="20"/>
              </w:rPr>
            </w:pPr>
            <w:r w:rsidRPr="006921E7">
              <w:rPr>
                <w:sz w:val="20"/>
                <w:szCs w:val="20"/>
              </w:rPr>
              <w:t>Event free survival</w:t>
            </w:r>
            <w:r w:rsidRPr="006921E7">
              <w:rPr>
                <w:sz w:val="20"/>
                <w:szCs w:val="20"/>
              </w:rPr>
              <w:br/>
              <w:t xml:space="preserve">(assessed by </w:t>
            </w:r>
            <w:r w:rsidR="0062598B" w:rsidRPr="006921E7">
              <w:rPr>
                <w:sz w:val="20"/>
                <w:szCs w:val="20"/>
              </w:rPr>
              <w:t>Blinded independent central review (BICR</w:t>
            </w:r>
            <w:r w:rsidRPr="006921E7">
              <w:rPr>
                <w:sz w:val="20"/>
                <w:szCs w:val="20"/>
              </w:rPr>
              <w:t>)</w:t>
            </w:r>
          </w:p>
        </w:tc>
        <w:tc>
          <w:tcPr>
            <w:tcW w:w="5946" w:type="dxa"/>
          </w:tcPr>
          <w:p w14:paraId="30386C5B" w14:textId="62C07D3D"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Time from randomization to the first documented local recurrence or occurrence of distant kidney cancer metastasis(es) among participants, which by BICR were considered M0/M1 NED; or disease progression among participants, which by BICR were considered to have M1, or death due to any cause, whichever occurs first.</w:t>
            </w:r>
          </w:p>
        </w:tc>
      </w:tr>
      <w:tr w:rsidR="000F6362" w:rsidRPr="006921E7" w14:paraId="61EDB1AD"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7659AE1A" w14:textId="394EF0B0" w:rsidR="000F6362" w:rsidRPr="006921E7" w:rsidRDefault="000F6362" w:rsidP="006921E7">
            <w:pPr>
              <w:rPr>
                <w:sz w:val="20"/>
                <w:szCs w:val="20"/>
              </w:rPr>
            </w:pPr>
            <w:r w:rsidRPr="006921E7">
              <w:rPr>
                <w:sz w:val="20"/>
                <w:szCs w:val="20"/>
              </w:rPr>
              <w:lastRenderedPageBreak/>
              <w:t>Disease free survival (assessed by Investigator) and overall survival by PD-L1 expression status</w:t>
            </w:r>
          </w:p>
        </w:tc>
        <w:tc>
          <w:tcPr>
            <w:tcW w:w="5946" w:type="dxa"/>
          </w:tcPr>
          <w:p w14:paraId="1F29112A"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DFS: time from randomization to the first documented local recurrence, or occurrence of distant kidney cancer metastasis(es), or death due to any cause, whichever occurs first</w:t>
            </w:r>
          </w:p>
          <w:p w14:paraId="05843C26"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OS: time from randomization to death due to any cause</w:t>
            </w:r>
          </w:p>
          <w:p w14:paraId="62654589"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PD-L1 expression status defined as:</w:t>
            </w:r>
          </w:p>
          <w:p w14:paraId="3685D7F9" w14:textId="77777777" w:rsidR="00C012C0"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positive: CPS ≥ 1, or</w:t>
            </w:r>
          </w:p>
          <w:p w14:paraId="6FECE4FD" w14:textId="59BCAEAC"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negative: CPS &lt; 1</w:t>
            </w:r>
          </w:p>
          <w:p w14:paraId="6E19BE8F"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 xml:space="preserve">Samples were tested centrally using the 22C3 PD-L1 IHC </w:t>
            </w:r>
            <w:proofErr w:type="spellStart"/>
            <w:r w:rsidRPr="006921E7">
              <w:rPr>
                <w:sz w:val="20"/>
                <w:szCs w:val="20"/>
              </w:rPr>
              <w:t>PharmDx</w:t>
            </w:r>
            <w:proofErr w:type="spellEnd"/>
            <w:r w:rsidRPr="006921E7">
              <w:rPr>
                <w:sz w:val="20"/>
                <w:szCs w:val="20"/>
              </w:rPr>
              <w:t xml:space="preserve"> assay. Calculation method:</w:t>
            </w:r>
          </w:p>
          <w:p w14:paraId="6978FF79" w14:textId="6CB06F81"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noProof/>
                <w:sz w:val="20"/>
                <w:szCs w:val="20"/>
              </w:rPr>
              <w:drawing>
                <wp:inline distT="0" distB="0" distL="0" distR="0" wp14:anchorId="47B295EF" wp14:editId="78DD5443">
                  <wp:extent cx="2267712" cy="5645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l="3914" r="2651"/>
                          <a:stretch/>
                        </pic:blipFill>
                        <pic:spPr bwMode="auto">
                          <a:xfrm>
                            <a:off x="0" y="0"/>
                            <a:ext cx="2270464" cy="565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6362" w:rsidRPr="006921E7" w14:paraId="1523A8C2" w14:textId="77777777" w:rsidTr="000F6362">
        <w:tc>
          <w:tcPr>
            <w:cnfStyle w:val="001000000000" w:firstRow="0" w:lastRow="0" w:firstColumn="1" w:lastColumn="0" w:oddVBand="0" w:evenVBand="0" w:oddHBand="0" w:evenHBand="0" w:firstRowFirstColumn="0" w:firstRowLastColumn="0" w:lastRowFirstColumn="0" w:lastRowLastColumn="0"/>
            <w:tcW w:w="3114" w:type="dxa"/>
          </w:tcPr>
          <w:p w14:paraId="76C62930" w14:textId="36E7327F" w:rsidR="000F6362" w:rsidRPr="006921E7" w:rsidRDefault="000F6362" w:rsidP="006921E7">
            <w:pPr>
              <w:rPr>
                <w:sz w:val="20"/>
                <w:szCs w:val="20"/>
              </w:rPr>
            </w:pPr>
            <w:r w:rsidRPr="006921E7">
              <w:rPr>
                <w:sz w:val="20"/>
                <w:szCs w:val="20"/>
              </w:rPr>
              <w:t>To evaluate patient reported outcomes with EORTC-QLQ-C30 and the FKSI-DRS</w:t>
            </w:r>
          </w:p>
        </w:tc>
        <w:tc>
          <w:tcPr>
            <w:tcW w:w="5946" w:type="dxa"/>
          </w:tcPr>
          <w:p w14:paraId="721D64C0"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Mean change from baseline in:</w:t>
            </w:r>
          </w:p>
          <w:p w14:paraId="6CAF147C"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EORTC QLQ-C30 global health status/quality of life scores</w:t>
            </w:r>
          </w:p>
          <w:p w14:paraId="13B1B7D6"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EORTC QLQ-C30 functional subscales: physical functioning</w:t>
            </w:r>
          </w:p>
          <w:p w14:paraId="23E637AE" w14:textId="77777777"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FKSI-DRS score</w:t>
            </w:r>
          </w:p>
          <w:p w14:paraId="2B27137F" w14:textId="51F2C4C2" w:rsidR="000F6362" w:rsidRPr="006921E7" w:rsidRDefault="000F6362"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 xml:space="preserve">Changes in scores of at least 10 and 3 points were considered clinically meaningful for EORTC QLQ-C30 and FKSI-DRS, respectively. </w:t>
            </w:r>
          </w:p>
        </w:tc>
      </w:tr>
    </w:tbl>
    <w:p w14:paraId="352973ED" w14:textId="0277D5FD" w:rsidR="00494530" w:rsidRDefault="000F6362" w:rsidP="00EE5F8D">
      <w:pPr>
        <w:pStyle w:val="Heading5"/>
      </w:pPr>
      <w:r>
        <w:t>Statistics</w:t>
      </w:r>
    </w:p>
    <w:p w14:paraId="4AAF758D" w14:textId="26054590" w:rsidR="000F6362" w:rsidRDefault="000F6362" w:rsidP="000F6362">
      <w:r>
        <w:t xml:space="preserve">The study was randomised 1:1. The planned analyses are shown in </w:t>
      </w:r>
      <w:r>
        <w:fldChar w:fldCharType="begin"/>
      </w:r>
      <w:r>
        <w:instrText xml:space="preserve"> REF _Ref133922245 \h </w:instrText>
      </w:r>
      <w:r>
        <w:fldChar w:fldCharType="separate"/>
      </w:r>
      <w:r w:rsidR="004E7B11">
        <w:t xml:space="preserve">Table </w:t>
      </w:r>
      <w:r w:rsidR="004E7B11">
        <w:rPr>
          <w:noProof/>
        </w:rPr>
        <w:t>4</w:t>
      </w:r>
      <w:r>
        <w:fldChar w:fldCharType="end"/>
      </w:r>
      <w:r>
        <w:t>.</w:t>
      </w:r>
    </w:p>
    <w:p w14:paraId="1758FF38" w14:textId="5FC18213" w:rsidR="000F6362" w:rsidRDefault="000F6362" w:rsidP="000F6362">
      <w:pPr>
        <w:pStyle w:val="TableTitle"/>
      </w:pPr>
      <w:bookmarkStart w:id="54" w:name="_Ref133922245"/>
      <w:r>
        <w:t xml:space="preserve">Table </w:t>
      </w:r>
      <w:r>
        <w:fldChar w:fldCharType="begin"/>
      </w:r>
      <w:r>
        <w:instrText>SEQ Table \* ARABIC</w:instrText>
      </w:r>
      <w:r>
        <w:fldChar w:fldCharType="separate"/>
      </w:r>
      <w:r w:rsidR="004E7B11">
        <w:rPr>
          <w:noProof/>
        </w:rPr>
        <w:t>4</w:t>
      </w:r>
      <w:r>
        <w:fldChar w:fldCharType="end"/>
      </w:r>
      <w:bookmarkEnd w:id="54"/>
      <w:r>
        <w:t xml:space="preserve">: </w:t>
      </w:r>
      <w:r w:rsidR="004B5399" w:rsidRPr="004B5399">
        <w:t xml:space="preserve">KEYNOTE-564 trial </w:t>
      </w:r>
      <w:r w:rsidR="004B5399">
        <w:t>p</w:t>
      </w:r>
      <w:r>
        <w:t>lanned analyses</w:t>
      </w:r>
    </w:p>
    <w:p w14:paraId="17F20128" w14:textId="6C73DB77" w:rsidR="000F6362" w:rsidRPr="000F6362" w:rsidRDefault="000F6362" w:rsidP="000F6362">
      <w:r w:rsidRPr="000A4B43">
        <w:rPr>
          <w:noProof/>
          <w:sz w:val="19"/>
          <w:lang w:val="en-US"/>
        </w:rPr>
        <w:drawing>
          <wp:inline distT="0" distB="0" distL="0" distR="0" wp14:anchorId="33B74F87" wp14:editId="1BBE873F">
            <wp:extent cx="5029200" cy="1904732"/>
            <wp:effectExtent l="0" t="0" r="0" b="635"/>
            <wp:docPr id="34" name="Picture 34" descr="This table shows KEYNOTE-564 trial planned analyses: first, second and third interim analysis and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table shows KEYNOTE-564 trial planned analyses: first, second and third interim analysis and final analysis."/>
                    <pic:cNvPicPr>
                      <a:picLocks noChangeAspect="1" noChangeArrowheads="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5062676" cy="1917410"/>
                    </a:xfrm>
                    <a:prstGeom prst="rect">
                      <a:avLst/>
                    </a:prstGeom>
                    <a:noFill/>
                    <a:ln>
                      <a:noFill/>
                    </a:ln>
                  </pic:spPr>
                </pic:pic>
              </a:graphicData>
            </a:graphic>
          </wp:inline>
        </w:drawing>
      </w:r>
    </w:p>
    <w:p w14:paraId="75421800" w14:textId="213604EC" w:rsidR="008A1DBD" w:rsidRPr="000F6362" w:rsidRDefault="00EC1BEC" w:rsidP="000F6362">
      <w:pPr>
        <w:pStyle w:val="TableDescription"/>
      </w:pPr>
      <w:r>
        <w:t xml:space="preserve">Abbreviations: </w:t>
      </w:r>
      <w:r w:rsidR="000F6362" w:rsidRPr="000F6362">
        <w:t>IA: interim analysis; FA: final analysis</w:t>
      </w:r>
      <w:r>
        <w:t xml:space="preserve">; IA1 = first interim analysis; IA2 = second interim analysis; IA3 = third interim analysis; DFS = disease free survival; OS = overall </w:t>
      </w:r>
      <w:r w:rsidR="0046264F">
        <w:t>survival</w:t>
      </w:r>
    </w:p>
    <w:p w14:paraId="751F34A2" w14:textId="12AF4BF5" w:rsidR="00C012C0" w:rsidRDefault="000F6362" w:rsidP="000F6362">
      <w:r w:rsidRPr="000F6362">
        <w:t xml:space="preserve">The updated analysis (efficacy update report, </w:t>
      </w:r>
      <w:r>
        <w:t>data cut-off</w:t>
      </w:r>
      <w:r w:rsidRPr="000F6362">
        <w:t xml:space="preserve"> 14 Jun</w:t>
      </w:r>
      <w:r>
        <w:t>e</w:t>
      </w:r>
      <w:r w:rsidRPr="000F6362">
        <w:t xml:space="preserve"> 2021) with additional </w:t>
      </w:r>
      <w:r>
        <w:t>six</w:t>
      </w:r>
      <w:r w:rsidRPr="000F6362">
        <w:t xml:space="preserve"> months follow up after </w:t>
      </w:r>
      <w:r>
        <w:t xml:space="preserve">the </w:t>
      </w:r>
      <w:r w:rsidR="00FE2686">
        <w:t xml:space="preserve">first interim analysis </w:t>
      </w:r>
      <w:r w:rsidRPr="000F6362">
        <w:t xml:space="preserve">was conducted on request of </w:t>
      </w:r>
      <w:r w:rsidR="008B5056">
        <w:t>another regulatory agency</w:t>
      </w:r>
      <w:r w:rsidRPr="000F6362">
        <w:t>.</w:t>
      </w:r>
    </w:p>
    <w:p w14:paraId="4A862FBA" w14:textId="77777777" w:rsidR="00C012C0" w:rsidRDefault="000F6362" w:rsidP="000F6362">
      <w:r w:rsidRPr="000F6362">
        <w:t xml:space="preserve">The sample size was based on a target of 332 </w:t>
      </w:r>
      <w:r w:rsidR="00B93005">
        <w:t xml:space="preserve">disease free survival </w:t>
      </w:r>
      <w:r w:rsidRPr="000F6362">
        <w:t xml:space="preserve">events (with </w:t>
      </w:r>
      <w:r w:rsidR="00B93005">
        <w:t xml:space="preserve">the </w:t>
      </w:r>
      <w:r w:rsidR="00FE2686">
        <w:t xml:space="preserve">first interim analysis </w:t>
      </w:r>
      <w:r w:rsidRPr="000F6362">
        <w:t xml:space="preserve">at </w:t>
      </w:r>
      <w:r w:rsidR="00B93005">
        <w:t xml:space="preserve">approximately </w:t>
      </w:r>
      <w:r w:rsidRPr="000F6362">
        <w:t xml:space="preserve">80% of </w:t>
      </w:r>
      <w:r w:rsidR="00B93005">
        <w:t xml:space="preserve">the </w:t>
      </w:r>
      <w:r w:rsidRPr="000F6362">
        <w:t xml:space="preserve">target), giving </w:t>
      </w:r>
      <w:r w:rsidR="00B93005">
        <w:t xml:space="preserve">approximately </w:t>
      </w:r>
      <w:r w:rsidRPr="000F6362">
        <w:t xml:space="preserve">95% power to detect a </w:t>
      </w:r>
      <w:r w:rsidR="00B93005">
        <w:t>hazard ratio</w:t>
      </w:r>
      <w:r w:rsidRPr="000F6362">
        <w:t xml:space="preserve"> of 0.67 at an overall alpha level of 2.5% (one-sided), based on the following assumptions:</w:t>
      </w:r>
    </w:p>
    <w:p w14:paraId="30A4EB9A" w14:textId="493327AF" w:rsidR="00B93005" w:rsidRDefault="00B93005" w:rsidP="00003412">
      <w:pPr>
        <w:pStyle w:val="Numberbullet0"/>
        <w:numPr>
          <w:ilvl w:val="0"/>
          <w:numId w:val="22"/>
        </w:numPr>
      </w:pPr>
      <w:r>
        <w:lastRenderedPageBreak/>
        <w:t>Disease free survival</w:t>
      </w:r>
      <w:r w:rsidR="000F6362" w:rsidRPr="000F6362">
        <w:t xml:space="preserve"> follows a Poisson mixture cure rate model with assumed cure rate of 0.3 and with a median of 45 months for those not cured in the placebo group</w:t>
      </w:r>
    </w:p>
    <w:p w14:paraId="143F0E3F" w14:textId="2DF439BD" w:rsidR="00B93005" w:rsidRDefault="000F6362" w:rsidP="00B93005">
      <w:pPr>
        <w:pStyle w:val="Numberbullet0"/>
      </w:pPr>
      <w:r w:rsidRPr="000F6362">
        <w:t xml:space="preserve"> An enrolment period of 27 months</w:t>
      </w:r>
    </w:p>
    <w:p w14:paraId="76AB95FE" w14:textId="77777777" w:rsidR="00B93005" w:rsidRDefault="000F6362" w:rsidP="00B93005">
      <w:pPr>
        <w:pStyle w:val="Numberbullet0"/>
      </w:pPr>
      <w:r w:rsidRPr="000F6362">
        <w:t>A yearly drop-out rate of 2%</w:t>
      </w:r>
    </w:p>
    <w:p w14:paraId="77D2D3FA" w14:textId="78BF61ED" w:rsidR="000F6362" w:rsidRPr="000F6362" w:rsidRDefault="00B93005" w:rsidP="00B93005">
      <w:pPr>
        <w:pStyle w:val="Numberbullet0"/>
      </w:pPr>
      <w:r>
        <w:t>A</w:t>
      </w:r>
      <w:r w:rsidR="000F6362" w:rsidRPr="000F6362">
        <w:t xml:space="preserve"> true </w:t>
      </w:r>
      <w:r>
        <w:t>hazard ratio</w:t>
      </w:r>
      <w:r w:rsidR="000F6362" w:rsidRPr="000F6362">
        <w:t xml:space="preserve"> of 0.67</w:t>
      </w:r>
    </w:p>
    <w:p w14:paraId="4CD38720" w14:textId="681CA592" w:rsidR="000F6362" w:rsidRPr="000F6362" w:rsidRDefault="000F6362" w:rsidP="000F6362">
      <w:r w:rsidRPr="000F6362">
        <w:t xml:space="preserve">Analyses of </w:t>
      </w:r>
      <w:proofErr w:type="gramStart"/>
      <w:r w:rsidR="00B93005">
        <w:t>disease free</w:t>
      </w:r>
      <w:proofErr w:type="gramEnd"/>
      <w:r w:rsidR="00B93005">
        <w:t xml:space="preserve"> survival and overall survival </w:t>
      </w:r>
      <w:r w:rsidRPr="000F6362">
        <w:t>were event-driven, with a Lan-</w:t>
      </w:r>
      <w:proofErr w:type="spellStart"/>
      <w:r w:rsidRPr="000F6362">
        <w:t>DeMets</w:t>
      </w:r>
      <w:proofErr w:type="spellEnd"/>
      <w:r w:rsidRPr="000F6362">
        <w:t xml:space="preserve"> O’Brien-Fleming alpha-spending function</w:t>
      </w:r>
      <w:r w:rsidR="00B93005">
        <w:t xml:space="preserve"> </w:t>
      </w:r>
      <w:r w:rsidRPr="000F6362">
        <w:t xml:space="preserve">used to control the Type I error for efficacy. Power for </w:t>
      </w:r>
      <w:r w:rsidR="00B93005">
        <w:t>overall survival</w:t>
      </w:r>
      <w:r w:rsidRPr="000F6362">
        <w:t xml:space="preserve"> was conditional on the null hypothesis of </w:t>
      </w:r>
      <w:proofErr w:type="gramStart"/>
      <w:r w:rsidR="00B93005">
        <w:t>disease free</w:t>
      </w:r>
      <w:proofErr w:type="gramEnd"/>
      <w:r w:rsidR="00B93005">
        <w:t xml:space="preserve"> survival</w:t>
      </w:r>
      <w:r w:rsidRPr="000F6362">
        <w:t xml:space="preserve"> being rejected. Multiplicity of endpoints and analyses was controlled using the method of Maurer and </w:t>
      </w:r>
      <w:proofErr w:type="spellStart"/>
      <w:r w:rsidRPr="000F6362">
        <w:t>Bretz</w:t>
      </w:r>
      <w:proofErr w:type="spellEnd"/>
      <w:r w:rsidRPr="000F6362">
        <w:t>. A group sequential approach will allocate the alpha between interim and final analyses.</w:t>
      </w:r>
    </w:p>
    <w:p w14:paraId="674E1012" w14:textId="34BDD7CB" w:rsidR="000F6362" w:rsidRPr="000F6362" w:rsidRDefault="000F6362" w:rsidP="000F6362">
      <w:r w:rsidRPr="000F6362">
        <w:t>Treatment differences in the primary and key-secondary endpoint were assessed by the stratified log-rank</w:t>
      </w:r>
      <w:r w:rsidR="00B93005">
        <w:t xml:space="preserve"> </w:t>
      </w:r>
      <w:r w:rsidRPr="000F6362">
        <w:t>test. Hazard ratios and 95% confidence intervals</w:t>
      </w:r>
      <w:r w:rsidR="00B93005">
        <w:t xml:space="preserve"> (CI)</w:t>
      </w:r>
      <w:r w:rsidRPr="000F6362">
        <w:t xml:space="preserve"> from stratified Cox Model with </w:t>
      </w:r>
      <w:proofErr w:type="spellStart"/>
      <w:r w:rsidRPr="000F6362">
        <w:t>Efron’s</w:t>
      </w:r>
      <w:proofErr w:type="spellEnd"/>
      <w:r w:rsidRPr="000F6362">
        <w:t xml:space="preserve"> tie handling method were reported. The stratification factors used in the randomisation were used as stratification factors in the primary and key-secondary analysis.</w:t>
      </w:r>
    </w:p>
    <w:p w14:paraId="2A7CBD88" w14:textId="77777777" w:rsidR="00C012C0" w:rsidRDefault="00B93005" w:rsidP="00B93005">
      <w:r>
        <w:t>The eff</w:t>
      </w:r>
      <w:r w:rsidR="000F6362" w:rsidRPr="000F6362">
        <w:t>icacy population</w:t>
      </w:r>
      <w:r>
        <w:t xml:space="preserve"> was the intent to treat population. The safety population was all participants as treated.</w:t>
      </w:r>
    </w:p>
    <w:p w14:paraId="18581D0E" w14:textId="18E1D388" w:rsidR="00B93005" w:rsidRDefault="00B93005" w:rsidP="00EE5F8D">
      <w:pPr>
        <w:pStyle w:val="Heading5"/>
      </w:pPr>
      <w:r>
        <w:t>Protocol amendments and deviations</w:t>
      </w:r>
    </w:p>
    <w:p w14:paraId="1B4E7D26" w14:textId="6750F330" w:rsidR="00B93005" w:rsidRDefault="00B93005" w:rsidP="00B93005">
      <w:pPr>
        <w:pStyle w:val="Heading7"/>
      </w:pPr>
      <w:r>
        <w:t>Amendments</w:t>
      </w:r>
    </w:p>
    <w:p w14:paraId="278E71B6" w14:textId="1CA1BD9B" w:rsidR="00B93005" w:rsidRDefault="00B93005" w:rsidP="00B93005">
      <w:r w:rsidRPr="00B93005">
        <w:t xml:space="preserve">There were </w:t>
      </w:r>
      <w:r w:rsidR="00B631C9">
        <w:t>four</w:t>
      </w:r>
      <w:r w:rsidRPr="00B93005">
        <w:t xml:space="preserve"> amendments to the protocol</w:t>
      </w:r>
      <w:r w:rsidR="00B631C9">
        <w:t>.</w:t>
      </w:r>
      <w:r w:rsidR="00C012C0">
        <w:t xml:space="preserve"> </w:t>
      </w:r>
      <w:r w:rsidR="00B631C9">
        <w:t>A</w:t>
      </w:r>
      <w:r w:rsidRPr="00B93005">
        <w:t xml:space="preserve">ll </w:t>
      </w:r>
      <w:r w:rsidR="00B631C9">
        <w:t xml:space="preserve">were </w:t>
      </w:r>
      <w:r w:rsidRPr="00B93005">
        <w:t>considered unlikely to impact the interpretation of the study.</w:t>
      </w:r>
    </w:p>
    <w:p w14:paraId="3A01CD0D" w14:textId="6DCB47B1" w:rsidR="00B93005" w:rsidRDefault="00B93005" w:rsidP="00B93005">
      <w:pPr>
        <w:pStyle w:val="Heading7"/>
      </w:pPr>
      <w:r w:rsidRPr="00B93005">
        <w:t xml:space="preserve">Important </w:t>
      </w:r>
      <w:r w:rsidR="00B631C9">
        <w:t>p</w:t>
      </w:r>
      <w:r w:rsidRPr="00B93005">
        <w:t xml:space="preserve">rotocol </w:t>
      </w:r>
      <w:r w:rsidR="00B631C9">
        <w:t>d</w:t>
      </w:r>
      <w:r w:rsidRPr="00B93005">
        <w:t>eviations</w:t>
      </w:r>
    </w:p>
    <w:p w14:paraId="11DA59B2" w14:textId="342E6035" w:rsidR="00B93005" w:rsidRPr="000F6362" w:rsidRDefault="00B93005" w:rsidP="00B93005">
      <w:r>
        <w:t xml:space="preserve">Protocol deviations occurred in </w:t>
      </w:r>
      <w:r w:rsidRPr="00B93005">
        <w:t>31 participants (6.3%)</w:t>
      </w:r>
      <w:r>
        <w:t xml:space="preserve"> receiving pembrolizumab and </w:t>
      </w:r>
      <w:r w:rsidRPr="00B93005">
        <w:t>21</w:t>
      </w:r>
      <w:r>
        <w:t> </w:t>
      </w:r>
      <w:r w:rsidRPr="00B93005">
        <w:t>participants (4.2%)</w:t>
      </w:r>
      <w:r>
        <w:t xml:space="preserve"> receiving placebo</w:t>
      </w:r>
      <w:r w:rsidRPr="00B93005">
        <w:t xml:space="preserve">. Of these, </w:t>
      </w:r>
      <w:r>
        <w:t>five</w:t>
      </w:r>
      <w:r w:rsidRPr="00B93005">
        <w:t xml:space="preserve"> participants had protocol deviations </w:t>
      </w:r>
      <w:r w:rsidR="00B631C9">
        <w:t xml:space="preserve">which were </w:t>
      </w:r>
      <w:r w:rsidRPr="00B93005">
        <w:t>considered clinically important</w:t>
      </w:r>
      <w:r w:rsidR="00B631C9">
        <w:t>.</w:t>
      </w:r>
      <w:r w:rsidR="00C012C0">
        <w:t xml:space="preserve"> </w:t>
      </w:r>
      <w:r w:rsidR="00B631C9">
        <w:t xml:space="preserve">Two occurred in the </w:t>
      </w:r>
      <w:r w:rsidRPr="00B93005">
        <w:t xml:space="preserve">pembrolizumab </w:t>
      </w:r>
      <w:r w:rsidR="00B631C9">
        <w:t>arm</w:t>
      </w:r>
      <w:r w:rsidRPr="00B93005">
        <w:t>,</w:t>
      </w:r>
      <w:r w:rsidR="00B631C9">
        <w:t xml:space="preserve"> and three occurred in the</w:t>
      </w:r>
      <w:r w:rsidRPr="00B93005">
        <w:t xml:space="preserve"> placebo</w:t>
      </w:r>
      <w:r w:rsidR="00B631C9">
        <w:t xml:space="preserve"> arm</w:t>
      </w:r>
      <w:r w:rsidRPr="00B93005">
        <w:t>. While important deviations were somewhat more frequent in the pembrolizumab group than the placebo group, they were overall infrequent and unlikely to have a major bearing on the outcomes.</w:t>
      </w:r>
    </w:p>
    <w:p w14:paraId="16A3E2D5" w14:textId="4DDCF093" w:rsidR="000F6362" w:rsidRPr="000F6362" w:rsidRDefault="00B93005" w:rsidP="00EE5F8D">
      <w:pPr>
        <w:pStyle w:val="Heading5"/>
      </w:pPr>
      <w:r>
        <w:t xml:space="preserve">Participant </w:t>
      </w:r>
      <w:r w:rsidRPr="00EE5F8D">
        <w:t>characteristics</w:t>
      </w:r>
    </w:p>
    <w:p w14:paraId="496ADDF9" w14:textId="3B388CA3" w:rsidR="008A1DBD" w:rsidRDefault="008A1DBD" w:rsidP="008A1DBD">
      <w:r>
        <w:t xml:space="preserve">Participant characteristics are shown </w:t>
      </w:r>
      <w:r w:rsidR="00B93005">
        <w:t xml:space="preserve">in </w:t>
      </w:r>
      <w:r w:rsidR="00B93005">
        <w:fldChar w:fldCharType="begin"/>
      </w:r>
      <w:r w:rsidR="00B93005">
        <w:instrText xml:space="preserve"> REF _Ref133922791 \h </w:instrText>
      </w:r>
      <w:r w:rsidR="00B93005">
        <w:fldChar w:fldCharType="separate"/>
      </w:r>
      <w:r w:rsidR="004E7B11">
        <w:t xml:space="preserve">Table </w:t>
      </w:r>
      <w:r w:rsidR="004E7B11">
        <w:rPr>
          <w:noProof/>
        </w:rPr>
        <w:t>5</w:t>
      </w:r>
      <w:r w:rsidR="00B93005">
        <w:fldChar w:fldCharType="end"/>
      </w:r>
      <w:r>
        <w:t xml:space="preserve">. </w:t>
      </w:r>
      <w:r w:rsidR="00B93005">
        <w:t>The m</w:t>
      </w:r>
      <w:r>
        <w:t xml:space="preserve">edian age was 60 years. 75.3% </w:t>
      </w:r>
      <w:r w:rsidR="00B631C9">
        <w:t xml:space="preserve">of the participants </w:t>
      </w:r>
      <w:r>
        <w:t>were positive for PD-L1 expression (</w:t>
      </w:r>
      <w:r w:rsidR="00B93005">
        <w:t>that is</w:t>
      </w:r>
      <w:r>
        <w:t xml:space="preserve">, had CPS ≥ 1). Most participants fulfilled the intermediate-high risk category for </w:t>
      </w:r>
      <w:r w:rsidR="008B5056" w:rsidRPr="008B5056">
        <w:t>renal cell carcinoma</w:t>
      </w:r>
      <w:r>
        <w:t xml:space="preserve"> recurrence (pembrolizumab: 85.1%, placebo: 86.9%), while a minority fulfilled the high risk (pembrolizumab: 8.1%, placebo: 7.2%) and M1 </w:t>
      </w:r>
      <w:r w:rsidR="00DA290C" w:rsidRPr="00DA290C">
        <w:t>no evidence of disease</w:t>
      </w:r>
      <w:r>
        <w:t xml:space="preserve"> (pembrolizumab: 5.8%, placebo: 5.8%) categories. 85.2%</w:t>
      </w:r>
      <w:r w:rsidR="00B93005">
        <w:t xml:space="preserve"> of the participants</w:t>
      </w:r>
      <w:r>
        <w:t xml:space="preserve"> had ECOG PS = 0.</w:t>
      </w:r>
    </w:p>
    <w:p w14:paraId="23D279AB" w14:textId="4262E936" w:rsidR="008A1DBD" w:rsidRDefault="00B93005" w:rsidP="008A1DBD">
      <w:r>
        <w:t>The m</w:t>
      </w:r>
      <w:r w:rsidR="008A1DBD">
        <w:t xml:space="preserve">edian duration of follow up at </w:t>
      </w:r>
      <w:r>
        <w:t xml:space="preserve">the </w:t>
      </w:r>
      <w:r w:rsidR="00FE2686">
        <w:t xml:space="preserve">first interim analysis </w:t>
      </w:r>
      <w:r>
        <w:t xml:space="preserve">was </w:t>
      </w:r>
      <w:r w:rsidR="008A1DBD">
        <w:t>23.9 months.</w:t>
      </w:r>
    </w:p>
    <w:p w14:paraId="2F3B07E6" w14:textId="18EA2F4A" w:rsidR="007D31EA" w:rsidRDefault="008A1DBD" w:rsidP="007D31EA">
      <w:pPr>
        <w:pStyle w:val="TableTitle"/>
        <w:rPr>
          <w:noProof/>
        </w:rPr>
      </w:pPr>
      <w:bookmarkStart w:id="55" w:name="_Ref133922791"/>
      <w:r>
        <w:lastRenderedPageBreak/>
        <w:t xml:space="preserve">Table </w:t>
      </w:r>
      <w:r>
        <w:fldChar w:fldCharType="begin"/>
      </w:r>
      <w:r>
        <w:instrText>SEQ Table \* ARABIC</w:instrText>
      </w:r>
      <w:r>
        <w:fldChar w:fldCharType="separate"/>
      </w:r>
      <w:r w:rsidR="004E7B11">
        <w:rPr>
          <w:noProof/>
        </w:rPr>
        <w:t>5</w:t>
      </w:r>
      <w:r>
        <w:fldChar w:fldCharType="end"/>
      </w:r>
      <w:bookmarkEnd w:id="55"/>
      <w:r w:rsidR="004B5399">
        <w:rPr>
          <w:noProof/>
        </w:rPr>
        <w:t>:</w:t>
      </w:r>
      <w:r>
        <w:t xml:space="preserve"> </w:t>
      </w:r>
      <w:r w:rsidR="004B5399" w:rsidRPr="004B5399">
        <w:t xml:space="preserve">KEYNOTE-564 trial </w:t>
      </w:r>
      <w:r w:rsidR="004B5399">
        <w:t>p</w:t>
      </w:r>
      <w:r>
        <w:t xml:space="preserve">articipant characteristics </w:t>
      </w:r>
      <w:r w:rsidR="004B5399">
        <w:t>(intent to treat population</w:t>
      </w:r>
      <w:r>
        <w:t>)</w:t>
      </w:r>
      <w:r w:rsidR="007D31EA" w:rsidRPr="007D31EA">
        <w:rPr>
          <w:noProof/>
        </w:rPr>
        <w:t xml:space="preserve"> </w:t>
      </w:r>
    </w:p>
    <w:p w14:paraId="5A2504EA" w14:textId="5669ADBD" w:rsidR="00C012C0" w:rsidRDefault="007D31EA" w:rsidP="007D31EA">
      <w:pPr>
        <w:rPr>
          <w:noProof/>
        </w:rPr>
      </w:pPr>
      <w:r>
        <w:rPr>
          <w:noProof/>
        </w:rPr>
        <w:drawing>
          <wp:inline distT="0" distB="0" distL="0" distR="0" wp14:anchorId="7B2E0DC9" wp14:editId="798F119B">
            <wp:extent cx="5759450" cy="3613150"/>
            <wp:effectExtent l="0" t="0" r="0" b="6350"/>
            <wp:docPr id="36" name="Picture 36" descr="This table shows KEYNOTE-564 trial participant characteristics for th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table shows KEYNOTE-564 trial participant characteristics for the intent to treat population"/>
                    <pic:cNvPicPr/>
                  </pic:nvPicPr>
                  <pic:blipFill>
                    <a:blip r:embed="rId32"/>
                    <a:stretch>
                      <a:fillRect/>
                    </a:stretch>
                  </pic:blipFill>
                  <pic:spPr>
                    <a:xfrm>
                      <a:off x="0" y="0"/>
                      <a:ext cx="5759450" cy="3613150"/>
                    </a:xfrm>
                    <a:prstGeom prst="rect">
                      <a:avLst/>
                    </a:prstGeom>
                  </pic:spPr>
                </pic:pic>
              </a:graphicData>
            </a:graphic>
          </wp:inline>
        </w:drawing>
      </w:r>
    </w:p>
    <w:p w14:paraId="5AC169F7" w14:textId="06AACD0A" w:rsidR="007D31EA" w:rsidRDefault="007D31EA" w:rsidP="008A1DBD">
      <w:pPr>
        <w:pStyle w:val="TableTitle"/>
      </w:pPr>
      <w:r w:rsidRPr="007D31EA">
        <w:t>Table 5: KEYNOTE-564 trial participant characteristics (intent to treat population)</w:t>
      </w:r>
      <w:r>
        <w:t xml:space="preserve"> continued</w:t>
      </w:r>
    </w:p>
    <w:p w14:paraId="61889AE0" w14:textId="6C7C2C88" w:rsidR="007D31EA" w:rsidRDefault="007D31EA" w:rsidP="006921E7">
      <w:r>
        <w:rPr>
          <w:noProof/>
        </w:rPr>
        <w:drawing>
          <wp:inline distT="0" distB="0" distL="0" distR="0" wp14:anchorId="72C54900" wp14:editId="4251ACFE">
            <wp:extent cx="5759450" cy="3545840"/>
            <wp:effectExtent l="0" t="0" r="0" b="0"/>
            <wp:docPr id="37" name="Picture 37" descr="This table is a continuation of the previous table showing KEYNOTE-564 trial participant characteristics (intent to 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table is a continuation of the previous table showing KEYNOTE-564 trial participant characteristics (intent to treat population) "/>
                    <pic:cNvPicPr/>
                  </pic:nvPicPr>
                  <pic:blipFill>
                    <a:blip r:embed="rId33"/>
                    <a:stretch>
                      <a:fillRect/>
                    </a:stretch>
                  </pic:blipFill>
                  <pic:spPr>
                    <a:xfrm>
                      <a:off x="0" y="0"/>
                      <a:ext cx="5759450" cy="3545840"/>
                    </a:xfrm>
                    <a:prstGeom prst="rect">
                      <a:avLst/>
                    </a:prstGeom>
                  </pic:spPr>
                </pic:pic>
              </a:graphicData>
            </a:graphic>
          </wp:inline>
        </w:drawing>
      </w:r>
    </w:p>
    <w:p w14:paraId="144287C6" w14:textId="77777777" w:rsidR="008A1DBD" w:rsidRDefault="008A1DBD" w:rsidP="006921E7">
      <w:pPr>
        <w:pStyle w:val="Heading5"/>
        <w:pageBreakBefore/>
      </w:pPr>
      <w:r>
        <w:lastRenderedPageBreak/>
        <w:t>Efficacy results</w:t>
      </w:r>
    </w:p>
    <w:p w14:paraId="575F6370" w14:textId="77777777" w:rsidR="008A1DBD" w:rsidRDefault="008A1DBD" w:rsidP="008A1DBD">
      <w:pPr>
        <w:pStyle w:val="Heading6"/>
      </w:pPr>
      <w:r>
        <w:t>Primary endpoint</w:t>
      </w:r>
    </w:p>
    <w:p w14:paraId="0176957C" w14:textId="7F0AE630" w:rsidR="008A1DBD" w:rsidRDefault="008A1DBD" w:rsidP="008A1DBD">
      <w:r>
        <w:t xml:space="preserve">There were 109 </w:t>
      </w:r>
      <w:r w:rsidR="00BA7462">
        <w:t>disease free survival</w:t>
      </w:r>
      <w:r>
        <w:t xml:space="preserve"> events in the pembrolizumab arm (22.0%) and 151 in the placebo arm (30.3%), with an absolute rate difference of 8.3%. The </w:t>
      </w:r>
      <w:r w:rsidR="00EE5F8D">
        <w:t>hazard ratio</w:t>
      </w:r>
      <w:r>
        <w:t xml:space="preserve"> was 0.68 (95% CI: 0.53, 0.87), and the </w:t>
      </w:r>
      <w:r w:rsidR="00EE5F8D">
        <w:t>one</w:t>
      </w:r>
      <w:r>
        <w:t>-sided p-value of 0.0010 crossed the prespecified efficacy boundary of 0.0114 (</w:t>
      </w:r>
      <w:r w:rsidR="00EE5F8D">
        <w:t>one</w:t>
      </w:r>
      <w:r>
        <w:t xml:space="preserve">-sided). </w:t>
      </w:r>
      <w:r w:rsidRPr="0002030E">
        <w:t>Med</w:t>
      </w:r>
      <w:r>
        <w:t xml:space="preserve">ian </w:t>
      </w:r>
      <w:proofErr w:type="gramStart"/>
      <w:r w:rsidR="00EE5F8D">
        <w:t>disease free</w:t>
      </w:r>
      <w:proofErr w:type="gramEnd"/>
      <w:r w:rsidR="00EE5F8D">
        <w:t xml:space="preserve"> survival</w:t>
      </w:r>
      <w:r>
        <w:t xml:space="preserve"> was not reached in either arm. The difference between pembrolizumab and placebo was driven by events of disease recurrence (103 </w:t>
      </w:r>
      <w:r w:rsidR="00EE5F8D">
        <w:t>versus</w:t>
      </w:r>
      <w:r>
        <w:t xml:space="preserve"> 149). There were </w:t>
      </w:r>
      <w:r w:rsidR="00EE5F8D">
        <w:t>six</w:t>
      </w:r>
      <w:r>
        <w:t xml:space="preserve"> primary endpoint death events with pembrolizumab and </w:t>
      </w:r>
      <w:r w:rsidR="00EE5F8D">
        <w:t xml:space="preserve">two </w:t>
      </w:r>
      <w:r>
        <w:t xml:space="preserve">with placebo. Of these, one participant in the pembrolizumab group died due to disease progression (this participant had disease at </w:t>
      </w:r>
      <w:r w:rsidR="00B631C9">
        <w:t>B</w:t>
      </w:r>
      <w:r>
        <w:t xml:space="preserve">aseline, was randomised in error and never received pembrolizumab). The remaining </w:t>
      </w:r>
      <w:r w:rsidR="00EE5F8D">
        <w:t>five</w:t>
      </w:r>
      <w:r>
        <w:t xml:space="preserve"> and </w:t>
      </w:r>
      <w:r w:rsidR="00EE5F8D">
        <w:t>two</w:t>
      </w:r>
      <w:r>
        <w:t xml:space="preserve"> participants in the pembrolizumab and placebo group, respectively, died from other reasons (cerebrovascular accident, COVID-19, multiple organ dysfunction syndrome due to a motor vehicle accident, pneumonia, and pneumonia aspiration in the pembrolizumab group; haemorrhage intracranial and sepsis in the placebo group). Considering </w:t>
      </w:r>
      <w:r w:rsidR="00681023">
        <w:t xml:space="preserve">that </w:t>
      </w:r>
      <w:r>
        <w:t xml:space="preserve">one subject </w:t>
      </w:r>
      <w:r w:rsidR="00681023">
        <w:t xml:space="preserve">that </w:t>
      </w:r>
      <w:r>
        <w:t xml:space="preserve">died never received pembrolizumab, and the death due to </w:t>
      </w:r>
      <w:r w:rsidR="00EE5F8D">
        <w:t>motor vehicle accident</w:t>
      </w:r>
      <w:r>
        <w:t xml:space="preserve"> is also unlikely related to pembrolizumab, the overall numeric imbalance in </w:t>
      </w:r>
      <w:r w:rsidR="00FE2686">
        <w:t>disease free survival</w:t>
      </w:r>
      <w:r>
        <w:t xml:space="preserve"> deaths between the two arms is small and not of major concern. </w:t>
      </w:r>
      <w:r w:rsidR="00681023">
        <w:t>It is noted t</w:t>
      </w:r>
      <w:r>
        <w:t xml:space="preserve">hat </w:t>
      </w:r>
      <w:r w:rsidRPr="004B6536">
        <w:t xml:space="preserve">the numeric imbalance in deaths due to </w:t>
      </w:r>
      <w:r w:rsidR="00EE5F8D">
        <w:t xml:space="preserve">adverse events </w:t>
      </w:r>
      <w:r w:rsidRPr="004B6536">
        <w:t xml:space="preserve">was smaller, </w:t>
      </w:r>
      <w:r w:rsidR="00681023">
        <w:t>two</w:t>
      </w:r>
      <w:r w:rsidRPr="004B6536">
        <w:t xml:space="preserve"> </w:t>
      </w:r>
      <w:r w:rsidR="00EE5F8D">
        <w:t>versus</w:t>
      </w:r>
      <w:r w:rsidRPr="004B6536">
        <w:t xml:space="preserve"> </w:t>
      </w:r>
      <w:r w:rsidR="00681023">
        <w:t>one</w:t>
      </w:r>
      <w:r w:rsidR="00EE5F8D">
        <w:t>.</w:t>
      </w:r>
      <w:r w:rsidR="00C012C0">
        <w:t xml:space="preserve"> </w:t>
      </w:r>
      <w:r w:rsidR="00EE5F8D">
        <w:t>See</w:t>
      </w:r>
      <w:r w:rsidRPr="00EE5F8D">
        <w:t xml:space="preserve"> </w:t>
      </w:r>
      <w:r w:rsidRPr="00681023">
        <w:rPr>
          <w:i/>
          <w:iCs/>
        </w:rPr>
        <w:fldChar w:fldCharType="begin"/>
      </w:r>
      <w:r w:rsidRPr="00681023">
        <w:rPr>
          <w:i/>
          <w:iCs/>
        </w:rPr>
        <w:instrText xml:space="preserve"> REF _Ref97285966 \h  \* MERGEFORMAT </w:instrText>
      </w:r>
      <w:r w:rsidRPr="00681023">
        <w:rPr>
          <w:i/>
          <w:iCs/>
        </w:rPr>
      </w:r>
      <w:r w:rsidRPr="00681023">
        <w:rPr>
          <w:i/>
          <w:iCs/>
        </w:rPr>
        <w:fldChar w:fldCharType="separate"/>
      </w:r>
      <w:r w:rsidR="004E7B11" w:rsidRPr="004E7B11">
        <w:rPr>
          <w:i/>
          <w:iCs/>
        </w:rPr>
        <w:t>Deaths</w:t>
      </w:r>
      <w:r w:rsidRPr="00681023">
        <w:rPr>
          <w:i/>
          <w:iCs/>
        </w:rPr>
        <w:fldChar w:fldCharType="end"/>
      </w:r>
      <w:r w:rsidR="00EE5F8D" w:rsidRPr="00EE5F8D">
        <w:t>, below</w:t>
      </w:r>
      <w:r w:rsidRPr="004B6536">
        <w:t>.</w:t>
      </w:r>
    </w:p>
    <w:p w14:paraId="2B4D0E5C" w14:textId="00A3E34B" w:rsidR="008A1DBD" w:rsidRDefault="008A1DBD" w:rsidP="008A1DBD">
      <w:pPr>
        <w:pStyle w:val="TableTitle"/>
      </w:pPr>
      <w:r>
        <w:t xml:space="preserve">Table </w:t>
      </w:r>
      <w:r>
        <w:fldChar w:fldCharType="begin"/>
      </w:r>
      <w:r>
        <w:instrText>SEQ Table \* ARABIC</w:instrText>
      </w:r>
      <w:r>
        <w:fldChar w:fldCharType="separate"/>
      </w:r>
      <w:r w:rsidR="004E7B11">
        <w:rPr>
          <w:noProof/>
        </w:rPr>
        <w:t>6</w:t>
      </w:r>
      <w:r>
        <w:fldChar w:fldCharType="end"/>
      </w:r>
      <w:r w:rsidR="00EE5F8D">
        <w:rPr>
          <w:noProof/>
        </w:rPr>
        <w:t>:</w:t>
      </w:r>
      <w:r>
        <w:t xml:space="preserve"> </w:t>
      </w:r>
      <w:r w:rsidR="004B5399" w:rsidRPr="004B5399">
        <w:t xml:space="preserve">KEYNOTE-564 trial </w:t>
      </w:r>
      <w:r w:rsidR="004B5399">
        <w:t>d</w:t>
      </w:r>
      <w:r w:rsidR="00EE5F8D">
        <w:t>isease free survival</w:t>
      </w:r>
      <w:r>
        <w:t xml:space="preserve"> based on </w:t>
      </w:r>
      <w:r w:rsidR="004B5399">
        <w:t>i</w:t>
      </w:r>
      <w:r>
        <w:t xml:space="preserve">nvestigator assessment (primary endpoint, ITT) – </w:t>
      </w:r>
      <w:r w:rsidR="00EE5F8D">
        <w:t>first interim analysis</w:t>
      </w:r>
    </w:p>
    <w:p w14:paraId="71E583C3" w14:textId="6658D50E" w:rsidR="00D35298" w:rsidRDefault="00D35298" w:rsidP="006921E7">
      <w:r>
        <w:rPr>
          <w:noProof/>
        </w:rPr>
        <w:drawing>
          <wp:inline distT="0" distB="0" distL="0" distR="0" wp14:anchorId="78F26F32" wp14:editId="44812DFF">
            <wp:extent cx="4655314" cy="4738977"/>
            <wp:effectExtent l="0" t="0" r="0" b="5080"/>
            <wp:docPr id="45" name="Picture 45" descr="This table shows KEYNOTE-564 trial disease free survival based on investigator assessment (primary endpoint, ITT) – first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table shows KEYNOTE-564 trial disease free survival based on investigator assessment (primary endpoint, ITT) – first interim analysis."/>
                    <pic:cNvPicPr/>
                  </pic:nvPicPr>
                  <pic:blipFill>
                    <a:blip r:embed="rId34"/>
                    <a:stretch>
                      <a:fillRect/>
                    </a:stretch>
                  </pic:blipFill>
                  <pic:spPr>
                    <a:xfrm>
                      <a:off x="0" y="0"/>
                      <a:ext cx="4667736" cy="4751623"/>
                    </a:xfrm>
                    <a:prstGeom prst="rect">
                      <a:avLst/>
                    </a:prstGeom>
                  </pic:spPr>
                </pic:pic>
              </a:graphicData>
            </a:graphic>
          </wp:inline>
        </w:drawing>
      </w:r>
    </w:p>
    <w:p w14:paraId="34CC9333" w14:textId="5BCF748E" w:rsidR="00D35298" w:rsidRDefault="008A1DBD" w:rsidP="006921E7">
      <w:r>
        <w:lastRenderedPageBreak/>
        <w:t xml:space="preserve">Figure </w:t>
      </w:r>
      <w:r>
        <w:fldChar w:fldCharType="begin"/>
      </w:r>
      <w:r>
        <w:instrText>SEQ Figure \* ARABIC</w:instrText>
      </w:r>
      <w:r>
        <w:fldChar w:fldCharType="separate"/>
      </w:r>
      <w:r w:rsidR="004E7B11">
        <w:rPr>
          <w:noProof/>
        </w:rPr>
        <w:t>2</w:t>
      </w:r>
      <w:r>
        <w:fldChar w:fldCharType="end"/>
      </w:r>
      <w:r w:rsidR="00EE5F8D">
        <w:rPr>
          <w:noProof/>
        </w:rPr>
        <w:t>:</w:t>
      </w:r>
      <w:r>
        <w:t xml:space="preserve"> Kaplan-Meier plot of </w:t>
      </w:r>
      <w:proofErr w:type="gramStart"/>
      <w:r w:rsidR="00EE5F8D">
        <w:t>disease free</w:t>
      </w:r>
      <w:proofErr w:type="gramEnd"/>
      <w:r w:rsidR="00EE5F8D">
        <w:t xml:space="preserve"> survival</w:t>
      </w:r>
      <w:r>
        <w:t xml:space="preserve"> based on Investigator assessment (primary endpoint, ITT) – </w:t>
      </w:r>
      <w:r w:rsidR="00EE5F8D">
        <w:t>first interim analysis</w:t>
      </w:r>
      <w:r w:rsidR="00D35298">
        <w:rPr>
          <w:noProof/>
        </w:rPr>
        <w:drawing>
          <wp:inline distT="0" distB="0" distL="0" distR="0" wp14:anchorId="3BE91C3C" wp14:editId="3FD2420F">
            <wp:extent cx="5647631" cy="4245997"/>
            <wp:effectExtent l="0" t="0" r="0" b="2540"/>
            <wp:docPr id="44" name="Picture 44" descr="This figure shows Kaplan-Meier plot of disease free survival based on Investigator assessment (primary endpoint, ITT) – first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figure shows Kaplan-Meier plot of disease free survival based on Investigator assessment (primary endpoint, ITT) – first interim analysis."/>
                    <pic:cNvPicPr/>
                  </pic:nvPicPr>
                  <pic:blipFill>
                    <a:blip r:embed="rId35"/>
                    <a:stretch>
                      <a:fillRect/>
                    </a:stretch>
                  </pic:blipFill>
                  <pic:spPr>
                    <a:xfrm>
                      <a:off x="0" y="0"/>
                      <a:ext cx="5648937" cy="4246979"/>
                    </a:xfrm>
                    <a:prstGeom prst="rect">
                      <a:avLst/>
                    </a:prstGeom>
                  </pic:spPr>
                </pic:pic>
              </a:graphicData>
            </a:graphic>
          </wp:inline>
        </w:drawing>
      </w:r>
    </w:p>
    <w:p w14:paraId="7C11579E" w14:textId="4981C943" w:rsidR="008A1DBD" w:rsidRDefault="00EE5F8D" w:rsidP="008A1DBD">
      <w:r>
        <w:t>Blinded independent central review (</w:t>
      </w:r>
      <w:r w:rsidR="008A1DBD">
        <w:t>BICR</w:t>
      </w:r>
      <w:r>
        <w:t>)</w:t>
      </w:r>
      <w:r w:rsidR="008A1DBD">
        <w:t xml:space="preserve"> assessment of disease recurrence was not always the same as that of the investigator. Among participants with disease recurrence based on investigator review (103 in the pembrolizumab group and 149 in the placebo group), BICR determined disease recurrence for 81.6% in the pembrolizumab group and 86.6% in the placebo group. The BICR also determined that there were 19 patients (3.8%) in the pembrolizumab arm and 29 (5.8%) in the placebo arm with evidence of disease at </w:t>
      </w:r>
      <w:r w:rsidR="00681023">
        <w:t>B</w:t>
      </w:r>
      <w:r w:rsidR="008A1DBD">
        <w:t>aseline, based on review of baseline scans only (</w:t>
      </w:r>
      <w:r>
        <w:t>that is</w:t>
      </w:r>
      <w:r w:rsidR="008A1DBD">
        <w:t>, these patients would have been ineligible for trial entry, according to the BICR). However, analysis of discordance between BICR and investigator assessments did not find any evidence of systematic bias in disease recurrence assessments by investigator. This was concluded based on the difference in discrepancy rates between pembrolizumab and placebo, which fell below the pre-specified thresholds for systematic bias</w:t>
      </w:r>
      <w:r>
        <w:t xml:space="preserve"> (see </w:t>
      </w:r>
      <w:r>
        <w:fldChar w:fldCharType="begin"/>
      </w:r>
      <w:r>
        <w:instrText xml:space="preserve"> REF _Ref133923476 \h </w:instrText>
      </w:r>
      <w:r>
        <w:fldChar w:fldCharType="separate"/>
      </w:r>
      <w:r w:rsidR="004E7B11">
        <w:t xml:space="preserve">Table </w:t>
      </w:r>
      <w:r w:rsidR="004E7B11">
        <w:rPr>
          <w:noProof/>
        </w:rPr>
        <w:t>7</w:t>
      </w:r>
      <w:r>
        <w:fldChar w:fldCharType="end"/>
      </w:r>
      <w:r>
        <w:t>).</w:t>
      </w:r>
    </w:p>
    <w:p w14:paraId="19A5D180" w14:textId="2C87DF2C" w:rsidR="008A1DBD" w:rsidRDefault="008A1DBD" w:rsidP="008A1DBD">
      <w:pPr>
        <w:pStyle w:val="TableTitle"/>
      </w:pPr>
      <w:bookmarkStart w:id="56" w:name="_Ref133923476"/>
      <w:r>
        <w:lastRenderedPageBreak/>
        <w:t xml:space="preserve">Table </w:t>
      </w:r>
      <w:r>
        <w:fldChar w:fldCharType="begin"/>
      </w:r>
      <w:r>
        <w:instrText>SEQ Table \* ARABIC</w:instrText>
      </w:r>
      <w:r>
        <w:fldChar w:fldCharType="separate"/>
      </w:r>
      <w:r w:rsidR="004E7B11">
        <w:rPr>
          <w:noProof/>
        </w:rPr>
        <w:t>7</w:t>
      </w:r>
      <w:r>
        <w:fldChar w:fldCharType="end"/>
      </w:r>
      <w:bookmarkEnd w:id="56"/>
      <w:r w:rsidR="00FE2686">
        <w:rPr>
          <w:noProof/>
        </w:rPr>
        <w:t>:</w:t>
      </w:r>
      <w:r>
        <w:t xml:space="preserve"> </w:t>
      </w:r>
      <w:r w:rsidR="004B5399" w:rsidRPr="004B5399">
        <w:t xml:space="preserve">KEYNOTE-564 trial </w:t>
      </w:r>
      <w:r w:rsidR="004B5399">
        <w:t>d</w:t>
      </w:r>
      <w:r>
        <w:t>iscordance of disease recurrence assessments (</w:t>
      </w:r>
      <w:r w:rsidR="00FE2686">
        <w:t>i</w:t>
      </w:r>
      <w:r>
        <w:t xml:space="preserve">nvestigator </w:t>
      </w:r>
      <w:r w:rsidR="00EE5F8D">
        <w:t>versus</w:t>
      </w:r>
      <w:r>
        <w:t xml:space="preserve"> BICR; ITT)</w:t>
      </w:r>
    </w:p>
    <w:p w14:paraId="3943F8BA" w14:textId="66934A56" w:rsidR="00EC1BEC" w:rsidRDefault="00EC1BEC" w:rsidP="006921E7">
      <w:r>
        <w:rPr>
          <w:noProof/>
        </w:rPr>
        <w:drawing>
          <wp:inline distT="0" distB="0" distL="0" distR="0" wp14:anchorId="3B97B197" wp14:editId="263899F0">
            <wp:extent cx="5759450" cy="4137025"/>
            <wp:effectExtent l="0" t="0" r="0" b="0"/>
            <wp:docPr id="52" name="Picture 52" descr="This table shows KEYNOTE-564 trial discordance of disease recurrence assessments (investigator versus BICR for th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table shows KEYNOTE-564 trial discordance of disease recurrence assessments (investigator versus BICR for the intent to treat population)."/>
                    <pic:cNvPicPr/>
                  </pic:nvPicPr>
                  <pic:blipFill>
                    <a:blip r:embed="rId36"/>
                    <a:stretch>
                      <a:fillRect/>
                    </a:stretch>
                  </pic:blipFill>
                  <pic:spPr>
                    <a:xfrm>
                      <a:off x="0" y="0"/>
                      <a:ext cx="5759450" cy="4137025"/>
                    </a:xfrm>
                    <a:prstGeom prst="rect">
                      <a:avLst/>
                    </a:prstGeom>
                  </pic:spPr>
                </pic:pic>
              </a:graphicData>
            </a:graphic>
          </wp:inline>
        </w:drawing>
      </w:r>
    </w:p>
    <w:p w14:paraId="4E4DA8B3" w14:textId="7F33A0B3" w:rsidR="008A1DBD" w:rsidRDefault="008A1DBD" w:rsidP="008A1DBD">
      <w:r>
        <w:t xml:space="preserve">There were three sensitivity analyses of the primary endpoint, which were all generally consistent with the analysis of </w:t>
      </w:r>
      <w:proofErr w:type="gramStart"/>
      <w:r w:rsidR="00EE5F8D">
        <w:t>disease free</w:t>
      </w:r>
      <w:proofErr w:type="gramEnd"/>
      <w:r w:rsidR="00EE5F8D">
        <w:t xml:space="preserve"> survival </w:t>
      </w:r>
      <w:r>
        <w:t xml:space="preserve">by investigator assessment. Analysis of </w:t>
      </w:r>
      <w:proofErr w:type="gramStart"/>
      <w:r w:rsidR="00EE5F8D">
        <w:t>disease free</w:t>
      </w:r>
      <w:proofErr w:type="gramEnd"/>
      <w:r w:rsidR="00EE5F8D">
        <w:t xml:space="preserve"> survival </w:t>
      </w:r>
      <w:r>
        <w:t xml:space="preserve">by BICR yielded a </w:t>
      </w:r>
      <w:r w:rsidR="00EE5F8D">
        <w:t xml:space="preserve">hazard ratio </w:t>
      </w:r>
      <w:r>
        <w:t>of 0.73 (95% CI: 0.56, 0.95; p 0.0097), with patients deemed by the BICR to have evidence of disease at baseline censored at baseline.</w:t>
      </w:r>
    </w:p>
    <w:p w14:paraId="144DA9A2" w14:textId="3C285523" w:rsidR="008A1DBD" w:rsidRDefault="008A1DBD" w:rsidP="008A1DBD">
      <w:r>
        <w:t xml:space="preserve">Subgroup analyses are shown </w:t>
      </w:r>
      <w:r w:rsidR="00EE5F8D">
        <w:t xml:space="preserve">in </w:t>
      </w:r>
      <w:r w:rsidR="00FE2686">
        <w:fldChar w:fldCharType="begin"/>
      </w:r>
      <w:r w:rsidR="00FE2686">
        <w:instrText xml:space="preserve"> REF _Ref133927934 \h </w:instrText>
      </w:r>
      <w:r w:rsidR="00FE2686">
        <w:fldChar w:fldCharType="separate"/>
      </w:r>
      <w:r w:rsidR="004E7B11">
        <w:t xml:space="preserve">Figure </w:t>
      </w:r>
      <w:r w:rsidR="004E7B11">
        <w:rPr>
          <w:noProof/>
        </w:rPr>
        <w:t>3</w:t>
      </w:r>
      <w:r w:rsidR="00FE2686">
        <w:fldChar w:fldCharType="end"/>
      </w:r>
      <w:r w:rsidR="00FE2686">
        <w:t>.</w:t>
      </w:r>
    </w:p>
    <w:p w14:paraId="6A342287" w14:textId="79146464" w:rsidR="008A1DBD" w:rsidRDefault="00EE5F8D" w:rsidP="00D94E42">
      <w:pPr>
        <w:pStyle w:val="TableTitle"/>
        <w:rPr>
          <w:noProof/>
        </w:rPr>
      </w:pPr>
      <w:bookmarkStart w:id="57" w:name="_Ref133927934"/>
      <w:bookmarkStart w:id="58" w:name="_Ref133927930"/>
      <w:r>
        <w:lastRenderedPageBreak/>
        <w:t xml:space="preserve">Figure </w:t>
      </w:r>
      <w:r>
        <w:fldChar w:fldCharType="begin"/>
      </w:r>
      <w:r>
        <w:instrText>SEQ Figure \* ARABIC</w:instrText>
      </w:r>
      <w:r>
        <w:fldChar w:fldCharType="separate"/>
      </w:r>
      <w:r w:rsidR="004E7B11">
        <w:rPr>
          <w:noProof/>
        </w:rPr>
        <w:t>3</w:t>
      </w:r>
      <w:r>
        <w:fldChar w:fldCharType="end"/>
      </w:r>
      <w:bookmarkEnd w:id="57"/>
      <w:r w:rsidR="00FE2686">
        <w:t>:</w:t>
      </w:r>
      <w:r w:rsidR="00FE2686" w:rsidRPr="00FE2686">
        <w:t xml:space="preserve"> </w:t>
      </w:r>
      <w:r w:rsidR="007D31EA">
        <w:t>KEYNOTE-564 trial f</w:t>
      </w:r>
      <w:r w:rsidR="00FE2686" w:rsidRPr="00FE2686">
        <w:t xml:space="preserve">orest plot of </w:t>
      </w:r>
      <w:proofErr w:type="gramStart"/>
      <w:r w:rsidR="00FE2686">
        <w:t>disease free</w:t>
      </w:r>
      <w:proofErr w:type="gramEnd"/>
      <w:r w:rsidR="00FE2686">
        <w:t xml:space="preserve"> survival</w:t>
      </w:r>
      <w:r w:rsidR="00FE2686" w:rsidRPr="00FE2686">
        <w:t xml:space="preserve"> by subgroups (ITT) – </w:t>
      </w:r>
      <w:r w:rsidR="00FE2686">
        <w:t xml:space="preserve">first interim analysis </w:t>
      </w:r>
      <w:r w:rsidR="007D31EA">
        <w:t>(</w:t>
      </w:r>
      <w:r w:rsidR="00FE2686">
        <w:t>data cut-off</w:t>
      </w:r>
      <w:r w:rsidR="00FE2686" w:rsidRPr="00FE2686">
        <w:t xml:space="preserve"> 14</w:t>
      </w:r>
      <w:r w:rsidR="00FE2686">
        <w:t> December</w:t>
      </w:r>
      <w:r w:rsidR="00FE2686" w:rsidRPr="00FE2686">
        <w:t xml:space="preserve"> 2020</w:t>
      </w:r>
      <w:bookmarkEnd w:id="58"/>
      <w:r w:rsidR="007D31EA">
        <w:t>)</w:t>
      </w:r>
    </w:p>
    <w:p w14:paraId="7C3E12BE" w14:textId="6D1D7A7E" w:rsidR="008A1DBD" w:rsidRDefault="008A1DBD" w:rsidP="006921E7">
      <w:r w:rsidRPr="000839DE">
        <w:rPr>
          <w:noProof/>
        </w:rPr>
        <w:drawing>
          <wp:inline distT="0" distB="0" distL="0" distR="0" wp14:anchorId="7E6F7902" wp14:editId="0B4D966E">
            <wp:extent cx="5800725" cy="4654902"/>
            <wp:effectExtent l="0" t="0" r="0" b="0"/>
            <wp:docPr id="10" name="Picture 10" descr="This figure shows KEYNOTE-564 trial forest plot of disease free survival by subgroups (ITT) – first interim analysis (data cut-off 14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KEYNOTE-564 trial forest plot of disease free survival by subgroups (ITT) – first interim analysis (data cut-off 14 December 202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817852" cy="4668646"/>
                    </a:xfrm>
                    <a:prstGeom prst="rect">
                      <a:avLst/>
                    </a:prstGeom>
                    <a:noFill/>
                    <a:ln>
                      <a:noFill/>
                    </a:ln>
                  </pic:spPr>
                </pic:pic>
              </a:graphicData>
            </a:graphic>
          </wp:inline>
        </w:drawing>
      </w:r>
    </w:p>
    <w:p w14:paraId="5EBE8DB0" w14:textId="4511E1B5" w:rsidR="008A1DBD" w:rsidRDefault="008A1DBD" w:rsidP="008A1DBD">
      <w:r>
        <w:t xml:space="preserve">At the </w:t>
      </w:r>
      <w:r w:rsidR="00FE2686">
        <w:t>efficacy update report</w:t>
      </w:r>
      <w:r>
        <w:t xml:space="preserve"> analysis </w:t>
      </w:r>
      <w:r w:rsidR="00FE2686">
        <w:t>data cut-off</w:t>
      </w:r>
      <w:r>
        <w:t xml:space="preserve">, 23 additional </w:t>
      </w:r>
      <w:proofErr w:type="gramStart"/>
      <w:r w:rsidR="00FE2686">
        <w:t>disease free</w:t>
      </w:r>
      <w:proofErr w:type="gramEnd"/>
      <w:r w:rsidR="00FE2686">
        <w:t xml:space="preserve"> survival</w:t>
      </w:r>
      <w:r>
        <w:t xml:space="preserve"> events had occurred, bringing the total number of events to 283 (114 [of which </w:t>
      </w:r>
      <w:r w:rsidR="008B5056">
        <w:t>six</w:t>
      </w:r>
      <w:r>
        <w:t xml:space="preserve"> were deaths] in the pembrolizumab group and 169 [</w:t>
      </w:r>
      <w:r w:rsidR="008B5056">
        <w:t>of which three</w:t>
      </w:r>
      <w:r>
        <w:t xml:space="preserve"> </w:t>
      </w:r>
      <w:r w:rsidR="008B5056">
        <w:t xml:space="preserve">were </w:t>
      </w:r>
      <w:r>
        <w:t xml:space="preserve">deaths] in the placebo group). Median </w:t>
      </w:r>
      <w:proofErr w:type="gramStart"/>
      <w:r w:rsidR="00FE2686">
        <w:t>disease free</w:t>
      </w:r>
      <w:proofErr w:type="gramEnd"/>
      <w:r w:rsidR="00FE2686">
        <w:t xml:space="preserve"> survival</w:t>
      </w:r>
      <w:r>
        <w:t xml:space="preserve"> was not reached in either treatment group. The </w:t>
      </w:r>
      <w:r w:rsidR="00FE2686">
        <w:t>hazard ratio</w:t>
      </w:r>
      <w:r>
        <w:t xml:space="preserve"> was 0.63 (95% CI: 0.50, 0.80) and the log-rank test nominal p-value was &lt;</w:t>
      </w:r>
      <w:r w:rsidR="00FE2686">
        <w:t xml:space="preserve"> </w:t>
      </w:r>
      <w:r>
        <w:t xml:space="preserve">0.0001. Sensitivity analyses remained generally consistent with </w:t>
      </w:r>
      <w:r w:rsidR="00FE2686">
        <w:t>first interim analysis</w:t>
      </w:r>
      <w:r>
        <w:t>.</w:t>
      </w:r>
    </w:p>
    <w:p w14:paraId="2FDC414E" w14:textId="3203D89C" w:rsidR="008A1DBD" w:rsidRPr="00E90F9C" w:rsidRDefault="008A1DBD" w:rsidP="00E90F9C">
      <w:pPr>
        <w:pStyle w:val="TableTitle"/>
      </w:pPr>
      <w:r w:rsidRPr="00E90F9C">
        <w:lastRenderedPageBreak/>
        <w:t xml:space="preserve">Table </w:t>
      </w:r>
      <w:r>
        <w:fldChar w:fldCharType="begin"/>
      </w:r>
      <w:r>
        <w:instrText>SEQ Table \* ARABIC</w:instrText>
      </w:r>
      <w:r>
        <w:fldChar w:fldCharType="separate"/>
      </w:r>
      <w:r w:rsidR="004E7B11">
        <w:rPr>
          <w:noProof/>
        </w:rPr>
        <w:t>8</w:t>
      </w:r>
      <w:r>
        <w:fldChar w:fldCharType="end"/>
      </w:r>
      <w:r w:rsidR="00FE2686" w:rsidRPr="00E90F9C">
        <w:t xml:space="preserve">: </w:t>
      </w:r>
      <w:r w:rsidR="004B5399" w:rsidRPr="004B5399">
        <w:t xml:space="preserve">KEYNOTE-564 trial </w:t>
      </w:r>
      <w:r w:rsidR="004B5399">
        <w:t>d</w:t>
      </w:r>
      <w:r w:rsidR="00E90F9C" w:rsidRPr="00E90F9C">
        <w:t>isease</w:t>
      </w:r>
      <w:r w:rsidR="00FE2686" w:rsidRPr="00E90F9C">
        <w:t xml:space="preserve"> free survival</w:t>
      </w:r>
      <w:r w:rsidRPr="00E90F9C">
        <w:t xml:space="preserve"> based on </w:t>
      </w:r>
      <w:r w:rsidR="00E90F9C" w:rsidRPr="00E90F9C">
        <w:t>i</w:t>
      </w:r>
      <w:r w:rsidRPr="00E90F9C">
        <w:t xml:space="preserve">nvestigator assessment (ITT) </w:t>
      </w:r>
      <w:r w:rsidR="007D31EA">
        <w:t>(</w:t>
      </w:r>
      <w:r w:rsidRPr="00E90F9C">
        <w:t xml:space="preserve">updated </w:t>
      </w:r>
      <w:r w:rsidR="00FE2686" w:rsidRPr="00E90F9C">
        <w:t>data cut-off</w:t>
      </w:r>
      <w:r w:rsidRPr="00E90F9C">
        <w:t xml:space="preserve"> 14 Jun</w:t>
      </w:r>
      <w:r w:rsidR="00FE2686" w:rsidRPr="00E90F9C">
        <w:t>e</w:t>
      </w:r>
      <w:r w:rsidRPr="00E90F9C">
        <w:t xml:space="preserve"> 2021</w:t>
      </w:r>
      <w:r w:rsidR="007D31EA">
        <w:t>)</w:t>
      </w:r>
    </w:p>
    <w:p w14:paraId="2FC2253A" w14:textId="77777777" w:rsidR="008A1DBD" w:rsidRDefault="008A1DBD" w:rsidP="008A1DBD">
      <w:r w:rsidRPr="00BD3083">
        <w:rPr>
          <w:noProof/>
        </w:rPr>
        <w:drawing>
          <wp:inline distT="0" distB="0" distL="0" distR="0" wp14:anchorId="149DC70D" wp14:editId="416ABDBD">
            <wp:extent cx="5772150" cy="5846931"/>
            <wp:effectExtent l="0" t="0" r="0" b="1905"/>
            <wp:docPr id="28" name="Picture 28" descr="This table shows KEYNOTE-564 trial disease free survival based on investigator assessment (ITT) (updated data cut-off 14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table shows KEYNOTE-564 trial disease free survival based on investigator assessment (ITT) (updated data cut-off 14 June 202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778215" cy="5853075"/>
                    </a:xfrm>
                    <a:prstGeom prst="rect">
                      <a:avLst/>
                    </a:prstGeom>
                    <a:noFill/>
                    <a:ln>
                      <a:noFill/>
                    </a:ln>
                  </pic:spPr>
                </pic:pic>
              </a:graphicData>
            </a:graphic>
          </wp:inline>
        </w:drawing>
      </w:r>
    </w:p>
    <w:p w14:paraId="461AFE62" w14:textId="46FEE296" w:rsidR="008A1DBD" w:rsidRDefault="008A1DBD" w:rsidP="008A1DBD">
      <w:r>
        <w:t xml:space="preserve">Subgroup analyses at the </w:t>
      </w:r>
      <w:r w:rsidR="00FE2686">
        <w:t>efficacy update report</w:t>
      </w:r>
      <w:r>
        <w:t xml:space="preserve"> </w:t>
      </w:r>
      <w:r w:rsidR="00FE2686">
        <w:t>data cut-off</w:t>
      </w:r>
      <w:r w:rsidR="00765241">
        <w:t xml:space="preserve"> is in </w:t>
      </w:r>
      <w:r w:rsidR="00765241">
        <w:fldChar w:fldCharType="begin"/>
      </w:r>
      <w:r w:rsidR="00765241">
        <w:instrText xml:space="preserve"> REF _Ref96424632 \h </w:instrText>
      </w:r>
      <w:r w:rsidR="00765241">
        <w:fldChar w:fldCharType="separate"/>
      </w:r>
      <w:r w:rsidR="004E7B11">
        <w:t xml:space="preserve">Figure </w:t>
      </w:r>
      <w:r w:rsidR="004E7B11">
        <w:rPr>
          <w:noProof/>
        </w:rPr>
        <w:t>4</w:t>
      </w:r>
      <w:r w:rsidR="00765241">
        <w:fldChar w:fldCharType="end"/>
      </w:r>
      <w:r w:rsidR="00765241">
        <w:t>.</w:t>
      </w:r>
    </w:p>
    <w:p w14:paraId="4734F043" w14:textId="0FAFF2F7" w:rsidR="008A1DBD" w:rsidRDefault="008A1DBD" w:rsidP="008A1DBD">
      <w:pPr>
        <w:pStyle w:val="FigureTitle"/>
      </w:pPr>
      <w:bookmarkStart w:id="59" w:name="_Ref96424632"/>
      <w:r>
        <w:lastRenderedPageBreak/>
        <w:t xml:space="preserve">Figure </w:t>
      </w:r>
      <w:r>
        <w:fldChar w:fldCharType="begin"/>
      </w:r>
      <w:r>
        <w:instrText>SEQ Figure \* ARABIC</w:instrText>
      </w:r>
      <w:r>
        <w:fldChar w:fldCharType="separate"/>
      </w:r>
      <w:r w:rsidR="004E7B11">
        <w:rPr>
          <w:noProof/>
        </w:rPr>
        <w:t>4</w:t>
      </w:r>
      <w:r>
        <w:fldChar w:fldCharType="end"/>
      </w:r>
      <w:bookmarkEnd w:id="59"/>
      <w:r w:rsidR="00FE2686">
        <w:rPr>
          <w:noProof/>
        </w:rPr>
        <w:t xml:space="preserve">: </w:t>
      </w:r>
      <w:r w:rsidR="007D31EA">
        <w:rPr>
          <w:noProof/>
        </w:rPr>
        <w:t>KEYNOTE-564 tr</w:t>
      </w:r>
      <w:r w:rsidR="006C0C10">
        <w:rPr>
          <w:noProof/>
        </w:rPr>
        <w:t>ial disease</w:t>
      </w:r>
      <w:r w:rsidR="00FE2686">
        <w:t xml:space="preserve"> free survival</w:t>
      </w:r>
      <w:r>
        <w:t xml:space="preserve"> based on </w:t>
      </w:r>
      <w:r w:rsidR="006C0C10">
        <w:t>i</w:t>
      </w:r>
      <w:r>
        <w:t xml:space="preserve">nvestigator assessment, by subgroups, updated analysis (ITT) </w:t>
      </w:r>
      <w:r w:rsidR="006C0C10">
        <w:t>(</w:t>
      </w:r>
      <w:r w:rsidR="00FE2686">
        <w:t>data cut-off</w:t>
      </w:r>
      <w:r>
        <w:t xml:space="preserve"> 14 Jun</w:t>
      </w:r>
      <w:r w:rsidR="00FE2686">
        <w:t>e</w:t>
      </w:r>
      <w:r>
        <w:t xml:space="preserve"> 2021</w:t>
      </w:r>
      <w:r w:rsidR="006C0C10">
        <w:t>)</w:t>
      </w:r>
    </w:p>
    <w:p w14:paraId="54F217B3" w14:textId="77777777" w:rsidR="008A1DBD" w:rsidRDefault="008A1DBD" w:rsidP="008A1DBD">
      <w:r w:rsidRPr="00F00766">
        <w:rPr>
          <w:noProof/>
        </w:rPr>
        <w:drawing>
          <wp:inline distT="0" distB="0" distL="0" distR="0" wp14:anchorId="740BCBD9" wp14:editId="6B0C11CD">
            <wp:extent cx="5479200" cy="4140000"/>
            <wp:effectExtent l="0" t="0" r="7620" b="0"/>
            <wp:docPr id="15" name="Picture 15" descr="This figure shows KEYNOTE-564 trial disease free survival based on investigator assessment, by subgroups, updated analysis (ITT) (data cut-off 14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KEYNOTE-564 trial disease free survival based on investigator assessment, by subgroups, updated analysis (ITT) (data cut-off 14 June 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9200" cy="4140000"/>
                    </a:xfrm>
                    <a:prstGeom prst="rect">
                      <a:avLst/>
                    </a:prstGeom>
                    <a:noFill/>
                    <a:ln>
                      <a:noFill/>
                    </a:ln>
                  </pic:spPr>
                </pic:pic>
              </a:graphicData>
            </a:graphic>
          </wp:inline>
        </w:drawing>
      </w:r>
    </w:p>
    <w:p w14:paraId="6684144D" w14:textId="2EFAE29E" w:rsidR="008A1DBD" w:rsidRDefault="008A1DBD" w:rsidP="008A1DBD">
      <w:r>
        <w:t xml:space="preserve">Some additional </w:t>
      </w:r>
      <w:r>
        <w:rPr>
          <w:i/>
          <w:iCs/>
        </w:rPr>
        <w:t xml:space="preserve">post hoc </w:t>
      </w:r>
      <w:r>
        <w:t xml:space="preserve">analyses of </w:t>
      </w:r>
      <w:proofErr w:type="gramStart"/>
      <w:r w:rsidR="00FE2686">
        <w:t>disease free</w:t>
      </w:r>
      <w:proofErr w:type="gramEnd"/>
      <w:r w:rsidR="00FE2686">
        <w:t xml:space="preserve"> survival</w:t>
      </w:r>
      <w:r>
        <w:t xml:space="preserve"> by risk category subgroup were provided by the </w:t>
      </w:r>
      <w:r w:rsidR="00FE2686">
        <w:t>s</w:t>
      </w:r>
      <w:r>
        <w:t xml:space="preserve">ponsor at the request of the FDA. These were conducted based on the </w:t>
      </w:r>
      <w:r w:rsidR="00FE2686">
        <w:t>efficacy update report</w:t>
      </w:r>
      <w:r>
        <w:t xml:space="preserve"> </w:t>
      </w:r>
      <w:r w:rsidR="00FE2686">
        <w:t>data cut-off</w:t>
      </w:r>
      <w:r>
        <w:t xml:space="preserve"> and yielded the estimates</w:t>
      </w:r>
      <w:r w:rsidR="00FE2686">
        <w:t xml:space="preserve"> in </w:t>
      </w:r>
      <w:r w:rsidR="00FE2686">
        <w:fldChar w:fldCharType="begin"/>
      </w:r>
      <w:r w:rsidR="00FE2686">
        <w:instrText xml:space="preserve"> REF _Ref133928166 \h </w:instrText>
      </w:r>
      <w:r w:rsidR="00FE2686">
        <w:fldChar w:fldCharType="separate"/>
      </w:r>
      <w:r w:rsidR="004E7B11">
        <w:t xml:space="preserve">Table </w:t>
      </w:r>
      <w:r w:rsidR="004E7B11">
        <w:rPr>
          <w:noProof/>
        </w:rPr>
        <w:t>9</w:t>
      </w:r>
      <w:r w:rsidR="00FE2686">
        <w:fldChar w:fldCharType="end"/>
      </w:r>
      <w:r w:rsidR="00FE2686">
        <w:t>.</w:t>
      </w:r>
    </w:p>
    <w:p w14:paraId="7A6C9E1A" w14:textId="4C858E4E" w:rsidR="00FE2686" w:rsidRDefault="00FE2686" w:rsidP="00FE2686">
      <w:pPr>
        <w:pStyle w:val="TableTitle"/>
      </w:pPr>
      <w:bookmarkStart w:id="60" w:name="_Ref133928166"/>
      <w:r>
        <w:t xml:space="preserve">Table </w:t>
      </w:r>
      <w:r>
        <w:fldChar w:fldCharType="begin"/>
      </w:r>
      <w:r>
        <w:instrText>SEQ Table \* ARABIC</w:instrText>
      </w:r>
      <w:r>
        <w:fldChar w:fldCharType="separate"/>
      </w:r>
      <w:r w:rsidR="004E7B11">
        <w:rPr>
          <w:noProof/>
        </w:rPr>
        <w:t>9</w:t>
      </w:r>
      <w:r>
        <w:fldChar w:fldCharType="end"/>
      </w:r>
      <w:bookmarkEnd w:id="60"/>
      <w:r>
        <w:t xml:space="preserve">: </w:t>
      </w:r>
      <w:r w:rsidR="004B5399" w:rsidRPr="004B5399">
        <w:t>K</w:t>
      </w:r>
      <w:r w:rsidR="004B5399">
        <w:t>E</w:t>
      </w:r>
      <w:r w:rsidR="004B5399" w:rsidRPr="004B5399">
        <w:t xml:space="preserve">YNOTE-564 trial </w:t>
      </w:r>
      <w:r w:rsidR="004B5399">
        <w:t>a</w:t>
      </w:r>
      <w:r w:rsidRPr="00FE2686">
        <w:t xml:space="preserve">dditional </w:t>
      </w:r>
      <w:r w:rsidRPr="004B5399">
        <w:rPr>
          <w:i/>
          <w:iCs/>
        </w:rPr>
        <w:t>post hoc</w:t>
      </w:r>
      <w:r w:rsidRPr="00FE2686">
        <w:t xml:space="preserve"> analyses of </w:t>
      </w:r>
      <w:proofErr w:type="gramStart"/>
      <w:r w:rsidRPr="00FE2686">
        <w:t>disease free</w:t>
      </w:r>
      <w:proofErr w:type="gramEnd"/>
      <w:r w:rsidRPr="00FE2686">
        <w:t xml:space="preserve"> survival by risk category subgroup</w:t>
      </w:r>
    </w:p>
    <w:tbl>
      <w:tblPr>
        <w:tblStyle w:val="TableGrid"/>
        <w:tblW w:w="0" w:type="auto"/>
        <w:tblLook w:val="04A0" w:firstRow="1" w:lastRow="0" w:firstColumn="1" w:lastColumn="0" w:noHBand="0" w:noVBand="1"/>
      </w:tblPr>
      <w:tblGrid>
        <w:gridCol w:w="3681"/>
        <w:gridCol w:w="5379"/>
      </w:tblGrid>
      <w:tr w:rsidR="006921E7" w14:paraId="5753CE8A" w14:textId="77777777" w:rsidTr="006921E7">
        <w:trPr>
          <w:tblHeader/>
        </w:trPr>
        <w:tc>
          <w:tcPr>
            <w:tcW w:w="3681" w:type="dxa"/>
          </w:tcPr>
          <w:p w14:paraId="76CF4E9A" w14:textId="143A3EA9" w:rsidR="006921E7" w:rsidRPr="006921E7" w:rsidRDefault="006921E7" w:rsidP="006921E7">
            <w:pPr>
              <w:rPr>
                <w:b/>
                <w:bCs/>
              </w:rPr>
            </w:pPr>
            <w:r w:rsidRPr="006921E7">
              <w:rPr>
                <w:b/>
                <w:bCs/>
              </w:rPr>
              <w:t>Subgroup</w:t>
            </w:r>
          </w:p>
        </w:tc>
        <w:tc>
          <w:tcPr>
            <w:tcW w:w="5379" w:type="dxa"/>
          </w:tcPr>
          <w:p w14:paraId="0A075BA7" w14:textId="1982A779" w:rsidR="006921E7" w:rsidRPr="006921E7" w:rsidRDefault="006921E7" w:rsidP="006921E7">
            <w:pPr>
              <w:rPr>
                <w:b/>
                <w:bCs/>
              </w:rPr>
            </w:pPr>
            <w:r w:rsidRPr="006921E7">
              <w:rPr>
                <w:b/>
                <w:bCs/>
              </w:rPr>
              <w:t>Hazard ratio for disease free survival (95% CI), nominal p</w:t>
            </w:r>
          </w:p>
        </w:tc>
      </w:tr>
      <w:tr w:rsidR="006921E7" w14:paraId="72EA9FEB" w14:textId="77777777" w:rsidTr="006921E7">
        <w:tc>
          <w:tcPr>
            <w:tcW w:w="3681" w:type="dxa"/>
          </w:tcPr>
          <w:p w14:paraId="452758CD" w14:textId="40876EAD" w:rsidR="006921E7" w:rsidRDefault="006921E7" w:rsidP="006921E7">
            <w:r>
              <w:t>Intermediate-high risk (M0)</w:t>
            </w:r>
          </w:p>
        </w:tc>
        <w:tc>
          <w:tcPr>
            <w:tcW w:w="5379" w:type="dxa"/>
          </w:tcPr>
          <w:p w14:paraId="1186940E" w14:textId="26ADC096" w:rsidR="006921E7" w:rsidRDefault="006921E7" w:rsidP="006921E7">
            <w:r>
              <w:t>0.68 (0.52, 0.89) p= 0.0025</w:t>
            </w:r>
          </w:p>
        </w:tc>
      </w:tr>
      <w:tr w:rsidR="006921E7" w14:paraId="6081A7D9" w14:textId="77777777" w:rsidTr="006921E7">
        <w:tc>
          <w:tcPr>
            <w:tcW w:w="3681" w:type="dxa"/>
          </w:tcPr>
          <w:p w14:paraId="2E05FB79" w14:textId="72C20545" w:rsidR="006921E7" w:rsidRDefault="006921E7" w:rsidP="006921E7">
            <w:r>
              <w:t>High risk (M0)</w:t>
            </w:r>
          </w:p>
        </w:tc>
        <w:tc>
          <w:tcPr>
            <w:tcW w:w="5379" w:type="dxa"/>
          </w:tcPr>
          <w:p w14:paraId="368D2999" w14:textId="18510C8C" w:rsidR="006921E7" w:rsidRDefault="006921E7" w:rsidP="006921E7">
            <w:r>
              <w:t>0.60 (0.33, 1.10) p = 0.0484</w:t>
            </w:r>
          </w:p>
        </w:tc>
      </w:tr>
      <w:tr w:rsidR="006921E7" w14:paraId="6B3EDD57" w14:textId="77777777" w:rsidTr="006921E7">
        <w:tc>
          <w:tcPr>
            <w:tcW w:w="3681" w:type="dxa"/>
          </w:tcPr>
          <w:p w14:paraId="691124CB" w14:textId="785B20A9" w:rsidR="006921E7" w:rsidRDefault="006921E7" w:rsidP="006921E7">
            <w:r>
              <w:t>M1 no evidence of disease</w:t>
            </w:r>
          </w:p>
        </w:tc>
        <w:tc>
          <w:tcPr>
            <w:tcW w:w="5379" w:type="dxa"/>
          </w:tcPr>
          <w:p w14:paraId="51BD6E57" w14:textId="5B00F060" w:rsidR="006921E7" w:rsidRDefault="006921E7" w:rsidP="006921E7">
            <w:r>
              <w:t>0.28 (0.12, 0.66) p = 0.0010</w:t>
            </w:r>
          </w:p>
        </w:tc>
      </w:tr>
    </w:tbl>
    <w:p w14:paraId="3AB134EE" w14:textId="1F8038A6" w:rsidR="006921E7" w:rsidRDefault="006921E7" w:rsidP="006921E7"/>
    <w:p w14:paraId="342C3AFA" w14:textId="2037EB69" w:rsidR="008A1DBD" w:rsidRDefault="008A1DBD" w:rsidP="008A1DBD">
      <w:pPr>
        <w:pStyle w:val="Heading6"/>
      </w:pPr>
      <w:r>
        <w:t>Secondary efficacy endpoint</w:t>
      </w:r>
      <w:r w:rsidR="008B5056">
        <w:t>s</w:t>
      </w:r>
    </w:p>
    <w:p w14:paraId="1FDF528D" w14:textId="5BDC4AFD" w:rsidR="008A1DBD" w:rsidRPr="009B64E1" w:rsidRDefault="00765241" w:rsidP="008A1DBD">
      <w:r>
        <w:t>O</w:t>
      </w:r>
      <w:r w:rsidR="00E90F9C">
        <w:t>verall survival</w:t>
      </w:r>
      <w:r w:rsidR="008A1DBD">
        <w:t xml:space="preserve"> data at </w:t>
      </w:r>
      <w:r w:rsidR="00FE2686">
        <w:t xml:space="preserve">first interim analysis </w:t>
      </w:r>
      <w:r w:rsidR="008A1DBD">
        <w:t xml:space="preserve">were immature, with 51 deaths (pembrolizumab: 18, placebo: 33). Median </w:t>
      </w:r>
      <w:r w:rsidR="00E90F9C">
        <w:t>overall survival</w:t>
      </w:r>
      <w:r w:rsidR="008A1DBD">
        <w:t xml:space="preserve"> was not reached in either group. The </w:t>
      </w:r>
      <w:r w:rsidR="00E90F9C">
        <w:t>hazard ratio</w:t>
      </w:r>
      <w:r w:rsidR="008A1DBD">
        <w:t xml:space="preserve"> was 0.54 (95% CI: 0.30, 0.96) (p=0.01640) and the p-value did not cross the statistical hypothesis testing p-value boundary of 9.3</w:t>
      </w:r>
      <w:r>
        <w:t xml:space="preserve"> </w:t>
      </w:r>
      <w:r w:rsidR="008A1DBD">
        <w:t>×</w:t>
      </w:r>
      <w:r>
        <w:t xml:space="preserve"> </w:t>
      </w:r>
      <w:r w:rsidR="008A1DBD">
        <w:t>10</w:t>
      </w:r>
      <w:r w:rsidR="008A1DBD" w:rsidRPr="009B64E1">
        <w:rPr>
          <w:vertAlign w:val="superscript"/>
        </w:rPr>
        <w:t>-6</w:t>
      </w:r>
      <w:r w:rsidR="008A1DBD">
        <w:t xml:space="preserve"> at </w:t>
      </w:r>
      <w:r w:rsidR="00FE2686">
        <w:t>first interim analysis</w:t>
      </w:r>
      <w:r w:rsidR="008A1DBD">
        <w:t>.</w:t>
      </w:r>
      <w:r w:rsidR="00C012C0">
        <w:t xml:space="preserve"> </w:t>
      </w:r>
      <w:r>
        <w:t xml:space="preserve">A summary of secondary endpoint results is at </w:t>
      </w:r>
      <w:r>
        <w:fldChar w:fldCharType="begin"/>
      </w:r>
      <w:r>
        <w:instrText xml:space="preserve"> REF _Ref133929610 \h </w:instrText>
      </w:r>
      <w:r>
        <w:fldChar w:fldCharType="separate"/>
      </w:r>
      <w:r w:rsidR="004E7B11">
        <w:t xml:space="preserve">Table </w:t>
      </w:r>
      <w:r w:rsidR="004E7B11">
        <w:rPr>
          <w:noProof/>
        </w:rPr>
        <w:t>10</w:t>
      </w:r>
      <w:r>
        <w:fldChar w:fldCharType="end"/>
      </w:r>
      <w:r>
        <w:t>.</w:t>
      </w:r>
    </w:p>
    <w:p w14:paraId="1EA77798" w14:textId="38ECC9BD" w:rsidR="008A1DBD" w:rsidRDefault="008A1DBD" w:rsidP="008A1DBD">
      <w:pPr>
        <w:pStyle w:val="TableTitle"/>
      </w:pPr>
      <w:bookmarkStart w:id="61" w:name="_Ref133929610"/>
      <w:bookmarkStart w:id="62" w:name="_Ref133929598"/>
      <w:r>
        <w:lastRenderedPageBreak/>
        <w:t xml:space="preserve">Table </w:t>
      </w:r>
      <w:r>
        <w:fldChar w:fldCharType="begin"/>
      </w:r>
      <w:r>
        <w:instrText>SEQ Table \* ARABIC</w:instrText>
      </w:r>
      <w:r>
        <w:fldChar w:fldCharType="separate"/>
      </w:r>
      <w:r w:rsidR="004E7B11">
        <w:rPr>
          <w:noProof/>
        </w:rPr>
        <w:t>10</w:t>
      </w:r>
      <w:r>
        <w:fldChar w:fldCharType="end"/>
      </w:r>
      <w:bookmarkEnd w:id="61"/>
      <w:r w:rsidR="00765241">
        <w:rPr>
          <w:noProof/>
        </w:rPr>
        <w:t>:</w:t>
      </w:r>
      <w:r>
        <w:t xml:space="preserve"> </w:t>
      </w:r>
      <w:r w:rsidR="004B5399" w:rsidRPr="004B5399">
        <w:t xml:space="preserve">KEYNOTE-564 trial </w:t>
      </w:r>
      <w:r w:rsidR="004B5399">
        <w:t>s</w:t>
      </w:r>
      <w:r>
        <w:t>ummary of secondary endpoint results</w:t>
      </w:r>
      <w:bookmarkEnd w:id="62"/>
    </w:p>
    <w:p w14:paraId="19A3B65F" w14:textId="77777777" w:rsidR="008A1DBD" w:rsidRDefault="008A1DBD" w:rsidP="008A1DBD">
      <w:r w:rsidRPr="009B64E1">
        <w:rPr>
          <w:noProof/>
        </w:rPr>
        <w:drawing>
          <wp:inline distT="0" distB="0" distL="0" distR="0" wp14:anchorId="38981E2C" wp14:editId="7E2C30BC">
            <wp:extent cx="5610225" cy="6866915"/>
            <wp:effectExtent l="0" t="0" r="0" b="0"/>
            <wp:docPr id="8" name="Picture 8" descr="This table shows KEYNOTE-564 trial summary of secondary endpoi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able shows KEYNOTE-564 trial summary of secondary endpoint results"/>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612500" cy="6869699"/>
                    </a:xfrm>
                    <a:prstGeom prst="rect">
                      <a:avLst/>
                    </a:prstGeom>
                    <a:noFill/>
                    <a:ln>
                      <a:noFill/>
                    </a:ln>
                  </pic:spPr>
                </pic:pic>
              </a:graphicData>
            </a:graphic>
          </wp:inline>
        </w:drawing>
      </w:r>
    </w:p>
    <w:p w14:paraId="4DE2E3FE" w14:textId="7D577519" w:rsidR="008A1DBD" w:rsidRDefault="008A1DBD" w:rsidP="008A1DBD">
      <w:pPr>
        <w:pStyle w:val="Heading7"/>
      </w:pPr>
      <w:r>
        <w:t>Overall Survival</w:t>
      </w:r>
    </w:p>
    <w:p w14:paraId="1F343C51" w14:textId="1E5D7CBA" w:rsidR="00765241" w:rsidRPr="00765241" w:rsidRDefault="00765241" w:rsidP="00765241">
      <w:r>
        <w:t xml:space="preserve">A Kaplan-Meier plot of overall survival at the first interim analysis is at </w:t>
      </w:r>
      <w:r>
        <w:fldChar w:fldCharType="begin"/>
      </w:r>
      <w:r>
        <w:instrText xml:space="preserve"> REF _Ref133929672 \h </w:instrText>
      </w:r>
      <w:r>
        <w:fldChar w:fldCharType="separate"/>
      </w:r>
      <w:r w:rsidR="004E7B11">
        <w:t xml:space="preserve">Figure </w:t>
      </w:r>
      <w:r w:rsidR="004E7B11">
        <w:rPr>
          <w:noProof/>
        </w:rPr>
        <w:t>5</w:t>
      </w:r>
      <w:r>
        <w:fldChar w:fldCharType="end"/>
      </w:r>
      <w:r>
        <w:t>.</w:t>
      </w:r>
    </w:p>
    <w:p w14:paraId="1451756C" w14:textId="14612C4D" w:rsidR="008A1DBD" w:rsidRDefault="008A1DBD" w:rsidP="008A1DBD">
      <w:pPr>
        <w:pStyle w:val="FigureTitle"/>
      </w:pPr>
      <w:bookmarkStart w:id="63" w:name="_Ref133929672"/>
      <w:r>
        <w:lastRenderedPageBreak/>
        <w:t xml:space="preserve">Figure </w:t>
      </w:r>
      <w:r>
        <w:fldChar w:fldCharType="begin"/>
      </w:r>
      <w:r>
        <w:instrText>SEQ Figure \* ARABIC</w:instrText>
      </w:r>
      <w:r>
        <w:fldChar w:fldCharType="separate"/>
      </w:r>
      <w:r w:rsidR="004E7B11">
        <w:rPr>
          <w:noProof/>
        </w:rPr>
        <w:t>5</w:t>
      </w:r>
      <w:r>
        <w:fldChar w:fldCharType="end"/>
      </w:r>
      <w:bookmarkEnd w:id="63"/>
      <w:r w:rsidR="00765241">
        <w:rPr>
          <w:noProof/>
        </w:rPr>
        <w:t>:</w:t>
      </w:r>
      <w:r>
        <w:t xml:space="preserve"> </w:t>
      </w:r>
      <w:r w:rsidR="004B5399" w:rsidRPr="004B5399">
        <w:t xml:space="preserve">KEYNOTE-564 trial </w:t>
      </w:r>
      <w:r>
        <w:t xml:space="preserve">Kaplan-Meier plot of </w:t>
      </w:r>
      <w:r w:rsidR="00E90F9C">
        <w:t>overall survival</w:t>
      </w:r>
      <w:r>
        <w:t xml:space="preserve"> (ITT) – </w:t>
      </w:r>
      <w:r w:rsidR="00FE2686">
        <w:t xml:space="preserve">first interim analysis </w:t>
      </w:r>
      <w:r>
        <w:t>(</w:t>
      </w:r>
      <w:r w:rsidR="00FE2686">
        <w:t>data cut-off</w:t>
      </w:r>
      <w:r>
        <w:t xml:space="preserve"> 14 </w:t>
      </w:r>
      <w:r w:rsidR="00FE2686">
        <w:t>December</w:t>
      </w:r>
      <w:r>
        <w:t xml:space="preserve"> 2020)</w:t>
      </w:r>
    </w:p>
    <w:p w14:paraId="1412642A" w14:textId="77777777" w:rsidR="008A1DBD" w:rsidRPr="009B64E1" w:rsidRDefault="008A1DBD" w:rsidP="008A1DBD">
      <w:r w:rsidRPr="009B64E1">
        <w:rPr>
          <w:noProof/>
        </w:rPr>
        <w:drawing>
          <wp:inline distT="0" distB="0" distL="0" distR="0" wp14:anchorId="3452B01E" wp14:editId="228DA872">
            <wp:extent cx="4838400" cy="3445200"/>
            <wp:effectExtent l="0" t="0" r="635" b="3175"/>
            <wp:docPr id="9" name="Picture 9" descr="This figure shows KEYNOTE-564 trial Kaplan-Meier plot of overall survival (ITT) – first interim analysis (data cut-off 14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KEYNOTE-564 trial Kaplan-Meier plot of overall survival (ITT) – first interim analysis (data cut-off 14 December 2020)."/>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4838400" cy="3445200"/>
                    </a:xfrm>
                    <a:prstGeom prst="rect">
                      <a:avLst/>
                    </a:prstGeom>
                    <a:noFill/>
                    <a:ln>
                      <a:noFill/>
                    </a:ln>
                  </pic:spPr>
                </pic:pic>
              </a:graphicData>
            </a:graphic>
          </wp:inline>
        </w:drawing>
      </w:r>
    </w:p>
    <w:p w14:paraId="2ED42253" w14:textId="77777777" w:rsidR="00C012C0" w:rsidRDefault="008A1DBD" w:rsidP="008A1DBD">
      <w:r>
        <w:t xml:space="preserve">At the </w:t>
      </w:r>
      <w:r w:rsidR="00FE2686">
        <w:t>efficacy update report</w:t>
      </w:r>
      <w:r>
        <w:t xml:space="preserve"> analysis </w:t>
      </w:r>
      <w:r w:rsidR="00FE2686">
        <w:t>data cut-off</w:t>
      </w:r>
      <w:r>
        <w:t xml:space="preserve">, an additional 15 deaths had occurred, bringing the total to 66 (pembrolizumab: 23, placebo: 43). </w:t>
      </w:r>
      <w:r w:rsidR="00765241">
        <w:t>O</w:t>
      </w:r>
      <w:r w:rsidR="00E90F9C">
        <w:t>verall survival</w:t>
      </w:r>
      <w:r>
        <w:t xml:space="preserve"> data remained </w:t>
      </w:r>
      <w:proofErr w:type="gramStart"/>
      <w:r>
        <w:t>immature</w:t>
      </w:r>
      <w:proofErr w:type="gramEnd"/>
      <w:r>
        <w:t xml:space="preserve"> and the median was not reached in either group. The </w:t>
      </w:r>
      <w:r w:rsidR="00E90F9C">
        <w:t>hazard ratio</w:t>
      </w:r>
      <w:r>
        <w:t xml:space="preserve"> was 0.52 (95% CI: 0.31, 0.86) and p</w:t>
      </w:r>
      <w:r w:rsidR="00765241">
        <w:t xml:space="preserve"> </w:t>
      </w:r>
      <w:r>
        <w:t>=</w:t>
      </w:r>
      <w:r w:rsidR="00765241">
        <w:t xml:space="preserve"> </w:t>
      </w:r>
      <w:r>
        <w:t>0.0047677, which did not cross the statistical hypothesis testing p-value boundary of 0.000095.</w:t>
      </w:r>
    </w:p>
    <w:p w14:paraId="2EA6576D" w14:textId="09C4CA61" w:rsidR="008A1DBD" w:rsidRDefault="008A1DBD" w:rsidP="008A1DBD">
      <w:pPr>
        <w:pStyle w:val="FigureTitle"/>
      </w:pPr>
      <w:r>
        <w:t xml:space="preserve">Figure </w:t>
      </w:r>
      <w:r>
        <w:fldChar w:fldCharType="begin"/>
      </w:r>
      <w:r>
        <w:instrText>SEQ Figure \* ARABIC</w:instrText>
      </w:r>
      <w:r>
        <w:fldChar w:fldCharType="separate"/>
      </w:r>
      <w:r w:rsidR="004E7B11">
        <w:rPr>
          <w:noProof/>
        </w:rPr>
        <w:t>6</w:t>
      </w:r>
      <w:r>
        <w:fldChar w:fldCharType="end"/>
      </w:r>
      <w:r w:rsidR="00765241">
        <w:rPr>
          <w:noProof/>
        </w:rPr>
        <w:t>:</w:t>
      </w:r>
      <w:r>
        <w:t xml:space="preserve"> </w:t>
      </w:r>
      <w:r w:rsidR="004B5399" w:rsidRPr="004B5399">
        <w:t xml:space="preserve">KEYNOTE-564 trial </w:t>
      </w:r>
      <w:r>
        <w:t xml:space="preserve">Kaplan-Meier plot of </w:t>
      </w:r>
      <w:r w:rsidR="00E90F9C">
        <w:t>overall survival</w:t>
      </w:r>
      <w:r>
        <w:t xml:space="preserve"> (ITT) – updated (</w:t>
      </w:r>
      <w:r w:rsidR="00FE2686">
        <w:t>data cut-off</w:t>
      </w:r>
      <w:r>
        <w:t xml:space="preserve"> 14 </w:t>
      </w:r>
      <w:r w:rsidR="00FE2686">
        <w:t>June</w:t>
      </w:r>
      <w:r>
        <w:t xml:space="preserve"> 2021)</w:t>
      </w:r>
    </w:p>
    <w:p w14:paraId="3E74C232" w14:textId="77777777" w:rsidR="008A1DBD" w:rsidRPr="00AE40C4" w:rsidRDefault="008A1DBD" w:rsidP="008A1DBD">
      <w:r w:rsidRPr="00AE40C4">
        <w:rPr>
          <w:noProof/>
        </w:rPr>
        <w:drawing>
          <wp:inline distT="0" distB="0" distL="0" distR="0" wp14:anchorId="2EEEA96A" wp14:editId="05399159">
            <wp:extent cx="4719600" cy="3272400"/>
            <wp:effectExtent l="0" t="0" r="5080" b="4445"/>
            <wp:docPr id="16" name="Picture 16" descr="This figure shows KEYNOTE-564 trial Kaplan-Meier plot of overall survival (ITT) – updated (data cut-off 14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KEYNOTE-564 trial Kaplan-Meier plot of overall survival (ITT) – updated (data cut-off 14 June 2021)"/>
                    <pic:cNvPicPr>
                      <a:picLocks noChangeAspect="1" noChangeArrowheads="1"/>
                    </pic:cNvPicPr>
                  </pic:nvPicPr>
                  <pic:blipFill>
                    <a:blip r:embed="rId42" cstate="print">
                      <a:lum bright="-20000" contrast="40000"/>
                      <a:extLst>
                        <a:ext uri="{28A0092B-C50C-407E-A947-70E740481C1C}">
                          <a14:useLocalDpi xmlns:a14="http://schemas.microsoft.com/office/drawing/2010/main" val="0"/>
                        </a:ext>
                      </a:extLst>
                    </a:blip>
                    <a:srcRect/>
                    <a:stretch>
                      <a:fillRect/>
                    </a:stretch>
                  </pic:blipFill>
                  <pic:spPr bwMode="auto">
                    <a:xfrm>
                      <a:off x="0" y="0"/>
                      <a:ext cx="4719600" cy="3272400"/>
                    </a:xfrm>
                    <a:prstGeom prst="rect">
                      <a:avLst/>
                    </a:prstGeom>
                    <a:noFill/>
                    <a:ln>
                      <a:noFill/>
                    </a:ln>
                  </pic:spPr>
                </pic:pic>
              </a:graphicData>
            </a:graphic>
          </wp:inline>
        </w:drawing>
      </w:r>
    </w:p>
    <w:p w14:paraId="204ACA96" w14:textId="1EE2B0DE" w:rsidR="008A1DBD" w:rsidRDefault="008A1DBD" w:rsidP="008A1DBD">
      <w:r>
        <w:lastRenderedPageBreak/>
        <w:t xml:space="preserve">At the </w:t>
      </w:r>
      <w:r w:rsidR="00FE2686">
        <w:t>efficacy update report</w:t>
      </w:r>
      <w:r>
        <w:t xml:space="preserve"> analysis </w:t>
      </w:r>
      <w:r w:rsidR="00FE2686">
        <w:t>data cut-off</w:t>
      </w:r>
      <w:r>
        <w:t xml:space="preserve">, </w:t>
      </w:r>
      <w:r w:rsidR="00765241">
        <w:t>di</w:t>
      </w:r>
      <w:r w:rsidR="00765241" w:rsidRPr="00765241">
        <w:t>sease recurrence-specific survival</w:t>
      </w:r>
      <w:r w:rsidR="00765241">
        <w:t xml:space="preserve"> 1</w:t>
      </w:r>
      <w:r>
        <w:t>,</w:t>
      </w:r>
      <w:r w:rsidR="00765241">
        <w:t xml:space="preserve"> </w:t>
      </w:r>
      <w:r w:rsidR="00765241" w:rsidRPr="00765241">
        <w:t>disease recurrence-specific survival</w:t>
      </w:r>
      <w:r>
        <w:t xml:space="preserve"> </w:t>
      </w:r>
      <w:r w:rsidR="00765241">
        <w:t xml:space="preserve">2 </w:t>
      </w:r>
      <w:r>
        <w:t xml:space="preserve">and </w:t>
      </w:r>
      <w:r w:rsidR="00765241">
        <w:t>event free survival</w:t>
      </w:r>
      <w:r>
        <w:t xml:space="preserve"> by BICR remained generally consistent with </w:t>
      </w:r>
      <w:r w:rsidR="00FE2686">
        <w:t>first interim analysis</w:t>
      </w:r>
      <w:r>
        <w:t>.</w:t>
      </w:r>
    </w:p>
    <w:p w14:paraId="704AAED6" w14:textId="3A0ADF17" w:rsidR="008A1DBD" w:rsidRDefault="00765241" w:rsidP="008A1DBD">
      <w:pPr>
        <w:pStyle w:val="Heading7"/>
      </w:pPr>
      <w:r>
        <w:t>D</w:t>
      </w:r>
      <w:r w:rsidR="00FE2686">
        <w:t>isease free survival</w:t>
      </w:r>
      <w:r w:rsidR="008A1DBD">
        <w:t xml:space="preserve"> by PD-L1 expression status</w:t>
      </w:r>
    </w:p>
    <w:p w14:paraId="7C22397B" w14:textId="558A317A" w:rsidR="008A1DBD" w:rsidRDefault="00765241" w:rsidP="008A1DBD">
      <w:r>
        <w:t>D</w:t>
      </w:r>
      <w:r w:rsidR="00FE2686">
        <w:t>isease free survival</w:t>
      </w:r>
      <w:r w:rsidR="008A1DBD">
        <w:t xml:space="preserve"> by PD-L1 expression status is shown below (see also</w:t>
      </w:r>
      <w:r>
        <w:t xml:space="preserve"> </w:t>
      </w:r>
      <w:r>
        <w:fldChar w:fldCharType="begin"/>
      </w:r>
      <w:r>
        <w:instrText xml:space="preserve"> REF _Ref133927934 \h </w:instrText>
      </w:r>
      <w:r>
        <w:fldChar w:fldCharType="separate"/>
      </w:r>
      <w:r w:rsidR="004E7B11">
        <w:t xml:space="preserve">Figure </w:t>
      </w:r>
      <w:r w:rsidR="004E7B11">
        <w:rPr>
          <w:noProof/>
        </w:rPr>
        <w:t>3</w:t>
      </w:r>
      <w:r>
        <w:fldChar w:fldCharType="end"/>
      </w:r>
      <w:r w:rsidR="008A1DBD" w:rsidRPr="00765241">
        <w:t>)</w:t>
      </w:r>
      <w:r>
        <w:t>.</w:t>
      </w:r>
    </w:p>
    <w:p w14:paraId="480419B2" w14:textId="4C3DA5C3" w:rsidR="008A1DBD" w:rsidRDefault="008A1DBD" w:rsidP="008A1DBD">
      <w:pPr>
        <w:pStyle w:val="TableTitle"/>
      </w:pPr>
      <w:r>
        <w:t xml:space="preserve">Table </w:t>
      </w:r>
      <w:r>
        <w:fldChar w:fldCharType="begin"/>
      </w:r>
      <w:r>
        <w:instrText>SEQ Table \* ARABIC</w:instrText>
      </w:r>
      <w:r>
        <w:fldChar w:fldCharType="separate"/>
      </w:r>
      <w:r w:rsidR="004E7B11">
        <w:rPr>
          <w:noProof/>
        </w:rPr>
        <w:t>11</w:t>
      </w:r>
      <w:r>
        <w:fldChar w:fldCharType="end"/>
      </w:r>
      <w:r w:rsidR="00765241">
        <w:rPr>
          <w:noProof/>
        </w:rPr>
        <w:t xml:space="preserve">: </w:t>
      </w:r>
      <w:r w:rsidR="004B5399">
        <w:rPr>
          <w:noProof/>
        </w:rPr>
        <w:t>K</w:t>
      </w:r>
      <w:r w:rsidR="004B5399" w:rsidRPr="004B5399">
        <w:rPr>
          <w:noProof/>
        </w:rPr>
        <w:t xml:space="preserve">EYNOTE-564 trial </w:t>
      </w:r>
      <w:r w:rsidR="004B5399">
        <w:rPr>
          <w:noProof/>
        </w:rPr>
        <w:t>d</w:t>
      </w:r>
      <w:r w:rsidR="00FE2686">
        <w:t>isease free survival</w:t>
      </w:r>
      <w:r>
        <w:t xml:space="preserve"> by PD-L1 expression status (ITT) – </w:t>
      </w:r>
      <w:r w:rsidR="00FE2686">
        <w:t xml:space="preserve">first interim analysis </w:t>
      </w:r>
      <w:r>
        <w:t>(</w:t>
      </w:r>
      <w:r w:rsidR="00FE2686">
        <w:t>data cut-off</w:t>
      </w:r>
      <w:r>
        <w:t xml:space="preserve"> 14 </w:t>
      </w:r>
      <w:r w:rsidR="00FE2686">
        <w:t>December</w:t>
      </w:r>
      <w:r>
        <w:t xml:space="preserve"> 2020)</w:t>
      </w:r>
    </w:p>
    <w:tbl>
      <w:tblPr>
        <w:tblStyle w:val="TableGrid"/>
        <w:tblW w:w="0" w:type="auto"/>
        <w:tblLook w:val="04A0" w:firstRow="1" w:lastRow="0" w:firstColumn="1" w:lastColumn="0" w:noHBand="0" w:noVBand="1"/>
      </w:tblPr>
      <w:tblGrid>
        <w:gridCol w:w="3005"/>
        <w:gridCol w:w="3005"/>
        <w:gridCol w:w="3006"/>
      </w:tblGrid>
      <w:tr w:rsidR="008A1DBD" w:rsidRPr="006921E7" w14:paraId="49DFD60B" w14:textId="77777777" w:rsidTr="00EE5F8D">
        <w:tc>
          <w:tcPr>
            <w:tcW w:w="3005" w:type="dxa"/>
          </w:tcPr>
          <w:p w14:paraId="605A9ECC" w14:textId="77777777" w:rsidR="008A1DBD" w:rsidRPr="006921E7" w:rsidRDefault="008A1DBD" w:rsidP="006921E7">
            <w:pPr>
              <w:rPr>
                <w:b/>
                <w:bCs/>
                <w:sz w:val="20"/>
                <w:szCs w:val="20"/>
              </w:rPr>
            </w:pPr>
          </w:p>
        </w:tc>
        <w:tc>
          <w:tcPr>
            <w:tcW w:w="3005" w:type="dxa"/>
          </w:tcPr>
          <w:p w14:paraId="0F8AEFD9" w14:textId="77777777" w:rsidR="008A1DBD" w:rsidRPr="006921E7" w:rsidRDefault="008A1DBD" w:rsidP="006921E7">
            <w:pPr>
              <w:rPr>
                <w:b/>
                <w:bCs/>
                <w:sz w:val="20"/>
                <w:szCs w:val="20"/>
              </w:rPr>
            </w:pPr>
            <w:r w:rsidRPr="006921E7">
              <w:rPr>
                <w:b/>
                <w:bCs/>
                <w:sz w:val="20"/>
                <w:szCs w:val="20"/>
              </w:rPr>
              <w:t>Pembrolizumab</w:t>
            </w:r>
          </w:p>
        </w:tc>
        <w:tc>
          <w:tcPr>
            <w:tcW w:w="3006" w:type="dxa"/>
          </w:tcPr>
          <w:p w14:paraId="60201559" w14:textId="181EE9EF" w:rsidR="008A1DBD" w:rsidRPr="006921E7" w:rsidRDefault="00765241" w:rsidP="006921E7">
            <w:pPr>
              <w:rPr>
                <w:b/>
                <w:bCs/>
                <w:sz w:val="20"/>
                <w:szCs w:val="20"/>
              </w:rPr>
            </w:pPr>
            <w:r w:rsidRPr="006921E7">
              <w:rPr>
                <w:b/>
                <w:bCs/>
                <w:sz w:val="20"/>
                <w:szCs w:val="20"/>
              </w:rPr>
              <w:t>P</w:t>
            </w:r>
            <w:r w:rsidR="008A1DBD" w:rsidRPr="006921E7">
              <w:rPr>
                <w:b/>
                <w:bCs/>
                <w:sz w:val="20"/>
                <w:szCs w:val="20"/>
              </w:rPr>
              <w:t>lacebo</w:t>
            </w:r>
          </w:p>
        </w:tc>
      </w:tr>
      <w:tr w:rsidR="008A1DBD" w:rsidRPr="006921E7" w14:paraId="078D76AF" w14:textId="77777777" w:rsidTr="00EE5F8D">
        <w:tc>
          <w:tcPr>
            <w:tcW w:w="3005" w:type="dxa"/>
          </w:tcPr>
          <w:p w14:paraId="2B232E40" w14:textId="77777777" w:rsidR="008A1DBD" w:rsidRPr="006921E7" w:rsidRDefault="008A1DBD" w:rsidP="006921E7">
            <w:pPr>
              <w:rPr>
                <w:sz w:val="20"/>
                <w:szCs w:val="20"/>
              </w:rPr>
            </w:pPr>
            <w:r w:rsidRPr="006921E7">
              <w:rPr>
                <w:sz w:val="20"/>
                <w:szCs w:val="20"/>
              </w:rPr>
              <w:t>CPS &lt; 1</w:t>
            </w:r>
          </w:p>
        </w:tc>
        <w:tc>
          <w:tcPr>
            <w:tcW w:w="3005" w:type="dxa"/>
          </w:tcPr>
          <w:p w14:paraId="7FB2274F" w14:textId="77777777" w:rsidR="008A1DBD" w:rsidRPr="006921E7" w:rsidRDefault="008A1DBD" w:rsidP="006921E7">
            <w:pPr>
              <w:rPr>
                <w:sz w:val="20"/>
                <w:szCs w:val="20"/>
              </w:rPr>
            </w:pPr>
            <w:r w:rsidRPr="006921E7">
              <w:rPr>
                <w:sz w:val="20"/>
                <w:szCs w:val="20"/>
              </w:rPr>
              <w:t>N = 124</w:t>
            </w:r>
          </w:p>
        </w:tc>
        <w:tc>
          <w:tcPr>
            <w:tcW w:w="3006" w:type="dxa"/>
          </w:tcPr>
          <w:p w14:paraId="709B0EA3" w14:textId="77777777" w:rsidR="008A1DBD" w:rsidRPr="006921E7" w:rsidRDefault="008A1DBD" w:rsidP="006921E7">
            <w:pPr>
              <w:rPr>
                <w:sz w:val="20"/>
                <w:szCs w:val="20"/>
              </w:rPr>
            </w:pPr>
            <w:r w:rsidRPr="006921E7">
              <w:rPr>
                <w:sz w:val="20"/>
                <w:szCs w:val="20"/>
              </w:rPr>
              <w:t>N = 113</w:t>
            </w:r>
          </w:p>
        </w:tc>
      </w:tr>
      <w:tr w:rsidR="008A1DBD" w:rsidRPr="006921E7" w14:paraId="1F45FC6A" w14:textId="77777777" w:rsidTr="00EE5F8D">
        <w:tc>
          <w:tcPr>
            <w:tcW w:w="3005" w:type="dxa"/>
          </w:tcPr>
          <w:p w14:paraId="590EC79A" w14:textId="77777777" w:rsidR="008A1DBD" w:rsidRPr="006921E7" w:rsidRDefault="008A1DBD" w:rsidP="006921E7">
            <w:pPr>
              <w:rPr>
                <w:sz w:val="20"/>
                <w:szCs w:val="20"/>
              </w:rPr>
            </w:pPr>
            <w:r w:rsidRPr="006921E7">
              <w:rPr>
                <w:sz w:val="20"/>
                <w:szCs w:val="20"/>
              </w:rPr>
              <w:t>Deaths</w:t>
            </w:r>
          </w:p>
          <w:p w14:paraId="270C4958" w14:textId="77777777" w:rsidR="008A1DBD" w:rsidRPr="006921E7" w:rsidRDefault="008A1DBD" w:rsidP="006921E7">
            <w:pPr>
              <w:rPr>
                <w:sz w:val="20"/>
                <w:szCs w:val="20"/>
              </w:rPr>
            </w:pPr>
            <w:r w:rsidRPr="006921E7">
              <w:rPr>
                <w:sz w:val="20"/>
                <w:szCs w:val="20"/>
              </w:rPr>
              <w:t>Disease recurrence</w:t>
            </w:r>
          </w:p>
        </w:tc>
        <w:tc>
          <w:tcPr>
            <w:tcW w:w="3005" w:type="dxa"/>
          </w:tcPr>
          <w:p w14:paraId="1D668C1D" w14:textId="77777777" w:rsidR="008A1DBD" w:rsidRPr="006921E7" w:rsidRDefault="008A1DBD" w:rsidP="006921E7">
            <w:pPr>
              <w:rPr>
                <w:sz w:val="20"/>
                <w:szCs w:val="20"/>
              </w:rPr>
            </w:pPr>
            <w:r w:rsidRPr="006921E7">
              <w:rPr>
                <w:sz w:val="20"/>
                <w:szCs w:val="20"/>
              </w:rPr>
              <w:t>2 (1.6%)</w:t>
            </w:r>
          </w:p>
          <w:p w14:paraId="0219F188" w14:textId="77777777" w:rsidR="008A1DBD" w:rsidRPr="006921E7" w:rsidRDefault="008A1DBD" w:rsidP="006921E7">
            <w:pPr>
              <w:rPr>
                <w:sz w:val="20"/>
                <w:szCs w:val="20"/>
              </w:rPr>
            </w:pPr>
            <w:r w:rsidRPr="006921E7">
              <w:rPr>
                <w:sz w:val="20"/>
                <w:szCs w:val="20"/>
              </w:rPr>
              <w:t>18 (14.5%)</w:t>
            </w:r>
          </w:p>
        </w:tc>
        <w:tc>
          <w:tcPr>
            <w:tcW w:w="3006" w:type="dxa"/>
          </w:tcPr>
          <w:p w14:paraId="38539C57" w14:textId="77777777" w:rsidR="008A1DBD" w:rsidRPr="006921E7" w:rsidRDefault="008A1DBD" w:rsidP="006921E7">
            <w:pPr>
              <w:rPr>
                <w:sz w:val="20"/>
                <w:szCs w:val="20"/>
              </w:rPr>
            </w:pPr>
            <w:r w:rsidRPr="006921E7">
              <w:rPr>
                <w:sz w:val="20"/>
                <w:szCs w:val="20"/>
              </w:rPr>
              <w:t>0</w:t>
            </w:r>
          </w:p>
          <w:p w14:paraId="7AA17658" w14:textId="77777777" w:rsidR="008A1DBD" w:rsidRPr="006921E7" w:rsidRDefault="008A1DBD" w:rsidP="006921E7">
            <w:pPr>
              <w:rPr>
                <w:sz w:val="20"/>
                <w:szCs w:val="20"/>
              </w:rPr>
            </w:pPr>
            <w:r w:rsidRPr="006921E7">
              <w:rPr>
                <w:sz w:val="20"/>
                <w:szCs w:val="20"/>
              </w:rPr>
              <w:t>22 (19.5%)</w:t>
            </w:r>
          </w:p>
        </w:tc>
      </w:tr>
      <w:tr w:rsidR="008A1DBD" w:rsidRPr="006921E7" w14:paraId="3AC87630" w14:textId="77777777" w:rsidTr="00EE5F8D">
        <w:tc>
          <w:tcPr>
            <w:tcW w:w="3005" w:type="dxa"/>
          </w:tcPr>
          <w:p w14:paraId="5AF13E74" w14:textId="532D0BC2" w:rsidR="008A1DBD" w:rsidRPr="006921E7" w:rsidRDefault="008A1DBD" w:rsidP="006921E7">
            <w:pPr>
              <w:rPr>
                <w:sz w:val="20"/>
                <w:szCs w:val="20"/>
              </w:rPr>
            </w:pPr>
            <w:r w:rsidRPr="006921E7">
              <w:rPr>
                <w:sz w:val="20"/>
                <w:szCs w:val="20"/>
              </w:rPr>
              <w:t xml:space="preserve">HR </w:t>
            </w:r>
            <w:r w:rsidR="00EE5F8D" w:rsidRPr="006921E7">
              <w:rPr>
                <w:sz w:val="20"/>
                <w:szCs w:val="20"/>
              </w:rPr>
              <w:t>versus</w:t>
            </w:r>
            <w:r w:rsidRPr="006921E7">
              <w:rPr>
                <w:sz w:val="20"/>
                <w:szCs w:val="20"/>
              </w:rPr>
              <w:t xml:space="preserve"> placebo</w:t>
            </w:r>
          </w:p>
        </w:tc>
        <w:tc>
          <w:tcPr>
            <w:tcW w:w="6011" w:type="dxa"/>
            <w:gridSpan w:val="2"/>
          </w:tcPr>
          <w:p w14:paraId="73F5E112" w14:textId="77777777" w:rsidR="008A1DBD" w:rsidRPr="006921E7" w:rsidRDefault="008A1DBD" w:rsidP="006921E7">
            <w:pPr>
              <w:rPr>
                <w:sz w:val="20"/>
                <w:szCs w:val="20"/>
              </w:rPr>
            </w:pPr>
            <w:r w:rsidRPr="006921E7">
              <w:rPr>
                <w:sz w:val="20"/>
                <w:szCs w:val="20"/>
              </w:rPr>
              <w:t>0.83 (95% CI: 0.45, 1.51)</w:t>
            </w:r>
          </w:p>
        </w:tc>
      </w:tr>
      <w:tr w:rsidR="008A1DBD" w:rsidRPr="006921E7" w14:paraId="2701A4C1" w14:textId="77777777" w:rsidTr="00EE5F8D">
        <w:tc>
          <w:tcPr>
            <w:tcW w:w="3005" w:type="dxa"/>
          </w:tcPr>
          <w:p w14:paraId="376AD2A6" w14:textId="77777777" w:rsidR="008A1DBD" w:rsidRPr="006921E7" w:rsidRDefault="008A1DBD" w:rsidP="006921E7">
            <w:pPr>
              <w:rPr>
                <w:sz w:val="20"/>
                <w:szCs w:val="20"/>
              </w:rPr>
            </w:pPr>
            <w:r w:rsidRPr="006921E7">
              <w:rPr>
                <w:sz w:val="20"/>
                <w:szCs w:val="20"/>
              </w:rPr>
              <w:t>CPS ≥ 1</w:t>
            </w:r>
          </w:p>
        </w:tc>
        <w:tc>
          <w:tcPr>
            <w:tcW w:w="3005" w:type="dxa"/>
          </w:tcPr>
          <w:p w14:paraId="18200186" w14:textId="77777777" w:rsidR="008A1DBD" w:rsidRPr="006921E7" w:rsidRDefault="008A1DBD" w:rsidP="006921E7">
            <w:pPr>
              <w:rPr>
                <w:sz w:val="20"/>
                <w:szCs w:val="20"/>
              </w:rPr>
            </w:pPr>
            <w:r w:rsidRPr="006921E7">
              <w:rPr>
                <w:sz w:val="20"/>
                <w:szCs w:val="20"/>
              </w:rPr>
              <w:t>N = 365</w:t>
            </w:r>
          </w:p>
        </w:tc>
        <w:tc>
          <w:tcPr>
            <w:tcW w:w="3006" w:type="dxa"/>
          </w:tcPr>
          <w:p w14:paraId="1EE735A4" w14:textId="77777777" w:rsidR="008A1DBD" w:rsidRPr="006921E7" w:rsidRDefault="008A1DBD" w:rsidP="006921E7">
            <w:pPr>
              <w:rPr>
                <w:sz w:val="20"/>
                <w:szCs w:val="20"/>
              </w:rPr>
            </w:pPr>
            <w:r w:rsidRPr="006921E7">
              <w:rPr>
                <w:sz w:val="20"/>
                <w:szCs w:val="20"/>
              </w:rPr>
              <w:t>N = 383</w:t>
            </w:r>
          </w:p>
        </w:tc>
      </w:tr>
      <w:tr w:rsidR="008A1DBD" w:rsidRPr="006921E7" w14:paraId="17805E1B" w14:textId="77777777" w:rsidTr="00EE5F8D">
        <w:tc>
          <w:tcPr>
            <w:tcW w:w="3005" w:type="dxa"/>
          </w:tcPr>
          <w:p w14:paraId="051A413B" w14:textId="77777777" w:rsidR="008A1DBD" w:rsidRPr="006921E7" w:rsidRDefault="008A1DBD" w:rsidP="006921E7">
            <w:pPr>
              <w:rPr>
                <w:sz w:val="20"/>
                <w:szCs w:val="20"/>
              </w:rPr>
            </w:pPr>
            <w:r w:rsidRPr="006921E7">
              <w:rPr>
                <w:sz w:val="20"/>
                <w:szCs w:val="20"/>
              </w:rPr>
              <w:t>Deaths</w:t>
            </w:r>
          </w:p>
          <w:p w14:paraId="5B4521FD" w14:textId="77777777" w:rsidR="008A1DBD" w:rsidRPr="006921E7" w:rsidRDefault="008A1DBD" w:rsidP="006921E7">
            <w:pPr>
              <w:rPr>
                <w:sz w:val="20"/>
                <w:szCs w:val="20"/>
              </w:rPr>
            </w:pPr>
            <w:r w:rsidRPr="006921E7">
              <w:rPr>
                <w:sz w:val="20"/>
                <w:szCs w:val="20"/>
              </w:rPr>
              <w:t>Disease recurrence</w:t>
            </w:r>
          </w:p>
        </w:tc>
        <w:tc>
          <w:tcPr>
            <w:tcW w:w="3005" w:type="dxa"/>
          </w:tcPr>
          <w:p w14:paraId="0635D189" w14:textId="77777777" w:rsidR="008A1DBD" w:rsidRPr="006921E7" w:rsidRDefault="008A1DBD" w:rsidP="006921E7">
            <w:pPr>
              <w:rPr>
                <w:sz w:val="20"/>
                <w:szCs w:val="20"/>
              </w:rPr>
            </w:pPr>
            <w:r w:rsidRPr="006921E7">
              <w:rPr>
                <w:sz w:val="20"/>
                <w:szCs w:val="20"/>
              </w:rPr>
              <w:t>4 (1.1%)</w:t>
            </w:r>
          </w:p>
          <w:p w14:paraId="59B43A74" w14:textId="77777777" w:rsidR="008A1DBD" w:rsidRPr="006921E7" w:rsidRDefault="008A1DBD" w:rsidP="006921E7">
            <w:pPr>
              <w:rPr>
                <w:sz w:val="20"/>
                <w:szCs w:val="20"/>
              </w:rPr>
            </w:pPr>
            <w:r w:rsidRPr="006921E7">
              <w:rPr>
                <w:sz w:val="20"/>
                <w:szCs w:val="20"/>
              </w:rPr>
              <w:t>83 (22.7%)</w:t>
            </w:r>
          </w:p>
        </w:tc>
        <w:tc>
          <w:tcPr>
            <w:tcW w:w="3006" w:type="dxa"/>
          </w:tcPr>
          <w:p w14:paraId="72334B21" w14:textId="77777777" w:rsidR="008A1DBD" w:rsidRPr="006921E7" w:rsidRDefault="008A1DBD" w:rsidP="006921E7">
            <w:pPr>
              <w:rPr>
                <w:sz w:val="20"/>
                <w:szCs w:val="20"/>
              </w:rPr>
            </w:pPr>
            <w:r w:rsidRPr="006921E7">
              <w:rPr>
                <w:sz w:val="20"/>
                <w:szCs w:val="20"/>
              </w:rPr>
              <w:t>2 (0.5%)</w:t>
            </w:r>
          </w:p>
          <w:p w14:paraId="34D62CC5" w14:textId="77777777" w:rsidR="008A1DBD" w:rsidRPr="006921E7" w:rsidRDefault="008A1DBD" w:rsidP="006921E7">
            <w:pPr>
              <w:rPr>
                <w:sz w:val="20"/>
                <w:szCs w:val="20"/>
              </w:rPr>
            </w:pPr>
            <w:r w:rsidRPr="006921E7">
              <w:rPr>
                <w:sz w:val="20"/>
                <w:szCs w:val="20"/>
              </w:rPr>
              <w:t>126 (32.9%)</w:t>
            </w:r>
          </w:p>
        </w:tc>
      </w:tr>
      <w:tr w:rsidR="008A1DBD" w:rsidRPr="006921E7" w14:paraId="408B8BEE" w14:textId="77777777" w:rsidTr="00EE5F8D">
        <w:tc>
          <w:tcPr>
            <w:tcW w:w="3005" w:type="dxa"/>
          </w:tcPr>
          <w:p w14:paraId="32A6F1CC" w14:textId="776AED80" w:rsidR="008A1DBD" w:rsidRPr="006921E7" w:rsidRDefault="008A1DBD" w:rsidP="006921E7">
            <w:pPr>
              <w:rPr>
                <w:sz w:val="20"/>
                <w:szCs w:val="20"/>
              </w:rPr>
            </w:pPr>
            <w:r w:rsidRPr="006921E7">
              <w:rPr>
                <w:sz w:val="20"/>
                <w:szCs w:val="20"/>
              </w:rPr>
              <w:t xml:space="preserve">HR </w:t>
            </w:r>
            <w:r w:rsidR="00EE5F8D" w:rsidRPr="006921E7">
              <w:rPr>
                <w:sz w:val="20"/>
                <w:szCs w:val="20"/>
              </w:rPr>
              <w:t>versus</w:t>
            </w:r>
            <w:r w:rsidRPr="006921E7">
              <w:rPr>
                <w:sz w:val="20"/>
                <w:szCs w:val="20"/>
              </w:rPr>
              <w:t xml:space="preserve"> placebo</w:t>
            </w:r>
          </w:p>
        </w:tc>
        <w:tc>
          <w:tcPr>
            <w:tcW w:w="6011" w:type="dxa"/>
            <w:gridSpan w:val="2"/>
          </w:tcPr>
          <w:p w14:paraId="4996FD98" w14:textId="77777777" w:rsidR="008A1DBD" w:rsidRPr="006921E7" w:rsidRDefault="008A1DBD" w:rsidP="006921E7">
            <w:pPr>
              <w:rPr>
                <w:sz w:val="20"/>
                <w:szCs w:val="20"/>
              </w:rPr>
            </w:pPr>
            <w:r w:rsidRPr="006921E7">
              <w:rPr>
                <w:sz w:val="20"/>
                <w:szCs w:val="20"/>
              </w:rPr>
              <w:t>0.67 (95% CI: 0.51, 0.88)</w:t>
            </w:r>
          </w:p>
        </w:tc>
      </w:tr>
    </w:tbl>
    <w:p w14:paraId="44840FE3" w14:textId="1888ECDF" w:rsidR="008A1DBD" w:rsidRPr="00765241" w:rsidRDefault="008A1DBD" w:rsidP="008A1DBD">
      <w:r>
        <w:t xml:space="preserve">Updates to these data at the </w:t>
      </w:r>
      <w:r w:rsidR="00FE2686">
        <w:t>efficacy update report</w:t>
      </w:r>
      <w:r>
        <w:t xml:space="preserve"> </w:t>
      </w:r>
      <w:r w:rsidR="00FE2686">
        <w:t>data cut-off</w:t>
      </w:r>
      <w:r>
        <w:t xml:space="preserve"> are shown below (</w:t>
      </w:r>
      <w:r w:rsidRPr="00765241">
        <w:t xml:space="preserve">see also </w:t>
      </w:r>
      <w:r w:rsidRPr="00765241">
        <w:fldChar w:fldCharType="begin"/>
      </w:r>
      <w:r w:rsidRPr="00765241">
        <w:instrText xml:space="preserve"> REF _Ref96424632 \h  \* MERGEFORMAT </w:instrText>
      </w:r>
      <w:r w:rsidRPr="00765241">
        <w:fldChar w:fldCharType="separate"/>
      </w:r>
      <w:r w:rsidR="004E7B11">
        <w:t xml:space="preserve">Figure </w:t>
      </w:r>
      <w:r w:rsidR="004E7B11">
        <w:rPr>
          <w:noProof/>
        </w:rPr>
        <w:t>4</w:t>
      </w:r>
      <w:r w:rsidRPr="00765241">
        <w:fldChar w:fldCharType="end"/>
      </w:r>
      <w:r w:rsidRPr="00765241">
        <w:t>)</w:t>
      </w:r>
      <w:r w:rsidR="00765241">
        <w:t>.</w:t>
      </w:r>
    </w:p>
    <w:p w14:paraId="19625CEC" w14:textId="2B48CADD" w:rsidR="008A1DBD" w:rsidRDefault="008A1DBD" w:rsidP="008A1DBD">
      <w:pPr>
        <w:pStyle w:val="TableTitle"/>
      </w:pPr>
      <w:r>
        <w:t xml:space="preserve">Table </w:t>
      </w:r>
      <w:r>
        <w:fldChar w:fldCharType="begin"/>
      </w:r>
      <w:r>
        <w:instrText>SEQ Table \* ARABIC</w:instrText>
      </w:r>
      <w:r>
        <w:fldChar w:fldCharType="separate"/>
      </w:r>
      <w:r w:rsidR="004E7B11">
        <w:rPr>
          <w:noProof/>
        </w:rPr>
        <w:t>12</w:t>
      </w:r>
      <w:r>
        <w:fldChar w:fldCharType="end"/>
      </w:r>
      <w:r w:rsidR="00765241">
        <w:rPr>
          <w:noProof/>
        </w:rPr>
        <w:t xml:space="preserve">: </w:t>
      </w:r>
      <w:r w:rsidR="004B5399" w:rsidRPr="004B5399">
        <w:rPr>
          <w:noProof/>
        </w:rPr>
        <w:t xml:space="preserve">KEYNOTE-564 trial </w:t>
      </w:r>
      <w:r w:rsidR="004B5399">
        <w:rPr>
          <w:noProof/>
        </w:rPr>
        <w:t>d</w:t>
      </w:r>
      <w:r w:rsidR="00FE2686">
        <w:t>isease free survival</w:t>
      </w:r>
      <w:r>
        <w:t xml:space="preserve"> by PD-L1 expression status (ITT) – updated (</w:t>
      </w:r>
      <w:r w:rsidR="00FE2686">
        <w:t>data cut-off</w:t>
      </w:r>
      <w:r>
        <w:t xml:space="preserve"> 14 </w:t>
      </w:r>
      <w:r w:rsidR="00FE2686">
        <w:t>June</w:t>
      </w:r>
      <w:r>
        <w:t xml:space="preserve"> </w:t>
      </w:r>
      <w:proofErr w:type="gramStart"/>
      <w:r>
        <w:t>2021)*</w:t>
      </w:r>
      <w:proofErr w:type="gramEnd"/>
    </w:p>
    <w:tbl>
      <w:tblPr>
        <w:tblStyle w:val="TableGrid"/>
        <w:tblW w:w="0" w:type="auto"/>
        <w:tblLook w:val="04A0" w:firstRow="1" w:lastRow="0" w:firstColumn="1" w:lastColumn="0" w:noHBand="0" w:noVBand="1"/>
      </w:tblPr>
      <w:tblGrid>
        <w:gridCol w:w="3005"/>
        <w:gridCol w:w="3005"/>
        <w:gridCol w:w="3006"/>
      </w:tblGrid>
      <w:tr w:rsidR="008A1DBD" w:rsidRPr="006921E7" w14:paraId="0C717793" w14:textId="77777777" w:rsidTr="00EE5F8D">
        <w:tc>
          <w:tcPr>
            <w:tcW w:w="3005" w:type="dxa"/>
          </w:tcPr>
          <w:p w14:paraId="6D937AF6" w14:textId="77777777" w:rsidR="008A1DBD" w:rsidRPr="006921E7" w:rsidRDefault="008A1DBD" w:rsidP="006921E7">
            <w:pPr>
              <w:rPr>
                <w:sz w:val="20"/>
                <w:szCs w:val="20"/>
              </w:rPr>
            </w:pPr>
          </w:p>
        </w:tc>
        <w:tc>
          <w:tcPr>
            <w:tcW w:w="3005" w:type="dxa"/>
          </w:tcPr>
          <w:p w14:paraId="4DE1162B" w14:textId="77777777" w:rsidR="008A1DBD" w:rsidRPr="006921E7" w:rsidRDefault="008A1DBD" w:rsidP="006921E7">
            <w:pPr>
              <w:rPr>
                <w:b/>
                <w:bCs/>
                <w:sz w:val="20"/>
                <w:szCs w:val="20"/>
              </w:rPr>
            </w:pPr>
            <w:r w:rsidRPr="006921E7">
              <w:rPr>
                <w:b/>
                <w:bCs/>
                <w:sz w:val="20"/>
                <w:szCs w:val="20"/>
              </w:rPr>
              <w:t>Pembrolizumab</w:t>
            </w:r>
          </w:p>
        </w:tc>
        <w:tc>
          <w:tcPr>
            <w:tcW w:w="3006" w:type="dxa"/>
          </w:tcPr>
          <w:p w14:paraId="4F1C518D" w14:textId="42C02461" w:rsidR="008A1DBD" w:rsidRPr="006921E7" w:rsidRDefault="00765241" w:rsidP="006921E7">
            <w:pPr>
              <w:rPr>
                <w:b/>
                <w:bCs/>
                <w:sz w:val="20"/>
                <w:szCs w:val="20"/>
              </w:rPr>
            </w:pPr>
            <w:r w:rsidRPr="006921E7">
              <w:rPr>
                <w:b/>
                <w:bCs/>
                <w:sz w:val="20"/>
                <w:szCs w:val="20"/>
              </w:rPr>
              <w:t>P</w:t>
            </w:r>
            <w:r w:rsidR="008A1DBD" w:rsidRPr="006921E7">
              <w:rPr>
                <w:b/>
                <w:bCs/>
                <w:sz w:val="20"/>
                <w:szCs w:val="20"/>
              </w:rPr>
              <w:t>lacebo</w:t>
            </w:r>
          </w:p>
        </w:tc>
      </w:tr>
      <w:tr w:rsidR="008A1DBD" w:rsidRPr="006921E7" w14:paraId="4FD6D937" w14:textId="77777777" w:rsidTr="00EE5F8D">
        <w:tc>
          <w:tcPr>
            <w:tcW w:w="3005" w:type="dxa"/>
          </w:tcPr>
          <w:p w14:paraId="780504B6" w14:textId="77777777" w:rsidR="008A1DBD" w:rsidRPr="006921E7" w:rsidRDefault="008A1DBD" w:rsidP="006921E7">
            <w:pPr>
              <w:rPr>
                <w:sz w:val="20"/>
                <w:szCs w:val="20"/>
              </w:rPr>
            </w:pPr>
            <w:r w:rsidRPr="006921E7">
              <w:rPr>
                <w:sz w:val="20"/>
                <w:szCs w:val="20"/>
              </w:rPr>
              <w:t>CPS &lt; 1</w:t>
            </w:r>
          </w:p>
        </w:tc>
        <w:tc>
          <w:tcPr>
            <w:tcW w:w="3005" w:type="dxa"/>
          </w:tcPr>
          <w:p w14:paraId="7392B0CD" w14:textId="77777777" w:rsidR="008A1DBD" w:rsidRPr="006921E7" w:rsidRDefault="008A1DBD" w:rsidP="006921E7">
            <w:pPr>
              <w:rPr>
                <w:sz w:val="20"/>
                <w:szCs w:val="20"/>
              </w:rPr>
            </w:pPr>
            <w:r w:rsidRPr="006921E7">
              <w:rPr>
                <w:sz w:val="20"/>
                <w:szCs w:val="20"/>
              </w:rPr>
              <w:t>N = 124</w:t>
            </w:r>
          </w:p>
        </w:tc>
        <w:tc>
          <w:tcPr>
            <w:tcW w:w="3006" w:type="dxa"/>
          </w:tcPr>
          <w:p w14:paraId="5D959DE2" w14:textId="77777777" w:rsidR="008A1DBD" w:rsidRPr="006921E7" w:rsidRDefault="008A1DBD" w:rsidP="006921E7">
            <w:pPr>
              <w:rPr>
                <w:sz w:val="20"/>
                <w:szCs w:val="20"/>
              </w:rPr>
            </w:pPr>
            <w:r w:rsidRPr="006921E7">
              <w:rPr>
                <w:sz w:val="20"/>
                <w:szCs w:val="20"/>
              </w:rPr>
              <w:t>N = 113</w:t>
            </w:r>
          </w:p>
        </w:tc>
      </w:tr>
      <w:tr w:rsidR="008A1DBD" w:rsidRPr="006921E7" w14:paraId="2B53CA02" w14:textId="77777777" w:rsidTr="00EE5F8D">
        <w:tc>
          <w:tcPr>
            <w:tcW w:w="3005" w:type="dxa"/>
          </w:tcPr>
          <w:p w14:paraId="00580553" w14:textId="40C82D9A" w:rsidR="008A1DBD" w:rsidRPr="006921E7" w:rsidRDefault="008A1DBD" w:rsidP="006921E7">
            <w:pPr>
              <w:rPr>
                <w:sz w:val="20"/>
                <w:szCs w:val="20"/>
              </w:rPr>
            </w:pPr>
            <w:r w:rsidRPr="006921E7">
              <w:rPr>
                <w:sz w:val="20"/>
                <w:szCs w:val="20"/>
              </w:rPr>
              <w:t xml:space="preserve">HR </w:t>
            </w:r>
            <w:r w:rsidR="00EE5F8D" w:rsidRPr="006921E7">
              <w:rPr>
                <w:sz w:val="20"/>
                <w:szCs w:val="20"/>
              </w:rPr>
              <w:t>versus</w:t>
            </w:r>
            <w:r w:rsidRPr="006921E7">
              <w:rPr>
                <w:sz w:val="20"/>
                <w:szCs w:val="20"/>
              </w:rPr>
              <w:t xml:space="preserve"> placebo</w:t>
            </w:r>
          </w:p>
        </w:tc>
        <w:tc>
          <w:tcPr>
            <w:tcW w:w="6011" w:type="dxa"/>
            <w:gridSpan w:val="2"/>
          </w:tcPr>
          <w:p w14:paraId="4BD0FBAC" w14:textId="77777777" w:rsidR="008A1DBD" w:rsidRPr="006921E7" w:rsidRDefault="008A1DBD" w:rsidP="006921E7">
            <w:pPr>
              <w:rPr>
                <w:sz w:val="20"/>
                <w:szCs w:val="20"/>
              </w:rPr>
            </w:pPr>
            <w:r w:rsidRPr="006921E7">
              <w:rPr>
                <w:sz w:val="20"/>
                <w:szCs w:val="20"/>
              </w:rPr>
              <w:t>0.68 (95% CI: 0.37, 1.24)</w:t>
            </w:r>
          </w:p>
        </w:tc>
      </w:tr>
      <w:tr w:rsidR="008A1DBD" w:rsidRPr="006921E7" w14:paraId="36AB6245" w14:textId="77777777" w:rsidTr="00EE5F8D">
        <w:tc>
          <w:tcPr>
            <w:tcW w:w="3005" w:type="dxa"/>
          </w:tcPr>
          <w:p w14:paraId="48796C64" w14:textId="77777777" w:rsidR="008A1DBD" w:rsidRPr="006921E7" w:rsidRDefault="008A1DBD" w:rsidP="006921E7">
            <w:pPr>
              <w:rPr>
                <w:sz w:val="20"/>
                <w:szCs w:val="20"/>
              </w:rPr>
            </w:pPr>
            <w:r w:rsidRPr="006921E7">
              <w:rPr>
                <w:sz w:val="20"/>
                <w:szCs w:val="20"/>
              </w:rPr>
              <w:t>CPS ≥ 1</w:t>
            </w:r>
          </w:p>
        </w:tc>
        <w:tc>
          <w:tcPr>
            <w:tcW w:w="3005" w:type="dxa"/>
          </w:tcPr>
          <w:p w14:paraId="754024F9" w14:textId="77777777" w:rsidR="008A1DBD" w:rsidRPr="006921E7" w:rsidRDefault="008A1DBD" w:rsidP="006921E7">
            <w:pPr>
              <w:rPr>
                <w:sz w:val="20"/>
                <w:szCs w:val="20"/>
              </w:rPr>
            </w:pPr>
            <w:r w:rsidRPr="006921E7">
              <w:rPr>
                <w:sz w:val="20"/>
                <w:szCs w:val="20"/>
              </w:rPr>
              <w:t>N = 365</w:t>
            </w:r>
          </w:p>
        </w:tc>
        <w:tc>
          <w:tcPr>
            <w:tcW w:w="3006" w:type="dxa"/>
          </w:tcPr>
          <w:p w14:paraId="38D74CD5" w14:textId="77777777" w:rsidR="008A1DBD" w:rsidRPr="006921E7" w:rsidRDefault="008A1DBD" w:rsidP="006921E7">
            <w:pPr>
              <w:rPr>
                <w:sz w:val="20"/>
                <w:szCs w:val="20"/>
              </w:rPr>
            </w:pPr>
            <w:r w:rsidRPr="006921E7">
              <w:rPr>
                <w:sz w:val="20"/>
                <w:szCs w:val="20"/>
              </w:rPr>
              <w:t>N = 383</w:t>
            </w:r>
          </w:p>
        </w:tc>
      </w:tr>
      <w:tr w:rsidR="008A1DBD" w:rsidRPr="006921E7" w14:paraId="3ACE4489" w14:textId="77777777" w:rsidTr="00EE5F8D">
        <w:tc>
          <w:tcPr>
            <w:tcW w:w="3005" w:type="dxa"/>
          </w:tcPr>
          <w:p w14:paraId="67E5B134" w14:textId="0532058D" w:rsidR="008A1DBD" w:rsidRPr="006921E7" w:rsidRDefault="008A1DBD" w:rsidP="006921E7">
            <w:pPr>
              <w:rPr>
                <w:sz w:val="20"/>
                <w:szCs w:val="20"/>
              </w:rPr>
            </w:pPr>
            <w:r w:rsidRPr="006921E7">
              <w:rPr>
                <w:sz w:val="20"/>
                <w:szCs w:val="20"/>
              </w:rPr>
              <w:t xml:space="preserve">HR </w:t>
            </w:r>
            <w:r w:rsidR="00EE5F8D" w:rsidRPr="006921E7">
              <w:rPr>
                <w:sz w:val="20"/>
                <w:szCs w:val="20"/>
              </w:rPr>
              <w:t>versus</w:t>
            </w:r>
            <w:r w:rsidRPr="006921E7">
              <w:rPr>
                <w:sz w:val="20"/>
                <w:szCs w:val="20"/>
              </w:rPr>
              <w:t xml:space="preserve"> placebo</w:t>
            </w:r>
          </w:p>
        </w:tc>
        <w:tc>
          <w:tcPr>
            <w:tcW w:w="6011" w:type="dxa"/>
            <w:gridSpan w:val="2"/>
          </w:tcPr>
          <w:p w14:paraId="71CC044F" w14:textId="77777777" w:rsidR="008A1DBD" w:rsidRPr="006921E7" w:rsidRDefault="008A1DBD" w:rsidP="006921E7">
            <w:pPr>
              <w:rPr>
                <w:sz w:val="20"/>
                <w:szCs w:val="20"/>
              </w:rPr>
            </w:pPr>
            <w:r w:rsidRPr="006921E7">
              <w:rPr>
                <w:sz w:val="20"/>
                <w:szCs w:val="20"/>
              </w:rPr>
              <w:t>0.63 (95% CI: 0.49, 0.82)</w:t>
            </w:r>
          </w:p>
        </w:tc>
      </w:tr>
    </w:tbl>
    <w:p w14:paraId="1627FCBC" w14:textId="60408217" w:rsidR="008A1DBD" w:rsidRPr="00D01157" w:rsidRDefault="008A1DBD" w:rsidP="008A1DBD">
      <w:pPr>
        <w:rPr>
          <w:sz w:val="18"/>
          <w:szCs w:val="18"/>
        </w:rPr>
      </w:pPr>
      <w:r w:rsidRPr="00D01157">
        <w:rPr>
          <w:sz w:val="18"/>
          <w:szCs w:val="18"/>
        </w:rPr>
        <w:t xml:space="preserve">*a breakdown of events by deaths/recurrences </w:t>
      </w:r>
      <w:r>
        <w:rPr>
          <w:sz w:val="18"/>
          <w:szCs w:val="18"/>
        </w:rPr>
        <w:t>could not be found</w:t>
      </w:r>
      <w:r w:rsidRPr="00D01157">
        <w:rPr>
          <w:sz w:val="18"/>
          <w:szCs w:val="18"/>
        </w:rPr>
        <w:t xml:space="preserve"> in the </w:t>
      </w:r>
      <w:r w:rsidR="00FE2686">
        <w:rPr>
          <w:sz w:val="18"/>
          <w:szCs w:val="18"/>
        </w:rPr>
        <w:t>efficacy update report</w:t>
      </w:r>
      <w:r>
        <w:rPr>
          <w:sz w:val="18"/>
          <w:szCs w:val="18"/>
        </w:rPr>
        <w:t xml:space="preserve">, but is not expected to be very different to </w:t>
      </w:r>
      <w:r w:rsidR="00FE2686">
        <w:rPr>
          <w:sz w:val="18"/>
          <w:szCs w:val="18"/>
        </w:rPr>
        <w:t>first interim analysis</w:t>
      </w:r>
      <w:r>
        <w:rPr>
          <w:sz w:val="18"/>
          <w:szCs w:val="18"/>
        </w:rPr>
        <w:t xml:space="preserve">, since there was only one additional </w:t>
      </w:r>
      <w:proofErr w:type="gramStart"/>
      <w:r w:rsidR="00FE2686">
        <w:rPr>
          <w:sz w:val="18"/>
          <w:szCs w:val="18"/>
        </w:rPr>
        <w:t>disease free</w:t>
      </w:r>
      <w:proofErr w:type="gramEnd"/>
      <w:r w:rsidR="00FE2686">
        <w:rPr>
          <w:sz w:val="18"/>
          <w:szCs w:val="18"/>
        </w:rPr>
        <w:t xml:space="preserve"> survival</w:t>
      </w:r>
      <w:r>
        <w:rPr>
          <w:sz w:val="18"/>
          <w:szCs w:val="18"/>
        </w:rPr>
        <w:t xml:space="preserve"> death event at the </w:t>
      </w:r>
      <w:r w:rsidR="00FE2686">
        <w:rPr>
          <w:sz w:val="18"/>
          <w:szCs w:val="18"/>
        </w:rPr>
        <w:t>efficacy update report</w:t>
      </w:r>
      <w:r>
        <w:rPr>
          <w:sz w:val="18"/>
          <w:szCs w:val="18"/>
        </w:rPr>
        <w:t xml:space="preserve"> (in the placebo group)</w:t>
      </w:r>
    </w:p>
    <w:p w14:paraId="17177E48" w14:textId="0EB69D82" w:rsidR="008A1DBD" w:rsidRDefault="00765241" w:rsidP="008A1DBD">
      <w:pPr>
        <w:pStyle w:val="Heading7"/>
      </w:pPr>
      <w:r>
        <w:t>O</w:t>
      </w:r>
      <w:r w:rsidR="00E90F9C">
        <w:t>verall survival</w:t>
      </w:r>
      <w:r w:rsidR="008A1DBD">
        <w:t xml:space="preserve"> by PD-L1 expression status</w:t>
      </w:r>
    </w:p>
    <w:p w14:paraId="7B545CA8" w14:textId="03A25A75" w:rsidR="008A1DBD" w:rsidRDefault="008A1DBD" w:rsidP="008A1DBD">
      <w:r>
        <w:t xml:space="preserve">Analysis of </w:t>
      </w:r>
      <w:r w:rsidR="00E90F9C">
        <w:t>overall survival</w:t>
      </w:r>
      <w:r>
        <w:t xml:space="preserve"> in patients positive for PD-L1 expression is shown below. The number of death events in CPS &lt;</w:t>
      </w:r>
      <w:r w:rsidR="00765241">
        <w:t xml:space="preserve"> </w:t>
      </w:r>
      <w:r>
        <w:t>1 subgroup was too small (</w:t>
      </w:r>
      <w:r w:rsidR="008B5056">
        <w:t>six</w:t>
      </w:r>
      <w:r>
        <w:t xml:space="preserve"> deaths across both arms) to draw any meaningful conclusions, and therefore the analysis result was not provided for this subgroup.</w:t>
      </w:r>
    </w:p>
    <w:p w14:paraId="6E738453" w14:textId="05E2C4A9" w:rsidR="008A1DBD" w:rsidRDefault="008A1DBD" w:rsidP="008A1DBD">
      <w:pPr>
        <w:pStyle w:val="TableTitle"/>
      </w:pPr>
      <w:r>
        <w:lastRenderedPageBreak/>
        <w:t xml:space="preserve">Table </w:t>
      </w:r>
      <w:r>
        <w:fldChar w:fldCharType="begin"/>
      </w:r>
      <w:r>
        <w:instrText>SEQ Table \* ARABIC</w:instrText>
      </w:r>
      <w:r>
        <w:fldChar w:fldCharType="separate"/>
      </w:r>
      <w:r w:rsidR="004E7B11">
        <w:rPr>
          <w:noProof/>
        </w:rPr>
        <w:t>13</w:t>
      </w:r>
      <w:r>
        <w:fldChar w:fldCharType="end"/>
      </w:r>
      <w:r w:rsidR="00765241">
        <w:rPr>
          <w:noProof/>
        </w:rPr>
        <w:t>:</w:t>
      </w:r>
      <w:r>
        <w:t xml:space="preserve"> </w:t>
      </w:r>
      <w:r w:rsidR="004B5399" w:rsidRPr="004B5399">
        <w:t xml:space="preserve">KEYNOTE-564 trial </w:t>
      </w:r>
      <w:r w:rsidR="004B5399">
        <w:t>a</w:t>
      </w:r>
      <w:r>
        <w:t xml:space="preserve">nalysis of </w:t>
      </w:r>
      <w:r w:rsidR="00E90F9C">
        <w:t>overall survival</w:t>
      </w:r>
      <w:r>
        <w:t xml:space="preserve">, CPS ≥ 1 (ITT) – </w:t>
      </w:r>
      <w:r w:rsidR="00FE2686">
        <w:t xml:space="preserve">first interim analysis </w:t>
      </w:r>
      <w:r>
        <w:t>(</w:t>
      </w:r>
      <w:r w:rsidR="00FE2686">
        <w:t>data cut-off</w:t>
      </w:r>
      <w:r>
        <w:t xml:space="preserve"> 14</w:t>
      </w:r>
      <w:r w:rsidR="00765241">
        <w:t> </w:t>
      </w:r>
      <w:r w:rsidR="00FE2686">
        <w:t>December</w:t>
      </w:r>
      <w:r>
        <w:t xml:space="preserve"> 2020)</w:t>
      </w:r>
    </w:p>
    <w:p w14:paraId="60A8688D" w14:textId="77777777" w:rsidR="008A1DBD" w:rsidRDefault="008A1DBD" w:rsidP="008A1DBD">
      <w:r w:rsidRPr="000075A6">
        <w:rPr>
          <w:noProof/>
        </w:rPr>
        <w:drawing>
          <wp:inline distT="0" distB="0" distL="0" distR="0" wp14:anchorId="5B01CBDB" wp14:editId="605BF0BB">
            <wp:extent cx="5591175" cy="3940937"/>
            <wp:effectExtent l="0" t="0" r="0" b="2540"/>
            <wp:docPr id="14" name="Picture 14" descr="This table shows KEYNOTE-564 trial analysis of overall survival, CPS ≥ 1 (ITT) – first interim analysis (data cut-off 14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table shows KEYNOTE-564 trial analysis of overall survival, CPS ≥ 1 (ITT) – first interim analysis (data cut-off 14 December 2020)."/>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592279" cy="3941715"/>
                    </a:xfrm>
                    <a:prstGeom prst="rect">
                      <a:avLst/>
                    </a:prstGeom>
                    <a:noFill/>
                    <a:ln>
                      <a:noFill/>
                    </a:ln>
                  </pic:spPr>
                </pic:pic>
              </a:graphicData>
            </a:graphic>
          </wp:inline>
        </w:drawing>
      </w:r>
    </w:p>
    <w:p w14:paraId="37BFC190" w14:textId="5CF30DAF" w:rsidR="008A1DBD" w:rsidRDefault="008A1DBD" w:rsidP="008A1DBD">
      <w:r>
        <w:t xml:space="preserve">The </w:t>
      </w:r>
      <w:r w:rsidR="00FE2686">
        <w:t>efficacy update report</w:t>
      </w:r>
      <w:r>
        <w:t xml:space="preserve"> did not include updated analysis of </w:t>
      </w:r>
      <w:r w:rsidR="00E90F9C">
        <w:t>overall survival</w:t>
      </w:r>
      <w:r>
        <w:t xml:space="preserve"> by PD-L1 expression.</w:t>
      </w:r>
    </w:p>
    <w:p w14:paraId="52719112" w14:textId="77777777" w:rsidR="008A1DBD" w:rsidRDefault="008A1DBD" w:rsidP="008A1DBD">
      <w:pPr>
        <w:pStyle w:val="Heading7"/>
      </w:pPr>
      <w:r>
        <w:t>Patient reported outcomes</w:t>
      </w:r>
    </w:p>
    <w:p w14:paraId="69D73E9F" w14:textId="13861F87" w:rsidR="008A1DBD" w:rsidRPr="000075A6" w:rsidRDefault="008A1DBD" w:rsidP="008A1DBD">
      <w:r>
        <w:t xml:space="preserve">The </w:t>
      </w:r>
      <w:r w:rsidR="00765241">
        <w:t>patient reported outcomes</w:t>
      </w:r>
      <w:r>
        <w:t xml:space="preserve"> </w:t>
      </w:r>
      <w:r w:rsidR="00D94E42">
        <w:t>for the full analysis set</w:t>
      </w:r>
      <w:r>
        <w:t xml:space="preserve"> population comprised </w:t>
      </w:r>
      <w:r w:rsidR="00D94E42">
        <w:t xml:space="preserve">of </w:t>
      </w:r>
      <w:r>
        <w:t xml:space="preserve">subjects who had at least </w:t>
      </w:r>
      <w:r w:rsidR="00765241">
        <w:t xml:space="preserve">one patient reported outcome </w:t>
      </w:r>
      <w:r>
        <w:t xml:space="preserve">assessment available and had received at least </w:t>
      </w:r>
      <w:r w:rsidR="00765241">
        <w:t>one</w:t>
      </w:r>
      <w:r>
        <w:t xml:space="preserve"> dose of the study medication. Compliance with questionnaires was a</w:t>
      </w:r>
      <w:r w:rsidR="00D94E42">
        <w:t>round</w:t>
      </w:r>
      <w:r>
        <w:t xml:space="preserve"> 90% in both groups at </w:t>
      </w:r>
      <w:r w:rsidR="00765241">
        <w:t>B</w:t>
      </w:r>
      <w:r>
        <w:t>aseline and around 85% (of those expected to complete the questionnaire) in both groups at Week 52. Patient</w:t>
      </w:r>
      <w:r w:rsidR="00765241">
        <w:t xml:space="preserve"> </w:t>
      </w:r>
      <w:r>
        <w:t xml:space="preserve">reported outcomes for </w:t>
      </w:r>
      <w:r w:rsidR="00FE2686">
        <w:t xml:space="preserve">first interim analysis </w:t>
      </w:r>
      <w:r>
        <w:t xml:space="preserve">are shown below. The </w:t>
      </w:r>
      <w:r w:rsidR="00D94E42">
        <w:t>least squares</w:t>
      </w:r>
      <w:r>
        <w:t xml:space="preserve"> mean changes from baseline at Week 52 in both groups for both scores were below the thresholds defined as clinically meaningful (</w:t>
      </w:r>
      <w:r w:rsidR="00EE5F8D">
        <w:t>that is</w:t>
      </w:r>
      <w:r>
        <w:t xml:space="preserve">, below 3 points </w:t>
      </w:r>
      <w:r w:rsidRPr="002F49D5">
        <w:t>for FKSI-DRS</w:t>
      </w:r>
      <w:r w:rsidR="0043114B">
        <w:t>,</w:t>
      </w:r>
      <w:r w:rsidR="002F49D5" w:rsidRPr="002F49D5">
        <w:rPr>
          <w:rStyle w:val="FootnoteReference"/>
        </w:rPr>
        <w:footnoteReference w:id="11"/>
      </w:r>
      <w:r w:rsidRPr="002F49D5">
        <w:t xml:space="preserve"> and</w:t>
      </w:r>
      <w:r>
        <w:t xml:space="preserve"> 10 points for EORTC QLQ-C30</w:t>
      </w:r>
      <w:r w:rsidR="0043114B">
        <w:rPr>
          <w:rStyle w:val="FootnoteReference"/>
        </w:rPr>
        <w:footnoteReference w:id="12"/>
      </w:r>
      <w:r>
        <w:t>):</w:t>
      </w:r>
    </w:p>
    <w:p w14:paraId="018A46DD" w14:textId="35F0F8CC" w:rsidR="008A1DBD" w:rsidRDefault="008A1DBD" w:rsidP="008A1DBD">
      <w:pPr>
        <w:pStyle w:val="TableTitle"/>
      </w:pPr>
      <w:r>
        <w:lastRenderedPageBreak/>
        <w:t xml:space="preserve">Table </w:t>
      </w:r>
      <w:r>
        <w:fldChar w:fldCharType="begin"/>
      </w:r>
      <w:r>
        <w:instrText>SEQ Table \* ARABIC</w:instrText>
      </w:r>
      <w:r>
        <w:fldChar w:fldCharType="separate"/>
      </w:r>
      <w:r w:rsidR="004E7B11">
        <w:rPr>
          <w:noProof/>
        </w:rPr>
        <w:t>14</w:t>
      </w:r>
      <w:r>
        <w:fldChar w:fldCharType="end"/>
      </w:r>
      <w:r w:rsidR="00765241">
        <w:rPr>
          <w:noProof/>
        </w:rPr>
        <w:t>:</w:t>
      </w:r>
      <w:r>
        <w:t xml:space="preserve"> </w:t>
      </w:r>
      <w:r w:rsidR="004B5399" w:rsidRPr="004B5399">
        <w:t xml:space="preserve">KEYNOTE-564 trial </w:t>
      </w:r>
      <w:r w:rsidR="004B5399">
        <w:t>c</w:t>
      </w:r>
      <w:r>
        <w:t xml:space="preserve">hange from </w:t>
      </w:r>
      <w:r w:rsidR="00765241">
        <w:t>B</w:t>
      </w:r>
      <w:r>
        <w:t>aseline in FKSI-DRS score to Week 52 (</w:t>
      </w:r>
      <w:r w:rsidR="00765241">
        <w:t>patient reported outcomes</w:t>
      </w:r>
      <w:r>
        <w:t xml:space="preserve"> FAS population)</w:t>
      </w:r>
    </w:p>
    <w:p w14:paraId="30CD2B62" w14:textId="64253101" w:rsidR="008A1DBD" w:rsidRDefault="00DF7276" w:rsidP="006921E7">
      <w:r>
        <w:rPr>
          <w:noProof/>
        </w:rPr>
        <w:drawing>
          <wp:inline distT="0" distB="0" distL="0" distR="0" wp14:anchorId="0C0FF6F3" wp14:editId="541493F1">
            <wp:extent cx="5759450" cy="2432685"/>
            <wp:effectExtent l="0" t="0" r="0" b="5715"/>
            <wp:docPr id="30" name="Picture 30" descr="This table shows KEYNOTE-564 trial change from Baseline in FKSI-DRS score to Week 52 (patient reported outcomes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table shows KEYNOTE-564 trial change from Baseline in FKSI-DRS score to Week 52 (patient reported outcomes FAS population)"/>
                    <pic:cNvPicPr/>
                  </pic:nvPicPr>
                  <pic:blipFill>
                    <a:blip r:embed="rId44"/>
                    <a:stretch>
                      <a:fillRect/>
                    </a:stretch>
                  </pic:blipFill>
                  <pic:spPr>
                    <a:xfrm>
                      <a:off x="0" y="0"/>
                      <a:ext cx="5759450" cy="2432685"/>
                    </a:xfrm>
                    <a:prstGeom prst="rect">
                      <a:avLst/>
                    </a:prstGeom>
                  </pic:spPr>
                </pic:pic>
              </a:graphicData>
            </a:graphic>
          </wp:inline>
        </w:drawing>
      </w:r>
    </w:p>
    <w:p w14:paraId="4A0610B0" w14:textId="5ED2BBCE" w:rsidR="008A1DBD" w:rsidRDefault="008A1DBD" w:rsidP="008A1DBD">
      <w:pPr>
        <w:pStyle w:val="TableTitle"/>
      </w:pPr>
      <w:r>
        <w:t xml:space="preserve">Table </w:t>
      </w:r>
      <w:r>
        <w:fldChar w:fldCharType="begin"/>
      </w:r>
      <w:r>
        <w:instrText>SEQ Table \* ARABIC</w:instrText>
      </w:r>
      <w:r>
        <w:fldChar w:fldCharType="separate"/>
      </w:r>
      <w:r w:rsidR="004E7B11">
        <w:rPr>
          <w:noProof/>
        </w:rPr>
        <w:t>15</w:t>
      </w:r>
      <w:r>
        <w:fldChar w:fldCharType="end"/>
      </w:r>
      <w:r w:rsidR="00765241">
        <w:rPr>
          <w:noProof/>
        </w:rPr>
        <w:t>:</w:t>
      </w:r>
      <w:r>
        <w:t xml:space="preserve"> </w:t>
      </w:r>
      <w:r w:rsidR="004B5399" w:rsidRPr="004B5399">
        <w:t xml:space="preserve">KEYNOTE-564 trial </w:t>
      </w:r>
      <w:r w:rsidR="004B5399">
        <w:t>c</w:t>
      </w:r>
      <w:r>
        <w:t xml:space="preserve">hange from </w:t>
      </w:r>
      <w:r w:rsidR="00765241">
        <w:t>B</w:t>
      </w:r>
      <w:r>
        <w:t>aseline in EORTC QLQ-C30 global health status/QO</w:t>
      </w:r>
      <w:r w:rsidR="00765241">
        <w:t>L</w:t>
      </w:r>
      <w:r>
        <w:t xml:space="preserve"> to Week 52 (</w:t>
      </w:r>
      <w:r w:rsidR="00765241">
        <w:t>patient reported outcome</w:t>
      </w:r>
      <w:r>
        <w:t xml:space="preserve"> FAS population)</w:t>
      </w:r>
    </w:p>
    <w:p w14:paraId="56938925" w14:textId="4F5BAD24" w:rsidR="00DF7276" w:rsidRDefault="00DF7276" w:rsidP="006921E7">
      <w:r>
        <w:rPr>
          <w:noProof/>
        </w:rPr>
        <w:drawing>
          <wp:inline distT="0" distB="0" distL="0" distR="0" wp14:anchorId="0B0E142D" wp14:editId="684C7EB4">
            <wp:extent cx="5759450" cy="2700020"/>
            <wp:effectExtent l="0" t="0" r="0" b="5080"/>
            <wp:docPr id="1" name="Picture 1" descr="This table shows KEYNOTE-564 trial change from Baseline in EORTC QLQ-C30 global health status/QOL to Week 52 (patient reported outcome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shows KEYNOTE-564 trial change from Baseline in EORTC QLQ-C30 global health status/QOL to Week 52 (patient reported outcome FAS population)."/>
                    <pic:cNvPicPr/>
                  </pic:nvPicPr>
                  <pic:blipFill>
                    <a:blip r:embed="rId45"/>
                    <a:stretch>
                      <a:fillRect/>
                    </a:stretch>
                  </pic:blipFill>
                  <pic:spPr>
                    <a:xfrm>
                      <a:off x="0" y="0"/>
                      <a:ext cx="5759450" cy="2700020"/>
                    </a:xfrm>
                    <a:prstGeom prst="rect">
                      <a:avLst/>
                    </a:prstGeom>
                  </pic:spPr>
                </pic:pic>
              </a:graphicData>
            </a:graphic>
          </wp:inline>
        </w:drawing>
      </w:r>
    </w:p>
    <w:p w14:paraId="565CD771" w14:textId="7EA27BD8" w:rsidR="008A1DBD" w:rsidRDefault="008A1DBD" w:rsidP="008A1DBD">
      <w:r>
        <w:t xml:space="preserve">There were no updates to the </w:t>
      </w:r>
      <w:r w:rsidR="00765241">
        <w:t>patient reported outcomes</w:t>
      </w:r>
      <w:r>
        <w:t xml:space="preserve"> in the updated efficacy report</w:t>
      </w:r>
      <w:r w:rsidR="00765241">
        <w:t>.</w:t>
      </w:r>
    </w:p>
    <w:p w14:paraId="42C1EBAF" w14:textId="77777777" w:rsidR="008A1DBD" w:rsidRDefault="008A1DBD" w:rsidP="008A1DBD">
      <w:pPr>
        <w:pStyle w:val="Heading4"/>
      </w:pPr>
      <w:bookmarkStart w:id="64" w:name="_Toc144287147"/>
      <w:r w:rsidRPr="00AA53F4">
        <w:t>Safety</w:t>
      </w:r>
      <w:bookmarkEnd w:id="64"/>
    </w:p>
    <w:p w14:paraId="247B660D" w14:textId="13B172D7" w:rsidR="008A1DBD" w:rsidRDefault="008A1DBD" w:rsidP="008A1DBD">
      <w:r>
        <w:t xml:space="preserve">Safety data for the proposed indication were derived from </w:t>
      </w:r>
      <w:r w:rsidR="00ED2AA0">
        <w:t>KEYNOTE-564</w:t>
      </w:r>
      <w:r w:rsidR="00765241">
        <w:t xml:space="preserve"> trial</w:t>
      </w:r>
      <w:r>
        <w:t xml:space="preserve"> (</w:t>
      </w:r>
      <w:proofErr w:type="spellStart"/>
      <w:r>
        <w:t>APaT</w:t>
      </w:r>
      <w:proofErr w:type="spellEnd"/>
      <w:r>
        <w:t xml:space="preserve"> population). These were compared with a reference safety dataset of pembrolizumab used in monotherapy, as </w:t>
      </w:r>
      <w:r w:rsidR="00B937D1">
        <w:t xml:space="preserve">detailed in </w:t>
      </w:r>
      <w:r w:rsidR="00B937D1">
        <w:fldChar w:fldCharType="begin"/>
      </w:r>
      <w:r w:rsidR="00B937D1">
        <w:instrText xml:space="preserve"> REF _Ref133930076 \h </w:instrText>
      </w:r>
      <w:r w:rsidR="00B937D1">
        <w:fldChar w:fldCharType="separate"/>
      </w:r>
      <w:r w:rsidR="004E7B11">
        <w:t xml:space="preserve">Table </w:t>
      </w:r>
      <w:r w:rsidR="004E7B11">
        <w:rPr>
          <w:noProof/>
        </w:rPr>
        <w:t>16</w:t>
      </w:r>
      <w:r w:rsidR="00B937D1">
        <w:fldChar w:fldCharType="end"/>
      </w:r>
      <w:r w:rsidR="00B937D1">
        <w:t>.</w:t>
      </w:r>
    </w:p>
    <w:p w14:paraId="2D06D385" w14:textId="349155C7" w:rsidR="008A1DBD" w:rsidRDefault="008A1DBD" w:rsidP="008A1DBD">
      <w:pPr>
        <w:pStyle w:val="TableTitle"/>
      </w:pPr>
      <w:bookmarkStart w:id="65" w:name="_Ref133930076"/>
      <w:r>
        <w:lastRenderedPageBreak/>
        <w:t xml:space="preserve">Table </w:t>
      </w:r>
      <w:r>
        <w:fldChar w:fldCharType="begin"/>
      </w:r>
      <w:r>
        <w:instrText>SEQ Table \* ARABIC</w:instrText>
      </w:r>
      <w:r>
        <w:fldChar w:fldCharType="separate"/>
      </w:r>
      <w:r w:rsidR="004E7B11">
        <w:rPr>
          <w:noProof/>
        </w:rPr>
        <w:t>16</w:t>
      </w:r>
      <w:r>
        <w:fldChar w:fldCharType="end"/>
      </w:r>
      <w:bookmarkEnd w:id="65"/>
      <w:r w:rsidR="00B937D1">
        <w:rPr>
          <w:noProof/>
        </w:rPr>
        <w:t>:</w:t>
      </w:r>
      <w:r>
        <w:t xml:space="preserve"> </w:t>
      </w:r>
      <w:r w:rsidR="004B5399">
        <w:t>K</w:t>
      </w:r>
      <w:r w:rsidR="004B5399" w:rsidRPr="004B5399">
        <w:t xml:space="preserve">EYNOTE-564 trial </w:t>
      </w:r>
      <w:r w:rsidR="004B5399">
        <w:t>s</w:t>
      </w:r>
      <w:r>
        <w:t>afety datasets</w:t>
      </w:r>
    </w:p>
    <w:p w14:paraId="4BD50C72" w14:textId="05B851C4" w:rsidR="00DF7276" w:rsidRDefault="00DF7276" w:rsidP="006921E7">
      <w:r>
        <w:rPr>
          <w:noProof/>
        </w:rPr>
        <w:drawing>
          <wp:inline distT="0" distB="0" distL="0" distR="0" wp14:anchorId="0B2574E5" wp14:editId="193A43E0">
            <wp:extent cx="5759450" cy="2271395"/>
            <wp:effectExtent l="0" t="0" r="0" b="0"/>
            <wp:docPr id="41" name="Picture 41" descr="This table shows KEYNOTE-564 trial safety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table shows KEYNOTE-564 trial safety datasets."/>
                    <pic:cNvPicPr/>
                  </pic:nvPicPr>
                  <pic:blipFill>
                    <a:blip r:embed="rId46"/>
                    <a:stretch>
                      <a:fillRect/>
                    </a:stretch>
                  </pic:blipFill>
                  <pic:spPr>
                    <a:xfrm>
                      <a:off x="0" y="0"/>
                      <a:ext cx="5759450" cy="2271395"/>
                    </a:xfrm>
                    <a:prstGeom prst="rect">
                      <a:avLst/>
                    </a:prstGeom>
                  </pic:spPr>
                </pic:pic>
              </a:graphicData>
            </a:graphic>
          </wp:inline>
        </w:drawing>
      </w:r>
    </w:p>
    <w:p w14:paraId="23279637" w14:textId="1456D20D" w:rsidR="008A1DBD" w:rsidRDefault="3499C27A" w:rsidP="008A1DBD">
      <w:r>
        <w:t xml:space="preserve">Updated safety data from </w:t>
      </w:r>
      <w:r w:rsidR="5E4F3D4B">
        <w:t xml:space="preserve">the </w:t>
      </w:r>
      <w:r>
        <w:t>KEYNOTE</w:t>
      </w:r>
      <w:r w:rsidR="5E4F3D4B">
        <w:t>-</w:t>
      </w:r>
      <w:r>
        <w:t>564</w:t>
      </w:r>
      <w:r w:rsidR="6621060E">
        <w:t xml:space="preserve"> trial</w:t>
      </w:r>
      <w:r>
        <w:t xml:space="preserve"> were also provided in a </w:t>
      </w:r>
      <w:r w:rsidR="6621060E">
        <w:t>s</w:t>
      </w:r>
      <w:r>
        <w:t xml:space="preserve">afety </w:t>
      </w:r>
      <w:r w:rsidR="6621060E">
        <w:t>u</w:t>
      </w:r>
      <w:r>
        <w:t xml:space="preserve">pdate </w:t>
      </w:r>
      <w:r w:rsidR="6621060E">
        <w:t>r</w:t>
      </w:r>
      <w:r>
        <w:t xml:space="preserve">eport </w:t>
      </w:r>
      <w:r w:rsidR="5E4F3D4B">
        <w:t>(</w:t>
      </w:r>
      <w:r w:rsidR="20C2831C">
        <w:t>data cut-off</w:t>
      </w:r>
      <w:r>
        <w:t xml:space="preserve"> </w:t>
      </w:r>
      <w:r w:rsidR="003F26E9">
        <w:t>14 June 2021</w:t>
      </w:r>
      <w:r w:rsidR="5E4F3D4B">
        <w:t xml:space="preserve">). It included </w:t>
      </w:r>
      <w:r w:rsidR="6621060E">
        <w:t>approximately six</w:t>
      </w:r>
      <w:r>
        <w:t xml:space="preserve"> months additional follow</w:t>
      </w:r>
      <w:r w:rsidR="5E4F3D4B">
        <w:t>-</w:t>
      </w:r>
      <w:r>
        <w:t>up</w:t>
      </w:r>
      <w:r w:rsidR="5E4F3D4B">
        <w:t xml:space="preserve"> data</w:t>
      </w:r>
      <w:r>
        <w:t>.</w:t>
      </w:r>
    </w:p>
    <w:p w14:paraId="40BA8D6E" w14:textId="77777777" w:rsidR="008A1DBD" w:rsidRDefault="008A1DBD" w:rsidP="00B937D1">
      <w:pPr>
        <w:pStyle w:val="Heading5"/>
      </w:pPr>
      <w:r>
        <w:t>Exposure</w:t>
      </w:r>
    </w:p>
    <w:p w14:paraId="4FD07972" w14:textId="6DCE731C" w:rsidR="008A1DBD" w:rsidRDefault="00ED2AA0" w:rsidP="008A1DBD">
      <w:r>
        <w:t>The m</w:t>
      </w:r>
      <w:r w:rsidR="008A1DBD">
        <w:t xml:space="preserve">edian duration on therapy was 11.1 months (17 doses) in both treatment groups in </w:t>
      </w:r>
      <w:r w:rsidR="00B937D1">
        <w:t>KEYNOTE</w:t>
      </w:r>
      <w:r>
        <w:t>-</w:t>
      </w:r>
      <w:r w:rsidR="008A1DBD">
        <w:t>564</w:t>
      </w:r>
      <w:r w:rsidR="00B937D1">
        <w:t xml:space="preserve"> trial</w:t>
      </w:r>
      <w:r w:rsidR="008A1DBD">
        <w:t xml:space="preserve">, compared with 4.2 months (7 doses) in the </w:t>
      </w:r>
      <w:r w:rsidR="00B937D1" w:rsidRPr="00B937D1">
        <w:t>reference safety dataset</w:t>
      </w:r>
      <w:r w:rsidR="008A1DBD">
        <w:t>.</w:t>
      </w:r>
    </w:p>
    <w:p w14:paraId="0BCFE502" w14:textId="6C80B585" w:rsidR="008A1DBD" w:rsidRDefault="008A1DBD" w:rsidP="008A1DBD">
      <w:r>
        <w:t xml:space="preserve">No patients received treatment during the </w:t>
      </w:r>
      <w:r w:rsidR="00B937D1" w:rsidRPr="00B937D1">
        <w:t xml:space="preserve">safety update report </w:t>
      </w:r>
      <w:r>
        <w:t xml:space="preserve">period, so exposure remained the same for the </w:t>
      </w:r>
      <w:r w:rsidR="00B937D1" w:rsidRPr="00B937D1">
        <w:t>safety update report</w:t>
      </w:r>
      <w:r>
        <w:t xml:space="preserve"> and </w:t>
      </w:r>
      <w:r w:rsidR="00FE2686">
        <w:t>first interim analysis data cut-off</w:t>
      </w:r>
      <w:r>
        <w:t>s.</w:t>
      </w:r>
    </w:p>
    <w:p w14:paraId="419121FE" w14:textId="77777777" w:rsidR="008A1DBD" w:rsidRDefault="008A1DBD" w:rsidP="00B937D1">
      <w:pPr>
        <w:pStyle w:val="Heading5"/>
      </w:pPr>
      <w:r>
        <w:t>Patient characteristics</w:t>
      </w:r>
    </w:p>
    <w:p w14:paraId="77D1E3D0" w14:textId="6C1140E9" w:rsidR="008A1DBD" w:rsidRDefault="008A1DBD" w:rsidP="008A1DBD">
      <w:r>
        <w:t xml:space="preserve">Patient characteristics were generally similar between </w:t>
      </w:r>
      <w:r w:rsidR="00ED2AA0">
        <w:t>KEYNOTE-564-</w:t>
      </w:r>
      <w:r w:rsidR="00B937D1">
        <w:t>trial</w:t>
      </w:r>
      <w:r>
        <w:t xml:space="preserve"> and the </w:t>
      </w:r>
      <w:r w:rsidR="00B937D1">
        <w:t>reference safety data</w:t>
      </w:r>
      <w:r>
        <w:t>, with the following notable exceptions:</w:t>
      </w:r>
    </w:p>
    <w:p w14:paraId="72DB84B6" w14:textId="77777777" w:rsidR="00C012C0" w:rsidRDefault="008A1DBD" w:rsidP="006921E7">
      <w:pPr>
        <w:pStyle w:val="ListBullet"/>
      </w:pPr>
      <w:r>
        <w:t xml:space="preserve">The percentage of participants who had ECOG PS = 1 was 14.8% in </w:t>
      </w:r>
      <w:r w:rsidR="00B937D1" w:rsidRPr="00B937D1">
        <w:t>KEYNOTE</w:t>
      </w:r>
      <w:r w:rsidR="00ED2AA0">
        <w:t>-</w:t>
      </w:r>
      <w:r w:rsidR="00B937D1" w:rsidRPr="00B937D1">
        <w:t>564</w:t>
      </w:r>
      <w:r w:rsidR="00ED2AA0">
        <w:t xml:space="preserve"> </w:t>
      </w:r>
      <w:r w:rsidR="00B937D1" w:rsidRPr="00B937D1">
        <w:t xml:space="preserve">trial </w:t>
      </w:r>
      <w:r>
        <w:t xml:space="preserve">and 48.1% in the </w:t>
      </w:r>
      <w:r w:rsidR="00B937D1" w:rsidRPr="00B937D1">
        <w:t>reference safety data</w:t>
      </w:r>
      <w:r>
        <w:t xml:space="preserve">, which is consistent with the inclusion of participants with advanced cancers in the </w:t>
      </w:r>
      <w:r w:rsidR="00B937D1" w:rsidRPr="00B937D1">
        <w:t xml:space="preserve">reference </w:t>
      </w:r>
      <w:r w:rsidR="00FF2782">
        <w:t xml:space="preserve">safety dataset </w:t>
      </w:r>
      <w:r>
        <w:t xml:space="preserve">compared with participants who received adjuvant therapy in </w:t>
      </w:r>
      <w:r w:rsidR="00B937D1" w:rsidRPr="00B937D1">
        <w:t>KEYNOTE</w:t>
      </w:r>
      <w:r w:rsidR="00ED2AA0">
        <w:t>-</w:t>
      </w:r>
      <w:r w:rsidR="00B937D1" w:rsidRPr="00B937D1">
        <w:t>564 trial</w:t>
      </w:r>
      <w:r>
        <w:t>.</w:t>
      </w:r>
    </w:p>
    <w:p w14:paraId="6CCC389A" w14:textId="1B359D2D" w:rsidR="008A1DBD" w:rsidRDefault="008A1DBD" w:rsidP="006921E7">
      <w:pPr>
        <w:pStyle w:val="ListBullet"/>
      </w:pPr>
      <w:r>
        <w:t xml:space="preserve">The age of participants was generally younger in </w:t>
      </w:r>
      <w:r w:rsidR="00B937D1">
        <w:t>KEYNOTE</w:t>
      </w:r>
      <w:r w:rsidR="00ED2AA0">
        <w:t>-</w:t>
      </w:r>
      <w:r w:rsidR="00B937D1">
        <w:t xml:space="preserve">564 trial </w:t>
      </w:r>
      <w:r>
        <w:t xml:space="preserve">compared with the </w:t>
      </w:r>
      <w:r w:rsidR="00B937D1" w:rsidRPr="00B937D1">
        <w:t xml:space="preserve">reference </w:t>
      </w:r>
      <w:r w:rsidR="00FF2782">
        <w:t xml:space="preserve">safety dataset </w:t>
      </w:r>
      <w:r>
        <w:t>(</w:t>
      </w:r>
      <w:r w:rsidR="00EE5F8D">
        <w:t>that is</w:t>
      </w:r>
      <w:r>
        <w:t xml:space="preserve">, 68.2% of participants in </w:t>
      </w:r>
      <w:r w:rsidR="00B937D1">
        <w:t>KEYNOTE</w:t>
      </w:r>
      <w:r w:rsidR="00ED2AA0">
        <w:t>-</w:t>
      </w:r>
      <w:r w:rsidR="00B937D1">
        <w:t xml:space="preserve">564 trial </w:t>
      </w:r>
      <w:r>
        <w:t>and 56.7% of participants in the</w:t>
      </w:r>
      <w:r w:rsidR="00B937D1" w:rsidRPr="00B937D1">
        <w:t xml:space="preserve"> reference </w:t>
      </w:r>
      <w:r w:rsidR="00FF2782">
        <w:t xml:space="preserve">safety dataset </w:t>
      </w:r>
      <w:r>
        <w:t xml:space="preserve">were </w:t>
      </w:r>
      <w:r w:rsidR="00B937D1">
        <w:t xml:space="preserve">younger than </w:t>
      </w:r>
      <w:r>
        <w:t>65 years).</w:t>
      </w:r>
    </w:p>
    <w:p w14:paraId="7E2FB48B" w14:textId="528D8EBC" w:rsidR="00DF7276" w:rsidRDefault="008A1DBD" w:rsidP="006921E7">
      <w:r>
        <w:lastRenderedPageBreak/>
        <w:t xml:space="preserve">Table </w:t>
      </w:r>
      <w:r>
        <w:fldChar w:fldCharType="begin"/>
      </w:r>
      <w:r>
        <w:instrText>SEQ Table \* ARABIC</w:instrText>
      </w:r>
      <w:r>
        <w:fldChar w:fldCharType="separate"/>
      </w:r>
      <w:r w:rsidR="004E7B11">
        <w:rPr>
          <w:noProof/>
        </w:rPr>
        <w:t>17</w:t>
      </w:r>
      <w:r>
        <w:fldChar w:fldCharType="end"/>
      </w:r>
      <w:r w:rsidR="00B937D1">
        <w:rPr>
          <w:noProof/>
        </w:rPr>
        <w:t>:</w:t>
      </w:r>
      <w:r>
        <w:t xml:space="preserve"> </w:t>
      </w:r>
      <w:r w:rsidR="004B5399" w:rsidRPr="004B5399">
        <w:t xml:space="preserve">KEYNOTE-564 trial </w:t>
      </w:r>
      <w:r w:rsidR="004B5399">
        <w:t>p</w:t>
      </w:r>
      <w:r>
        <w:t xml:space="preserve">articipant characteristics and </w:t>
      </w:r>
      <w:r w:rsidR="00B937D1" w:rsidRPr="00B937D1">
        <w:t>reference safety data</w:t>
      </w:r>
      <w:r w:rsidR="006C0C10" w:rsidRPr="006C0C10">
        <w:rPr>
          <w:noProof/>
        </w:rPr>
        <w:t xml:space="preserve"> </w:t>
      </w:r>
      <w:r w:rsidR="006C0C10">
        <w:rPr>
          <w:noProof/>
        </w:rPr>
        <w:drawing>
          <wp:inline distT="0" distB="0" distL="0" distR="0" wp14:anchorId="0475D91D" wp14:editId="175DECDD">
            <wp:extent cx="5759450" cy="3714115"/>
            <wp:effectExtent l="0" t="0" r="0" b="635"/>
            <wp:docPr id="53" name="Picture 53" descr="This table shows KEYNOTE-564 trial participant characteristics and referenc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table shows KEYNOTE-564 trial participant characteristics and reference safety data."/>
                    <pic:cNvPicPr/>
                  </pic:nvPicPr>
                  <pic:blipFill>
                    <a:blip r:embed="rId47"/>
                    <a:stretch>
                      <a:fillRect/>
                    </a:stretch>
                  </pic:blipFill>
                  <pic:spPr>
                    <a:xfrm>
                      <a:off x="0" y="0"/>
                      <a:ext cx="5759450" cy="3714115"/>
                    </a:xfrm>
                    <a:prstGeom prst="rect">
                      <a:avLst/>
                    </a:prstGeom>
                  </pic:spPr>
                </pic:pic>
              </a:graphicData>
            </a:graphic>
          </wp:inline>
        </w:drawing>
      </w:r>
    </w:p>
    <w:p w14:paraId="5B6B85AC" w14:textId="77777777" w:rsidR="008A1DBD" w:rsidRDefault="008A1DBD" w:rsidP="008A1DBD">
      <w:pPr>
        <w:pStyle w:val="Heading6"/>
      </w:pPr>
      <w:r>
        <w:t>Summary of adverse events</w:t>
      </w:r>
    </w:p>
    <w:p w14:paraId="2C915D43" w14:textId="77777777" w:rsidR="00C012C0" w:rsidRDefault="008A1DBD" w:rsidP="008A1DBD">
      <w:r>
        <w:t xml:space="preserve">Overall </w:t>
      </w:r>
      <w:r w:rsidR="00B937D1">
        <w:t>adverse event</w:t>
      </w:r>
      <w:r>
        <w:t>s are summarised below:</w:t>
      </w:r>
    </w:p>
    <w:p w14:paraId="16E8558D" w14:textId="7D0933C8" w:rsidR="008A1DBD" w:rsidRDefault="008A1DBD" w:rsidP="008A1DBD">
      <w:pPr>
        <w:pStyle w:val="TableTitle"/>
      </w:pPr>
      <w:bookmarkStart w:id="66" w:name="_Ref96439888"/>
      <w:r>
        <w:t xml:space="preserve">Table </w:t>
      </w:r>
      <w:r>
        <w:fldChar w:fldCharType="begin"/>
      </w:r>
      <w:r>
        <w:instrText>SEQ Table \* ARABIC</w:instrText>
      </w:r>
      <w:r>
        <w:fldChar w:fldCharType="separate"/>
      </w:r>
      <w:r w:rsidR="004E7B11">
        <w:rPr>
          <w:noProof/>
        </w:rPr>
        <w:t>18</w:t>
      </w:r>
      <w:r>
        <w:fldChar w:fldCharType="end"/>
      </w:r>
      <w:bookmarkEnd w:id="66"/>
      <w:r w:rsidR="00B937D1">
        <w:rPr>
          <w:noProof/>
        </w:rPr>
        <w:t xml:space="preserve">: </w:t>
      </w:r>
      <w:r w:rsidR="004B5399" w:rsidRPr="004B5399">
        <w:rPr>
          <w:noProof/>
        </w:rPr>
        <w:t xml:space="preserve">KEYNOTE-564 trial </w:t>
      </w:r>
      <w:r w:rsidR="004B5399">
        <w:rPr>
          <w:noProof/>
        </w:rPr>
        <w:t>a</w:t>
      </w:r>
      <w:r w:rsidR="00B937D1">
        <w:rPr>
          <w:noProof/>
        </w:rPr>
        <w:t>dverse events</w:t>
      </w:r>
      <w:r>
        <w:t xml:space="preserve"> summary (</w:t>
      </w:r>
      <w:proofErr w:type="spellStart"/>
      <w:r>
        <w:t>APaT</w:t>
      </w:r>
      <w:proofErr w:type="spellEnd"/>
      <w:r>
        <w:t xml:space="preserve"> population) – </w:t>
      </w:r>
      <w:r w:rsidR="00FE2686">
        <w:t>first interim analysis</w:t>
      </w:r>
    </w:p>
    <w:p w14:paraId="5ABD0640" w14:textId="0B12107A" w:rsidR="006C0C10" w:rsidRDefault="006C0C10" w:rsidP="004C16C7">
      <w:r>
        <w:rPr>
          <w:noProof/>
        </w:rPr>
        <w:drawing>
          <wp:inline distT="0" distB="0" distL="0" distR="0" wp14:anchorId="4F0ED8D5" wp14:editId="22EF1994">
            <wp:extent cx="5759450" cy="3699510"/>
            <wp:effectExtent l="0" t="0" r="0" b="0"/>
            <wp:docPr id="54" name="Picture 54" descr="This table shows KEYNOTE-564 trial adverse events summary (APaT population) – first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table shows KEYNOTE-564 trial adverse events summary (APaT population) – first interim analysis."/>
                    <pic:cNvPicPr/>
                  </pic:nvPicPr>
                  <pic:blipFill>
                    <a:blip r:embed="rId48"/>
                    <a:stretch>
                      <a:fillRect/>
                    </a:stretch>
                  </pic:blipFill>
                  <pic:spPr>
                    <a:xfrm>
                      <a:off x="0" y="0"/>
                      <a:ext cx="5759450" cy="3699510"/>
                    </a:xfrm>
                    <a:prstGeom prst="rect">
                      <a:avLst/>
                    </a:prstGeom>
                  </pic:spPr>
                </pic:pic>
              </a:graphicData>
            </a:graphic>
          </wp:inline>
        </w:drawing>
      </w:r>
    </w:p>
    <w:p w14:paraId="481D53E7" w14:textId="74A16BDF" w:rsidR="00C012C0" w:rsidRDefault="008A1DBD" w:rsidP="008A1DBD">
      <w:r>
        <w:lastRenderedPageBreak/>
        <w:t xml:space="preserve">Overall </w:t>
      </w:r>
      <w:r w:rsidR="00B937D1" w:rsidRPr="00B937D1">
        <w:t>adverse events</w:t>
      </w:r>
      <w:r>
        <w:t xml:space="preserve"> at the </w:t>
      </w:r>
      <w:r w:rsidR="00B937D1">
        <w:t>safety update report</w:t>
      </w:r>
      <w:r>
        <w:t xml:space="preserve"> were consistent with </w:t>
      </w:r>
      <w:r w:rsidR="00FE2686">
        <w:t xml:space="preserve">first interim analysis </w:t>
      </w:r>
      <w:r>
        <w:t>and are summarised below:</w:t>
      </w:r>
    </w:p>
    <w:p w14:paraId="170FBBCA" w14:textId="0A5CC5A4" w:rsidR="008A1DBD" w:rsidRDefault="008A1DBD" w:rsidP="008A1DBD">
      <w:pPr>
        <w:pStyle w:val="TableTitle"/>
      </w:pPr>
      <w:r>
        <w:t xml:space="preserve">Table </w:t>
      </w:r>
      <w:r>
        <w:fldChar w:fldCharType="begin"/>
      </w:r>
      <w:r>
        <w:instrText>SEQ Table \* ARABIC</w:instrText>
      </w:r>
      <w:r>
        <w:fldChar w:fldCharType="separate"/>
      </w:r>
      <w:r w:rsidR="004E7B11">
        <w:rPr>
          <w:noProof/>
        </w:rPr>
        <w:t>19</w:t>
      </w:r>
      <w:r>
        <w:fldChar w:fldCharType="end"/>
      </w:r>
      <w:r w:rsidR="00B937D1">
        <w:rPr>
          <w:noProof/>
        </w:rPr>
        <w:t xml:space="preserve">: </w:t>
      </w:r>
      <w:r w:rsidR="004B5399" w:rsidRPr="004B5399">
        <w:rPr>
          <w:noProof/>
        </w:rPr>
        <w:t xml:space="preserve">KEYNOTE-564 trial </w:t>
      </w:r>
      <w:r w:rsidR="004B5399">
        <w:rPr>
          <w:noProof/>
        </w:rPr>
        <w:t>a</w:t>
      </w:r>
      <w:r w:rsidR="00B937D1">
        <w:rPr>
          <w:noProof/>
        </w:rPr>
        <w:t xml:space="preserve">dverse events </w:t>
      </w:r>
      <w:r>
        <w:t>summary (</w:t>
      </w:r>
      <w:proofErr w:type="spellStart"/>
      <w:r>
        <w:t>APaT</w:t>
      </w:r>
      <w:proofErr w:type="spellEnd"/>
      <w:r>
        <w:t xml:space="preserve"> population) </w:t>
      </w:r>
      <w:r w:rsidR="006C0C10">
        <w:t>(</w:t>
      </w:r>
      <w:r>
        <w:t xml:space="preserve">updated </w:t>
      </w:r>
      <w:r w:rsidR="00FE2686">
        <w:t>data cut-off</w:t>
      </w:r>
      <w:r>
        <w:t xml:space="preserve"> 14 </w:t>
      </w:r>
      <w:r w:rsidR="00FE2686">
        <w:t>June</w:t>
      </w:r>
      <w:r>
        <w:t xml:space="preserve"> 2021)</w:t>
      </w:r>
    </w:p>
    <w:p w14:paraId="51A3E144" w14:textId="77777777" w:rsidR="008A1DBD" w:rsidRPr="000942E1" w:rsidRDefault="008A1DBD" w:rsidP="008A1DBD">
      <w:r w:rsidRPr="000942E1">
        <w:rPr>
          <w:noProof/>
        </w:rPr>
        <w:drawing>
          <wp:inline distT="0" distB="0" distL="0" distR="0" wp14:anchorId="40587157" wp14:editId="3D865F34">
            <wp:extent cx="5562600" cy="3596609"/>
            <wp:effectExtent l="0" t="0" r="0" b="4445"/>
            <wp:docPr id="27" name="Picture 27" descr="This table shows KEYNOTE-564 trial adverse events summary (APaT population) – updated (data cut-off 14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table shows KEYNOTE-564 trial adverse events summary (APaT population) – updated (data cut-off 14 June 2021)"/>
                    <pic:cNvPicPr>
                      <a:picLocks noChangeAspect="1" noChangeArrowheads="1"/>
                    </pic:cNvPicPr>
                  </pic:nvPicPr>
                  <pic:blipFill rotWithShape="1">
                    <a:blip r:embed="rId49">
                      <a:lum bright="-20000" contrast="40000"/>
                      <a:extLst>
                        <a:ext uri="{28A0092B-C50C-407E-A947-70E740481C1C}">
                          <a14:useLocalDpi xmlns:a14="http://schemas.microsoft.com/office/drawing/2010/main" val="0"/>
                        </a:ext>
                      </a:extLst>
                    </a:blip>
                    <a:srcRect b="662"/>
                    <a:stretch/>
                  </pic:blipFill>
                  <pic:spPr bwMode="auto">
                    <a:xfrm>
                      <a:off x="0" y="0"/>
                      <a:ext cx="5566951" cy="3599422"/>
                    </a:xfrm>
                    <a:prstGeom prst="rect">
                      <a:avLst/>
                    </a:prstGeom>
                    <a:noFill/>
                    <a:ln>
                      <a:noFill/>
                    </a:ln>
                    <a:extLst>
                      <a:ext uri="{53640926-AAD7-44D8-BBD7-CCE9431645EC}">
                        <a14:shadowObscured xmlns:a14="http://schemas.microsoft.com/office/drawing/2010/main"/>
                      </a:ext>
                    </a:extLst>
                  </pic:spPr>
                </pic:pic>
              </a:graphicData>
            </a:graphic>
          </wp:inline>
        </w:drawing>
      </w:r>
    </w:p>
    <w:p w14:paraId="1705BFFA" w14:textId="77777777" w:rsidR="008A1DBD" w:rsidRDefault="008A1DBD" w:rsidP="008A1DBD">
      <w:pPr>
        <w:pStyle w:val="Heading6"/>
      </w:pPr>
      <w:r>
        <w:t>Adverse events</w:t>
      </w:r>
    </w:p>
    <w:p w14:paraId="52A29E3B" w14:textId="6B33AFE3" w:rsidR="008A1DBD" w:rsidRDefault="008A1DBD" w:rsidP="008A1DBD">
      <w:r>
        <w:t xml:space="preserve">The most common </w:t>
      </w:r>
      <w:r w:rsidR="00B937D1">
        <w:t>adverse events</w:t>
      </w:r>
      <w:r>
        <w:t xml:space="preserve"> in </w:t>
      </w:r>
      <w:r w:rsidR="00B937D1">
        <w:t>KEYNOTE</w:t>
      </w:r>
      <w:r w:rsidR="00ED2AA0">
        <w:t>-</w:t>
      </w:r>
      <w:r w:rsidR="00B937D1">
        <w:t xml:space="preserve">564 trial </w:t>
      </w:r>
      <w:r>
        <w:t xml:space="preserve">were fatigue, diarrhoea, pruritis, arthralgia, </w:t>
      </w:r>
      <w:proofErr w:type="gramStart"/>
      <w:r>
        <w:t>hypothyroidism</w:t>
      </w:r>
      <w:proofErr w:type="gramEnd"/>
      <w:r>
        <w:t xml:space="preserve"> and rash. The pattern of events was generally similar to the </w:t>
      </w:r>
      <w:r w:rsidR="00B937D1">
        <w:t>reference safety data</w:t>
      </w:r>
      <w:r>
        <w:t xml:space="preserve">, except </w:t>
      </w:r>
      <w:proofErr w:type="gramStart"/>
      <w:r>
        <w:t>that events</w:t>
      </w:r>
      <w:proofErr w:type="gramEnd"/>
      <w:r>
        <w:t xml:space="preserve"> of </w:t>
      </w:r>
      <w:r w:rsidRPr="002121E6">
        <w:t>hypo</w:t>
      </w:r>
      <w:r w:rsidR="00B937D1" w:rsidRPr="00B937D1">
        <w:t>thyroidism</w:t>
      </w:r>
      <w:r w:rsidRPr="002121E6">
        <w:t xml:space="preserve"> and hyperthyroidism,</w:t>
      </w:r>
      <w:r>
        <w:t xml:space="preserve"> and blood creatinine increased, were more frequently reported with pembrolizumab in </w:t>
      </w:r>
      <w:r w:rsidR="00B937D1">
        <w:t>KEYNOTE</w:t>
      </w:r>
      <w:r w:rsidR="00ED2AA0">
        <w:t>-</w:t>
      </w:r>
      <w:r w:rsidR="00B937D1">
        <w:t xml:space="preserve">564 trial </w:t>
      </w:r>
      <w:r>
        <w:t xml:space="preserve">than in the </w:t>
      </w:r>
      <w:r w:rsidR="00B937D1" w:rsidRPr="00B937D1">
        <w:t>reference safety data</w:t>
      </w:r>
      <w:r>
        <w:t xml:space="preserve">. These are all known </w:t>
      </w:r>
      <w:r w:rsidR="00B937D1">
        <w:t>adverse events</w:t>
      </w:r>
      <w:r>
        <w:t xml:space="preserve"> for pembrolizumab. The events of blood creatinine increased may relate to the history of prior nephrectomy in patients in </w:t>
      </w:r>
      <w:r w:rsidR="00B937D1">
        <w:t>KEYNOTE</w:t>
      </w:r>
      <w:r w:rsidR="00ED2AA0">
        <w:t>-</w:t>
      </w:r>
      <w:r w:rsidR="00B937D1">
        <w:t xml:space="preserve">564 trial </w:t>
      </w:r>
      <w:r>
        <w:t xml:space="preserve">(the frequency was similar for placebo and pembrolizumab – see </w:t>
      </w:r>
      <w:r w:rsidR="00B937D1">
        <w:fldChar w:fldCharType="begin"/>
      </w:r>
      <w:r w:rsidR="00B937D1">
        <w:instrText xml:space="preserve"> REF _Ref133930448 \h </w:instrText>
      </w:r>
      <w:r w:rsidR="00B937D1">
        <w:fldChar w:fldCharType="separate"/>
      </w:r>
      <w:r w:rsidR="004E7B11">
        <w:t xml:space="preserve">Table </w:t>
      </w:r>
      <w:r w:rsidR="004E7B11">
        <w:rPr>
          <w:noProof/>
        </w:rPr>
        <w:t>20</w:t>
      </w:r>
      <w:r w:rsidR="00B937D1">
        <w:fldChar w:fldCharType="end"/>
      </w:r>
      <w:r w:rsidR="00ED2AA0">
        <w:t>, below</w:t>
      </w:r>
      <w:r>
        <w:t>).</w:t>
      </w:r>
    </w:p>
    <w:p w14:paraId="439D110E" w14:textId="1E9A50ED" w:rsidR="008A1DBD" w:rsidRDefault="008A1DBD" w:rsidP="008A1DBD">
      <w:r>
        <w:t xml:space="preserve">The most common drug-related </w:t>
      </w:r>
      <w:r w:rsidR="00B937D1">
        <w:t xml:space="preserve">adverse events </w:t>
      </w:r>
      <w:r>
        <w:t xml:space="preserve">in </w:t>
      </w:r>
      <w:r w:rsidR="00B937D1">
        <w:t>KEYNOTE</w:t>
      </w:r>
      <w:r w:rsidR="00ED2AA0">
        <w:t>-</w:t>
      </w:r>
      <w:r w:rsidR="00B937D1">
        <w:t>564</w:t>
      </w:r>
      <w:r w:rsidR="00ED2AA0">
        <w:t xml:space="preserve"> </w:t>
      </w:r>
      <w:r w:rsidR="00B937D1">
        <w:t xml:space="preserve">trial </w:t>
      </w:r>
      <w:r>
        <w:t>were fatigue (pembrolizumab: 20.3%, placebo: 14.3%), pruritis (pembrolizumab: 18.6%, placebo: 11.5%) and hypothyroidism (pembrolizumab: 17.6%, placebo: 2.6%).</w:t>
      </w:r>
    </w:p>
    <w:p w14:paraId="3869852B" w14:textId="1D13BC27" w:rsidR="00C012C0" w:rsidRDefault="008A1DBD" w:rsidP="008A1DBD">
      <w:pPr>
        <w:pStyle w:val="TableTitle"/>
      </w:pPr>
      <w:bookmarkStart w:id="67" w:name="_Ref133930448"/>
      <w:r>
        <w:lastRenderedPageBreak/>
        <w:t xml:space="preserve">Table </w:t>
      </w:r>
      <w:r>
        <w:fldChar w:fldCharType="begin"/>
      </w:r>
      <w:r>
        <w:instrText>SEQ Table \* ARABIC</w:instrText>
      </w:r>
      <w:r>
        <w:fldChar w:fldCharType="separate"/>
      </w:r>
      <w:r w:rsidR="004E7B11">
        <w:rPr>
          <w:noProof/>
        </w:rPr>
        <w:t>20</w:t>
      </w:r>
      <w:r>
        <w:fldChar w:fldCharType="end"/>
      </w:r>
      <w:bookmarkEnd w:id="67"/>
      <w:r w:rsidR="00B937D1">
        <w:rPr>
          <w:noProof/>
        </w:rPr>
        <w:t>:</w:t>
      </w:r>
      <w:r>
        <w:t xml:space="preserve"> </w:t>
      </w:r>
      <w:r w:rsidR="004B5399" w:rsidRPr="004B5399">
        <w:t xml:space="preserve">KEYNOTE-564 trial </w:t>
      </w:r>
      <w:r w:rsidR="004B5399">
        <w:t>p</w:t>
      </w:r>
      <w:r>
        <w:t xml:space="preserve">atients with </w:t>
      </w:r>
      <w:r w:rsidR="00B937D1">
        <w:t>adverse event</w:t>
      </w:r>
      <w:r>
        <w:t xml:space="preserve">s (incidence ≥ 10%) by decreasing </w:t>
      </w:r>
      <w:r w:rsidRPr="00FF2782">
        <w:t>frequency of P</w:t>
      </w:r>
      <w:r w:rsidR="00FF2782" w:rsidRPr="00FF2782">
        <w:t xml:space="preserve">referred </w:t>
      </w:r>
      <w:r w:rsidRPr="00FF2782">
        <w:t>T</w:t>
      </w:r>
      <w:r w:rsidR="00FF2782" w:rsidRPr="00FF2782">
        <w:t>erm</w:t>
      </w:r>
      <w:r>
        <w:t xml:space="preserve"> (</w:t>
      </w:r>
      <w:proofErr w:type="spellStart"/>
      <w:r>
        <w:t>APaT</w:t>
      </w:r>
      <w:proofErr w:type="spellEnd"/>
      <w:r>
        <w:t>)</w:t>
      </w:r>
    </w:p>
    <w:p w14:paraId="60C02BE8" w14:textId="2828985A" w:rsidR="008A1DBD" w:rsidRDefault="008A1DBD" w:rsidP="008A1DBD">
      <w:r w:rsidRPr="00492827">
        <w:rPr>
          <w:noProof/>
        </w:rPr>
        <w:drawing>
          <wp:inline distT="0" distB="0" distL="0" distR="0" wp14:anchorId="6C31AA48" wp14:editId="23D76B4E">
            <wp:extent cx="5374800" cy="3758400"/>
            <wp:effectExtent l="0" t="0" r="0" b="0"/>
            <wp:docPr id="23" name="Picture 23" descr="This table shows KEYNOTE-564 trial patients with adverse events (incidence ≥ 10%) by decreasing frequency of Preferred Term (A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table shows KEYNOTE-564 trial patients with adverse events (incidence ≥ 10%) by decreasing frequency of Preferred Term (APaT)."/>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5374800" cy="3758400"/>
                    </a:xfrm>
                    <a:prstGeom prst="rect">
                      <a:avLst/>
                    </a:prstGeom>
                    <a:noFill/>
                    <a:ln>
                      <a:noFill/>
                    </a:ln>
                  </pic:spPr>
                </pic:pic>
              </a:graphicData>
            </a:graphic>
          </wp:inline>
        </w:drawing>
      </w:r>
    </w:p>
    <w:p w14:paraId="3BC5E71C" w14:textId="77777777" w:rsidR="00C012C0" w:rsidRDefault="008A1DBD" w:rsidP="008A1DBD">
      <w:r>
        <w:t xml:space="preserve">The pattern of events was consistent at the </w:t>
      </w:r>
      <w:r w:rsidR="00B937D1">
        <w:t>safety update report</w:t>
      </w:r>
      <w:r>
        <w:t xml:space="preserve"> </w:t>
      </w:r>
      <w:r w:rsidR="00FE2686">
        <w:t>data cut-off</w:t>
      </w:r>
      <w:r>
        <w:t xml:space="preserve">. There were no other notable changes, other than </w:t>
      </w:r>
      <w:r w:rsidR="00B937D1">
        <w:t>four</w:t>
      </w:r>
      <w:r>
        <w:t xml:space="preserve"> additional participants who reported hyperthyroidism in the pembrolizumab group, bringing the total incidence to 12.7%.</w:t>
      </w:r>
    </w:p>
    <w:p w14:paraId="7D9164F5" w14:textId="43269F9B" w:rsidR="008A1DBD" w:rsidRDefault="008A1DBD" w:rsidP="008A1DBD">
      <w:pPr>
        <w:pStyle w:val="Heading6"/>
      </w:pPr>
      <w:r>
        <w:t>Grade 3</w:t>
      </w:r>
      <w:r w:rsidR="00B937D1">
        <w:t xml:space="preserve"> to </w:t>
      </w:r>
      <w:r>
        <w:t xml:space="preserve">5 </w:t>
      </w:r>
      <w:r w:rsidR="00B937D1">
        <w:t>adverse event</w:t>
      </w:r>
      <w:r>
        <w:t>s</w:t>
      </w:r>
    </w:p>
    <w:p w14:paraId="4DDB0B5B" w14:textId="0B8358CD" w:rsidR="008A1DBD" w:rsidRPr="00F64392" w:rsidRDefault="008A1DBD" w:rsidP="008A1DBD">
      <w:r>
        <w:t>The proportion of patients with Grade 3</w:t>
      </w:r>
      <w:r w:rsidR="00B937D1">
        <w:t xml:space="preserve"> to </w:t>
      </w:r>
      <w:r>
        <w:t xml:space="preserve">5 </w:t>
      </w:r>
      <w:r w:rsidR="00B937D1">
        <w:t>adverse event</w:t>
      </w:r>
      <w:r>
        <w:t xml:space="preserve">s </w:t>
      </w:r>
      <w:r w:rsidR="00ED2AA0">
        <w:t>in KEYNOTE-564 trial was</w:t>
      </w:r>
      <w:r>
        <w:t xml:space="preserve"> 32.4% with pembrolizum</w:t>
      </w:r>
      <w:r w:rsidR="00ED2AA0">
        <w:t>ab and</w:t>
      </w:r>
      <w:r>
        <w:t xml:space="preserve"> 17.7% with placebo</w:t>
      </w:r>
      <w:r w:rsidR="00ED2AA0">
        <w:t>.</w:t>
      </w:r>
      <w:r w:rsidR="00C012C0">
        <w:t xml:space="preserve"> </w:t>
      </w:r>
      <w:r w:rsidR="00ED2AA0">
        <w:t>The reference safety dataset had</w:t>
      </w:r>
      <w:r>
        <w:t xml:space="preserve"> 45.5% </w:t>
      </w:r>
      <w:r w:rsidR="00ED2AA0">
        <w:t>of patients with Grade 3 to 5 adverse events</w:t>
      </w:r>
      <w:r w:rsidR="00FF2782">
        <w:t xml:space="preserve"> </w:t>
      </w:r>
      <w:r>
        <w:t>(</w:t>
      </w:r>
      <w:r w:rsidRPr="00FF2782">
        <w:fldChar w:fldCharType="begin"/>
      </w:r>
      <w:r w:rsidRPr="00FF2782">
        <w:instrText xml:space="preserve"> REF _Ref96439888 \h  \* MERGEFORMAT </w:instrText>
      </w:r>
      <w:r w:rsidRPr="00FF2782">
        <w:fldChar w:fldCharType="separate"/>
      </w:r>
      <w:r w:rsidR="004E7B11">
        <w:t xml:space="preserve">Table </w:t>
      </w:r>
      <w:r w:rsidR="004E7B11">
        <w:rPr>
          <w:noProof/>
        </w:rPr>
        <w:t>18</w:t>
      </w:r>
      <w:r w:rsidRPr="00FF2782">
        <w:fldChar w:fldCharType="end"/>
      </w:r>
      <w:r>
        <w:t>). The most frequently reported Grade 3</w:t>
      </w:r>
      <w:r w:rsidR="00FF2782">
        <w:t xml:space="preserve"> to </w:t>
      </w:r>
      <w:r>
        <w:t xml:space="preserve">5 events in </w:t>
      </w:r>
      <w:r w:rsidR="00B937D1">
        <w:t>KEYNOTE</w:t>
      </w:r>
      <w:r w:rsidR="00ED2AA0">
        <w:t>-</w:t>
      </w:r>
      <w:r w:rsidR="00B937D1">
        <w:t xml:space="preserve">564 trial </w:t>
      </w:r>
      <w:r>
        <w:t xml:space="preserve">were hypertension (pembrolizumab: 2.9%, placebo: 2.6%), </w:t>
      </w:r>
      <w:r w:rsidR="00FF2782" w:rsidRPr="00FF2782">
        <w:t>alanine aminotransferase</w:t>
      </w:r>
      <w:r>
        <w:t xml:space="preserve"> increased (pembrolizumab: 2.3%, placebo: 0.2%) and </w:t>
      </w:r>
      <w:r w:rsidR="00FF2782" w:rsidRPr="00FF2782">
        <w:t>aspartate aminotransferase</w:t>
      </w:r>
      <w:r>
        <w:t xml:space="preserve"> increased (pembrolizumab: 1.6%, placebo: 0.2%). These are all known events reported with pembrolizumab.</w:t>
      </w:r>
    </w:p>
    <w:p w14:paraId="674F81BD" w14:textId="77777777" w:rsidR="008A1DBD" w:rsidRDefault="008A1DBD" w:rsidP="008A1DBD">
      <w:pPr>
        <w:pStyle w:val="Heading6"/>
      </w:pPr>
      <w:bookmarkStart w:id="68" w:name="_Ref97285966"/>
      <w:r>
        <w:t>Deaths</w:t>
      </w:r>
      <w:bookmarkEnd w:id="68"/>
    </w:p>
    <w:p w14:paraId="70312E23" w14:textId="77777777" w:rsidR="008A1DBD" w:rsidRPr="00AE5070" w:rsidRDefault="008A1DBD" w:rsidP="00FF2782">
      <w:pPr>
        <w:pStyle w:val="Heading7"/>
      </w:pPr>
      <w:r>
        <w:t>Overall deaths</w:t>
      </w:r>
    </w:p>
    <w:p w14:paraId="29C3E5EF" w14:textId="3C73DBCB" w:rsidR="008A1DBD" w:rsidRDefault="008A1DBD" w:rsidP="008A1DBD">
      <w:r>
        <w:t>At</w:t>
      </w:r>
      <w:r w:rsidR="00FF2782">
        <w:t xml:space="preserve"> the</w:t>
      </w:r>
      <w:r>
        <w:t xml:space="preserve"> </w:t>
      </w:r>
      <w:r w:rsidR="00FE2686">
        <w:t xml:space="preserve">first interim analysis </w:t>
      </w:r>
      <w:r>
        <w:t xml:space="preserve">in </w:t>
      </w:r>
      <w:r w:rsidR="00FF2782" w:rsidRPr="00FF2782">
        <w:t>KEYNOTE</w:t>
      </w:r>
      <w:r w:rsidR="00ED2AA0">
        <w:t>-</w:t>
      </w:r>
      <w:r w:rsidR="00FF2782" w:rsidRPr="00FF2782">
        <w:t>564 trial</w:t>
      </w:r>
      <w:r>
        <w:t>, there were 18 deaths in the pembrolizumab arm and 33 in the placebo arm. Most deaths were</w:t>
      </w:r>
      <w:r w:rsidRPr="00137404">
        <w:t xml:space="preserve"> secondary to disease recurrence</w:t>
      </w:r>
      <w:r>
        <w:t xml:space="preserve"> (12 in the pembrolizumab group and 31 in the placebo group).</w:t>
      </w:r>
    </w:p>
    <w:p w14:paraId="5B58C6FB" w14:textId="41791514" w:rsidR="008A1DBD" w:rsidRPr="00AE5070" w:rsidRDefault="00FF2782" w:rsidP="00FF2782">
      <w:pPr>
        <w:pStyle w:val="Heading7"/>
      </w:pPr>
      <w:r>
        <w:t>A</w:t>
      </w:r>
      <w:r w:rsidR="00B937D1">
        <w:t>dverse event</w:t>
      </w:r>
      <w:r w:rsidR="008A1DBD" w:rsidRPr="00AE5070">
        <w:t>s leading to death</w:t>
      </w:r>
    </w:p>
    <w:p w14:paraId="77D67E1F" w14:textId="5B66F971" w:rsidR="008A1DBD" w:rsidRDefault="008A1DBD" w:rsidP="008A1DBD">
      <w:r>
        <w:t xml:space="preserve">In </w:t>
      </w:r>
      <w:r w:rsidR="00B937D1">
        <w:t>KEYNOTE</w:t>
      </w:r>
      <w:r w:rsidR="00ED2AA0">
        <w:t>-</w:t>
      </w:r>
      <w:r w:rsidR="00B937D1">
        <w:t xml:space="preserve">564 trial </w:t>
      </w:r>
      <w:r>
        <w:t xml:space="preserve">there were </w:t>
      </w:r>
      <w:r w:rsidR="00FF2782">
        <w:t>two</w:t>
      </w:r>
      <w:r>
        <w:t xml:space="preserve"> </w:t>
      </w:r>
      <w:r w:rsidR="00B937D1">
        <w:t>adverse event</w:t>
      </w:r>
      <w:r>
        <w:t xml:space="preserve">s leading to death (0.4%) in the pembrolizumab group and one (0.2%) in the placebo group, while 110 (3.9%) patients in the </w:t>
      </w:r>
      <w:r w:rsidR="00FF2782">
        <w:t xml:space="preserve">reference safety dataset </w:t>
      </w:r>
      <w:r>
        <w:t xml:space="preserve">died due to </w:t>
      </w:r>
      <w:r w:rsidR="00B937D1">
        <w:t>adverse event</w:t>
      </w:r>
      <w:r>
        <w:t xml:space="preserve">s. The deaths in the pembrolizumab group in </w:t>
      </w:r>
      <w:r w:rsidR="00B937D1">
        <w:t>KEYNOTE</w:t>
      </w:r>
      <w:r w:rsidR="00ED2AA0">
        <w:t>-</w:t>
      </w:r>
      <w:r w:rsidR="00B937D1">
        <w:t xml:space="preserve">564 trial </w:t>
      </w:r>
      <w:r>
        <w:t>(</w:t>
      </w:r>
      <w:r w:rsidR="00FF2782">
        <w:t>Preferred Term</w:t>
      </w:r>
      <w:r>
        <w:t xml:space="preserve">s: pneumonia and multiple organ dysfunction syndrome) were not considered drug-related. The difference compared with the </w:t>
      </w:r>
      <w:r w:rsidR="00FF2782">
        <w:t xml:space="preserve">reference safety dataset </w:t>
      </w:r>
      <w:r>
        <w:lastRenderedPageBreak/>
        <w:t>may relate to the underlying differences in characteristics of the populations (</w:t>
      </w:r>
      <w:r w:rsidR="00EE5F8D">
        <w:t>that is</w:t>
      </w:r>
      <w:r>
        <w:t xml:space="preserve">, adjuvant setting </w:t>
      </w:r>
      <w:r w:rsidR="00EE5F8D">
        <w:t>versus</w:t>
      </w:r>
      <w:r>
        <w:t xml:space="preserve"> advanced cancers).</w:t>
      </w:r>
    </w:p>
    <w:p w14:paraId="7AB15D86" w14:textId="77777777" w:rsidR="008A1DBD" w:rsidRDefault="008A1DBD" w:rsidP="008A1DBD">
      <w:r>
        <w:t>The participant with multiple organ dysfunction occurred in the context of hospitalisation for a motor vehicle accident.</w:t>
      </w:r>
    </w:p>
    <w:p w14:paraId="57F1A26B" w14:textId="77777777" w:rsidR="00C012C0" w:rsidRDefault="008A1DBD" w:rsidP="008A1DBD">
      <w:r>
        <w:t xml:space="preserve">There were no new deaths due to </w:t>
      </w:r>
      <w:r w:rsidR="00B937D1">
        <w:t>adverse event</w:t>
      </w:r>
      <w:r>
        <w:t xml:space="preserve"> in either group during the </w:t>
      </w:r>
      <w:r w:rsidR="00ED2AA0">
        <w:t>safety update</w:t>
      </w:r>
      <w:r>
        <w:t xml:space="preserve"> reporting interval.</w:t>
      </w:r>
    </w:p>
    <w:p w14:paraId="091BB898" w14:textId="323FE2EE" w:rsidR="008A1DBD" w:rsidRDefault="008A1DBD" w:rsidP="008A1DBD">
      <w:pPr>
        <w:pStyle w:val="Heading6"/>
      </w:pPr>
      <w:r>
        <w:t xml:space="preserve">Serious </w:t>
      </w:r>
      <w:r w:rsidR="00B937D1">
        <w:t>adverse event</w:t>
      </w:r>
      <w:r>
        <w:t>s</w:t>
      </w:r>
    </w:p>
    <w:p w14:paraId="078550FA" w14:textId="3B9CBE41" w:rsidR="008A1DBD" w:rsidRPr="002F5F82" w:rsidRDefault="00FF2782" w:rsidP="008A1DBD">
      <w:r>
        <w:t>S</w:t>
      </w:r>
      <w:r w:rsidR="00B937D1">
        <w:t>erious adverse event</w:t>
      </w:r>
      <w:r w:rsidR="008A1DBD">
        <w:t xml:space="preserve">s were reported more frequently with pembrolizumab (20.5%) than placebo (11.3%) in </w:t>
      </w:r>
      <w:r w:rsidR="00ED2AA0">
        <w:t>KEYNOTE-564</w:t>
      </w:r>
      <w:r>
        <w:t xml:space="preserve"> trial</w:t>
      </w:r>
      <w:r w:rsidR="008A1DBD">
        <w:t xml:space="preserve">, but less frequently than the </w:t>
      </w:r>
      <w:r>
        <w:t xml:space="preserve">reference safety dataset </w:t>
      </w:r>
      <w:r w:rsidR="008A1DBD">
        <w:t>(37.2%, possibly due to the underlying differences between the populations):</w:t>
      </w:r>
    </w:p>
    <w:p w14:paraId="208036D0" w14:textId="6C406FD7" w:rsidR="008A1DBD" w:rsidRDefault="008A1DBD" w:rsidP="008A1DBD">
      <w:pPr>
        <w:pStyle w:val="TableTitle"/>
      </w:pPr>
      <w:r>
        <w:t xml:space="preserve">Table </w:t>
      </w:r>
      <w:r>
        <w:fldChar w:fldCharType="begin"/>
      </w:r>
      <w:r>
        <w:instrText>SEQ Table \* ARABIC</w:instrText>
      </w:r>
      <w:r>
        <w:fldChar w:fldCharType="separate"/>
      </w:r>
      <w:r w:rsidR="004E7B11">
        <w:rPr>
          <w:noProof/>
        </w:rPr>
        <w:t>21</w:t>
      </w:r>
      <w:r>
        <w:fldChar w:fldCharType="end"/>
      </w:r>
      <w:r w:rsidR="00FF2782">
        <w:rPr>
          <w:noProof/>
        </w:rPr>
        <w:t xml:space="preserve">: </w:t>
      </w:r>
      <w:r w:rsidR="004B5399" w:rsidRPr="004B5399">
        <w:rPr>
          <w:noProof/>
        </w:rPr>
        <w:t xml:space="preserve">KEYNOTE-564 trial </w:t>
      </w:r>
      <w:r w:rsidR="004B5399">
        <w:rPr>
          <w:noProof/>
        </w:rPr>
        <w:t>s</w:t>
      </w:r>
      <w:r w:rsidR="00B937D1">
        <w:t>erious adverse event</w:t>
      </w:r>
      <w:r>
        <w:t>s up to 90 days post last dose (incidence ≥ 1%) by decre</w:t>
      </w:r>
      <w:r w:rsidR="004B5399">
        <w:t>a</w:t>
      </w:r>
      <w:r>
        <w:t xml:space="preserve">sing frequency of </w:t>
      </w:r>
      <w:r w:rsidR="00FF2782">
        <w:t>Preferred Term</w:t>
      </w:r>
    </w:p>
    <w:p w14:paraId="71C39D4B" w14:textId="77777777" w:rsidR="008A1DBD" w:rsidRPr="002F5F82" w:rsidRDefault="008A1DBD" w:rsidP="008A1DBD">
      <w:r w:rsidRPr="002F5F82">
        <w:rPr>
          <w:noProof/>
        </w:rPr>
        <w:drawing>
          <wp:inline distT="0" distB="0" distL="0" distR="0" wp14:anchorId="6A8401E6" wp14:editId="1CC71FF2">
            <wp:extent cx="5799914" cy="2209125"/>
            <wp:effectExtent l="0" t="0" r="0" b="1270"/>
            <wp:docPr id="24" name="Picture 24" descr="This table shows KEYNOTE-564 trial serious adverse events up to 90 days post last dose (incidence ≥ 1%) by decreasing frequency of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table shows KEYNOTE-564 trial serious adverse events up to 90 days post last dose (incidence ≥ 1%) by decreasing frequency of Preferred Term."/>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5828581" cy="2220044"/>
                    </a:xfrm>
                    <a:prstGeom prst="rect">
                      <a:avLst/>
                    </a:prstGeom>
                    <a:noFill/>
                    <a:ln>
                      <a:noFill/>
                    </a:ln>
                  </pic:spPr>
                </pic:pic>
              </a:graphicData>
            </a:graphic>
          </wp:inline>
        </w:drawing>
      </w:r>
    </w:p>
    <w:p w14:paraId="787632A0" w14:textId="42A0EBCC" w:rsidR="008A1DBD" w:rsidRDefault="008A1DBD" w:rsidP="008A1DBD">
      <w:pPr>
        <w:pStyle w:val="Heading6"/>
      </w:pPr>
      <w:r>
        <w:t xml:space="preserve">Discontinuations due to </w:t>
      </w:r>
      <w:r w:rsidR="00B937D1">
        <w:t>adverse event</w:t>
      </w:r>
      <w:r>
        <w:t>s</w:t>
      </w:r>
    </w:p>
    <w:p w14:paraId="69812DC4" w14:textId="497D3F94" w:rsidR="008A1DBD" w:rsidRPr="002F5F82" w:rsidRDefault="008A1DBD" w:rsidP="008A1DBD">
      <w:r>
        <w:t xml:space="preserve">Discontinuations of treatment due to </w:t>
      </w:r>
      <w:r w:rsidR="00B937D1">
        <w:t>adverse event</w:t>
      </w:r>
      <w:r>
        <w:t xml:space="preserve">s were higher for pembrolizumab (20.7%) compared with placebo (2%) and </w:t>
      </w:r>
      <w:r w:rsidR="00ED2AA0">
        <w:t xml:space="preserve">the </w:t>
      </w:r>
      <w:r w:rsidR="00FF2782">
        <w:t>reference safety dataset</w:t>
      </w:r>
      <w:r>
        <w:t xml:space="preserve"> (11.9%). When adjusted for exposure, the rates (events</w:t>
      </w:r>
      <w:r w:rsidR="00FF2782">
        <w:t xml:space="preserve"> per </w:t>
      </w:r>
      <w:r>
        <w:t xml:space="preserve">100 person-months) of treatment discontinuation due to </w:t>
      </w:r>
      <w:r w:rsidR="00B937D1">
        <w:t>adverse event</w:t>
      </w:r>
      <w:r>
        <w:t xml:space="preserve">s were </w:t>
      </w:r>
      <w:r w:rsidRPr="00C04CAB">
        <w:t>2.43 and 1.79</w:t>
      </w:r>
      <w:r>
        <w:t xml:space="preserve"> in the pembrolizumab arm of </w:t>
      </w:r>
      <w:r w:rsidR="00B937D1">
        <w:t>KEYNOTE</w:t>
      </w:r>
      <w:r w:rsidR="00ED2AA0">
        <w:t>-</w:t>
      </w:r>
      <w:r w:rsidR="00B937D1">
        <w:t xml:space="preserve">564 trial </w:t>
      </w:r>
      <w:r>
        <w:t xml:space="preserve">and the </w:t>
      </w:r>
      <w:r w:rsidR="00FF2782" w:rsidRPr="00FF2782">
        <w:t>reference safety dataset</w:t>
      </w:r>
      <w:r>
        <w:t>, respectively.</w:t>
      </w:r>
    </w:p>
    <w:p w14:paraId="1BC5ABF8" w14:textId="1F7BF927" w:rsidR="008A1DBD" w:rsidRDefault="008A1DBD" w:rsidP="008A1DBD">
      <w:pPr>
        <w:pStyle w:val="TableTitle"/>
      </w:pPr>
      <w:r>
        <w:t xml:space="preserve">Table </w:t>
      </w:r>
      <w:r>
        <w:fldChar w:fldCharType="begin"/>
      </w:r>
      <w:r>
        <w:instrText>SEQ Table \* ARABIC</w:instrText>
      </w:r>
      <w:r>
        <w:fldChar w:fldCharType="separate"/>
      </w:r>
      <w:r w:rsidR="004E7B11">
        <w:rPr>
          <w:noProof/>
        </w:rPr>
        <w:t>22</w:t>
      </w:r>
      <w:r>
        <w:fldChar w:fldCharType="end"/>
      </w:r>
      <w:r w:rsidR="00FF2782">
        <w:rPr>
          <w:noProof/>
        </w:rPr>
        <w:t xml:space="preserve">: </w:t>
      </w:r>
      <w:r w:rsidR="004B5399" w:rsidRPr="004B5399">
        <w:rPr>
          <w:noProof/>
        </w:rPr>
        <w:t xml:space="preserve">KEYNOTE-564 trial </w:t>
      </w:r>
      <w:r w:rsidR="004B5399">
        <w:t>adverse</w:t>
      </w:r>
      <w:r w:rsidR="00B937D1">
        <w:t xml:space="preserve"> event</w:t>
      </w:r>
      <w:r>
        <w:t xml:space="preserve">s leading to discontinuation of treatment by decreasing frequency of </w:t>
      </w:r>
      <w:r w:rsidR="00FF2782">
        <w:t>Preferred Term</w:t>
      </w:r>
    </w:p>
    <w:p w14:paraId="096314ED" w14:textId="77777777" w:rsidR="008A1DBD" w:rsidRDefault="008A1DBD" w:rsidP="008A1DBD">
      <w:r w:rsidRPr="002F5F82">
        <w:rPr>
          <w:noProof/>
        </w:rPr>
        <w:drawing>
          <wp:inline distT="0" distB="0" distL="0" distR="0" wp14:anchorId="59D62648" wp14:editId="04E0470B">
            <wp:extent cx="5810681" cy="1714500"/>
            <wp:effectExtent l="0" t="0" r="0" b="0"/>
            <wp:docPr id="25" name="Picture 25" descr="This table shows KEYNOTE-564 trial adverse events leading to discontinuation of treatment by decreasing frequency of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table shows KEYNOTE-564 trial adverse events leading to discontinuation of treatment by decreasing frequency of Preferred Term."/>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5818341" cy="1716760"/>
                    </a:xfrm>
                    <a:prstGeom prst="rect">
                      <a:avLst/>
                    </a:prstGeom>
                    <a:noFill/>
                    <a:ln>
                      <a:noFill/>
                    </a:ln>
                  </pic:spPr>
                </pic:pic>
              </a:graphicData>
            </a:graphic>
          </wp:inline>
        </w:drawing>
      </w:r>
    </w:p>
    <w:p w14:paraId="11FC7052" w14:textId="77777777" w:rsidR="00C012C0" w:rsidRDefault="008A1DBD" w:rsidP="008A1DBD">
      <w:r>
        <w:t xml:space="preserve">The frequency of patients reporting </w:t>
      </w:r>
      <w:r w:rsidR="00B937D1">
        <w:t>adverse event</w:t>
      </w:r>
      <w:r>
        <w:t xml:space="preserve">s leading to dose interruption/reduction was 25.8% with pembrolizumab in </w:t>
      </w:r>
      <w:r w:rsidR="00FF2782" w:rsidRPr="00FF2782">
        <w:t>KEYNOTE</w:t>
      </w:r>
      <w:r w:rsidR="00ED2AA0">
        <w:t>-</w:t>
      </w:r>
      <w:r w:rsidR="00FF2782" w:rsidRPr="00FF2782">
        <w:t>564 trial</w:t>
      </w:r>
      <w:r>
        <w:t xml:space="preserve">, 14.9% with placebo, and 22.2% in the </w:t>
      </w:r>
      <w:r w:rsidR="00FF2782" w:rsidRPr="00FF2782">
        <w:t>reference safety dataset</w:t>
      </w:r>
      <w:r>
        <w:t>.</w:t>
      </w:r>
    </w:p>
    <w:p w14:paraId="135713FA" w14:textId="6BF0DA87" w:rsidR="008A1DBD" w:rsidRDefault="008A1DBD" w:rsidP="008A1DBD">
      <w:pPr>
        <w:pStyle w:val="Heading6"/>
      </w:pPr>
      <w:r>
        <w:lastRenderedPageBreak/>
        <w:t>Adverse events of special interest</w:t>
      </w:r>
    </w:p>
    <w:p w14:paraId="0EA60C5B" w14:textId="7229B833" w:rsidR="008A1DBD" w:rsidRPr="00DE72E8" w:rsidRDefault="00E04ACF" w:rsidP="008A1DBD">
      <w:r w:rsidRPr="00E04ACF">
        <w:t>Adverse events of special interest</w:t>
      </w:r>
      <w:r>
        <w:t xml:space="preserve"> </w:t>
      </w:r>
      <w:r w:rsidR="008A1DBD">
        <w:t xml:space="preserve">are immune-mediated events and infusion-related reactions associated with pembrolizumab. These were more frequently reported with pembrolizumab than placebo in </w:t>
      </w:r>
      <w:r w:rsidR="00ED2AA0">
        <w:t>KEYNOTE-564</w:t>
      </w:r>
      <w:r w:rsidR="00B937D1">
        <w:t xml:space="preserve"> trial </w:t>
      </w:r>
      <w:r w:rsidR="008A1DBD">
        <w:t xml:space="preserve">and more frequent compared with the </w:t>
      </w:r>
      <w:r w:rsidR="00FF2782">
        <w:t>reference safety dataset</w:t>
      </w:r>
      <w:r w:rsidR="008A1DBD">
        <w:t xml:space="preserve">. The same pattern was observed for drug-related </w:t>
      </w:r>
      <w:r w:rsidR="000F2E6D">
        <w:t>a</w:t>
      </w:r>
      <w:r w:rsidR="000F2E6D" w:rsidRPr="000F2E6D">
        <w:t>dverse events of special interest</w:t>
      </w:r>
      <w:r w:rsidR="008A1DBD">
        <w:t xml:space="preserve">, </w:t>
      </w:r>
      <w:r>
        <w:t>G</w:t>
      </w:r>
      <w:r w:rsidR="008A1DBD">
        <w:t xml:space="preserve">rade </w:t>
      </w:r>
      <w:r w:rsidR="00FF2782">
        <w:t>3 to 5</w:t>
      </w:r>
      <w:r w:rsidR="008A1DBD">
        <w:t xml:space="preserve"> </w:t>
      </w:r>
      <w:r w:rsidR="000F2E6D">
        <w:t>a</w:t>
      </w:r>
      <w:r w:rsidR="000F2E6D" w:rsidRPr="000F2E6D">
        <w:t>dverse events of special interest</w:t>
      </w:r>
      <w:r w:rsidR="008A1DBD">
        <w:t xml:space="preserve">, discontinuations due to </w:t>
      </w:r>
      <w:r w:rsidR="000F2E6D">
        <w:t>a</w:t>
      </w:r>
      <w:r w:rsidR="000F2E6D" w:rsidRPr="000F2E6D">
        <w:t>dverse events of special interest</w:t>
      </w:r>
      <w:r w:rsidR="008A1DBD">
        <w:t xml:space="preserve">, and serious </w:t>
      </w:r>
      <w:r w:rsidR="000F2E6D">
        <w:t>a</w:t>
      </w:r>
      <w:r w:rsidR="000F2E6D" w:rsidRPr="000F2E6D">
        <w:t>dverse events of special interest</w:t>
      </w:r>
      <w:r w:rsidR="000F2E6D">
        <w:t xml:space="preserve">s </w:t>
      </w:r>
      <w:r w:rsidR="00801291">
        <w:t>(</w:t>
      </w:r>
      <w:r w:rsidR="00801291">
        <w:fldChar w:fldCharType="begin"/>
      </w:r>
      <w:r w:rsidR="00801291">
        <w:instrText xml:space="preserve"> REF _Ref133931830 \h </w:instrText>
      </w:r>
      <w:r w:rsidR="00801291">
        <w:fldChar w:fldCharType="separate"/>
      </w:r>
      <w:r w:rsidR="004E7B11">
        <w:t xml:space="preserve">Table </w:t>
      </w:r>
      <w:r w:rsidR="004E7B11">
        <w:rPr>
          <w:noProof/>
        </w:rPr>
        <w:t>23</w:t>
      </w:r>
      <w:r w:rsidR="00801291">
        <w:fldChar w:fldCharType="end"/>
      </w:r>
      <w:r w:rsidR="00801291">
        <w:t>).</w:t>
      </w:r>
    </w:p>
    <w:p w14:paraId="1334AAD2" w14:textId="5BC82DDD" w:rsidR="008A1DBD" w:rsidRDefault="008A1DBD" w:rsidP="008A1DBD">
      <w:pPr>
        <w:pStyle w:val="TableTitle"/>
      </w:pPr>
      <w:bookmarkStart w:id="69" w:name="_Ref133931830"/>
      <w:r>
        <w:t xml:space="preserve">Table </w:t>
      </w:r>
      <w:r>
        <w:fldChar w:fldCharType="begin"/>
      </w:r>
      <w:r>
        <w:instrText>SEQ Table \* ARABIC</w:instrText>
      </w:r>
      <w:r>
        <w:fldChar w:fldCharType="separate"/>
      </w:r>
      <w:r w:rsidR="004E7B11">
        <w:rPr>
          <w:noProof/>
        </w:rPr>
        <w:t>23</w:t>
      </w:r>
      <w:r>
        <w:fldChar w:fldCharType="end"/>
      </w:r>
      <w:bookmarkEnd w:id="69"/>
      <w:r w:rsidR="00801291">
        <w:rPr>
          <w:noProof/>
        </w:rPr>
        <w:t>:</w:t>
      </w:r>
      <w:r>
        <w:t xml:space="preserve"> </w:t>
      </w:r>
      <w:r w:rsidR="004B5399">
        <w:t>K</w:t>
      </w:r>
      <w:r w:rsidR="004B5399" w:rsidRPr="004B5399">
        <w:t xml:space="preserve">EYNOTE-564 trial </w:t>
      </w:r>
      <w:r w:rsidR="004B5399">
        <w:t>a</w:t>
      </w:r>
      <w:r w:rsidR="00801291" w:rsidRPr="00801291">
        <w:t>dverse events of special interest</w:t>
      </w:r>
      <w:r>
        <w:t xml:space="preserve"> (</w:t>
      </w:r>
      <w:proofErr w:type="spellStart"/>
      <w:r>
        <w:t>APaT</w:t>
      </w:r>
      <w:proofErr w:type="spellEnd"/>
      <w:r>
        <w:t xml:space="preserve"> population)</w:t>
      </w:r>
    </w:p>
    <w:p w14:paraId="3A02D8F4" w14:textId="0FD65D1C" w:rsidR="006C0C10" w:rsidRDefault="006C0C10" w:rsidP="006921E7">
      <w:r>
        <w:rPr>
          <w:noProof/>
        </w:rPr>
        <w:drawing>
          <wp:inline distT="0" distB="0" distL="0" distR="0" wp14:anchorId="2DBEB2D8" wp14:editId="26F3CF5F">
            <wp:extent cx="5759450" cy="3700780"/>
            <wp:effectExtent l="0" t="0" r="0" b="0"/>
            <wp:docPr id="55" name="Picture 55" descr="This table shows KEYNOTE-564 trial adverse events of special interest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table shows KEYNOTE-564 trial adverse events of special interest (APaT population)."/>
                    <pic:cNvPicPr/>
                  </pic:nvPicPr>
                  <pic:blipFill>
                    <a:blip r:embed="rId53"/>
                    <a:stretch>
                      <a:fillRect/>
                    </a:stretch>
                  </pic:blipFill>
                  <pic:spPr>
                    <a:xfrm>
                      <a:off x="0" y="0"/>
                      <a:ext cx="5759450" cy="3700780"/>
                    </a:xfrm>
                    <a:prstGeom prst="rect">
                      <a:avLst/>
                    </a:prstGeom>
                  </pic:spPr>
                </pic:pic>
              </a:graphicData>
            </a:graphic>
          </wp:inline>
        </w:drawing>
      </w:r>
    </w:p>
    <w:p w14:paraId="20E67B65" w14:textId="55676DEB" w:rsidR="008A1DBD" w:rsidRDefault="008A1DBD" w:rsidP="008A1DBD">
      <w:r>
        <w:t xml:space="preserve">The difference in incidence of </w:t>
      </w:r>
      <w:r w:rsidR="000F2E6D">
        <w:t>a</w:t>
      </w:r>
      <w:r w:rsidR="000F2E6D" w:rsidRPr="000F2E6D">
        <w:t>dverse events of special interest</w:t>
      </w:r>
      <w:r>
        <w:t xml:space="preserve"> for pembrolizumab in </w:t>
      </w:r>
      <w:r w:rsidR="00ED2AA0">
        <w:t>KEYNOTE-564</w:t>
      </w:r>
      <w:r w:rsidR="00B937D1">
        <w:t xml:space="preserve"> trial </w:t>
      </w:r>
      <w:r>
        <w:t xml:space="preserve">and the </w:t>
      </w:r>
      <w:r w:rsidR="00FF2782">
        <w:t>reference safety dataset</w:t>
      </w:r>
      <w:r>
        <w:t xml:space="preserve"> was primarily driven by the increased incidences of hypothyroidism (21.1% versus 8.5%) and hyperthyroidism (11.9% versus 3.4%). These events were mostly Grade 1 or 2 in </w:t>
      </w:r>
      <w:r w:rsidR="00ED2AA0">
        <w:t>KEYNOTE-564</w:t>
      </w:r>
      <w:r w:rsidR="00B937D1">
        <w:t xml:space="preserve"> trial </w:t>
      </w:r>
      <w:r>
        <w:t>(there was one Grade 3 event reported for each of hyper</w:t>
      </w:r>
      <w:r w:rsidR="00801291" w:rsidRPr="00801291">
        <w:t>thyroidism</w:t>
      </w:r>
      <w:r>
        <w:t xml:space="preserve"> and hypothyroidism).</w:t>
      </w:r>
    </w:p>
    <w:p w14:paraId="4518888A" w14:textId="2CD7615E" w:rsidR="008A1DBD" w:rsidRDefault="008A1DBD" w:rsidP="008A1DBD">
      <w:r>
        <w:t xml:space="preserve">No new </w:t>
      </w:r>
      <w:r w:rsidR="000F2E6D">
        <w:t>a</w:t>
      </w:r>
      <w:r w:rsidR="000F2E6D" w:rsidRPr="000F2E6D">
        <w:t xml:space="preserve">dverse events of special interest </w:t>
      </w:r>
      <w:r w:rsidR="00FF2782">
        <w:t>Preferred Term</w:t>
      </w:r>
      <w:r>
        <w:t xml:space="preserve">s were reported. The most frequently reported </w:t>
      </w:r>
      <w:r w:rsidR="000F2E6D">
        <w:t>a</w:t>
      </w:r>
      <w:r w:rsidR="000F2E6D" w:rsidRPr="000F2E6D">
        <w:t xml:space="preserve">dverse events of special interest </w:t>
      </w:r>
      <w:r>
        <w:t xml:space="preserve">in </w:t>
      </w:r>
      <w:r w:rsidR="00ED2AA0">
        <w:t>KEYNOTE-564</w:t>
      </w:r>
      <w:r w:rsidR="00B937D1">
        <w:t xml:space="preserve"> trial </w:t>
      </w:r>
      <w:r>
        <w:t>were as follows</w:t>
      </w:r>
      <w:r w:rsidR="00801291">
        <w:t xml:space="preserve"> (</w:t>
      </w:r>
      <w:r w:rsidR="00801291">
        <w:fldChar w:fldCharType="begin"/>
      </w:r>
      <w:r w:rsidR="00801291">
        <w:instrText xml:space="preserve"> REF _Ref133932024 \h </w:instrText>
      </w:r>
      <w:r w:rsidR="00801291">
        <w:fldChar w:fldCharType="separate"/>
      </w:r>
      <w:r w:rsidR="004E7B11">
        <w:t xml:space="preserve">Table </w:t>
      </w:r>
      <w:r w:rsidR="004E7B11">
        <w:rPr>
          <w:noProof/>
        </w:rPr>
        <w:t>24</w:t>
      </w:r>
      <w:r w:rsidR="00801291">
        <w:fldChar w:fldCharType="end"/>
      </w:r>
      <w:r w:rsidR="00801291">
        <w:t>).</w:t>
      </w:r>
    </w:p>
    <w:p w14:paraId="593AEE79" w14:textId="0E27AEC5" w:rsidR="008A1DBD" w:rsidRDefault="008A1DBD" w:rsidP="008A1DBD">
      <w:pPr>
        <w:pStyle w:val="TableTitle"/>
      </w:pPr>
      <w:bookmarkStart w:id="70" w:name="_Ref133932024"/>
      <w:r>
        <w:t xml:space="preserve">Table </w:t>
      </w:r>
      <w:r>
        <w:fldChar w:fldCharType="begin"/>
      </w:r>
      <w:r>
        <w:instrText>SEQ Table \* ARABIC</w:instrText>
      </w:r>
      <w:r>
        <w:fldChar w:fldCharType="separate"/>
      </w:r>
      <w:r w:rsidR="004E7B11">
        <w:rPr>
          <w:noProof/>
        </w:rPr>
        <w:t>24</w:t>
      </w:r>
      <w:r>
        <w:fldChar w:fldCharType="end"/>
      </w:r>
      <w:bookmarkEnd w:id="70"/>
      <w:r w:rsidR="00801291">
        <w:rPr>
          <w:noProof/>
        </w:rPr>
        <w:t>:</w:t>
      </w:r>
      <w:r>
        <w:t xml:space="preserve"> </w:t>
      </w:r>
      <w:r w:rsidR="004B5399" w:rsidRPr="004B5399">
        <w:t xml:space="preserve">KEYNOTE-564 trial </w:t>
      </w:r>
      <w:r w:rsidR="004B5399">
        <w:t>a</w:t>
      </w:r>
      <w:r w:rsidR="00801291" w:rsidRPr="00801291">
        <w:t xml:space="preserve">dverse events of special interest </w:t>
      </w:r>
      <w:r>
        <w:t xml:space="preserve">with incidence ≥ 1% in pembrolizumab arm by decreasing frequency of </w:t>
      </w:r>
      <w:r w:rsidR="00FF2782">
        <w:t>Preferred Term</w:t>
      </w:r>
    </w:p>
    <w:tbl>
      <w:tblPr>
        <w:tblStyle w:val="TGABlack2023"/>
        <w:tblW w:w="0" w:type="auto"/>
        <w:tblLayout w:type="fixed"/>
        <w:tblLook w:val="04A0" w:firstRow="1" w:lastRow="0" w:firstColumn="1" w:lastColumn="0" w:noHBand="0" w:noVBand="1"/>
      </w:tblPr>
      <w:tblGrid>
        <w:gridCol w:w="2683"/>
        <w:gridCol w:w="2175"/>
        <w:gridCol w:w="1923"/>
        <w:gridCol w:w="2225"/>
      </w:tblGrid>
      <w:tr w:rsidR="008A1DBD" w:rsidRPr="006921E7" w14:paraId="507487B7" w14:textId="77777777" w:rsidTr="00801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shd w:val="clear" w:color="auto" w:fill="auto"/>
          </w:tcPr>
          <w:p w14:paraId="44DB77B7" w14:textId="77777777" w:rsidR="008A1DBD" w:rsidRPr="006921E7" w:rsidRDefault="008A1DBD" w:rsidP="006921E7">
            <w:pPr>
              <w:rPr>
                <w:color w:val="auto"/>
                <w:sz w:val="20"/>
                <w:szCs w:val="20"/>
              </w:rPr>
            </w:pPr>
          </w:p>
        </w:tc>
        <w:tc>
          <w:tcPr>
            <w:tcW w:w="2175" w:type="dxa"/>
            <w:shd w:val="clear" w:color="auto" w:fill="auto"/>
          </w:tcPr>
          <w:p w14:paraId="328C8691" w14:textId="00F3A95C" w:rsidR="008A1DBD" w:rsidRPr="006921E7" w:rsidRDefault="00ED2AA0"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KEYNOTE-564</w:t>
            </w:r>
            <w:r w:rsidR="00B937D1" w:rsidRPr="006921E7">
              <w:rPr>
                <w:color w:val="auto"/>
                <w:sz w:val="20"/>
                <w:szCs w:val="20"/>
              </w:rPr>
              <w:t xml:space="preserve"> trial </w:t>
            </w:r>
            <w:r w:rsidR="008A1DBD" w:rsidRPr="006921E7">
              <w:rPr>
                <w:color w:val="auto"/>
                <w:sz w:val="20"/>
                <w:szCs w:val="20"/>
              </w:rPr>
              <w:t>pembrolizumab</w:t>
            </w:r>
          </w:p>
          <w:p w14:paraId="54132F68" w14:textId="77777777" w:rsidR="008A1DBD" w:rsidRPr="006921E7" w:rsidRDefault="008A1DBD"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N (%)</w:t>
            </w:r>
          </w:p>
        </w:tc>
        <w:tc>
          <w:tcPr>
            <w:tcW w:w="1923" w:type="dxa"/>
            <w:shd w:val="clear" w:color="auto" w:fill="auto"/>
          </w:tcPr>
          <w:p w14:paraId="7F0E9499" w14:textId="1D593A13" w:rsidR="008A1DBD" w:rsidRPr="006921E7" w:rsidRDefault="00ED2AA0"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KEYNOTE-564</w:t>
            </w:r>
            <w:r w:rsidR="00B937D1" w:rsidRPr="006921E7">
              <w:rPr>
                <w:color w:val="auto"/>
                <w:sz w:val="20"/>
                <w:szCs w:val="20"/>
              </w:rPr>
              <w:t xml:space="preserve"> trial </w:t>
            </w:r>
            <w:r w:rsidR="008A1DBD" w:rsidRPr="006921E7">
              <w:rPr>
                <w:color w:val="auto"/>
                <w:sz w:val="20"/>
                <w:szCs w:val="20"/>
              </w:rPr>
              <w:t>placebo</w:t>
            </w:r>
          </w:p>
          <w:p w14:paraId="6D67C065" w14:textId="77777777" w:rsidR="008A1DBD" w:rsidRPr="006921E7" w:rsidRDefault="008A1DBD"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N (%)</w:t>
            </w:r>
          </w:p>
        </w:tc>
        <w:tc>
          <w:tcPr>
            <w:tcW w:w="2225" w:type="dxa"/>
            <w:shd w:val="clear" w:color="auto" w:fill="auto"/>
          </w:tcPr>
          <w:p w14:paraId="404CC49F" w14:textId="4FD0C685" w:rsidR="008A1DBD" w:rsidRPr="006921E7" w:rsidRDefault="00FF2782"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reference safety dataset</w:t>
            </w:r>
            <w:r w:rsidR="008A1DBD" w:rsidRPr="006921E7">
              <w:rPr>
                <w:color w:val="auto"/>
                <w:sz w:val="20"/>
                <w:szCs w:val="20"/>
              </w:rPr>
              <w:t xml:space="preserve"> for pembrolizumab</w:t>
            </w:r>
          </w:p>
          <w:p w14:paraId="5C1FF12F" w14:textId="77777777" w:rsidR="008A1DBD" w:rsidRPr="006921E7" w:rsidRDefault="008A1DBD" w:rsidP="006921E7">
            <w:pPr>
              <w:cnfStyle w:val="100000000000" w:firstRow="1" w:lastRow="0" w:firstColumn="0" w:lastColumn="0" w:oddVBand="0" w:evenVBand="0" w:oddHBand="0" w:evenHBand="0" w:firstRowFirstColumn="0" w:firstRowLastColumn="0" w:lastRowFirstColumn="0" w:lastRowLastColumn="0"/>
              <w:rPr>
                <w:color w:val="auto"/>
                <w:sz w:val="20"/>
                <w:szCs w:val="20"/>
              </w:rPr>
            </w:pPr>
            <w:r w:rsidRPr="006921E7">
              <w:rPr>
                <w:color w:val="auto"/>
                <w:sz w:val="20"/>
                <w:szCs w:val="20"/>
              </w:rPr>
              <w:t>N (%)</w:t>
            </w:r>
          </w:p>
        </w:tc>
      </w:tr>
      <w:tr w:rsidR="008A1DBD" w:rsidRPr="006921E7" w14:paraId="001B5091"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21876A0C" w14:textId="77777777" w:rsidR="008A1DBD" w:rsidRPr="006921E7" w:rsidRDefault="008A1DBD" w:rsidP="006921E7">
            <w:pPr>
              <w:rPr>
                <w:sz w:val="20"/>
                <w:szCs w:val="20"/>
              </w:rPr>
            </w:pPr>
            <w:r w:rsidRPr="006921E7">
              <w:rPr>
                <w:sz w:val="20"/>
                <w:szCs w:val="20"/>
              </w:rPr>
              <w:t>Hypothyroidism</w:t>
            </w:r>
          </w:p>
        </w:tc>
        <w:tc>
          <w:tcPr>
            <w:tcW w:w="2175" w:type="dxa"/>
          </w:tcPr>
          <w:p w14:paraId="62FC1DC8"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103 (21.1%)</w:t>
            </w:r>
          </w:p>
        </w:tc>
        <w:tc>
          <w:tcPr>
            <w:tcW w:w="1923" w:type="dxa"/>
          </w:tcPr>
          <w:p w14:paraId="7D0F702C"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18 (3.6%)</w:t>
            </w:r>
          </w:p>
        </w:tc>
        <w:tc>
          <w:tcPr>
            <w:tcW w:w="2225" w:type="dxa"/>
          </w:tcPr>
          <w:p w14:paraId="544F451D"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237 (8.5%)</w:t>
            </w:r>
          </w:p>
        </w:tc>
      </w:tr>
      <w:tr w:rsidR="008A1DBD" w:rsidRPr="006921E7" w14:paraId="22714B09"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32EE74C9" w14:textId="77777777" w:rsidR="008A1DBD" w:rsidRPr="006921E7" w:rsidRDefault="008A1DBD" w:rsidP="006921E7">
            <w:pPr>
              <w:rPr>
                <w:sz w:val="20"/>
                <w:szCs w:val="20"/>
              </w:rPr>
            </w:pPr>
            <w:r w:rsidRPr="006921E7">
              <w:rPr>
                <w:sz w:val="20"/>
                <w:szCs w:val="20"/>
              </w:rPr>
              <w:t>Hyperthyroidism</w:t>
            </w:r>
          </w:p>
        </w:tc>
        <w:tc>
          <w:tcPr>
            <w:tcW w:w="2175" w:type="dxa"/>
          </w:tcPr>
          <w:p w14:paraId="01032003"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58 (11.9%)</w:t>
            </w:r>
          </w:p>
        </w:tc>
        <w:tc>
          <w:tcPr>
            <w:tcW w:w="1923" w:type="dxa"/>
          </w:tcPr>
          <w:p w14:paraId="6FEFBE8C"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 (0.2%)</w:t>
            </w:r>
          </w:p>
        </w:tc>
        <w:tc>
          <w:tcPr>
            <w:tcW w:w="2225" w:type="dxa"/>
          </w:tcPr>
          <w:p w14:paraId="5B6DE82F"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96 (3.4%)</w:t>
            </w:r>
          </w:p>
        </w:tc>
      </w:tr>
      <w:tr w:rsidR="008A1DBD" w:rsidRPr="006921E7" w14:paraId="6D05DBEA"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6F586AB0" w14:textId="77777777" w:rsidR="008A1DBD" w:rsidRPr="006921E7" w:rsidRDefault="008A1DBD" w:rsidP="006921E7">
            <w:pPr>
              <w:rPr>
                <w:sz w:val="20"/>
                <w:szCs w:val="20"/>
              </w:rPr>
            </w:pPr>
            <w:r w:rsidRPr="006921E7">
              <w:rPr>
                <w:sz w:val="20"/>
                <w:szCs w:val="20"/>
              </w:rPr>
              <w:t>Pneumonitis</w:t>
            </w:r>
          </w:p>
        </w:tc>
        <w:tc>
          <w:tcPr>
            <w:tcW w:w="2175" w:type="dxa"/>
          </w:tcPr>
          <w:p w14:paraId="2E01DAA6"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11 (2.3%)</w:t>
            </w:r>
          </w:p>
        </w:tc>
        <w:tc>
          <w:tcPr>
            <w:tcW w:w="1923" w:type="dxa"/>
          </w:tcPr>
          <w:p w14:paraId="182DDDC3"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5 (1.0%)</w:t>
            </w:r>
          </w:p>
        </w:tc>
        <w:tc>
          <w:tcPr>
            <w:tcW w:w="2225" w:type="dxa"/>
          </w:tcPr>
          <w:p w14:paraId="32A131F2"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94 (3.4%)</w:t>
            </w:r>
          </w:p>
        </w:tc>
      </w:tr>
      <w:tr w:rsidR="008A1DBD" w:rsidRPr="006921E7" w14:paraId="355805F3"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14D29965" w14:textId="77777777" w:rsidR="008A1DBD" w:rsidRPr="006921E7" w:rsidRDefault="008A1DBD" w:rsidP="006921E7">
            <w:pPr>
              <w:rPr>
                <w:sz w:val="20"/>
                <w:szCs w:val="20"/>
              </w:rPr>
            </w:pPr>
            <w:r w:rsidRPr="006921E7">
              <w:rPr>
                <w:sz w:val="20"/>
                <w:szCs w:val="20"/>
              </w:rPr>
              <w:lastRenderedPageBreak/>
              <w:t>Adrenal insufficiency</w:t>
            </w:r>
          </w:p>
        </w:tc>
        <w:tc>
          <w:tcPr>
            <w:tcW w:w="2175" w:type="dxa"/>
          </w:tcPr>
          <w:p w14:paraId="6E53750E"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10 (2.0%)</w:t>
            </w:r>
          </w:p>
        </w:tc>
        <w:tc>
          <w:tcPr>
            <w:tcW w:w="1923" w:type="dxa"/>
          </w:tcPr>
          <w:p w14:paraId="12BE913A"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 (0.2%)</w:t>
            </w:r>
          </w:p>
        </w:tc>
        <w:tc>
          <w:tcPr>
            <w:tcW w:w="2225" w:type="dxa"/>
          </w:tcPr>
          <w:p w14:paraId="33D60A5B"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22 (0.8%)</w:t>
            </w:r>
          </w:p>
        </w:tc>
      </w:tr>
      <w:tr w:rsidR="008A1DBD" w:rsidRPr="006921E7" w14:paraId="2FF07017"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0CE8FA4C" w14:textId="72B2A14A" w:rsidR="008A1DBD" w:rsidRPr="006921E7" w:rsidRDefault="008A1DBD" w:rsidP="006921E7">
            <w:pPr>
              <w:rPr>
                <w:sz w:val="20"/>
                <w:szCs w:val="20"/>
              </w:rPr>
            </w:pPr>
            <w:r w:rsidRPr="006921E7">
              <w:rPr>
                <w:sz w:val="20"/>
                <w:szCs w:val="20"/>
              </w:rPr>
              <w:t>T</w:t>
            </w:r>
            <w:r w:rsidR="00127B08" w:rsidRPr="006921E7">
              <w:rPr>
                <w:sz w:val="20"/>
                <w:szCs w:val="20"/>
              </w:rPr>
              <w:t xml:space="preserve">ype </w:t>
            </w:r>
            <w:r w:rsidRPr="006921E7">
              <w:rPr>
                <w:sz w:val="20"/>
                <w:szCs w:val="20"/>
              </w:rPr>
              <w:t>1</w:t>
            </w:r>
            <w:r w:rsidR="00127B08" w:rsidRPr="006921E7">
              <w:rPr>
                <w:sz w:val="20"/>
                <w:szCs w:val="20"/>
              </w:rPr>
              <w:t xml:space="preserve"> diabetes mellitus</w:t>
            </w:r>
          </w:p>
        </w:tc>
        <w:tc>
          <w:tcPr>
            <w:tcW w:w="2175" w:type="dxa"/>
          </w:tcPr>
          <w:p w14:paraId="60D6DFDE"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9 (1.8%)</w:t>
            </w:r>
          </w:p>
        </w:tc>
        <w:tc>
          <w:tcPr>
            <w:tcW w:w="1923" w:type="dxa"/>
          </w:tcPr>
          <w:p w14:paraId="2E573293"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0</w:t>
            </w:r>
          </w:p>
        </w:tc>
        <w:tc>
          <w:tcPr>
            <w:tcW w:w="2225" w:type="dxa"/>
          </w:tcPr>
          <w:p w14:paraId="623BEC98"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6 (0.2%)</w:t>
            </w:r>
          </w:p>
        </w:tc>
      </w:tr>
      <w:tr w:rsidR="008A1DBD" w:rsidRPr="006921E7" w14:paraId="27E18221"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3608F946" w14:textId="77777777" w:rsidR="008A1DBD" w:rsidRPr="006921E7" w:rsidRDefault="008A1DBD" w:rsidP="006921E7">
            <w:pPr>
              <w:rPr>
                <w:sz w:val="20"/>
                <w:szCs w:val="20"/>
              </w:rPr>
            </w:pPr>
            <w:r w:rsidRPr="006921E7">
              <w:rPr>
                <w:sz w:val="20"/>
                <w:szCs w:val="20"/>
              </w:rPr>
              <w:t>Colitis</w:t>
            </w:r>
          </w:p>
        </w:tc>
        <w:tc>
          <w:tcPr>
            <w:tcW w:w="2175" w:type="dxa"/>
          </w:tcPr>
          <w:p w14:paraId="114FC0E2"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8 (1.6%)</w:t>
            </w:r>
          </w:p>
        </w:tc>
        <w:tc>
          <w:tcPr>
            <w:tcW w:w="1923" w:type="dxa"/>
          </w:tcPr>
          <w:p w14:paraId="3BA75865"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 (0.2%)</w:t>
            </w:r>
          </w:p>
        </w:tc>
        <w:tc>
          <w:tcPr>
            <w:tcW w:w="2225" w:type="dxa"/>
          </w:tcPr>
          <w:p w14:paraId="1DF700AC"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48 (1.7%)</w:t>
            </w:r>
          </w:p>
        </w:tc>
      </w:tr>
      <w:tr w:rsidR="008A1DBD" w:rsidRPr="006921E7" w14:paraId="0D69028D"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1149F5F2" w14:textId="77777777" w:rsidR="008A1DBD" w:rsidRPr="006921E7" w:rsidRDefault="008A1DBD" w:rsidP="006921E7">
            <w:pPr>
              <w:rPr>
                <w:sz w:val="20"/>
                <w:szCs w:val="20"/>
              </w:rPr>
            </w:pPr>
            <w:r w:rsidRPr="006921E7">
              <w:rPr>
                <w:sz w:val="20"/>
                <w:szCs w:val="20"/>
              </w:rPr>
              <w:t>Severe skin reactions</w:t>
            </w:r>
          </w:p>
        </w:tc>
        <w:tc>
          <w:tcPr>
            <w:tcW w:w="2175" w:type="dxa"/>
          </w:tcPr>
          <w:p w14:paraId="5D6D031A"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8 (1.6%)</w:t>
            </w:r>
          </w:p>
        </w:tc>
        <w:tc>
          <w:tcPr>
            <w:tcW w:w="1923" w:type="dxa"/>
          </w:tcPr>
          <w:p w14:paraId="3A1CF382"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2 (0.4%)</w:t>
            </w:r>
          </w:p>
        </w:tc>
        <w:tc>
          <w:tcPr>
            <w:tcW w:w="2225" w:type="dxa"/>
          </w:tcPr>
          <w:p w14:paraId="03B68DC2"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39 (1.4%)</w:t>
            </w:r>
          </w:p>
        </w:tc>
      </w:tr>
      <w:tr w:rsidR="008A1DBD" w:rsidRPr="006921E7" w14:paraId="33CFB868"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1093A21C" w14:textId="77777777" w:rsidR="008A1DBD" w:rsidRPr="006921E7" w:rsidRDefault="008A1DBD" w:rsidP="006921E7">
            <w:pPr>
              <w:rPr>
                <w:sz w:val="20"/>
                <w:szCs w:val="20"/>
              </w:rPr>
            </w:pPr>
            <w:r w:rsidRPr="006921E7">
              <w:rPr>
                <w:sz w:val="20"/>
                <w:szCs w:val="20"/>
              </w:rPr>
              <w:t>Infusion reactions</w:t>
            </w:r>
          </w:p>
        </w:tc>
        <w:tc>
          <w:tcPr>
            <w:tcW w:w="2175" w:type="dxa"/>
          </w:tcPr>
          <w:p w14:paraId="0ABEB935"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7 (1.4%)</w:t>
            </w:r>
          </w:p>
        </w:tc>
        <w:tc>
          <w:tcPr>
            <w:tcW w:w="1923" w:type="dxa"/>
          </w:tcPr>
          <w:p w14:paraId="51D3E019"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5 (1.0%)</w:t>
            </w:r>
          </w:p>
        </w:tc>
        <w:tc>
          <w:tcPr>
            <w:tcW w:w="2225" w:type="dxa"/>
          </w:tcPr>
          <w:p w14:paraId="4849019D"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70 (2.5%)</w:t>
            </w:r>
          </w:p>
        </w:tc>
      </w:tr>
      <w:tr w:rsidR="008A1DBD" w:rsidRPr="006921E7" w14:paraId="2D390915"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42E2357D" w14:textId="77777777" w:rsidR="008A1DBD" w:rsidRPr="006921E7" w:rsidRDefault="008A1DBD" w:rsidP="006921E7">
            <w:pPr>
              <w:rPr>
                <w:sz w:val="20"/>
                <w:szCs w:val="20"/>
              </w:rPr>
            </w:pPr>
            <w:r w:rsidRPr="006921E7">
              <w:rPr>
                <w:sz w:val="20"/>
                <w:szCs w:val="20"/>
              </w:rPr>
              <w:t>Thyroiditis</w:t>
            </w:r>
          </w:p>
        </w:tc>
        <w:tc>
          <w:tcPr>
            <w:tcW w:w="2175" w:type="dxa"/>
          </w:tcPr>
          <w:p w14:paraId="7B2ACFBA"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6 (1.2%)</w:t>
            </w:r>
          </w:p>
        </w:tc>
        <w:tc>
          <w:tcPr>
            <w:tcW w:w="1923" w:type="dxa"/>
          </w:tcPr>
          <w:p w14:paraId="3470122D"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 (0.2%)</w:t>
            </w:r>
          </w:p>
        </w:tc>
        <w:tc>
          <w:tcPr>
            <w:tcW w:w="2225" w:type="dxa"/>
          </w:tcPr>
          <w:p w14:paraId="4A7608B6"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16 (0.6%)</w:t>
            </w:r>
          </w:p>
        </w:tc>
      </w:tr>
      <w:tr w:rsidR="008A1DBD" w:rsidRPr="006921E7" w14:paraId="7AAC1196" w14:textId="77777777" w:rsidTr="00801291">
        <w:tc>
          <w:tcPr>
            <w:cnfStyle w:val="001000000000" w:firstRow="0" w:lastRow="0" w:firstColumn="1" w:lastColumn="0" w:oddVBand="0" w:evenVBand="0" w:oddHBand="0" w:evenHBand="0" w:firstRowFirstColumn="0" w:firstRowLastColumn="0" w:lastRowFirstColumn="0" w:lastRowLastColumn="0"/>
            <w:tcW w:w="2683" w:type="dxa"/>
          </w:tcPr>
          <w:p w14:paraId="001E31BD" w14:textId="77777777" w:rsidR="008A1DBD" w:rsidRPr="006921E7" w:rsidRDefault="008A1DBD" w:rsidP="006921E7">
            <w:pPr>
              <w:rPr>
                <w:sz w:val="20"/>
                <w:szCs w:val="20"/>
              </w:rPr>
            </w:pPr>
            <w:r w:rsidRPr="006921E7">
              <w:rPr>
                <w:sz w:val="20"/>
                <w:szCs w:val="20"/>
              </w:rPr>
              <w:t>Hepatitis</w:t>
            </w:r>
          </w:p>
        </w:tc>
        <w:tc>
          <w:tcPr>
            <w:tcW w:w="2175" w:type="dxa"/>
          </w:tcPr>
          <w:p w14:paraId="2166E199"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6 (1.0%)</w:t>
            </w:r>
          </w:p>
        </w:tc>
        <w:tc>
          <w:tcPr>
            <w:tcW w:w="1923" w:type="dxa"/>
          </w:tcPr>
          <w:p w14:paraId="02E97E6F"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0</w:t>
            </w:r>
          </w:p>
        </w:tc>
        <w:tc>
          <w:tcPr>
            <w:tcW w:w="2225" w:type="dxa"/>
          </w:tcPr>
          <w:p w14:paraId="52A40DA3" w14:textId="77777777" w:rsidR="008A1DBD" w:rsidRPr="006921E7" w:rsidRDefault="008A1DBD" w:rsidP="006921E7">
            <w:pPr>
              <w:cnfStyle w:val="000000000000" w:firstRow="0" w:lastRow="0" w:firstColumn="0" w:lastColumn="0" w:oddVBand="0" w:evenVBand="0" w:oddHBand="0" w:evenHBand="0" w:firstRowFirstColumn="0" w:firstRowLastColumn="0" w:lastRowFirstColumn="0" w:lastRowLastColumn="0"/>
              <w:rPr>
                <w:sz w:val="20"/>
                <w:szCs w:val="20"/>
              </w:rPr>
            </w:pPr>
            <w:r w:rsidRPr="006921E7">
              <w:rPr>
                <w:sz w:val="20"/>
                <w:szCs w:val="20"/>
              </w:rPr>
              <w:t>19 (0.7%)</w:t>
            </w:r>
          </w:p>
        </w:tc>
      </w:tr>
    </w:tbl>
    <w:p w14:paraId="362BA380" w14:textId="7B258CEF" w:rsidR="008A1DBD" w:rsidRDefault="008A1DBD" w:rsidP="008A1DBD">
      <w:r>
        <w:t xml:space="preserve">Median </w:t>
      </w:r>
      <w:r w:rsidR="00801291">
        <w:t xml:space="preserve">days </w:t>
      </w:r>
      <w:r>
        <w:t>to onset for</w:t>
      </w:r>
      <w:r w:rsidR="00801291">
        <w:t xml:space="preserve"> the</w:t>
      </w:r>
      <w:r>
        <w:t xml:space="preserve"> first event of</w:t>
      </w:r>
      <w:r w:rsidR="00801291">
        <w:t xml:space="preserve"> hyperthyroidism was 23 days for pembrolizumab and 193 days for placebo.</w:t>
      </w:r>
      <w:r w:rsidR="00C012C0">
        <w:t xml:space="preserve"> </w:t>
      </w:r>
      <w:r w:rsidR="00801291">
        <w:t>The m</w:t>
      </w:r>
      <w:r w:rsidR="00801291" w:rsidRPr="00801291">
        <w:t>edian days to onset for the first event of hyp</w:t>
      </w:r>
      <w:r w:rsidR="00801291">
        <w:t>o</w:t>
      </w:r>
      <w:r w:rsidR="00801291" w:rsidRPr="00801291">
        <w:t xml:space="preserve">thyroidism was </w:t>
      </w:r>
      <w:r w:rsidR="00801291">
        <w:t>84</w:t>
      </w:r>
      <w:r w:rsidR="00801291" w:rsidRPr="00801291">
        <w:t xml:space="preserve"> days for pembrolizumab and </w:t>
      </w:r>
      <w:r w:rsidR="00801291">
        <w:t>125.5</w:t>
      </w:r>
      <w:r w:rsidR="00801291" w:rsidRPr="00801291">
        <w:t xml:space="preserve"> days for placebo.</w:t>
      </w:r>
    </w:p>
    <w:p w14:paraId="4555709D" w14:textId="1118CA96" w:rsidR="008A1DBD" w:rsidRDefault="008A1DBD" w:rsidP="008A1DBD">
      <w:r>
        <w:t xml:space="preserve">During the </w:t>
      </w:r>
      <w:r w:rsidR="005941BE">
        <w:t>safety update report</w:t>
      </w:r>
      <w:r>
        <w:t xml:space="preserve"> reporting period, there were </w:t>
      </w:r>
      <w:r w:rsidR="005941BE">
        <w:t>four</w:t>
      </w:r>
      <w:r>
        <w:t xml:space="preserve"> additional participants in the pembrolizumab group with events of hyperthyroidism, all </w:t>
      </w:r>
      <w:r w:rsidR="00801291">
        <w:t>Grade</w:t>
      </w:r>
      <w:r>
        <w:t xml:space="preserve"> 1</w:t>
      </w:r>
      <w:r w:rsidR="005941BE">
        <w:t xml:space="preserve"> to </w:t>
      </w:r>
      <w:r>
        <w:t>2.</w:t>
      </w:r>
    </w:p>
    <w:p w14:paraId="79CE088E" w14:textId="77777777" w:rsidR="008A1DBD" w:rsidRDefault="008A1DBD" w:rsidP="008A1DBD">
      <w:pPr>
        <w:pStyle w:val="Heading6"/>
      </w:pPr>
      <w:r>
        <w:t>Other</w:t>
      </w:r>
    </w:p>
    <w:p w14:paraId="1F06715B" w14:textId="2966C3E0" w:rsidR="005941BE" w:rsidRDefault="008A1DBD" w:rsidP="005941BE">
      <w:pPr>
        <w:pStyle w:val="Heading7"/>
      </w:pPr>
      <w:r w:rsidRPr="0023035A">
        <w:t>Laboratory findings</w:t>
      </w:r>
    </w:p>
    <w:p w14:paraId="702B2166" w14:textId="782103CF" w:rsidR="008A1DBD" w:rsidRDefault="005941BE" w:rsidP="008A1DBD">
      <w:r>
        <w:t xml:space="preserve">There were </w:t>
      </w:r>
      <w:r w:rsidR="008A1DBD">
        <w:t xml:space="preserve">no new safety concerns. </w:t>
      </w:r>
      <w:r>
        <w:t>Three</w:t>
      </w:r>
      <w:r w:rsidR="008A1DBD">
        <w:t xml:space="preserve"> patients in the pembrolizumab arm met drug-induced liver injury screening criteria (concurrent increases in </w:t>
      </w:r>
      <w:r w:rsidR="00FF2782" w:rsidRPr="00FF2782">
        <w:t xml:space="preserve">aspartate aminotransferase </w:t>
      </w:r>
      <w:r w:rsidR="008A1DBD">
        <w:t xml:space="preserve">or </w:t>
      </w:r>
      <w:r w:rsidR="00FF2782">
        <w:t>alanine aminotransferase</w:t>
      </w:r>
      <w:r w:rsidR="008A1DBD">
        <w:t xml:space="preserve"> to ≥</w:t>
      </w:r>
      <w:r>
        <w:t xml:space="preserve"> </w:t>
      </w:r>
      <w:r w:rsidR="008A1DBD">
        <w:t xml:space="preserve">3 x </w:t>
      </w:r>
      <w:r>
        <w:t>upper limit of normal (</w:t>
      </w:r>
      <w:r w:rsidR="008A1DBD">
        <w:t>ULN</w:t>
      </w:r>
      <w:r>
        <w:t>)</w:t>
      </w:r>
      <w:r w:rsidR="008A1DBD">
        <w:t xml:space="preserve"> plus bilirubin to ≥</w:t>
      </w:r>
      <w:r>
        <w:t xml:space="preserve"> </w:t>
      </w:r>
      <w:r w:rsidR="008A1DBD">
        <w:t xml:space="preserve">2 x ULN plus </w:t>
      </w:r>
      <w:r>
        <w:t>alkaline phosphatase</w:t>
      </w:r>
      <w:r w:rsidR="008A1DBD">
        <w:t xml:space="preserve"> to &lt;</w:t>
      </w:r>
      <w:r>
        <w:t xml:space="preserve"> </w:t>
      </w:r>
      <w:r w:rsidR="008A1DBD">
        <w:t>2 x ULN), these were all confounded by concomitant medications and were not considered by the Sponsor to be related to pembrolizumab.</w:t>
      </w:r>
    </w:p>
    <w:p w14:paraId="5F4FC0CB" w14:textId="77777777" w:rsidR="005941BE" w:rsidRDefault="008A1DBD" w:rsidP="005941BE">
      <w:pPr>
        <w:pStyle w:val="Heading7"/>
      </w:pPr>
      <w:r w:rsidRPr="0023035A">
        <w:t>Safety in demographic subgroups</w:t>
      </w:r>
    </w:p>
    <w:p w14:paraId="0FFA8800" w14:textId="14A01D6F" w:rsidR="008A1DBD" w:rsidRPr="008A1DBD" w:rsidRDefault="005941BE" w:rsidP="005941BE">
      <w:r>
        <w:t xml:space="preserve">There were </w:t>
      </w:r>
      <w:r w:rsidR="008A1DBD">
        <w:t>no new safety concerns based on age, sex</w:t>
      </w:r>
      <w:r w:rsidR="008A1DBD" w:rsidRPr="00EC1736">
        <w:t>, ECOG PS and</w:t>
      </w:r>
      <w:r w:rsidR="008A1DBD">
        <w:t xml:space="preserve"> geographic region. A </w:t>
      </w:r>
      <w:r w:rsidR="008A1DBD">
        <w:rPr>
          <w:i/>
          <w:iCs/>
        </w:rPr>
        <w:t xml:space="preserve">post hoc </w:t>
      </w:r>
      <w:r w:rsidR="008A1DBD">
        <w:t xml:space="preserve">analysis of safety based on disease stage subgroup showed that </w:t>
      </w:r>
      <w:r w:rsidR="00B937D1">
        <w:t>adverse event</w:t>
      </w:r>
      <w:r w:rsidR="008A1DBD">
        <w:t xml:space="preserve"> rates were generally consistent across these subgroups (although interpretation was limited by small subject numbers in the M0 high risk and</w:t>
      </w:r>
      <w:r w:rsidR="008A1DBD" w:rsidRPr="008A1DBD">
        <w:t xml:space="preserve"> M1 </w:t>
      </w:r>
      <w:r w:rsidR="00DA290C" w:rsidRPr="00DA290C">
        <w:t>no evidence of disease</w:t>
      </w:r>
      <w:r w:rsidR="008A1DBD" w:rsidRPr="008A1DBD">
        <w:t xml:space="preserve"> categories).</w:t>
      </w:r>
    </w:p>
    <w:p w14:paraId="2858B006" w14:textId="77777777" w:rsidR="00C22214" w:rsidRDefault="00C22214" w:rsidP="00C22214">
      <w:pPr>
        <w:pStyle w:val="Heading3"/>
        <w:rPr>
          <w:lang w:eastAsia="en-AU"/>
        </w:rPr>
      </w:pPr>
      <w:bookmarkStart w:id="71" w:name="_Toc314842514"/>
      <w:bookmarkStart w:id="72" w:name="_Toc103679298"/>
      <w:bookmarkStart w:id="73" w:name="_Toc144287148"/>
      <w:r>
        <w:rPr>
          <w:lang w:eastAsia="en-AU"/>
        </w:rPr>
        <w:t>Risk management plan</w:t>
      </w:r>
      <w:bookmarkEnd w:id="71"/>
      <w:bookmarkEnd w:id="72"/>
      <w:bookmarkEnd w:id="73"/>
    </w:p>
    <w:p w14:paraId="2D08CB50" w14:textId="09A69DAA" w:rsidR="00FA1BC9" w:rsidRPr="00BD5DBD" w:rsidRDefault="00FA1BC9" w:rsidP="00FA1BC9">
      <w:pPr>
        <w:rPr>
          <w:szCs w:val="22"/>
        </w:rPr>
      </w:pPr>
      <w:bookmarkStart w:id="74" w:name="_Toc247691531"/>
      <w:bookmarkStart w:id="75" w:name="_Toc314842515"/>
      <w:bookmarkStart w:id="76" w:name="_Toc103679299"/>
      <w:r w:rsidRPr="00BD5DBD">
        <w:rPr>
          <w:szCs w:val="22"/>
        </w:rPr>
        <w:t xml:space="preserve">The TGA decided a </w:t>
      </w:r>
      <w:r w:rsidR="0043114B">
        <w:rPr>
          <w:szCs w:val="22"/>
        </w:rPr>
        <w:t>risk management plan (</w:t>
      </w:r>
      <w:r w:rsidRPr="00BD5DBD">
        <w:rPr>
          <w:szCs w:val="22"/>
        </w:rPr>
        <w:t>RMP</w:t>
      </w:r>
      <w:r w:rsidR="0043114B">
        <w:rPr>
          <w:szCs w:val="22"/>
        </w:rPr>
        <w:t>)</w:t>
      </w:r>
      <w:r w:rsidRPr="00BD5DBD">
        <w:rPr>
          <w:szCs w:val="22"/>
        </w:rPr>
        <w:t xml:space="preserve"> was not required</w:t>
      </w:r>
      <w:r w:rsidR="00C012C0">
        <w:rPr>
          <w:szCs w:val="22"/>
        </w:rPr>
        <w:t xml:space="preserve"> </w:t>
      </w:r>
      <w:r w:rsidRPr="00BD5DBD">
        <w:rPr>
          <w:szCs w:val="22"/>
        </w:rPr>
        <w:t xml:space="preserve">(see </w:t>
      </w:r>
      <w:hyperlink r:id="rId54" w:history="1">
        <w:r w:rsidRPr="00BD5DBD">
          <w:rPr>
            <w:rStyle w:val="Hyperlink"/>
            <w:szCs w:val="22"/>
          </w:rPr>
          <w:t>TGA’s guidance</w:t>
        </w:r>
      </w:hyperlink>
      <w:r w:rsidRPr="00BD5DBD">
        <w:rPr>
          <w:szCs w:val="22"/>
        </w:rPr>
        <w:t xml:space="preserve"> on ‘when an RMP is required’)</w:t>
      </w:r>
      <w:r w:rsidR="00D94E42">
        <w:rPr>
          <w:szCs w:val="22"/>
        </w:rPr>
        <w:t xml:space="preserve"> </w:t>
      </w:r>
      <w:r w:rsidR="00D94E42" w:rsidRPr="00D94E42">
        <w:rPr>
          <w:szCs w:val="22"/>
        </w:rPr>
        <w:t xml:space="preserve">as Keytruda is currently approved to treat RCC in combination with </w:t>
      </w:r>
      <w:proofErr w:type="spellStart"/>
      <w:r w:rsidR="00D94E42" w:rsidRPr="00D94E42">
        <w:rPr>
          <w:szCs w:val="22"/>
        </w:rPr>
        <w:t>axitinib</w:t>
      </w:r>
      <w:proofErr w:type="spellEnd"/>
      <w:r w:rsidR="00D94E42" w:rsidRPr="00D94E42">
        <w:rPr>
          <w:szCs w:val="22"/>
        </w:rPr>
        <w:t>, and patients treated with Keytruda to prevent recurrence are not considered a different population from an RMP perspective as both groups of patients have RCC and it is not anticipated that additional risk minimisation measures will be required when Keytruda is used for prevention of recurrence.</w:t>
      </w:r>
    </w:p>
    <w:p w14:paraId="456C7934" w14:textId="452031C6" w:rsidR="00FA1BC9" w:rsidRPr="00BD5DBD" w:rsidRDefault="00FA1BC9" w:rsidP="00FA1BC9">
      <w:pPr>
        <w:rPr>
          <w:szCs w:val="22"/>
        </w:rPr>
      </w:pPr>
      <w:r w:rsidRPr="00BD5DBD">
        <w:rPr>
          <w:szCs w:val="22"/>
        </w:rPr>
        <w:t xml:space="preserve">The TGA may request an updated RMP at any stage of a product's </w:t>
      </w:r>
      <w:proofErr w:type="gramStart"/>
      <w:r w:rsidRPr="00BD5DBD">
        <w:rPr>
          <w:szCs w:val="22"/>
        </w:rPr>
        <w:t>life-cycle</w:t>
      </w:r>
      <w:proofErr w:type="gramEnd"/>
      <w:r w:rsidRPr="00BD5DBD">
        <w:rPr>
          <w:szCs w:val="22"/>
        </w:rPr>
        <w:t xml:space="preserve">, during both the pre-approval and post-approval phases. Further information regarding the TGA’s risk management approach can be found in </w:t>
      </w:r>
      <w:hyperlink r:id="rId55" w:history="1">
        <w:r w:rsidRPr="00BD5DBD">
          <w:rPr>
            <w:rStyle w:val="Hyperlink"/>
            <w:szCs w:val="22"/>
          </w:rPr>
          <w:t>risk management plans for medicines and biologicals</w:t>
        </w:r>
      </w:hyperlink>
      <w:r w:rsidRPr="00BD5DBD">
        <w:rPr>
          <w:szCs w:val="22"/>
        </w:rPr>
        <w:t xml:space="preserve"> and </w:t>
      </w:r>
      <w:hyperlink r:id="rId56" w:history="1">
        <w:r w:rsidRPr="00BD5DBD">
          <w:rPr>
            <w:rStyle w:val="Hyperlink"/>
            <w:szCs w:val="22"/>
          </w:rPr>
          <w:t>the TGA's risk management approach</w:t>
        </w:r>
      </w:hyperlink>
      <w:r w:rsidRPr="00BD5DBD">
        <w:rPr>
          <w:szCs w:val="22"/>
        </w:rPr>
        <w:t xml:space="preserve">. Information on the </w:t>
      </w:r>
      <w:hyperlink r:id="rId57" w:history="1">
        <w:r w:rsidRPr="00BD5DBD">
          <w:rPr>
            <w:rStyle w:val="Hyperlink"/>
            <w:szCs w:val="22"/>
          </w:rPr>
          <w:t>Australia specific annex</w:t>
        </w:r>
      </w:hyperlink>
      <w:r w:rsidRPr="00BD5DBD">
        <w:rPr>
          <w:szCs w:val="22"/>
        </w:rPr>
        <w:t xml:space="preserve"> can be found on the TGA website.</w:t>
      </w:r>
    </w:p>
    <w:p w14:paraId="74A4F87F" w14:textId="77777777" w:rsidR="00C22214" w:rsidRDefault="00C22214" w:rsidP="00C22214">
      <w:pPr>
        <w:pStyle w:val="Heading3"/>
      </w:pPr>
      <w:bookmarkStart w:id="77" w:name="_Toc144287149"/>
      <w:r>
        <w:lastRenderedPageBreak/>
        <w:t>Risk-benefit analysis</w:t>
      </w:r>
      <w:bookmarkEnd w:id="74"/>
      <w:bookmarkEnd w:id="75"/>
      <w:bookmarkEnd w:id="76"/>
      <w:bookmarkEnd w:id="77"/>
    </w:p>
    <w:p w14:paraId="77DE2655" w14:textId="77777777" w:rsidR="00C22214" w:rsidRDefault="00C22214" w:rsidP="00C22214">
      <w:pPr>
        <w:pStyle w:val="Heading4"/>
      </w:pPr>
      <w:bookmarkStart w:id="78" w:name="_Toc98931932"/>
      <w:bookmarkStart w:id="79" w:name="_Toc144287150"/>
      <w:r>
        <w:t>Delegate’s considerations</w:t>
      </w:r>
      <w:bookmarkEnd w:id="78"/>
      <w:bookmarkEnd w:id="79"/>
    </w:p>
    <w:p w14:paraId="37F5CBDB" w14:textId="77777777" w:rsidR="00C012C0" w:rsidRDefault="008A1DBD" w:rsidP="008A1DBD">
      <w:bookmarkStart w:id="80" w:name="_Toc98931933"/>
      <w:r>
        <w:t xml:space="preserve">The </w:t>
      </w:r>
      <w:r w:rsidR="005941BE">
        <w:t>sponsor</w:t>
      </w:r>
      <w:r>
        <w:t xml:space="preserve"> proposes an extension of indication for </w:t>
      </w:r>
      <w:r w:rsidR="00264AF8">
        <w:t>Keytruda</w:t>
      </w:r>
      <w:r>
        <w:t xml:space="preserve"> for the adjuvant treatment of</w:t>
      </w:r>
      <w:r w:rsidR="005941BE">
        <w:t xml:space="preserve"> r</w:t>
      </w:r>
      <w:r w:rsidR="005941BE" w:rsidRPr="005941BE">
        <w:t>enal cell carcinoma</w:t>
      </w:r>
      <w:r>
        <w:t xml:space="preserve"> </w:t>
      </w:r>
      <w:r w:rsidR="005941BE">
        <w:t>(</w:t>
      </w:r>
      <w:r>
        <w:t>RCC</w:t>
      </w:r>
      <w:r w:rsidR="005941BE">
        <w:t>)</w:t>
      </w:r>
      <w:r>
        <w:t>. The submission was assessed as part of the Project Orbis collaboration with the US FDA. Approvals have been granted by the FDA and EMA.</w:t>
      </w:r>
    </w:p>
    <w:p w14:paraId="0C53717E" w14:textId="1E3705EC" w:rsidR="008A1DBD" w:rsidRDefault="008A1DBD" w:rsidP="008A1DBD">
      <w:r>
        <w:t xml:space="preserve">Pembrolizumab is a monoclonal antibody which targets the PD-1 immune checkpoint receptor. It was first registered in Australia for the treatment of advanced melanoma in 2016. There have been several subsequent extensions of indication in oncology, including an approval for combination use with </w:t>
      </w:r>
      <w:proofErr w:type="spellStart"/>
      <w:r>
        <w:t>axitinib</w:t>
      </w:r>
      <w:proofErr w:type="spellEnd"/>
      <w:r>
        <w:t xml:space="preserve"> for first-line treatment of advanced </w:t>
      </w:r>
      <w:r w:rsidR="000F2E6D">
        <w:t>renal cell carcinoma</w:t>
      </w:r>
      <w:r>
        <w:t>.</w:t>
      </w:r>
    </w:p>
    <w:p w14:paraId="7835B235" w14:textId="792601DB" w:rsidR="008A1DBD" w:rsidRDefault="008A1DBD" w:rsidP="008A1DBD">
      <w:r>
        <w:t>Data in support of the present submission were confined to a single, pivotal Phase III study: KEYNOTE-564</w:t>
      </w:r>
      <w:r w:rsidR="005941BE">
        <w:t xml:space="preserve"> trial</w:t>
      </w:r>
      <w:r>
        <w:t>. This is an on</w:t>
      </w:r>
      <w:r w:rsidR="006928DC">
        <w:t>-</w:t>
      </w:r>
      <w:r>
        <w:t xml:space="preserve">going Phase III, double-blind </w:t>
      </w:r>
      <w:r w:rsidR="005941BE">
        <w:t>randomised controlled trial</w:t>
      </w:r>
      <w:r>
        <w:t xml:space="preserve"> comparing pembrolizumab with placebo as monotherapy in the adjuvant treatment of </w:t>
      </w:r>
      <w:r w:rsidR="000F2E6D" w:rsidRPr="000F2E6D">
        <w:t>renal cell carcinoma</w:t>
      </w:r>
      <w:r>
        <w:t xml:space="preserve"> after nephrectomy. Data are available from a pre-specified interim analysis (</w:t>
      </w:r>
      <w:r w:rsidR="00FE2686">
        <w:t>first interim analysis</w:t>
      </w:r>
      <w:r>
        <w:t xml:space="preserve">; median follow up: 23.9 months), as well as a regulator-requested updated analysis with </w:t>
      </w:r>
      <w:r w:rsidR="005941BE">
        <w:t xml:space="preserve">approximately </w:t>
      </w:r>
      <w:r>
        <w:t>6 months additional follow up.</w:t>
      </w:r>
    </w:p>
    <w:p w14:paraId="1E805643" w14:textId="3AC47857" w:rsidR="00C012C0" w:rsidRDefault="008A1DBD" w:rsidP="008A1DBD">
      <w:r>
        <w:t xml:space="preserve">The incidence of kidney cancers in Australia has more than doubled over the past </w:t>
      </w:r>
      <w:r w:rsidR="005941BE">
        <w:t>four</w:t>
      </w:r>
      <w:r>
        <w:t xml:space="preserve"> decades, with </w:t>
      </w:r>
      <w:r w:rsidR="000F2E6D" w:rsidRPr="000F2E6D">
        <w:t xml:space="preserve">renal cell carcinoma </w:t>
      </w:r>
      <w:r w:rsidR="000F2E6D">
        <w:t>account</w:t>
      </w:r>
      <w:r>
        <w:t>ing for most cases (of which around 70</w:t>
      </w:r>
      <w:r w:rsidR="000F2E6D">
        <w:t xml:space="preserve"> to </w:t>
      </w:r>
      <w:r>
        <w:t xml:space="preserve">75% are of clear cell histology). Prognosis is generally determined by stage at presentation and mortality rates can be substantial. The standard of care is generally surgical resection with either partial or radical nephrectomy. At present, there is no adjuvant drug therapy approved in Australia. </w:t>
      </w:r>
      <w:r w:rsidR="00DA290C" w:rsidRPr="00DA290C">
        <w:t xml:space="preserve">National Comprehensive Cancer Network </w:t>
      </w:r>
      <w:r w:rsidR="00DA290C">
        <w:t xml:space="preserve">(NCCN) </w:t>
      </w:r>
      <w:r>
        <w:t>guidelines were recently updated to include a Category</w:t>
      </w:r>
      <w:r w:rsidR="005941BE">
        <w:t> </w:t>
      </w:r>
      <w:r>
        <w:t xml:space="preserve">2A recommendation for the use of pembrolizumab in the adjuvant setting, for patient subsets which generally align with </w:t>
      </w:r>
      <w:r w:rsidR="00ED2AA0">
        <w:t>KEYNOTE-564</w:t>
      </w:r>
      <w:r w:rsidR="00B937D1">
        <w:t xml:space="preserve"> trial </w:t>
      </w:r>
      <w:r>
        <w:t>eligibility criteria, including a stipulation for clear cell histology.</w:t>
      </w:r>
    </w:p>
    <w:p w14:paraId="5F104BE9" w14:textId="6B9A6E24" w:rsidR="008A1DBD" w:rsidRDefault="008A1DBD" w:rsidP="008A1DBD">
      <w:pPr>
        <w:pStyle w:val="Heading5"/>
      </w:pPr>
      <w:r>
        <w:t>Efficacy</w:t>
      </w:r>
    </w:p>
    <w:p w14:paraId="324AA9BB" w14:textId="268B8E65" w:rsidR="00C012C0" w:rsidRPr="003F26E9" w:rsidRDefault="000F2E6D" w:rsidP="008A1DBD">
      <w:pPr>
        <w:rPr>
          <w:szCs w:val="22"/>
        </w:rPr>
      </w:pPr>
      <w:r>
        <w:t xml:space="preserve">The </w:t>
      </w:r>
      <w:r w:rsidR="00ED2AA0">
        <w:t>KEYNOTE-564</w:t>
      </w:r>
      <w:r w:rsidR="00B937D1">
        <w:t xml:space="preserve"> trial </w:t>
      </w:r>
      <w:r w:rsidR="008A1DBD">
        <w:t>randomised 994 patients in a 1:1 ratio to receive pembrolizumab 200</w:t>
      </w:r>
      <w:r>
        <w:t> </w:t>
      </w:r>
      <w:r w:rsidR="008A1DBD">
        <w:t xml:space="preserve">mg </w:t>
      </w:r>
      <w:r w:rsidR="005941BE">
        <w:t xml:space="preserve">intravenously once every three weeks </w:t>
      </w:r>
      <w:r w:rsidR="008A1DBD">
        <w:t>or placebo for up to 17 cycles (</w:t>
      </w:r>
      <w:r w:rsidR="005941BE">
        <w:t>approximately</w:t>
      </w:r>
      <w:r w:rsidR="008A1DBD">
        <w:t xml:space="preserve"> one year) or until confirmed recurrence. Eligible patients had </w:t>
      </w:r>
      <w:r w:rsidRPr="000F2E6D">
        <w:t>renal cell carcinoma</w:t>
      </w:r>
      <w:r w:rsidR="008A1DBD">
        <w:t xml:space="preserve"> with a clear cell component (other histology types permitted, provided there was a clear cell component), ECOG PS 0 or 1,</w:t>
      </w:r>
      <w:r w:rsidR="003F26E9">
        <w:fldChar w:fldCharType="begin"/>
      </w:r>
      <w:r w:rsidR="003F26E9">
        <w:instrText xml:space="preserve"> NOTEREF _Ref134092388 \h </w:instrText>
      </w:r>
      <w:r w:rsidR="003F26E9">
        <w:fldChar w:fldCharType="separate"/>
      </w:r>
      <w:r w:rsidR="004E7B11">
        <w:t>10</w:t>
      </w:r>
      <w:r w:rsidR="003F26E9">
        <w:fldChar w:fldCharType="end"/>
      </w:r>
      <w:r w:rsidR="003F26E9">
        <w:fldChar w:fldCharType="begin"/>
      </w:r>
      <w:r w:rsidR="003F26E9">
        <w:instrText xml:space="preserve"> NOTEREF _Ref134092388 \f \h </w:instrText>
      </w:r>
      <w:r w:rsidR="003F26E9">
        <w:fldChar w:fldCharType="separate"/>
      </w:r>
      <w:r w:rsidR="004E7B11" w:rsidRPr="004E7B11">
        <w:rPr>
          <w:rStyle w:val="FootnoteReference"/>
        </w:rPr>
        <w:t>10</w:t>
      </w:r>
      <w:r w:rsidR="003F26E9">
        <w:fldChar w:fldCharType="end"/>
      </w:r>
      <w:r w:rsidR="008A1DBD">
        <w:t xml:space="preserve"> and were of intermediate-high or high risk of recurrence following nephrectomy (tumour-free at baseline). Most participants fulfilled the M0-intermediate-high risk category (86%). 75.3% of patients expressed PD-L1, defined as</w:t>
      </w:r>
      <w:r w:rsidR="003F26E9">
        <w:t xml:space="preserve"> a c</w:t>
      </w:r>
      <w:r w:rsidR="003F26E9">
        <w:rPr>
          <w:szCs w:val="22"/>
        </w:rPr>
        <w:t>ombined positive score (</w:t>
      </w:r>
      <w:r w:rsidR="008A1DBD">
        <w:t>CPS</w:t>
      </w:r>
      <w:r w:rsidR="003F26E9">
        <w:t>)</w:t>
      </w:r>
      <w:r w:rsidR="008A1DBD">
        <w:t xml:space="preserve"> ≥ 1.</w:t>
      </w:r>
    </w:p>
    <w:p w14:paraId="3CC06EC2" w14:textId="73A2357A" w:rsidR="00C012C0" w:rsidRDefault="008A1DBD" w:rsidP="008A1DBD">
      <w:r>
        <w:t>The study met its primary endpoint of disease-free survival at</w:t>
      </w:r>
      <w:r w:rsidR="000F2E6D">
        <w:t xml:space="preserve"> the</w:t>
      </w:r>
      <w:r>
        <w:t xml:space="preserve"> </w:t>
      </w:r>
      <w:r w:rsidR="00FE2686">
        <w:t>first interim analysis</w:t>
      </w:r>
      <w:r>
        <w:t xml:space="preserve">. This was event-driven in addition to requiring at least 12 months of follow up. The </w:t>
      </w:r>
      <w:r w:rsidR="00E90F9C">
        <w:t>hazard ratio</w:t>
      </w:r>
      <w:r>
        <w:t xml:space="preserve"> for </w:t>
      </w:r>
      <w:r w:rsidR="00FE2686">
        <w:t>disease free survival</w:t>
      </w:r>
      <w:r>
        <w:t xml:space="preserve"> (investigator-assessed) was </w:t>
      </w:r>
      <w:bookmarkStart w:id="81" w:name="_Hlk96936759"/>
      <w:r>
        <w:t>0.68 (95% CI: 0.53, 0.87; p</w:t>
      </w:r>
      <w:r w:rsidR="005941BE">
        <w:t> </w:t>
      </w:r>
      <w:r>
        <w:t>= 0.0010</w:t>
      </w:r>
      <w:bookmarkEnd w:id="81"/>
      <w:r>
        <w:t xml:space="preserve">) in favour of pembrolizumab, based on 260 </w:t>
      </w:r>
      <w:r w:rsidR="00FE2686">
        <w:t>disease free survival</w:t>
      </w:r>
      <w:r>
        <w:t xml:space="preserve"> events (pembrolizumab: 109, placebo: 151), assessed on an </w:t>
      </w:r>
      <w:r w:rsidR="005941BE">
        <w:t>intent to treat</w:t>
      </w:r>
      <w:r>
        <w:t xml:space="preserve"> basis. This result is statistically significant and clinically meaningful. A sensitivity analysis of </w:t>
      </w:r>
      <w:proofErr w:type="gramStart"/>
      <w:r w:rsidR="00FE2686">
        <w:t>disease free</w:t>
      </w:r>
      <w:proofErr w:type="gramEnd"/>
      <w:r w:rsidR="00FE2686">
        <w:t xml:space="preserve"> survival</w:t>
      </w:r>
      <w:r>
        <w:t xml:space="preserve"> based on BICR review yielded a slightly reduced estimate of pembrolizumab treatment effect; however, this remained statistically significant with a </w:t>
      </w:r>
      <w:r w:rsidR="00E90F9C">
        <w:t>hazard ratio</w:t>
      </w:r>
      <w:r>
        <w:t xml:space="preserve"> of 0.73 (95% CI: 0.56, 0.95; nominal p = 0.0097). There was no evidence of systematic bias in disease recurrence assessments by investigator.</w:t>
      </w:r>
    </w:p>
    <w:p w14:paraId="520C2587" w14:textId="755E466B" w:rsidR="008A1DBD" w:rsidRDefault="005941BE" w:rsidP="008A1DBD">
      <w:r>
        <w:t>D</w:t>
      </w:r>
      <w:r w:rsidR="00FE2686">
        <w:t>isease free survival</w:t>
      </w:r>
      <w:r w:rsidR="008A1DBD">
        <w:t xml:space="preserve"> was generally consistent across pre-specified subgroups, although the interpretation of these analyses is limited by small numbers in some categories. The subgroup analyses suggest that patients with metastatic disease (M1 </w:t>
      </w:r>
      <w:r w:rsidR="00DA290C" w:rsidRPr="00DA290C">
        <w:t>no evidence of disease</w:t>
      </w:r>
      <w:r w:rsidR="008A1DBD">
        <w:t>) might derive the most benefit (</w:t>
      </w:r>
      <w:r w:rsidR="00E90F9C">
        <w:t>hazard ratio</w:t>
      </w:r>
      <w:r w:rsidR="008A1DBD">
        <w:t xml:space="preserve"> 0.29) compared with M0 disease (</w:t>
      </w:r>
      <w:r w:rsidR="00E90F9C">
        <w:t>hazard ratio</w:t>
      </w:r>
      <w:r w:rsidR="008A1DBD">
        <w:t xml:space="preserve"> 0.74), although </w:t>
      </w:r>
      <w:r w:rsidR="008A1DBD">
        <w:lastRenderedPageBreak/>
        <w:t xml:space="preserve">treatment appears effective in both groups. At the updated </w:t>
      </w:r>
      <w:r>
        <w:t xml:space="preserve">efficacy </w:t>
      </w:r>
      <w:proofErr w:type="gramStart"/>
      <w:r w:rsidR="008A1DBD">
        <w:t>analysis</w:t>
      </w:r>
      <w:proofErr w:type="gramEnd"/>
      <w:r w:rsidR="008A1DBD">
        <w:t xml:space="preserve"> the gap between these had narrowed, with a </w:t>
      </w:r>
      <w:r w:rsidR="00E90F9C">
        <w:t>hazard ratio</w:t>
      </w:r>
      <w:r w:rsidR="008A1DBD">
        <w:t xml:space="preserve"> of 0.28 for M1 </w:t>
      </w:r>
      <w:r w:rsidR="00DA290C" w:rsidRPr="00DA290C">
        <w:t>no evidence of disease</w:t>
      </w:r>
      <w:r w:rsidR="008A1DBD">
        <w:t xml:space="preserve"> and 0.68 for M0. In addition, </w:t>
      </w:r>
      <w:r w:rsidR="00FE2686">
        <w:t>disease free survival</w:t>
      </w:r>
      <w:r w:rsidR="008A1DBD">
        <w:t xml:space="preserve"> estimates for other subgroups were observed to be more consistent at the updated analysis, with a reduction in outlying point estimates for CPS &lt; 1, ECOG</w:t>
      </w:r>
      <w:r>
        <w:t> </w:t>
      </w:r>
      <w:r w:rsidR="008A1DBD">
        <w:t xml:space="preserve">1 and </w:t>
      </w:r>
      <w:r>
        <w:t>US</w:t>
      </w:r>
      <w:r w:rsidR="008A1DBD">
        <w:t xml:space="preserve"> region. The overall </w:t>
      </w:r>
      <w:r w:rsidR="00E90F9C">
        <w:t>hazard ratio</w:t>
      </w:r>
      <w:r w:rsidR="008A1DBD">
        <w:t xml:space="preserve"> for </w:t>
      </w:r>
      <w:r w:rsidR="00FE2686">
        <w:t>disease free survival</w:t>
      </w:r>
      <w:r w:rsidR="008A1DBD">
        <w:t xml:space="preserve"> at the updated analysis was 0.63 (95% CI: 0.50, 0.80) based on an additional 23 </w:t>
      </w:r>
      <w:r w:rsidR="00FE2686">
        <w:t>disease free survival</w:t>
      </w:r>
      <w:r w:rsidR="008A1DBD">
        <w:t xml:space="preserve"> events. This is consistent with </w:t>
      </w:r>
      <w:r w:rsidR="00FE2686">
        <w:t>first interim analysis</w:t>
      </w:r>
      <w:r w:rsidR="008A1DBD">
        <w:t>.</w:t>
      </w:r>
    </w:p>
    <w:p w14:paraId="068027EF" w14:textId="30EA7598" w:rsidR="00C012C0" w:rsidRDefault="008A1DBD" w:rsidP="008A1DBD">
      <w:r>
        <w:t>Data for the key secondary endpoint, overall survival</w:t>
      </w:r>
      <w:r w:rsidR="000F2E6D">
        <w:t>,</w:t>
      </w:r>
      <w:r>
        <w:t xml:space="preserve"> were not mature at either </w:t>
      </w:r>
      <w:r w:rsidR="005941BE">
        <w:t xml:space="preserve">the </w:t>
      </w:r>
      <w:r w:rsidR="00FE2686">
        <w:t xml:space="preserve">first interim analysis </w:t>
      </w:r>
      <w:r>
        <w:t xml:space="preserve">or the updated analysis and median </w:t>
      </w:r>
      <w:r w:rsidR="00E90F9C">
        <w:t>overall survival</w:t>
      </w:r>
      <w:r>
        <w:t xml:space="preserve"> was not reached in either group at either analysis. At </w:t>
      </w:r>
      <w:r w:rsidR="005941BE">
        <w:t xml:space="preserve">the </w:t>
      </w:r>
      <w:r w:rsidR="00FE2686">
        <w:t>first interim analysis</w:t>
      </w:r>
      <w:r>
        <w:t xml:space="preserve">, the </w:t>
      </w:r>
      <w:r w:rsidR="00E90F9C">
        <w:t>hazard ratio</w:t>
      </w:r>
      <w:r>
        <w:t xml:space="preserve"> for </w:t>
      </w:r>
      <w:r w:rsidR="00E90F9C">
        <w:t>overall survival</w:t>
      </w:r>
      <w:r>
        <w:t xml:space="preserve"> was 0.54 (95% CI: 0.30, 0.96) based on 18 deaths with pembrolizumab and 33 deaths with placebo. At the updated analysis the </w:t>
      </w:r>
      <w:r w:rsidR="00E90F9C">
        <w:t>hazard ratio</w:t>
      </w:r>
      <w:r>
        <w:t xml:space="preserve"> for </w:t>
      </w:r>
      <w:r w:rsidR="00E90F9C">
        <w:t>overall survival</w:t>
      </w:r>
      <w:r>
        <w:t xml:space="preserve"> was consistent with</w:t>
      </w:r>
      <w:r w:rsidR="005941BE">
        <w:t xml:space="preserve"> the</w:t>
      </w:r>
      <w:r>
        <w:t xml:space="preserve"> </w:t>
      </w:r>
      <w:r w:rsidR="00FE2686">
        <w:t xml:space="preserve">first interim analysis </w:t>
      </w:r>
      <w:r>
        <w:t xml:space="preserve">at 0.52 (95% CI: 0.31, 0.86). The </w:t>
      </w:r>
      <w:r w:rsidR="00E90F9C">
        <w:t>overall survival</w:t>
      </w:r>
      <w:r>
        <w:t xml:space="preserve"> results to date provide sufficient reassurance that </w:t>
      </w:r>
      <w:r w:rsidRPr="002A3E8C">
        <w:t>the use of pembrolizumab was not associated with a detrimental effect on survival</w:t>
      </w:r>
      <w:r>
        <w:t xml:space="preserve">. They also provide an early signal for potential survival benefit with pembrolizumab which requires confirmation with mature </w:t>
      </w:r>
      <w:r w:rsidR="00E90F9C">
        <w:t>overall survival</w:t>
      </w:r>
      <w:r>
        <w:t xml:space="preserve"> data.</w:t>
      </w:r>
    </w:p>
    <w:p w14:paraId="7D80C83F" w14:textId="6EC156EB" w:rsidR="00C012C0" w:rsidRDefault="008A1DBD" w:rsidP="008A1DBD">
      <w:r>
        <w:t xml:space="preserve">Patient-reported outcomes were measured by changes from baseline in FKSI-DRS and EORTC QLC-C30 scores at Week 52. The results did not detect any differences between pembrolizumab and placebo groups that were considered clinically meaningful. However, uncertainty remains as to whether the chosen measures were sufficiently specific and sensitive to detect potential detrimental effects of pembrolizumab toxicity on patients’ reported quality of life in this adjuvant treatment setting. Per the protocol: ‘These </w:t>
      </w:r>
      <w:r w:rsidR="000F2E6D">
        <w:t>p</w:t>
      </w:r>
      <w:r w:rsidR="000F2E6D" w:rsidRPr="000F2E6D">
        <w:t>atient-reported outcomes</w:t>
      </w:r>
      <w:r>
        <w:t xml:space="preserve"> are not pure efficacy or safety endpoints because they are affected by both disease recurrence and treatment tolerability. Clinical experts have indicated that the FKSI-DRS instrument primarily captures disease-related, as opposed to treatment-related, changes in </w:t>
      </w:r>
      <w:proofErr w:type="gramStart"/>
      <w:r w:rsidR="004C16C7">
        <w:t>health related</w:t>
      </w:r>
      <w:proofErr w:type="gramEnd"/>
      <w:r w:rsidR="004C16C7">
        <w:t xml:space="preserve"> quality of life</w:t>
      </w:r>
      <w:r>
        <w:t xml:space="preserve">.’ These data are therefore not </w:t>
      </w:r>
      <w:proofErr w:type="gramStart"/>
      <w:r>
        <w:t>taken into account</w:t>
      </w:r>
      <w:proofErr w:type="gramEnd"/>
      <w:r>
        <w:t xml:space="preserve"> by the Delegate for the purposes of this decision.</w:t>
      </w:r>
    </w:p>
    <w:p w14:paraId="314BC1C4" w14:textId="7D88A076" w:rsidR="008A1DBD" w:rsidRDefault="008A1DBD" w:rsidP="008A1DBD">
      <w:r>
        <w:t xml:space="preserve">The submission of the additional planned </w:t>
      </w:r>
      <w:r w:rsidR="00E90F9C">
        <w:t>overall survival</w:t>
      </w:r>
      <w:r>
        <w:t xml:space="preserve"> analyses will be imposed as a </w:t>
      </w:r>
      <w:r w:rsidRPr="005C4782">
        <w:t>condition of registration</w:t>
      </w:r>
      <w:r>
        <w:t>.</w:t>
      </w:r>
    </w:p>
    <w:p w14:paraId="42555C1D" w14:textId="77777777" w:rsidR="008A1DBD" w:rsidRDefault="008A1DBD" w:rsidP="008A1DBD">
      <w:pPr>
        <w:pStyle w:val="Heading5"/>
      </w:pPr>
      <w:r>
        <w:t>Indication</w:t>
      </w:r>
    </w:p>
    <w:p w14:paraId="5FBB8B31" w14:textId="5705A9A4" w:rsidR="008A1DBD" w:rsidRDefault="00F01EBC" w:rsidP="008A1DBD">
      <w:r>
        <w:t>The indication initially p</w:t>
      </w:r>
      <w:r w:rsidR="008A1DBD">
        <w:t xml:space="preserve">roposed by </w:t>
      </w:r>
      <w:r w:rsidR="005941BE">
        <w:t>sponsor</w:t>
      </w:r>
      <w:r w:rsidR="008A1DBD">
        <w:t xml:space="preserve"> </w:t>
      </w:r>
      <w:r>
        <w:t>for this</w:t>
      </w:r>
      <w:r w:rsidR="008A1DBD">
        <w:t xml:space="preserve"> submission</w:t>
      </w:r>
      <w:r>
        <w:t xml:space="preserve"> was:</w:t>
      </w:r>
    </w:p>
    <w:p w14:paraId="38D7BBA8" w14:textId="6BE7129B" w:rsidR="008A1DBD" w:rsidRPr="00F01EBC" w:rsidRDefault="00264AF8" w:rsidP="00F01EBC">
      <w:pPr>
        <w:ind w:left="720"/>
        <w:rPr>
          <w:i/>
          <w:iCs/>
        </w:rPr>
      </w:pPr>
      <w:r w:rsidRPr="00F01EBC">
        <w:rPr>
          <w:i/>
          <w:iCs/>
        </w:rPr>
        <w:t>Keytruda</w:t>
      </w:r>
      <w:r w:rsidR="008A1DBD" w:rsidRPr="00F01EBC">
        <w:rPr>
          <w:i/>
          <w:iCs/>
        </w:rPr>
        <w:t xml:space="preserve"> (pembrolizumab), as monotherapy, is indicated for the adjuvant treatment of patients with RCC at intermediate-high or high risk of recurrence following </w:t>
      </w:r>
      <w:proofErr w:type="gramStart"/>
      <w:r w:rsidR="008A1DBD" w:rsidRPr="00F01EBC">
        <w:rPr>
          <w:i/>
          <w:iCs/>
        </w:rPr>
        <w:t>nephrectomy, or</w:t>
      </w:r>
      <w:proofErr w:type="gramEnd"/>
      <w:r w:rsidR="008A1DBD" w:rsidRPr="00F01EBC">
        <w:rPr>
          <w:i/>
          <w:iCs/>
        </w:rPr>
        <w:t xml:space="preserve"> following nephrectomy and resection of metastatic lesions.</w:t>
      </w:r>
    </w:p>
    <w:p w14:paraId="1E3DC809" w14:textId="77777777" w:rsidR="00C012C0" w:rsidRDefault="00F01EBC" w:rsidP="008A1DBD">
      <w:r>
        <w:t>The Delegate requested the indication to be amended to:</w:t>
      </w:r>
    </w:p>
    <w:p w14:paraId="292E9E80" w14:textId="508F22FB" w:rsidR="00F01EBC" w:rsidRPr="00F01EBC" w:rsidRDefault="00F01EBC" w:rsidP="00F01EBC">
      <w:pPr>
        <w:ind w:left="425"/>
        <w:rPr>
          <w:i/>
          <w:iCs/>
        </w:rPr>
      </w:pPr>
      <w:r w:rsidRPr="00F01EBC">
        <w:rPr>
          <w:i/>
          <w:iCs/>
        </w:rPr>
        <w:t xml:space="preserve">Keytruda (pembrolizumab), as monotherapy, is indicated for the adjuvant treatment of patients with RCC </w:t>
      </w:r>
      <w:r w:rsidRPr="00F01EBC">
        <w:rPr>
          <w:b/>
          <w:bCs/>
          <w:i/>
          <w:iCs/>
        </w:rPr>
        <w:t>with a clear cell component who are</w:t>
      </w:r>
      <w:r w:rsidRPr="00F01EBC">
        <w:rPr>
          <w:i/>
          <w:iCs/>
        </w:rPr>
        <w:t xml:space="preserve"> at intermediate-high or high risk of recurrence following </w:t>
      </w:r>
      <w:proofErr w:type="gramStart"/>
      <w:r w:rsidRPr="00F01EBC">
        <w:rPr>
          <w:i/>
          <w:iCs/>
        </w:rPr>
        <w:t>nephrectomy, or</w:t>
      </w:r>
      <w:proofErr w:type="gramEnd"/>
      <w:r w:rsidRPr="00F01EBC">
        <w:rPr>
          <w:i/>
          <w:iCs/>
        </w:rPr>
        <w:t xml:space="preserve"> following nephrectomy and resection of metastatic lesions </w:t>
      </w:r>
      <w:r w:rsidRPr="00F01EBC">
        <w:rPr>
          <w:b/>
          <w:bCs/>
          <w:i/>
          <w:iCs/>
        </w:rPr>
        <w:t>(see section 5.1, Clinical Trials: Renal Cell Carcinoma)</w:t>
      </w:r>
      <w:r w:rsidRPr="00F01EBC">
        <w:rPr>
          <w:i/>
          <w:iCs/>
        </w:rPr>
        <w:t>.</w:t>
      </w:r>
    </w:p>
    <w:p w14:paraId="2061DC9D" w14:textId="54D6A2E9" w:rsidR="008A1DBD" w:rsidRDefault="00F01EBC" w:rsidP="008A1DBD">
      <w:pPr>
        <w:rPr>
          <w:lang w:eastAsia="zh-TW"/>
        </w:rPr>
      </w:pPr>
      <w:r>
        <w:rPr>
          <w:lang w:eastAsia="zh-TW"/>
        </w:rPr>
        <w:t>In response to the first Delegate’s overview, the sponsor proposed the indication be changed to:</w:t>
      </w:r>
    </w:p>
    <w:p w14:paraId="182775B5" w14:textId="77777777" w:rsidR="00C012C0" w:rsidRDefault="00F01EBC" w:rsidP="00F01EBC">
      <w:pPr>
        <w:ind w:left="425"/>
        <w:rPr>
          <w:i/>
          <w:iCs/>
          <w:lang w:eastAsia="zh-TW"/>
        </w:rPr>
      </w:pPr>
      <w:r w:rsidRPr="00F01EBC">
        <w:rPr>
          <w:i/>
          <w:iCs/>
          <w:lang w:eastAsia="zh-TW"/>
        </w:rPr>
        <w:t xml:space="preserve">Keytruda (pembrolizumab), as monotherapy, is indicated for the adjuvant treatment of patients with RCC </w:t>
      </w:r>
      <w:r w:rsidRPr="00F01EBC">
        <w:rPr>
          <w:b/>
          <w:bCs/>
          <w:i/>
          <w:iCs/>
          <w:lang w:eastAsia="zh-TW"/>
        </w:rPr>
        <w:t>who are</w:t>
      </w:r>
      <w:r w:rsidRPr="00F01EBC">
        <w:rPr>
          <w:i/>
          <w:iCs/>
          <w:lang w:eastAsia="zh-TW"/>
        </w:rPr>
        <w:t xml:space="preserve"> at intermediate-high or high risk of recurrence following </w:t>
      </w:r>
      <w:proofErr w:type="gramStart"/>
      <w:r w:rsidRPr="00F01EBC">
        <w:rPr>
          <w:i/>
          <w:iCs/>
          <w:lang w:eastAsia="zh-TW"/>
        </w:rPr>
        <w:t>nephrectomy, or</w:t>
      </w:r>
      <w:proofErr w:type="gramEnd"/>
      <w:r w:rsidRPr="00F01EBC">
        <w:rPr>
          <w:i/>
          <w:iCs/>
          <w:lang w:eastAsia="zh-TW"/>
        </w:rPr>
        <w:t xml:space="preserve"> following nephrectomy and resection of metastatic lesions </w:t>
      </w:r>
      <w:r w:rsidRPr="00F01EBC">
        <w:rPr>
          <w:b/>
          <w:bCs/>
          <w:i/>
          <w:iCs/>
          <w:lang w:eastAsia="zh-TW"/>
        </w:rPr>
        <w:t>(see section 5.1, Clinical Trials: Renal Cell Carcinoma).</w:t>
      </w:r>
    </w:p>
    <w:p w14:paraId="48406A51" w14:textId="14893A2E" w:rsidR="00C012C0" w:rsidRDefault="008A1DBD" w:rsidP="008A1DBD">
      <w:r>
        <w:t xml:space="preserve">The main uncertainties regarding the </w:t>
      </w:r>
      <w:r w:rsidR="005941BE">
        <w:t>sponsor</w:t>
      </w:r>
      <w:r>
        <w:t xml:space="preserve">’s proposed indication relate to whether the indicated patient groups should be narrowed to reflect the clinical trial population more closely </w:t>
      </w:r>
      <w:r>
        <w:lastRenderedPageBreak/>
        <w:t xml:space="preserve">by stipulating a clear cell component to the </w:t>
      </w:r>
      <w:r w:rsidR="000F2E6D">
        <w:t>renal cell carcinoma</w:t>
      </w:r>
      <w:r>
        <w:t xml:space="preserve"> histology, and whether the risk categories are likely to be considered meaningful to Australian prescribers.</w:t>
      </w:r>
    </w:p>
    <w:p w14:paraId="1A86DEF8" w14:textId="617D95B8" w:rsidR="008A1DBD" w:rsidRDefault="008A1DBD" w:rsidP="008A1DBD">
      <w:r>
        <w:t xml:space="preserve">To justify the treatment of patients with non-clear cell </w:t>
      </w:r>
      <w:r w:rsidR="000F2E6D" w:rsidRPr="000F2E6D">
        <w:t>renal cell carcinoma</w:t>
      </w:r>
      <w:r>
        <w:t xml:space="preserve"> histology (</w:t>
      </w:r>
      <w:proofErr w:type="spellStart"/>
      <w:r>
        <w:t>nccRCC</w:t>
      </w:r>
      <w:proofErr w:type="spellEnd"/>
      <w:r>
        <w:t xml:space="preserve">), the </w:t>
      </w:r>
      <w:r w:rsidR="005941BE">
        <w:t>sponsor</w:t>
      </w:r>
      <w:r>
        <w:t xml:space="preserve"> referred to a high unmet need for adjuvant treatment options, since guidelines recommend only post-nephrectomy surveillance. In addition, the </w:t>
      </w:r>
      <w:r w:rsidR="005941BE">
        <w:t>sponsor</w:t>
      </w:r>
      <w:r>
        <w:t xml:space="preserve"> stated that they do not expect that efficacy is restricted to clear-cell histology, based on the mechanism of action of pembrolizumab. The </w:t>
      </w:r>
      <w:r w:rsidR="005941BE">
        <w:t>sponsor</w:t>
      </w:r>
      <w:r>
        <w:t xml:space="preserve"> also referred to results of KEYNOTE</w:t>
      </w:r>
      <w:r w:rsidR="000F2E6D">
        <w:t>-</w:t>
      </w:r>
      <w:r>
        <w:t>427</w:t>
      </w:r>
      <w:r w:rsidR="00F01EBC">
        <w:t xml:space="preserve"> trial</w:t>
      </w:r>
      <w:r>
        <w:t xml:space="preserve"> Cohort B, an on</w:t>
      </w:r>
      <w:r w:rsidR="006928DC">
        <w:t>-</w:t>
      </w:r>
      <w:r>
        <w:t xml:space="preserve">going single-arm study of pembrolizumab monotherapy for the first line treatment of locally advanced/metastatic </w:t>
      </w:r>
      <w:r w:rsidR="00DF6F53" w:rsidRPr="00DF6F53">
        <w:t xml:space="preserve">non-clear cell renal cell carcinoma </w:t>
      </w:r>
      <w:r>
        <w:t xml:space="preserve">(n = 165), which support the activity of pembrolizumab with </w:t>
      </w:r>
      <w:r w:rsidR="000F2E6D" w:rsidRPr="000F2E6D">
        <w:t>non-clear cell renal cell carcinoma</w:t>
      </w:r>
      <w:r>
        <w:t xml:space="preserve"> histology (</w:t>
      </w:r>
      <w:r w:rsidR="00D94E42">
        <w:t xml:space="preserve">objective response rate </w:t>
      </w:r>
      <w:r>
        <w:t>26.7%).</w:t>
      </w:r>
      <w:r>
        <w:rPr>
          <w:rStyle w:val="FootnoteReference"/>
        </w:rPr>
        <w:footnoteReference w:id="13"/>
      </w:r>
      <w:r>
        <w:t xml:space="preserve"> The </w:t>
      </w:r>
      <w:r w:rsidR="005941BE">
        <w:t>sponsor</w:t>
      </w:r>
      <w:r>
        <w:t xml:space="preserve"> also clarified that patients with a </w:t>
      </w:r>
      <w:proofErr w:type="spellStart"/>
      <w:r>
        <w:t>nccRCC</w:t>
      </w:r>
      <w:proofErr w:type="spellEnd"/>
      <w:r>
        <w:t xml:space="preserve"> component were not excluded from </w:t>
      </w:r>
      <w:r w:rsidR="00F01EBC" w:rsidRPr="00F01EBC">
        <w:t>KEYNOTE</w:t>
      </w:r>
      <w:r w:rsidR="000F2E6D">
        <w:t>-</w:t>
      </w:r>
      <w:r w:rsidR="00F01EBC" w:rsidRPr="00F01EBC">
        <w:t>427 trial</w:t>
      </w:r>
      <w:r>
        <w:t>; however, this was only observed in 10 of 994 (1%) participants. 99% had clear cell histology alone.</w:t>
      </w:r>
    </w:p>
    <w:p w14:paraId="4324928E" w14:textId="42065B9E" w:rsidR="008A1DBD" w:rsidRDefault="008A1DBD" w:rsidP="008A1DBD">
      <w:r>
        <w:t xml:space="preserve">The Delegate notes that the </w:t>
      </w:r>
      <w:r w:rsidR="00DA290C" w:rsidRPr="00DA290C">
        <w:t>National Comprehensive Cancer Network</w:t>
      </w:r>
      <w:r>
        <w:t xml:space="preserve"> guideline</w:t>
      </w:r>
      <w:r w:rsidR="00D94E42">
        <w:t xml:space="preserve"> </w:t>
      </w:r>
      <w:r>
        <w:t>recommendation is limited to patients with clear cell histology; however, the US and European indications do not include such a limitation.</w:t>
      </w:r>
    </w:p>
    <w:p w14:paraId="08153F4D" w14:textId="2A71F6B3" w:rsidR="00C012C0" w:rsidRDefault="008A1DBD" w:rsidP="008A1DBD">
      <w:r>
        <w:t xml:space="preserve">In the </w:t>
      </w:r>
      <w:r w:rsidR="005941BE">
        <w:t>sponsor</w:t>
      </w:r>
      <w:r>
        <w:t xml:space="preserve">’s response to the earlier Delegate’s </w:t>
      </w:r>
      <w:r w:rsidR="00F01EBC">
        <w:t>o</w:t>
      </w:r>
      <w:r>
        <w:t xml:space="preserve">verview, they reiterated the unmet clinical need for patients with </w:t>
      </w:r>
      <w:r w:rsidR="00DF6F53" w:rsidRPr="00DF6F53">
        <w:t>non-clear cell renal cell carcinoma</w:t>
      </w:r>
      <w:r w:rsidR="00DF6F53">
        <w:t>,</w:t>
      </w:r>
      <w:r w:rsidR="00DC68F7">
        <w:t xml:space="preserve"> </w:t>
      </w:r>
      <w:r>
        <w:t xml:space="preserve">citing a 2019 retrospective analysis which suggested similar risk of recurrence post nephrectomy for patients with </w:t>
      </w:r>
      <w:r w:rsidR="00DF6F53" w:rsidRPr="00DF6F53">
        <w:t>non-clear cell renal cell carcinoma</w:t>
      </w:r>
      <w:r>
        <w:t xml:space="preserve"> and </w:t>
      </w:r>
      <w:r w:rsidR="00F01EBC">
        <w:t xml:space="preserve">clear cell </w:t>
      </w:r>
      <w:r w:rsidR="00DF6F53">
        <w:t>renal cell carcinoma</w:t>
      </w:r>
      <w:r>
        <w:t>.</w:t>
      </w:r>
      <w:r>
        <w:rPr>
          <w:rStyle w:val="FootnoteReference"/>
        </w:rPr>
        <w:footnoteReference w:id="14"/>
      </w:r>
      <w:r>
        <w:t xml:space="preserve"> While this paper reinforces the unmet clinical need, it does not provide any evidence for efficacy of pembrolizumab. The </w:t>
      </w:r>
      <w:r w:rsidR="005941BE">
        <w:t>sponsor</w:t>
      </w:r>
      <w:r>
        <w:t xml:space="preserve"> added that the data from </w:t>
      </w:r>
      <w:r w:rsidR="00F01EBC" w:rsidRPr="00F01EBC">
        <w:t>KEYNOTE</w:t>
      </w:r>
      <w:r w:rsidR="00DF6F53">
        <w:t>-</w:t>
      </w:r>
      <w:r w:rsidR="00F01EBC" w:rsidRPr="00F01EBC">
        <w:t xml:space="preserve">427 </w:t>
      </w:r>
      <w:r w:rsidR="00F01EBC">
        <w:t xml:space="preserve">trial </w:t>
      </w:r>
      <w:r>
        <w:t xml:space="preserve">Cohort B ‘are </w:t>
      </w:r>
      <w:r w:rsidRPr="002D08CB">
        <w:t xml:space="preserve">still relevant for the adjuvant setting as the goal of therapy is the eradication of occult </w:t>
      </w:r>
      <w:proofErr w:type="spellStart"/>
      <w:r w:rsidRPr="002D08CB">
        <w:t>micrometastatic</w:t>
      </w:r>
      <w:proofErr w:type="spellEnd"/>
      <w:r w:rsidRPr="002D08CB">
        <w:t xml:space="preserve"> disease</w:t>
      </w:r>
      <w:r>
        <w:t>…’</w:t>
      </w:r>
    </w:p>
    <w:p w14:paraId="2D935EA4" w14:textId="6914263E" w:rsidR="008A1DBD" w:rsidRDefault="008A1DBD" w:rsidP="008A1DBD">
      <w:r>
        <w:t xml:space="preserve">While the </w:t>
      </w:r>
      <w:r w:rsidR="005941BE">
        <w:t>sponsor</w:t>
      </w:r>
      <w:r>
        <w:t xml:space="preserve">’s response is acknowledged, the Delegate considers the lack of efficacy data in the adjuvant treatment of </w:t>
      </w:r>
      <w:r w:rsidR="00DF6F53" w:rsidRPr="00DF6F53">
        <w:t>non-clear cell renal cell carcinoma</w:t>
      </w:r>
      <w:r>
        <w:t xml:space="preserve"> to be an important limitation. The proportion of patients included in </w:t>
      </w:r>
      <w:r w:rsidR="00ED2AA0">
        <w:t>KEYNOTE-564</w:t>
      </w:r>
      <w:r w:rsidR="00B937D1">
        <w:t xml:space="preserve"> trial </w:t>
      </w:r>
      <w:r>
        <w:t xml:space="preserve">with a </w:t>
      </w:r>
      <w:proofErr w:type="spellStart"/>
      <w:r>
        <w:t>nccRCC</w:t>
      </w:r>
      <w:proofErr w:type="spellEnd"/>
      <w:r>
        <w:t xml:space="preserve"> component to their histology (1%) is too small to draw any conclusions about efficacy in this subgroup (it would also be difficult to disentangle the relationship between histology and efficacy in these patients, since they had a clear cell component too). There is uncertain generalisability of data to the sizable proportion of the target population with </w:t>
      </w:r>
      <w:r w:rsidR="00DF6F53" w:rsidRPr="00DF6F53">
        <w:t xml:space="preserve">renal cell carcinoma </w:t>
      </w:r>
      <w:r>
        <w:t xml:space="preserve">who have </w:t>
      </w:r>
      <w:r w:rsidR="00F01EBC">
        <w:t>non-clear cell</w:t>
      </w:r>
      <w:r>
        <w:t xml:space="preserve"> histology (</w:t>
      </w:r>
      <w:r w:rsidR="00F01EBC">
        <w:t xml:space="preserve">approximately </w:t>
      </w:r>
      <w:r>
        <w:t>25</w:t>
      </w:r>
      <w:r w:rsidR="00F01EBC">
        <w:t xml:space="preserve">% to </w:t>
      </w:r>
      <w:r>
        <w:t xml:space="preserve">30%). It is possible that the activity observed for pembrolizumab in advanced/metastatic </w:t>
      </w:r>
      <w:r w:rsidR="00DF6F53" w:rsidRPr="00DF6F53">
        <w:t>renal cell carcinoma</w:t>
      </w:r>
      <w:r>
        <w:t xml:space="preserve"> may not translate into activity in the adjuvant setting, where the goal of treatment is </w:t>
      </w:r>
      <w:proofErr w:type="gramStart"/>
      <w:r>
        <w:t>curative</w:t>
      </w:r>
      <w:proofErr w:type="gramEnd"/>
      <w:r>
        <w:t xml:space="preserve"> and the impact of potential toxicities is greater. The views of the ACM are sought as to whether the </w:t>
      </w:r>
      <w:r w:rsidR="005941BE">
        <w:t>sponsor</w:t>
      </w:r>
      <w:r>
        <w:t xml:space="preserve">’s rationale for the eradication of occult metastatic disease is sufficient basis on which to extrapolate efficacy data from </w:t>
      </w:r>
      <w:r w:rsidR="00F01EBC">
        <w:t>KEYNOTE</w:t>
      </w:r>
      <w:r w:rsidR="00DF6F53">
        <w:t>-</w:t>
      </w:r>
      <w:r w:rsidR="00F01EBC">
        <w:t>427 trial</w:t>
      </w:r>
      <w:r>
        <w:t xml:space="preserve"> (which is single arm, open label data in the locally advanced/metastatic </w:t>
      </w:r>
      <w:proofErr w:type="spellStart"/>
      <w:r>
        <w:t>nccRCC</w:t>
      </w:r>
      <w:proofErr w:type="spellEnd"/>
      <w:r>
        <w:t xml:space="preserve"> setting) to the proposed adjuvant indication for </w:t>
      </w:r>
      <w:proofErr w:type="spellStart"/>
      <w:r>
        <w:t>nccRCC</w:t>
      </w:r>
      <w:proofErr w:type="spellEnd"/>
      <w:r>
        <w:t>.</w:t>
      </w:r>
    </w:p>
    <w:p w14:paraId="09A28615" w14:textId="77777777" w:rsidR="008A1DBD" w:rsidRDefault="008A1DBD" w:rsidP="008A1DBD">
      <w:r>
        <w:t>The Delegate remains of the view that the indication should stipulate a clear cell component, in line with the population in which efficacy was demonstrated, subject to the input of the ACM.</w:t>
      </w:r>
    </w:p>
    <w:p w14:paraId="14D29176" w14:textId="646F067F" w:rsidR="00C012C0" w:rsidRDefault="008A1DBD" w:rsidP="008A1DBD">
      <w:r>
        <w:lastRenderedPageBreak/>
        <w:t xml:space="preserve">It is noted that the </w:t>
      </w:r>
      <w:r w:rsidR="005941BE">
        <w:t>sponsor</w:t>
      </w:r>
      <w:r>
        <w:t xml:space="preserve">’s clinical development program does not include any planned studies for adjuvant treatment of </w:t>
      </w:r>
      <w:r w:rsidR="00DF6F53">
        <w:t xml:space="preserve">non-clear cell </w:t>
      </w:r>
      <w:r w:rsidR="00DF6F53" w:rsidRPr="00DF6F53">
        <w:t>renal cell carcinoma</w:t>
      </w:r>
      <w:r>
        <w:t>. Such data would address this limitation and this area of unmet need.</w:t>
      </w:r>
      <w:bookmarkStart w:id="82" w:name="_Hlk98418904"/>
    </w:p>
    <w:p w14:paraId="542FAA59" w14:textId="322A1E20" w:rsidR="008A1DBD" w:rsidRDefault="008A1DBD" w:rsidP="008A1DBD">
      <w:r>
        <w:t xml:space="preserve">With respect to the risk categories, the </w:t>
      </w:r>
      <w:r w:rsidR="005941BE">
        <w:t>sponsor</w:t>
      </w:r>
      <w:r>
        <w:t xml:space="preserve"> has agreed with the Delegate’s </w:t>
      </w:r>
      <w:r w:rsidRPr="00D51705">
        <w:t>request</w:t>
      </w:r>
      <w:r>
        <w:t xml:space="preserve"> to add a reference to</w:t>
      </w:r>
      <w:r w:rsidR="00F01EBC">
        <w:t xml:space="preserve"> the</w:t>
      </w:r>
      <w:r>
        <w:t xml:space="preserve"> P</w:t>
      </w:r>
      <w:r w:rsidR="00F01EBC">
        <w:t xml:space="preserve">roduct </w:t>
      </w:r>
      <w:r>
        <w:t>I</w:t>
      </w:r>
      <w:r w:rsidR="00F01EBC">
        <w:t>nformation S</w:t>
      </w:r>
      <w:r>
        <w:t xml:space="preserve">ection 5.1 to the indication, in line with </w:t>
      </w:r>
      <w:r w:rsidRPr="00F01EBC">
        <w:t xml:space="preserve">the </w:t>
      </w:r>
      <w:r w:rsidR="00F01EBC">
        <w:t>EMA</w:t>
      </w:r>
      <w:r w:rsidRPr="00F01EBC">
        <w:t xml:space="preserve"> </w:t>
      </w:r>
      <w:r w:rsidR="00F01EBC">
        <w:t>S</w:t>
      </w:r>
      <w:r w:rsidR="00F01EBC" w:rsidRPr="00F01EBC">
        <w:t xml:space="preserve">ummary of </w:t>
      </w:r>
      <w:r w:rsidR="00F01EBC">
        <w:t>P</w:t>
      </w:r>
      <w:r w:rsidR="00F01EBC" w:rsidRPr="00F01EBC">
        <w:t xml:space="preserve">roduct </w:t>
      </w:r>
      <w:r w:rsidR="00F01EBC">
        <w:t>C</w:t>
      </w:r>
      <w:r w:rsidR="00F01EBC" w:rsidRPr="00F01EBC">
        <w:t>haracteristics</w:t>
      </w:r>
      <w:r w:rsidRPr="00F01EBC">
        <w:t>. The rationale is to point prescribers to the study d</w:t>
      </w:r>
      <w:r>
        <w:t>efinitions of ‘intermediate-high’ and ‘high’ risk in case they are unfamiliar, and in case there are changes over time to the understanding of risk.</w:t>
      </w:r>
    </w:p>
    <w:bookmarkEnd w:id="82"/>
    <w:p w14:paraId="43A6F099" w14:textId="77777777" w:rsidR="008A1DBD" w:rsidRDefault="008A1DBD" w:rsidP="008A1DBD">
      <w:pPr>
        <w:pStyle w:val="Heading5"/>
      </w:pPr>
      <w:r>
        <w:t>Safety</w:t>
      </w:r>
    </w:p>
    <w:p w14:paraId="76E4FF8F" w14:textId="77777777" w:rsidR="00C012C0" w:rsidRDefault="008A1DBD" w:rsidP="008A1DBD">
      <w:r>
        <w:t xml:space="preserve">Safety data from </w:t>
      </w:r>
      <w:r w:rsidR="00ED2AA0">
        <w:t>KEYNOTE-564</w:t>
      </w:r>
      <w:r w:rsidR="00B937D1">
        <w:t xml:space="preserve"> trial </w:t>
      </w:r>
      <w:r>
        <w:t xml:space="preserve">were compared with a reference safety dataset of pembrolizumab used in monotherapy for other indications (advanced melanoma and </w:t>
      </w:r>
      <w:r w:rsidR="00F01EBC">
        <w:t>n</w:t>
      </w:r>
      <w:r w:rsidR="00F01EBC" w:rsidRPr="00F01EBC">
        <w:t>on-small cell lung cancer</w:t>
      </w:r>
      <w:r>
        <w:t xml:space="preserve">). Exposure in </w:t>
      </w:r>
      <w:r w:rsidR="00ED2AA0">
        <w:t>KEYNOTE-564</w:t>
      </w:r>
      <w:r w:rsidR="00B937D1">
        <w:t xml:space="preserve"> trial </w:t>
      </w:r>
      <w:r>
        <w:t xml:space="preserve">was longer compared with the </w:t>
      </w:r>
      <w:r w:rsidR="00F01EBC">
        <w:t>reference safety dataset</w:t>
      </w:r>
      <w:r>
        <w:t xml:space="preserve"> (11.1 months </w:t>
      </w:r>
      <w:r w:rsidR="00EE5F8D">
        <w:t>versus</w:t>
      </w:r>
      <w:r>
        <w:t xml:space="preserve"> 4.2 months), and the </w:t>
      </w:r>
      <w:r w:rsidR="00ED2AA0">
        <w:t>KEYNOTE-564</w:t>
      </w:r>
      <w:r w:rsidR="00B937D1">
        <w:t xml:space="preserve"> trial </w:t>
      </w:r>
      <w:r>
        <w:t xml:space="preserve">population was somewhat younger (median 60 </w:t>
      </w:r>
      <w:r w:rsidR="00EE5F8D">
        <w:t>versus</w:t>
      </w:r>
      <w:r>
        <w:t xml:space="preserve"> 62 years) with better performance status (85% </w:t>
      </w:r>
      <w:r w:rsidR="00EE5F8D">
        <w:t>versus</w:t>
      </w:r>
      <w:r>
        <w:t xml:space="preserve"> 52% had ECOG PS = 0).</w:t>
      </w:r>
    </w:p>
    <w:p w14:paraId="33C07DB8" w14:textId="6D231B8E" w:rsidR="008A1DBD" w:rsidRDefault="008A1DBD" w:rsidP="008A1DBD">
      <w:r>
        <w:t xml:space="preserve">As expected, the incidence of </w:t>
      </w:r>
      <w:r w:rsidR="00B937D1">
        <w:t>adverse event</w:t>
      </w:r>
      <w:r>
        <w:t xml:space="preserve">s across all categories was greater with pembrolizumab than placebo in </w:t>
      </w:r>
      <w:r w:rsidR="00ED2AA0">
        <w:t>KEYNOTE-564</w:t>
      </w:r>
      <w:r w:rsidR="00E20F95">
        <w:t xml:space="preserve"> trial</w:t>
      </w:r>
      <w:r>
        <w:t xml:space="preserve">. Compared with the </w:t>
      </w:r>
      <w:r w:rsidR="00FF2782">
        <w:t>reference safety dataset</w:t>
      </w:r>
      <w:r>
        <w:t xml:space="preserve">, the incidence of </w:t>
      </w:r>
      <w:r w:rsidR="00B937D1">
        <w:t>adverse event</w:t>
      </w:r>
      <w:r>
        <w:t xml:space="preserve">s with pembrolizumab in </w:t>
      </w:r>
      <w:r w:rsidR="00ED2AA0">
        <w:t>KEYNOTE-564</w:t>
      </w:r>
      <w:r w:rsidR="00B937D1">
        <w:t xml:space="preserve"> trial </w:t>
      </w:r>
      <w:r>
        <w:t xml:space="preserve">across categories was variable, with a greater incidence observed in </w:t>
      </w:r>
      <w:r w:rsidR="00ED2AA0">
        <w:t>KEYNOTE-564</w:t>
      </w:r>
      <w:r w:rsidR="00B937D1">
        <w:t xml:space="preserve"> trial </w:t>
      </w:r>
      <w:r>
        <w:t>for:</w:t>
      </w:r>
    </w:p>
    <w:p w14:paraId="7AA3C233" w14:textId="7EE5D7C9" w:rsidR="008A1DBD" w:rsidRDefault="008A1DBD" w:rsidP="00E20F95">
      <w:pPr>
        <w:pStyle w:val="ListBullet"/>
      </w:pPr>
      <w:r>
        <w:t xml:space="preserve">Drug-related </w:t>
      </w:r>
      <w:r w:rsidR="00B937D1">
        <w:t>adverse event</w:t>
      </w:r>
      <w:r>
        <w:t xml:space="preserve">s (79.1% </w:t>
      </w:r>
      <w:r w:rsidR="00EE5F8D">
        <w:t>versus</w:t>
      </w:r>
      <w:r>
        <w:t xml:space="preserve"> 73.7%)</w:t>
      </w:r>
    </w:p>
    <w:p w14:paraId="775E0DDE" w14:textId="2590471C" w:rsidR="008A1DBD" w:rsidRDefault="008A1DBD" w:rsidP="00E20F95">
      <w:pPr>
        <w:pStyle w:val="ListBullet"/>
      </w:pPr>
      <w:r>
        <w:t xml:space="preserve">Grade </w:t>
      </w:r>
      <w:r w:rsidR="00FF2782">
        <w:t>3 to 5</w:t>
      </w:r>
      <w:r>
        <w:t xml:space="preserve"> drug-related </w:t>
      </w:r>
      <w:r w:rsidR="00B937D1">
        <w:t>adverse event</w:t>
      </w:r>
      <w:r>
        <w:t xml:space="preserve">s (18.9% </w:t>
      </w:r>
      <w:r w:rsidR="00EE5F8D">
        <w:t>versus</w:t>
      </w:r>
      <w:r>
        <w:t xml:space="preserve"> 13.8%)</w:t>
      </w:r>
    </w:p>
    <w:p w14:paraId="6E46FADA" w14:textId="6225D5BC" w:rsidR="008A1DBD" w:rsidRDefault="008A1DBD" w:rsidP="00E20F95">
      <w:pPr>
        <w:pStyle w:val="ListBullet"/>
      </w:pPr>
      <w:r>
        <w:t xml:space="preserve">Serious drug-related </w:t>
      </w:r>
      <w:r w:rsidR="00B937D1">
        <w:t>adverse event</w:t>
      </w:r>
      <w:r>
        <w:t xml:space="preserve">s (12.1% </w:t>
      </w:r>
      <w:r w:rsidR="00EE5F8D">
        <w:t>versus</w:t>
      </w:r>
      <w:r>
        <w:t xml:space="preserve"> 10.1%)</w:t>
      </w:r>
    </w:p>
    <w:p w14:paraId="34126B1E" w14:textId="1783BF40" w:rsidR="008A1DBD" w:rsidRDefault="008A1DBD" w:rsidP="00E20F95">
      <w:pPr>
        <w:pStyle w:val="ListBullet"/>
      </w:pPr>
      <w:r>
        <w:t xml:space="preserve">Discontinuation due to </w:t>
      </w:r>
      <w:r w:rsidR="00B937D1">
        <w:t>adverse event</w:t>
      </w:r>
      <w:r>
        <w:t xml:space="preserve">s (20.7% </w:t>
      </w:r>
      <w:r w:rsidR="00EE5F8D">
        <w:t>versus</w:t>
      </w:r>
      <w:r>
        <w:t xml:space="preserve"> 11.9%), drug-related </w:t>
      </w:r>
      <w:r w:rsidR="00B937D1">
        <w:t>adverse event</w:t>
      </w:r>
      <w:r>
        <w:t xml:space="preserve">s (17.6% </w:t>
      </w:r>
      <w:r w:rsidR="00EE5F8D">
        <w:t>versus</w:t>
      </w:r>
      <w:r>
        <w:t xml:space="preserve"> 5.2%), </w:t>
      </w:r>
      <w:r w:rsidR="00B937D1">
        <w:t>serious adverse event</w:t>
      </w:r>
      <w:r>
        <w:t xml:space="preserve">s (10% </w:t>
      </w:r>
      <w:r w:rsidR="00EE5F8D">
        <w:t>versus</w:t>
      </w:r>
      <w:r>
        <w:t xml:space="preserve"> 9%) and serious drug-related </w:t>
      </w:r>
      <w:r w:rsidR="00B937D1">
        <w:t>adverse event</w:t>
      </w:r>
      <w:r>
        <w:t xml:space="preserve">s (7.6% </w:t>
      </w:r>
      <w:r w:rsidR="00EE5F8D">
        <w:t>versus</w:t>
      </w:r>
      <w:r>
        <w:t xml:space="preserve"> 3.6%)</w:t>
      </w:r>
    </w:p>
    <w:p w14:paraId="3AFB3951" w14:textId="77777777" w:rsidR="00C012C0" w:rsidRDefault="008A1DBD" w:rsidP="008A1DBD">
      <w:r>
        <w:t>The above differences may be explained by the differences between the underlying patient characteristics and treatment populations, as well as the increased duration of exposure in</w:t>
      </w:r>
      <w:r w:rsidR="00E20F95">
        <w:t xml:space="preserve"> </w:t>
      </w:r>
      <w:r w:rsidR="00ED2AA0">
        <w:t>KEYNOTE-564</w:t>
      </w:r>
      <w:r w:rsidR="00E20F95" w:rsidRPr="00E20F95">
        <w:t xml:space="preserve"> trial</w:t>
      </w:r>
      <w:r>
        <w:t xml:space="preserve">. Deaths and </w:t>
      </w:r>
      <w:r w:rsidR="00B937D1">
        <w:t>serious adverse event</w:t>
      </w:r>
      <w:r>
        <w:t>s were</w:t>
      </w:r>
      <w:r w:rsidRPr="00213046">
        <w:t xml:space="preserve"> less</w:t>
      </w:r>
      <w:r>
        <w:t xml:space="preserve"> commonly observed with pembrolizumab in </w:t>
      </w:r>
      <w:r w:rsidR="00ED2AA0">
        <w:t>KEYNOTE-564</w:t>
      </w:r>
      <w:r w:rsidR="00B937D1">
        <w:t xml:space="preserve"> trial </w:t>
      </w:r>
      <w:r>
        <w:t xml:space="preserve">compared with the </w:t>
      </w:r>
      <w:r w:rsidR="00FF2782">
        <w:t>reference safety dataset</w:t>
      </w:r>
      <w:r>
        <w:t>, in line with the less advanced patient age, performance status and disease status in this study.</w:t>
      </w:r>
    </w:p>
    <w:p w14:paraId="50ED4282" w14:textId="4A2CFD38" w:rsidR="008A1DBD" w:rsidRDefault="008A1DBD" w:rsidP="008A1DBD">
      <w:r>
        <w:t xml:space="preserve">Compared with the </w:t>
      </w:r>
      <w:r w:rsidR="00FF2782">
        <w:t>reference safety dataset</w:t>
      </w:r>
      <w:r>
        <w:t xml:space="preserve">, the pattern of events with pembrolizumab in </w:t>
      </w:r>
      <w:r w:rsidR="00ED2AA0">
        <w:t>KEYNOTE-564</w:t>
      </w:r>
      <w:r w:rsidR="00B937D1">
        <w:t xml:space="preserve"> trial </w:t>
      </w:r>
      <w:r>
        <w:t>was notable for a greater incidence of hypothyroidism (21.1% versus 8.5%) and hyperthyroidism (11.9% versus 3.4%), although most events were of Grade 1 or 2 and manageable. The incidence of hypo</w:t>
      </w:r>
      <w:r w:rsidR="00E20F95" w:rsidRPr="00E20F95">
        <w:t>thyroidism</w:t>
      </w:r>
      <w:r>
        <w:t xml:space="preserve"> and hyperthyroidism were more comparable with the incidence observed in the adjuvant treatment of melanoma with pembrolizumab for 9</w:t>
      </w:r>
      <w:r w:rsidR="00E20F95">
        <w:t> </w:t>
      </w:r>
      <w:r>
        <w:t xml:space="preserve">months in </w:t>
      </w:r>
      <w:r w:rsidR="00ED2AA0">
        <w:t>KEYNOTE-564</w:t>
      </w:r>
      <w:r w:rsidR="00E20F95" w:rsidRPr="00E20F95">
        <w:t xml:space="preserve"> trial </w:t>
      </w:r>
      <w:r>
        <w:t>(14.7% and 10.4%, respectively).</w:t>
      </w:r>
      <w:r>
        <w:rPr>
          <w:rStyle w:val="FootnoteReference"/>
        </w:rPr>
        <w:footnoteReference w:id="15"/>
      </w:r>
    </w:p>
    <w:p w14:paraId="391D5702" w14:textId="73C31B5B" w:rsidR="008A1DBD" w:rsidRDefault="008A1DBD" w:rsidP="008A1DBD">
      <w:r>
        <w:t xml:space="preserve">The difference between pembrolizumab in </w:t>
      </w:r>
      <w:r w:rsidR="00ED2AA0">
        <w:t>KEYNOTE-564</w:t>
      </w:r>
      <w:r w:rsidR="00B937D1">
        <w:t xml:space="preserve"> trial </w:t>
      </w:r>
      <w:r>
        <w:t xml:space="preserve">and the </w:t>
      </w:r>
      <w:r w:rsidR="00FF2782">
        <w:t>reference safety dataset</w:t>
      </w:r>
      <w:r>
        <w:t xml:space="preserve"> in the rate of discontinuations due to </w:t>
      </w:r>
      <w:r w:rsidR="00B937D1">
        <w:t>adverse event</w:t>
      </w:r>
      <w:r>
        <w:t xml:space="preserve">s was also notable. Exposure-adjusted event rates were 2.43 in </w:t>
      </w:r>
      <w:r w:rsidR="00ED2AA0">
        <w:t>KEYNOTE-564</w:t>
      </w:r>
      <w:r w:rsidR="00B937D1">
        <w:t xml:space="preserve"> trial </w:t>
      </w:r>
      <w:r>
        <w:t xml:space="preserve">and 1.79 in the </w:t>
      </w:r>
      <w:r w:rsidR="00FF2782">
        <w:t>reference safety dataset</w:t>
      </w:r>
      <w:r>
        <w:t xml:space="preserve">, indicating that the difference was not completely accounted for by the increased exposure in </w:t>
      </w:r>
      <w:r w:rsidR="00ED2AA0">
        <w:t>KEYNOTE-564</w:t>
      </w:r>
      <w:r w:rsidR="00E20F95" w:rsidRPr="00E20F95">
        <w:t xml:space="preserve"> trial</w:t>
      </w:r>
      <w:r>
        <w:t>; however, this may also have been influenced by the different treatment settings (</w:t>
      </w:r>
      <w:r w:rsidR="00EE5F8D">
        <w:t>that is</w:t>
      </w:r>
      <w:r>
        <w:t xml:space="preserve">, adjuvant </w:t>
      </w:r>
      <w:r w:rsidR="00EE5F8D">
        <w:t>versus</w:t>
      </w:r>
      <w:r>
        <w:t xml:space="preserve"> advanced disease).</w:t>
      </w:r>
    </w:p>
    <w:p w14:paraId="359FC324" w14:textId="6347B8D7" w:rsidR="008A1DBD" w:rsidRDefault="008A1DBD" w:rsidP="008A1DBD">
      <w:r w:rsidRPr="00C04CAB">
        <w:lastRenderedPageBreak/>
        <w:t xml:space="preserve">Very few additional </w:t>
      </w:r>
      <w:r w:rsidR="00B937D1">
        <w:t>adverse event</w:t>
      </w:r>
      <w:r w:rsidRPr="00C04CAB">
        <w:t>s were reported in the</w:t>
      </w:r>
      <w:r w:rsidR="00E20F95">
        <w:t xml:space="preserve"> safety update report </w:t>
      </w:r>
      <w:r w:rsidRPr="00C04CAB">
        <w:t xml:space="preserve">period, </w:t>
      </w:r>
      <w:r>
        <w:t>during which</w:t>
      </w:r>
      <w:r w:rsidRPr="00C04CAB">
        <w:t xml:space="preserve"> all patients were no longer receiving drug treatment. </w:t>
      </w:r>
      <w:r>
        <w:t xml:space="preserve">There were </w:t>
      </w:r>
      <w:r w:rsidR="00E20F95">
        <w:t>four</w:t>
      </w:r>
      <w:r>
        <w:t xml:space="preserve"> additional reports of hyperthyroidism; however, it is already known that immune-related adverse reactions can occur after discontinuation of treatment with pembrolizumab.</w:t>
      </w:r>
    </w:p>
    <w:p w14:paraId="4D0E06A2" w14:textId="7971C466" w:rsidR="008A1DBD" w:rsidRDefault="008A1DBD" w:rsidP="008A1DBD">
      <w:r>
        <w:t xml:space="preserve">Overall, no new safety concerns emerged in </w:t>
      </w:r>
      <w:r w:rsidR="00ED2AA0">
        <w:t>KEYNOTE-564</w:t>
      </w:r>
      <w:r w:rsidR="00E20F95" w:rsidRPr="00E20F95">
        <w:t xml:space="preserve"> trial</w:t>
      </w:r>
      <w:r>
        <w:t>. All events have been previously reported with pembrolizumab. The observed safety profile is considered acceptable in the context of the efficacy which has been demonstrated. It is uncertain whether the safety profile is generalisable to patients with poorer performance status (ECOG &gt; 1), who may be less tolerant of adverse effects.</w:t>
      </w:r>
    </w:p>
    <w:p w14:paraId="2E21446D" w14:textId="77777777" w:rsidR="008A1DBD" w:rsidRPr="005877BE" w:rsidRDefault="008A1DBD" w:rsidP="008A1DBD">
      <w:pPr>
        <w:pStyle w:val="Heading5"/>
      </w:pPr>
      <w:r>
        <w:t>Dosing regimen</w:t>
      </w:r>
    </w:p>
    <w:p w14:paraId="76951D50" w14:textId="0E693E22" w:rsidR="00C012C0" w:rsidRDefault="008A1DBD" w:rsidP="008A1DBD">
      <w:r>
        <w:t xml:space="preserve">The dosing regimen for pembrolizumab used in </w:t>
      </w:r>
      <w:r w:rsidR="00ED2AA0">
        <w:t>KEYNOTE-564</w:t>
      </w:r>
      <w:r w:rsidR="00B937D1">
        <w:t xml:space="preserve"> trial </w:t>
      </w:r>
      <w:r>
        <w:t xml:space="preserve">was 200 mg </w:t>
      </w:r>
      <w:r w:rsidR="00E20F95">
        <w:t>intravenously once every three weeks.</w:t>
      </w:r>
      <w:r>
        <w:t xml:space="preserve"> In October 2021, a</w:t>
      </w:r>
      <w:r w:rsidR="00DF6F53">
        <w:t xml:space="preserve">n </w:t>
      </w:r>
      <w:r>
        <w:t xml:space="preserve">application to register an alternative 400 mg </w:t>
      </w:r>
      <w:r w:rsidR="00E20F95">
        <w:t>intravenous once every six weeks</w:t>
      </w:r>
      <w:r>
        <w:t xml:space="preserve"> dosing regimen was approved for all approved indications current at the </w:t>
      </w:r>
      <w:proofErr w:type="gramStart"/>
      <w:r>
        <w:t>time</w:t>
      </w:r>
      <w:proofErr w:type="gramEnd"/>
      <w:r>
        <w:t xml:space="preserve"> but that approval did not apply prospectively to new indications. The 400 mg </w:t>
      </w:r>
      <w:r w:rsidR="00E20F95">
        <w:t>once every six weeks</w:t>
      </w:r>
      <w:r>
        <w:t xml:space="preserve"> regimen is approved for the proposed indication in the US (via accelerated approval) and in Europe.</w:t>
      </w:r>
    </w:p>
    <w:p w14:paraId="4C7457D3" w14:textId="22623A6B" w:rsidR="008A1DBD" w:rsidRDefault="008A1DBD" w:rsidP="008A1DBD">
      <w:r>
        <w:t xml:space="preserve">No data were provided in the dossier in support of 400 mg </w:t>
      </w:r>
      <w:r w:rsidR="00E20F95">
        <w:t xml:space="preserve">once every six weeks </w:t>
      </w:r>
      <w:r>
        <w:t xml:space="preserve">dosing for the proposed new indication; however, in response to a Delegate query on this issue, the </w:t>
      </w:r>
      <w:r w:rsidR="005941BE">
        <w:t>sponsor</w:t>
      </w:r>
      <w:r>
        <w:t xml:space="preserve"> confirmed that they consider the justification for </w:t>
      </w:r>
      <w:r w:rsidR="00E20F95" w:rsidRPr="00E20F95">
        <w:t>once every six weeks</w:t>
      </w:r>
      <w:r>
        <w:t xml:space="preserve"> dosing outlined in </w:t>
      </w:r>
      <w:r w:rsidR="00DF6F53">
        <w:t>previous application</w:t>
      </w:r>
      <w:r>
        <w:t xml:space="preserve"> applies equally to adjuvant </w:t>
      </w:r>
      <w:r w:rsidR="00DF6F53">
        <w:t>renal cell carcinoma</w:t>
      </w:r>
      <w:r>
        <w:t>. A summary of these data was submitted</w:t>
      </w:r>
      <w:r w:rsidR="00DF6F53">
        <w:t xml:space="preserve">. </w:t>
      </w:r>
      <w:r>
        <w:t xml:space="preserve">The proposed dosing is primarily supported by the </w:t>
      </w:r>
      <w:r w:rsidR="00334B3E">
        <w:t>pharmacokinetic</w:t>
      </w:r>
      <w:r>
        <w:t xml:space="preserve"> study in advanced melanoma, KEYNOTE</w:t>
      </w:r>
      <w:r w:rsidR="00EC1736">
        <w:t>-</w:t>
      </w:r>
      <w:r>
        <w:t>555</w:t>
      </w:r>
      <w:r w:rsidR="00334B3E">
        <w:t xml:space="preserve"> trial</w:t>
      </w:r>
      <w:r>
        <w:t>, as well as</w:t>
      </w:r>
      <w:r w:rsidR="00334B3E">
        <w:t xml:space="preserve"> p</w:t>
      </w:r>
      <w:r w:rsidR="00334B3E" w:rsidRPr="00334B3E">
        <w:t>hysiological based pharmacokinetic modelling</w:t>
      </w:r>
      <w:r>
        <w:t>.</w:t>
      </w:r>
    </w:p>
    <w:p w14:paraId="265A2148" w14:textId="6910BF69" w:rsidR="008A1DBD" w:rsidRDefault="008A1DBD" w:rsidP="008A1DBD">
      <w:r>
        <w:t xml:space="preserve">After consideration of these data, the Delegate agrees that they apply equally to adjuvant </w:t>
      </w:r>
      <w:r w:rsidR="00DF6F53">
        <w:t>renal cell carcinoma</w:t>
      </w:r>
      <w:r>
        <w:t xml:space="preserve"> and the other indications for which </w:t>
      </w:r>
      <w:r w:rsidR="00334B3E">
        <w:t>once every six weeks</w:t>
      </w:r>
      <w:r>
        <w:t xml:space="preserve"> dosing is already approved. The proposed 400 mg </w:t>
      </w:r>
      <w:r w:rsidR="00334B3E">
        <w:t>intravenously</w:t>
      </w:r>
      <w:r>
        <w:t xml:space="preserve"> </w:t>
      </w:r>
      <w:r w:rsidR="00334B3E">
        <w:t>once every six weeks</w:t>
      </w:r>
      <w:r>
        <w:t xml:space="preserve"> dosing regimen for the proposed new indication is acceptable. The uncertainty is that there are no clinical data for the proposed indication with </w:t>
      </w:r>
      <w:r w:rsidR="00334B3E">
        <w:t>once every six weeks</w:t>
      </w:r>
      <w:r>
        <w:t xml:space="preserve"> dosing.</w:t>
      </w:r>
    </w:p>
    <w:p w14:paraId="3916F296" w14:textId="77777777" w:rsidR="00C22214" w:rsidRDefault="00C22214" w:rsidP="00C22214">
      <w:pPr>
        <w:pStyle w:val="Heading4"/>
      </w:pPr>
      <w:bookmarkStart w:id="83" w:name="_Toc144287151"/>
      <w:r w:rsidRPr="00D23139">
        <w:t>Proposed action</w:t>
      </w:r>
      <w:bookmarkEnd w:id="80"/>
      <w:bookmarkEnd w:id="83"/>
    </w:p>
    <w:p w14:paraId="2F3782A7" w14:textId="77777777" w:rsidR="008A1DBD" w:rsidRDefault="008A1DBD" w:rsidP="008A1DBD">
      <w:bookmarkStart w:id="84" w:name="_Toc98931934"/>
      <w:r>
        <w:t>Overall, the risk benefit profile of pembrolizumab for the proposed usage is considered favourable for the amended indication proposed by the Delegate, subject to advice from the ACM.</w:t>
      </w:r>
    </w:p>
    <w:p w14:paraId="07994E9B" w14:textId="77777777" w:rsidR="00C22214" w:rsidRDefault="00C22214" w:rsidP="00C22214">
      <w:pPr>
        <w:pStyle w:val="Heading4"/>
      </w:pPr>
      <w:bookmarkStart w:id="85" w:name="_Toc144287152"/>
      <w:r>
        <w:t>Questions for the sponsor</w:t>
      </w:r>
      <w:bookmarkEnd w:id="84"/>
      <w:bookmarkEnd w:id="85"/>
    </w:p>
    <w:p w14:paraId="1F694596" w14:textId="77777777" w:rsidR="00C22214" w:rsidRPr="00BD5DBD" w:rsidRDefault="00C22214" w:rsidP="00C22214">
      <w:pPr>
        <w:rPr>
          <w:szCs w:val="22"/>
        </w:rPr>
      </w:pPr>
      <w:r w:rsidRPr="00BD5DBD">
        <w:rPr>
          <w:szCs w:val="22"/>
        </w:rPr>
        <w:t>The sponsor provided the following response to questions from the Delegate.</w:t>
      </w:r>
    </w:p>
    <w:p w14:paraId="30066E74" w14:textId="6A16237D" w:rsidR="00FF4295" w:rsidRDefault="00FF4295" w:rsidP="00334B3E">
      <w:pPr>
        <w:pStyle w:val="Numberbullet0"/>
        <w:numPr>
          <w:ilvl w:val="0"/>
          <w:numId w:val="19"/>
        </w:numPr>
        <w:rPr>
          <w:b/>
          <w:bCs/>
          <w:i/>
          <w:iCs/>
        </w:rPr>
      </w:pPr>
      <w:r w:rsidRPr="00334B3E">
        <w:rPr>
          <w:b/>
          <w:bCs/>
          <w:i/>
          <w:iCs/>
        </w:rPr>
        <w:t xml:space="preserve">Considering the high unmet need for patients with non-clear cell </w:t>
      </w:r>
      <w:r w:rsidR="00DF6F53">
        <w:rPr>
          <w:b/>
          <w:bCs/>
          <w:i/>
          <w:iCs/>
        </w:rPr>
        <w:t>renal cell carcinoma</w:t>
      </w:r>
      <w:r w:rsidRPr="00334B3E">
        <w:rPr>
          <w:b/>
          <w:bCs/>
          <w:i/>
          <w:iCs/>
        </w:rPr>
        <w:t xml:space="preserve"> (</w:t>
      </w:r>
      <w:proofErr w:type="spellStart"/>
      <w:r w:rsidRPr="00334B3E">
        <w:rPr>
          <w:b/>
          <w:bCs/>
          <w:i/>
          <w:iCs/>
        </w:rPr>
        <w:t>nccRCC</w:t>
      </w:r>
      <w:proofErr w:type="spellEnd"/>
      <w:r w:rsidRPr="00334B3E">
        <w:rPr>
          <w:b/>
          <w:bCs/>
          <w:i/>
          <w:iCs/>
        </w:rPr>
        <w:t xml:space="preserve">) histology, what was the rationale for restricting </w:t>
      </w:r>
      <w:r w:rsidR="00ED2AA0">
        <w:rPr>
          <w:b/>
          <w:bCs/>
          <w:i/>
          <w:iCs/>
        </w:rPr>
        <w:t>KEYNOTE-564</w:t>
      </w:r>
      <w:r w:rsidR="00B937D1" w:rsidRPr="00334B3E">
        <w:rPr>
          <w:b/>
          <w:bCs/>
          <w:i/>
          <w:iCs/>
        </w:rPr>
        <w:t xml:space="preserve"> trial </w:t>
      </w:r>
      <w:r w:rsidRPr="00334B3E">
        <w:rPr>
          <w:b/>
          <w:bCs/>
          <w:i/>
          <w:iCs/>
        </w:rPr>
        <w:t>eligibility to patients with a clear cell component?</w:t>
      </w:r>
    </w:p>
    <w:p w14:paraId="71868926" w14:textId="77777777" w:rsidR="00DF6F53" w:rsidRDefault="00127B08" w:rsidP="00BF1D48">
      <w:r w:rsidRPr="00BF1D48">
        <w:t xml:space="preserve">As summarized in the </w:t>
      </w:r>
      <w:r w:rsidR="00EC1736" w:rsidRPr="00BF1D48">
        <w:t>r</w:t>
      </w:r>
      <w:r w:rsidRPr="00BF1D48">
        <w:t xml:space="preserve">ational for retaining the revised indication proposed by the sponsor, there was a high unmet need in the adjuvant treatment for patients with </w:t>
      </w:r>
      <w:r w:rsidR="00DF6F53">
        <w:t>non-clear cell renal carcinoma (</w:t>
      </w:r>
      <w:proofErr w:type="spellStart"/>
      <w:r w:rsidR="00DF6F53">
        <w:t>nccRCC</w:t>
      </w:r>
      <w:proofErr w:type="spellEnd"/>
      <w:r w:rsidR="00DF6F53">
        <w:t xml:space="preserve">) </w:t>
      </w:r>
      <w:r w:rsidRPr="00BF1D48">
        <w:t xml:space="preserve">histology prior to the </w:t>
      </w:r>
      <w:r w:rsidR="00ED2AA0" w:rsidRPr="00BF1D48">
        <w:t>KEYNOTE-564</w:t>
      </w:r>
      <w:r w:rsidRPr="00BF1D48">
        <w:t xml:space="preserve"> </w:t>
      </w:r>
      <w:r w:rsidR="00EC1736" w:rsidRPr="00BF1D48">
        <w:t>trial</w:t>
      </w:r>
      <w:r w:rsidRPr="00BF1D48">
        <w:t xml:space="preserve"> development in 2016. However, patients with only </w:t>
      </w:r>
      <w:proofErr w:type="spellStart"/>
      <w:r w:rsidRPr="00BF1D48">
        <w:t>nccRCC</w:t>
      </w:r>
      <w:proofErr w:type="spellEnd"/>
      <w:r w:rsidRPr="00BF1D48">
        <w:t xml:space="preserve"> </w:t>
      </w:r>
      <w:proofErr w:type="spellStart"/>
      <w:r w:rsidRPr="00BF1D48">
        <w:t>histologies</w:t>
      </w:r>
      <w:proofErr w:type="spellEnd"/>
      <w:r w:rsidRPr="00BF1D48">
        <w:t xml:space="preserve"> did not receive the same attention despite the growing number of available studies in </w:t>
      </w:r>
      <w:proofErr w:type="spellStart"/>
      <w:r w:rsidRPr="00BF1D48">
        <w:t>ccRCC</w:t>
      </w:r>
      <w:proofErr w:type="spellEnd"/>
      <w:r w:rsidRPr="00BF1D48">
        <w:t xml:space="preserve"> histology. At the time of KEYNOTE-564 </w:t>
      </w:r>
      <w:r w:rsidR="00EC1736" w:rsidRPr="00BF1D48">
        <w:t>trial</w:t>
      </w:r>
      <w:r w:rsidRPr="00BF1D48">
        <w:t xml:space="preserve"> development </w:t>
      </w:r>
      <w:r w:rsidRPr="00BF1D48">
        <w:lastRenderedPageBreak/>
        <w:t xml:space="preserve">in 2016, the available data to justify the treatment of anti-PD-1/L1 agents in the adjuvant disease setting were limited to clinical data in </w:t>
      </w:r>
      <w:proofErr w:type="spellStart"/>
      <w:r w:rsidRPr="00BF1D48">
        <w:t>ccRCC</w:t>
      </w:r>
      <w:proofErr w:type="spellEnd"/>
      <w:r w:rsidRPr="00BF1D48">
        <w:t xml:space="preserve"> patients. </w:t>
      </w:r>
    </w:p>
    <w:p w14:paraId="248E7B18" w14:textId="6405CDA8" w:rsidR="00DF6F53" w:rsidRDefault="00127B08" w:rsidP="00BF1D48">
      <w:r w:rsidRPr="00BF1D48">
        <w:t>CheckMate-025 trial,</w:t>
      </w:r>
      <w:bookmarkStart w:id="86" w:name="_Ref135407334"/>
      <w:r w:rsidR="00EC5A67">
        <w:rPr>
          <w:rStyle w:val="FootnoteReference"/>
        </w:rPr>
        <w:footnoteReference w:id="16"/>
      </w:r>
      <w:bookmarkEnd w:id="86"/>
      <w:r w:rsidRPr="00BF1D48">
        <w:t xml:space="preserve"> a Phase III study of nivolumab versus </w:t>
      </w:r>
      <w:proofErr w:type="spellStart"/>
      <w:r w:rsidRPr="00BF1D48">
        <w:t>everolimus</w:t>
      </w:r>
      <w:proofErr w:type="spellEnd"/>
      <w:r w:rsidRPr="00BF1D48">
        <w:t xml:space="preserve"> in advanced/metastatic </w:t>
      </w:r>
      <w:proofErr w:type="spellStart"/>
      <w:r w:rsidRPr="00BF1D48">
        <w:t>ccRCC</w:t>
      </w:r>
      <w:proofErr w:type="spellEnd"/>
      <w:r w:rsidRPr="00BF1D48">
        <w:t xml:space="preserve">, showed statistically significant overall survival improvement in nivolumab group, versus </w:t>
      </w:r>
      <w:proofErr w:type="spellStart"/>
      <w:r w:rsidRPr="00BF1D48">
        <w:t>everolimus</w:t>
      </w:r>
      <w:proofErr w:type="spellEnd"/>
      <w:r w:rsidRPr="00BF1D48">
        <w:t>, with greater objective response rate in nivolumab group. In addition, preliminary data from CheckMate-016,</w:t>
      </w:r>
      <w:bookmarkStart w:id="87" w:name="_Ref135407381"/>
      <w:r w:rsidR="00DF6F53">
        <w:fldChar w:fldCharType="begin"/>
      </w:r>
      <w:r w:rsidR="00DF6F53">
        <w:instrText xml:space="preserve"> NOTEREF _Ref135407381 \f \h </w:instrText>
      </w:r>
      <w:r w:rsidR="00DF6F53">
        <w:fldChar w:fldCharType="separate"/>
      </w:r>
      <w:r w:rsidR="004E7B11">
        <w:rPr>
          <w:b/>
          <w:bCs/>
          <w:lang w:val="en-US"/>
        </w:rPr>
        <w:t>Error! Bookmark not defined.</w:t>
      </w:r>
      <w:r w:rsidR="00DF6F53">
        <w:fldChar w:fldCharType="end"/>
      </w:r>
      <w:bookmarkEnd w:id="87"/>
      <w:r w:rsidRPr="00BF1D48">
        <w:t xml:space="preserve"> a Phase II study of nivolumab plus </w:t>
      </w:r>
      <w:proofErr w:type="spellStart"/>
      <w:r w:rsidRPr="00BF1D48">
        <w:t>iplimumab</w:t>
      </w:r>
      <w:proofErr w:type="spellEnd"/>
      <w:r w:rsidRPr="00BF1D48">
        <w:t xml:space="preserve"> in advanced/metastatic </w:t>
      </w:r>
      <w:proofErr w:type="spellStart"/>
      <w:r w:rsidRPr="00BF1D48">
        <w:t>ccRCC</w:t>
      </w:r>
      <w:proofErr w:type="spellEnd"/>
      <w:r w:rsidRPr="00BF1D48">
        <w:t>, and KEYNOTE-035,</w:t>
      </w:r>
      <w:r w:rsidR="00EC5A67">
        <w:rPr>
          <w:rStyle w:val="FootnoteReference"/>
        </w:rPr>
        <w:footnoteReference w:id="17"/>
      </w:r>
      <w:r w:rsidRPr="00BF1D48">
        <w:t xml:space="preserve">, a Phase </w:t>
      </w:r>
      <w:proofErr w:type="spellStart"/>
      <w:r w:rsidRPr="00BF1D48">
        <w:t>Ib</w:t>
      </w:r>
      <w:proofErr w:type="spellEnd"/>
      <w:r w:rsidRPr="00BF1D48">
        <w:t xml:space="preserve">/II study of pembrolizumab plus </w:t>
      </w:r>
      <w:proofErr w:type="spellStart"/>
      <w:r w:rsidRPr="00BF1D48">
        <w:t>axitinib</w:t>
      </w:r>
      <w:proofErr w:type="spellEnd"/>
      <w:r w:rsidRPr="00BF1D48">
        <w:t xml:space="preserve"> in advanced/metastatic </w:t>
      </w:r>
      <w:proofErr w:type="spellStart"/>
      <w:r w:rsidRPr="00BF1D48">
        <w:t>ccRCC</w:t>
      </w:r>
      <w:proofErr w:type="spellEnd"/>
      <w:r w:rsidRPr="00BF1D48">
        <w:t xml:space="preserve">, suggested a promising objective response rate and progression free survival, with tolerable toxicity, in </w:t>
      </w:r>
      <w:proofErr w:type="spellStart"/>
      <w:r w:rsidRPr="00BF1D48">
        <w:t>ccRCC</w:t>
      </w:r>
      <w:proofErr w:type="spellEnd"/>
      <w:r w:rsidRPr="00BF1D48">
        <w:t xml:space="preserve"> patients. At that time, there were no data on the use of immune checkpoint inhibitors in patients with </w:t>
      </w:r>
      <w:proofErr w:type="spellStart"/>
      <w:r w:rsidRPr="00BF1D48">
        <w:t>nccRCC</w:t>
      </w:r>
      <w:proofErr w:type="spellEnd"/>
      <w:r w:rsidRPr="00BF1D48">
        <w:t xml:space="preserve">. </w:t>
      </w:r>
    </w:p>
    <w:p w14:paraId="6BB86CAC" w14:textId="77777777" w:rsidR="00DF6F53" w:rsidRDefault="00127B08" w:rsidP="00BF1D48">
      <w:r w:rsidRPr="00BF1D48">
        <w:t xml:space="preserve">Based on these available data of anti-PD-1 agents in </w:t>
      </w:r>
      <w:proofErr w:type="spellStart"/>
      <w:r w:rsidRPr="00BF1D48">
        <w:t>ccRCC</w:t>
      </w:r>
      <w:proofErr w:type="spellEnd"/>
      <w:r w:rsidRPr="00BF1D48">
        <w:t xml:space="preserve"> patients as of 2016, </w:t>
      </w:r>
      <w:r w:rsidR="00ED2AA0" w:rsidRPr="00BF1D48">
        <w:t>KEYNOTE-564</w:t>
      </w:r>
      <w:r w:rsidRPr="00BF1D48">
        <w:t xml:space="preserve"> trial was designed to enrol RCC patients with a clear cell component, with or without </w:t>
      </w:r>
      <w:proofErr w:type="spellStart"/>
      <w:r w:rsidRPr="00BF1D48">
        <w:t>nccRCC</w:t>
      </w:r>
      <w:proofErr w:type="spellEnd"/>
      <w:r w:rsidRPr="00BF1D48">
        <w:t xml:space="preserve">. Although the clinical data on pembrolizumab in first line advanced/metastatic </w:t>
      </w:r>
      <w:proofErr w:type="spellStart"/>
      <w:r w:rsidRPr="00BF1D48">
        <w:t>nccRCC</w:t>
      </w:r>
      <w:proofErr w:type="spellEnd"/>
      <w:r w:rsidRPr="00BF1D48">
        <w:t xml:space="preserve"> in KEYNOTE</w:t>
      </w:r>
      <w:r w:rsidR="00DF6F53">
        <w:t>-</w:t>
      </w:r>
      <w:r w:rsidRPr="00BF1D48">
        <w:t xml:space="preserve">427 trial Cohort-B was available in the middle of </w:t>
      </w:r>
      <w:r w:rsidR="00ED2AA0" w:rsidRPr="00BF1D48">
        <w:t>KEYNOTE-564</w:t>
      </w:r>
      <w:r w:rsidRPr="00BF1D48">
        <w:t xml:space="preserve"> trial, it was not feasible to change the </w:t>
      </w:r>
      <w:r w:rsidR="00ED2AA0" w:rsidRPr="00BF1D48">
        <w:t>KEYNOTE-564</w:t>
      </w:r>
      <w:r w:rsidRPr="00BF1D48">
        <w:t xml:space="preserve"> trial study population </w:t>
      </w:r>
      <w:proofErr w:type="gramStart"/>
      <w:r w:rsidRPr="00BF1D48">
        <w:t>during the course of</w:t>
      </w:r>
      <w:proofErr w:type="gramEnd"/>
      <w:r w:rsidRPr="00BF1D48">
        <w:t xml:space="preserve"> the study. </w:t>
      </w:r>
    </w:p>
    <w:p w14:paraId="57C8AE91" w14:textId="4B869B49" w:rsidR="00127B08" w:rsidRPr="00BF1D48" w:rsidRDefault="00DF6F53" w:rsidP="00BF1D48">
      <w:r>
        <w:t>S</w:t>
      </w:r>
      <w:r w:rsidR="00127B08" w:rsidRPr="00BF1D48">
        <w:t>everal Phase III studies of anti-PD-1/L1 agents in the adjuvant disease setting (IMmotion-010 trial</w:t>
      </w:r>
      <w:r w:rsidR="00652ADF">
        <w:t>,</w:t>
      </w:r>
      <w:r w:rsidR="00652ADF">
        <w:rPr>
          <w:rStyle w:val="FootnoteReference"/>
        </w:rPr>
        <w:footnoteReference w:id="18"/>
      </w:r>
      <w:r w:rsidR="00127B08" w:rsidRPr="00BF1D48">
        <w:t xml:space="preserve"> and CheckMate-914 trial</w:t>
      </w:r>
      <w:r w:rsidR="00652ADF">
        <w:t>,</w:t>
      </w:r>
      <w:r w:rsidR="00652ADF">
        <w:rPr>
          <w:rStyle w:val="FootnoteReference"/>
        </w:rPr>
        <w:footnoteReference w:id="19"/>
      </w:r>
      <w:r w:rsidR="00127B08" w:rsidRPr="00BF1D48">
        <w:t>) and first line advanced/metastatic setting (KEYNOTE-426</w:t>
      </w:r>
      <w:r w:rsidR="00652ADF">
        <w:t xml:space="preserve"> trial,</w:t>
      </w:r>
      <w:r w:rsidR="00652ADF">
        <w:rPr>
          <w:rStyle w:val="FootnoteReference"/>
        </w:rPr>
        <w:footnoteReference w:id="20"/>
      </w:r>
      <w:r w:rsidR="00127B08" w:rsidRPr="00BF1D48">
        <w:t xml:space="preserve"> KEYNOTE-581 </w:t>
      </w:r>
      <w:r w:rsidR="00652ADF">
        <w:t>trial,</w:t>
      </w:r>
      <w:r w:rsidR="00150FC1">
        <w:rPr>
          <w:rStyle w:val="FootnoteReference"/>
        </w:rPr>
        <w:footnoteReference w:id="21"/>
      </w:r>
      <w:r w:rsidR="00127B08" w:rsidRPr="00BF1D48">
        <w:t xml:space="preserve"> CheckMate-214</w:t>
      </w:r>
      <w:r w:rsidR="00652ADF">
        <w:t xml:space="preserve"> trial</w:t>
      </w:r>
      <w:r w:rsidR="00150FC1">
        <w:t>,</w:t>
      </w:r>
      <w:r w:rsidR="00150FC1">
        <w:rPr>
          <w:rStyle w:val="FootnoteReference"/>
        </w:rPr>
        <w:footnoteReference w:id="22"/>
      </w:r>
      <w:r w:rsidR="00127B08" w:rsidRPr="00BF1D48">
        <w:t xml:space="preserve"> and CheckMate-9ER</w:t>
      </w:r>
      <w:r w:rsidR="00652ADF">
        <w:t xml:space="preserve"> trial</w:t>
      </w:r>
      <w:r w:rsidR="00150FC1">
        <w:t>,</w:t>
      </w:r>
      <w:r w:rsidR="00150FC1">
        <w:rPr>
          <w:rStyle w:val="FootnoteReference"/>
        </w:rPr>
        <w:footnoteReference w:id="23"/>
      </w:r>
      <w:r w:rsidR="00127B08" w:rsidRPr="00BF1D48">
        <w:t xml:space="preserve"> have similar eligibility criteria of </w:t>
      </w:r>
      <w:r>
        <w:t>renal cell carcinoma</w:t>
      </w:r>
      <w:r w:rsidR="00127B08" w:rsidRPr="00BF1D48">
        <w:t xml:space="preserve"> histology with </w:t>
      </w:r>
      <w:r w:rsidR="00ED2AA0" w:rsidRPr="00BF1D48">
        <w:t>KEYNOTE-564</w:t>
      </w:r>
      <w:r w:rsidR="00127B08" w:rsidRPr="00BF1D48">
        <w:t xml:space="preserve"> trial and enrol </w:t>
      </w:r>
      <w:r>
        <w:t>renal cell carcinoma</w:t>
      </w:r>
      <w:r w:rsidR="00127B08" w:rsidRPr="00BF1D48">
        <w:t xml:space="preserve"> patients with a clear cell component. In the Australian </w:t>
      </w:r>
      <w:r w:rsidR="00652ADF">
        <w:t>Product I</w:t>
      </w:r>
      <w:r w:rsidR="00127B08" w:rsidRPr="00BF1D48">
        <w:t xml:space="preserve">nformation, pembrolizumab and nivolumab, in combination with other agents, are indicated for the treatment of the first line advanced/metastatic </w:t>
      </w:r>
      <w:r w:rsidR="00652ADF">
        <w:t>renal cell carcinoma</w:t>
      </w:r>
      <w:r w:rsidR="00127B08" w:rsidRPr="00BF1D48">
        <w:t>, irrespective of</w:t>
      </w:r>
      <w:r w:rsidR="00652ADF">
        <w:t xml:space="preserve"> renal cell carcinoma</w:t>
      </w:r>
      <w:r w:rsidR="00127B08" w:rsidRPr="00BF1D48">
        <w:t xml:space="preserve"> histology.</w:t>
      </w:r>
    </w:p>
    <w:p w14:paraId="318CFABC" w14:textId="77777777" w:rsidR="00C22214" w:rsidRPr="00F73346" w:rsidRDefault="00C22214" w:rsidP="00C22214">
      <w:pPr>
        <w:pStyle w:val="Heading4"/>
      </w:pPr>
      <w:bookmarkStart w:id="88" w:name="_Toc98931936"/>
      <w:bookmarkStart w:id="89" w:name="_Toc144287153"/>
      <w:bookmarkStart w:id="90" w:name="_Toc247691532"/>
      <w:bookmarkStart w:id="91" w:name="_Toc314842516"/>
      <w:r w:rsidRPr="00F73346">
        <w:t>Advisory Committee considerations</w:t>
      </w:r>
      <w:bookmarkEnd w:id="88"/>
      <w:bookmarkEnd w:id="89"/>
    </w:p>
    <w:p w14:paraId="087BB9CB" w14:textId="61B7F4F3" w:rsidR="00C22214" w:rsidRPr="00BD5DBD" w:rsidRDefault="00C22214" w:rsidP="00C22214">
      <w:pPr>
        <w:rPr>
          <w:bCs/>
          <w:szCs w:val="22"/>
        </w:rPr>
      </w:pPr>
      <w:r w:rsidRPr="00BD5DBD">
        <w:rPr>
          <w:bCs/>
          <w:szCs w:val="22"/>
        </w:rPr>
        <w:t xml:space="preserve">The </w:t>
      </w:r>
      <w:hyperlink r:id="rId58"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B00986A" w14:textId="77777777" w:rsidR="00C012C0" w:rsidRDefault="00FF4295" w:rsidP="00334B3E">
      <w:pPr>
        <w:pStyle w:val="Numberbullet0"/>
        <w:numPr>
          <w:ilvl w:val="0"/>
          <w:numId w:val="20"/>
        </w:numPr>
        <w:rPr>
          <w:b/>
          <w:bCs/>
          <w:i/>
          <w:iCs/>
        </w:rPr>
      </w:pPr>
      <w:r w:rsidRPr="00334B3E">
        <w:rPr>
          <w:b/>
          <w:bCs/>
          <w:i/>
          <w:iCs/>
        </w:rPr>
        <w:t>Can the ACM comment on the indication proposed by the Delegate below?</w:t>
      </w:r>
    </w:p>
    <w:p w14:paraId="6FD7B0BE" w14:textId="258C8615" w:rsidR="00FF4295" w:rsidRPr="00334B3E" w:rsidRDefault="00FF4295" w:rsidP="00334B3E">
      <w:pPr>
        <w:pStyle w:val="Numberbullet0"/>
        <w:numPr>
          <w:ilvl w:val="0"/>
          <w:numId w:val="0"/>
        </w:numPr>
        <w:ind w:left="360"/>
        <w:rPr>
          <w:b/>
          <w:bCs/>
          <w:i/>
          <w:iCs/>
        </w:rPr>
      </w:pPr>
      <w:r w:rsidRPr="00334B3E">
        <w:rPr>
          <w:b/>
          <w:bCs/>
          <w:i/>
          <w:iCs/>
        </w:rPr>
        <w:t xml:space="preserve">Keytruda (pembrolizumab), as monotherapy, is indicated for the adjuvant treatment of patients with RCC with a clear cell component who are at intermediate-high or high risk </w:t>
      </w:r>
      <w:r w:rsidRPr="00334B3E">
        <w:rPr>
          <w:b/>
          <w:bCs/>
          <w:i/>
          <w:iCs/>
        </w:rPr>
        <w:lastRenderedPageBreak/>
        <w:t xml:space="preserve">of recurrence following </w:t>
      </w:r>
      <w:proofErr w:type="gramStart"/>
      <w:r w:rsidRPr="00334B3E">
        <w:rPr>
          <w:b/>
          <w:bCs/>
          <w:i/>
          <w:iCs/>
        </w:rPr>
        <w:t>nephrectomy, or</w:t>
      </w:r>
      <w:proofErr w:type="gramEnd"/>
      <w:r w:rsidRPr="00334B3E">
        <w:rPr>
          <w:b/>
          <w:bCs/>
          <w:i/>
          <w:iCs/>
        </w:rPr>
        <w:t xml:space="preserve"> following nephrectomy and resection of metastatic lesions (see Section 5.1, Clinical trials: renal cell carcinoma).</w:t>
      </w:r>
    </w:p>
    <w:p w14:paraId="40A464CE" w14:textId="302D7C8D" w:rsidR="00FF4295" w:rsidRDefault="00FF4295" w:rsidP="00FF4295">
      <w:r>
        <w:t xml:space="preserve">The ACM was supportive of the indication proposed by the Delegate. The ACM agreed that it is important to specify </w:t>
      </w:r>
      <w:r w:rsidR="00150FC1">
        <w:t xml:space="preserve">renal cell carcinoma </w:t>
      </w:r>
      <w:r>
        <w:t>with a clear cell component within the indication as this aligns the indication with the clinical trial entry criteria.</w:t>
      </w:r>
    </w:p>
    <w:p w14:paraId="7DBC0F5E" w14:textId="568E110F" w:rsidR="00FF4295" w:rsidRPr="000F3041" w:rsidRDefault="00FF4295" w:rsidP="00FF4295">
      <w:r>
        <w:t>The ACM was of the view that t</w:t>
      </w:r>
      <w:r w:rsidRPr="000F3041">
        <w:t>here is insufficient clinical data for</w:t>
      </w:r>
      <w:r>
        <w:t xml:space="preserve"> the use of pembrolizumab for</w:t>
      </w:r>
      <w:r w:rsidRPr="000F3041">
        <w:t xml:space="preserve"> non-clear cell renal cell carcinomas in </w:t>
      </w:r>
      <w:r>
        <w:t xml:space="preserve">the </w:t>
      </w:r>
      <w:r w:rsidRPr="000F3041">
        <w:t>adjuvant setting</w:t>
      </w:r>
      <w:r>
        <w:t xml:space="preserve"> and reiterated that a confirmed diagnosis of </w:t>
      </w:r>
      <w:r w:rsidR="00150FC1">
        <w:t>renal cell carcinoma</w:t>
      </w:r>
      <w:r>
        <w:t xml:space="preserve"> with clear cell component with or without </w:t>
      </w:r>
      <w:proofErr w:type="spellStart"/>
      <w:r>
        <w:t>sarcomatoid</w:t>
      </w:r>
      <w:proofErr w:type="spellEnd"/>
      <w:r>
        <w:t xml:space="preserve"> features was a </w:t>
      </w:r>
      <w:proofErr w:type="gramStart"/>
      <w:r>
        <w:t>key</w:t>
      </w:r>
      <w:r w:rsidR="00334B3E">
        <w:t xml:space="preserve"> </w:t>
      </w:r>
      <w:r>
        <w:t>inclusion criteria</w:t>
      </w:r>
      <w:proofErr w:type="gramEnd"/>
      <w:r>
        <w:t xml:space="preserve"> for the pivotal trial and all of the study participants had </w:t>
      </w:r>
      <w:r w:rsidR="00150FC1">
        <w:t xml:space="preserve">renal cell carcinoma </w:t>
      </w:r>
      <w:r>
        <w:t>with clear cell component</w:t>
      </w:r>
      <w:r w:rsidRPr="000F3041">
        <w:t>.</w:t>
      </w:r>
    </w:p>
    <w:p w14:paraId="5291EA2A" w14:textId="77777777" w:rsidR="00C22214" w:rsidRPr="00F73346" w:rsidRDefault="00C22214" w:rsidP="00C22214">
      <w:pPr>
        <w:pStyle w:val="Heading5"/>
      </w:pPr>
      <w:r w:rsidRPr="00F73346">
        <w:t>Conclusion</w:t>
      </w:r>
    </w:p>
    <w:p w14:paraId="19E6A256" w14:textId="77777777" w:rsidR="00FF4295" w:rsidRDefault="00FF4295" w:rsidP="00FF4295">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3FEE80E7" w14:textId="77777777" w:rsidR="00FF4295" w:rsidRPr="0063390C" w:rsidRDefault="00FF4295" w:rsidP="00FF4295">
      <w:pPr>
        <w:ind w:left="720"/>
        <w:rPr>
          <w:i/>
          <w:iCs/>
        </w:rPr>
      </w:pPr>
      <w:r w:rsidRPr="0063390C">
        <w:rPr>
          <w:i/>
          <w:iCs/>
        </w:rPr>
        <w:t xml:space="preserve">Keytruda (pembrolizumab), as monotherapy, is indicated for the adjuvant treatment of patients with RCC with a clear cell component who are at intermediate-high or high risk of recurrence following </w:t>
      </w:r>
      <w:proofErr w:type="gramStart"/>
      <w:r w:rsidRPr="0063390C">
        <w:rPr>
          <w:i/>
          <w:iCs/>
        </w:rPr>
        <w:t>nephrectomy, or</w:t>
      </w:r>
      <w:proofErr w:type="gramEnd"/>
      <w:r w:rsidRPr="0063390C">
        <w:rPr>
          <w:i/>
          <w:iCs/>
        </w:rPr>
        <w:t xml:space="preserve"> following nephrectomy and resection of metastatic lesions (see Section 5.1, Clinical trials: renal cell carcinoma).</w:t>
      </w:r>
    </w:p>
    <w:p w14:paraId="307F236C" w14:textId="77777777" w:rsidR="00C22214" w:rsidRPr="002E238E" w:rsidRDefault="00C22214" w:rsidP="00C22214">
      <w:pPr>
        <w:pStyle w:val="Heading2"/>
      </w:pPr>
      <w:bookmarkStart w:id="92" w:name="_Toc103679300"/>
      <w:bookmarkStart w:id="93" w:name="_Toc144287154"/>
      <w:r>
        <w:t>Outcome</w:t>
      </w:r>
      <w:bookmarkEnd w:id="90"/>
      <w:bookmarkEnd w:id="91"/>
      <w:bookmarkEnd w:id="92"/>
      <w:bookmarkEnd w:id="93"/>
    </w:p>
    <w:p w14:paraId="78266B14" w14:textId="5E3A744E" w:rsidR="00FF4295" w:rsidRPr="00FF4295" w:rsidRDefault="00C22214" w:rsidP="00FF4295">
      <w:r w:rsidRPr="00BD5DBD">
        <w:t>Based on a review of quality</w:t>
      </w:r>
      <w:r w:rsidRPr="00FF4295">
        <w:t xml:space="preserve">, safety, and efficacy, the TGA approved the registration of </w:t>
      </w:r>
      <w:r w:rsidR="00FF4295" w:rsidRPr="00FF4295">
        <w:t>Keytruda (pembrolizumab) 100 mg/4 mL</w:t>
      </w:r>
      <w:r w:rsidRPr="00FF4295">
        <w:t xml:space="preserve">, </w:t>
      </w:r>
      <w:r w:rsidR="00FF4295" w:rsidRPr="00FF4295">
        <w:t>concentrated solution for injection vial</w:t>
      </w:r>
      <w:r w:rsidRPr="00FF4295">
        <w:t>, for the following extension of indic</w:t>
      </w:r>
      <w:r w:rsidR="00FF4295" w:rsidRPr="00FF4295">
        <w:t>a</w:t>
      </w:r>
      <w:r w:rsidRPr="00FF4295">
        <w:t>tions</w:t>
      </w:r>
      <w:r w:rsidR="00FF4295" w:rsidRPr="00FF4295">
        <w:t>:</w:t>
      </w:r>
    </w:p>
    <w:p w14:paraId="67DB5913" w14:textId="42877038" w:rsidR="00FF4295" w:rsidRPr="00FF4295" w:rsidRDefault="00264AF8" w:rsidP="00FF4295">
      <w:pPr>
        <w:ind w:left="720"/>
        <w:rPr>
          <w:i/>
          <w:iCs/>
        </w:rPr>
      </w:pPr>
      <w:r>
        <w:rPr>
          <w:i/>
          <w:iCs/>
        </w:rPr>
        <w:t>Keytruda</w:t>
      </w:r>
      <w:r w:rsidR="00FF4295" w:rsidRPr="00FF4295">
        <w:rPr>
          <w:i/>
          <w:iCs/>
        </w:rPr>
        <w:t xml:space="preserve"> (pembrolizumab), as monotherapy, is indicated for the adjuvant treatment of patients with RCC with a clear cell component who are at intermediate-high or high risk of recurrence following </w:t>
      </w:r>
      <w:proofErr w:type="gramStart"/>
      <w:r w:rsidR="00FF4295" w:rsidRPr="00FF4295">
        <w:rPr>
          <w:i/>
          <w:iCs/>
        </w:rPr>
        <w:t>nephrectomy, or</w:t>
      </w:r>
      <w:proofErr w:type="gramEnd"/>
      <w:r w:rsidR="00FF4295" w:rsidRPr="00FF4295">
        <w:rPr>
          <w:i/>
          <w:iCs/>
        </w:rPr>
        <w:t xml:space="preserve"> following nephrectomy and resection of metastatic lesions (see section 5.1, Clinical Trials: Renal Cell Carcinoma).</w:t>
      </w:r>
    </w:p>
    <w:p w14:paraId="500F60C2" w14:textId="74E6DED7" w:rsidR="00C22214" w:rsidRDefault="00C22214" w:rsidP="00C22214">
      <w:pPr>
        <w:rPr>
          <w:szCs w:val="22"/>
        </w:rPr>
      </w:pPr>
      <w:r w:rsidRPr="00BD5DBD">
        <w:rPr>
          <w:szCs w:val="22"/>
        </w:rPr>
        <w:t>As such, the full indications at this time were:</w:t>
      </w:r>
    </w:p>
    <w:p w14:paraId="5CE86106" w14:textId="77777777" w:rsidR="00FF4295" w:rsidRPr="00264AF8" w:rsidRDefault="00FF4295" w:rsidP="00264AF8">
      <w:pPr>
        <w:ind w:left="720"/>
        <w:rPr>
          <w:b/>
          <w:bCs/>
          <w:i/>
          <w:iCs/>
        </w:rPr>
      </w:pPr>
      <w:r w:rsidRPr="00264AF8">
        <w:rPr>
          <w:b/>
          <w:bCs/>
          <w:i/>
          <w:iCs/>
        </w:rPr>
        <w:t>Melanoma</w:t>
      </w:r>
    </w:p>
    <w:p w14:paraId="5CE7E01B" w14:textId="6173E4DA"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unresectable or metastatic melanoma in adults.</w:t>
      </w:r>
    </w:p>
    <w:p w14:paraId="57FFD29E" w14:textId="6BCFBE21" w:rsidR="00FF4295" w:rsidRPr="00264AF8" w:rsidRDefault="00264AF8" w:rsidP="00264AF8">
      <w:pPr>
        <w:ind w:left="720"/>
        <w:rPr>
          <w:i/>
          <w:iCs/>
        </w:rPr>
      </w:pPr>
      <w:r>
        <w:rPr>
          <w:i/>
          <w:iCs/>
        </w:rPr>
        <w:t>Keytruda</w:t>
      </w:r>
      <w:r w:rsidR="00FF4295" w:rsidRPr="00264AF8">
        <w:rPr>
          <w:i/>
          <w:iCs/>
        </w:rPr>
        <w:t xml:space="preserve"> (pembrolizumab) is indicated as monotherapy for the adjuvant treatment of patients with melanoma with lymph node involvement who have undergone complete resection.</w:t>
      </w:r>
    </w:p>
    <w:p w14:paraId="71E863B1" w14:textId="77777777" w:rsidR="00FF4295" w:rsidRPr="00264AF8" w:rsidRDefault="00FF4295" w:rsidP="00264AF8">
      <w:pPr>
        <w:ind w:left="720"/>
        <w:rPr>
          <w:b/>
          <w:bCs/>
          <w:i/>
          <w:iCs/>
        </w:rPr>
      </w:pPr>
      <w:r w:rsidRPr="00264AF8">
        <w:rPr>
          <w:b/>
          <w:bCs/>
          <w:i/>
          <w:iCs/>
        </w:rPr>
        <w:t>Non-small cell lung cancer (NSCLC)</w:t>
      </w:r>
    </w:p>
    <w:p w14:paraId="379006C3" w14:textId="5EF063B0" w:rsidR="00FF4295" w:rsidRPr="00264AF8" w:rsidRDefault="00264AF8" w:rsidP="00264AF8">
      <w:pPr>
        <w:ind w:left="720"/>
        <w:rPr>
          <w:i/>
          <w:iCs/>
        </w:rPr>
      </w:pPr>
      <w:r>
        <w:rPr>
          <w:i/>
          <w:iCs/>
        </w:rPr>
        <w:t>Keytruda</w:t>
      </w:r>
      <w:r w:rsidR="00FF4295" w:rsidRPr="00264AF8">
        <w:rPr>
          <w:i/>
          <w:iCs/>
        </w:rPr>
        <w:t xml:space="preserve"> (pembrolizumab), in combination with pemetrexed and platinum chemotherapy, is indicated for the first-line treatment of patients with metastatic non-squamous NSCLC, with no EGFR or ALK genomic tumour aberrations.</w:t>
      </w:r>
    </w:p>
    <w:p w14:paraId="36518240" w14:textId="2EC010EB" w:rsidR="00FF4295" w:rsidRPr="00264AF8" w:rsidRDefault="00264AF8" w:rsidP="00264AF8">
      <w:pPr>
        <w:ind w:left="720"/>
        <w:rPr>
          <w:i/>
          <w:iCs/>
        </w:rPr>
      </w:pPr>
      <w:r>
        <w:rPr>
          <w:i/>
          <w:iCs/>
        </w:rPr>
        <w:t>Keytruda</w:t>
      </w:r>
      <w:r w:rsidR="00FF4295" w:rsidRPr="00264AF8">
        <w:rPr>
          <w:i/>
          <w:iCs/>
        </w:rPr>
        <w:t xml:space="preserve"> (pembrolizumab), in combination with carboplatin and either paclitaxel or </w:t>
      </w:r>
      <w:proofErr w:type="spellStart"/>
      <w:r w:rsidR="00FF4295" w:rsidRPr="00264AF8">
        <w:rPr>
          <w:i/>
          <w:iCs/>
        </w:rPr>
        <w:t>nabpaclitaxel</w:t>
      </w:r>
      <w:proofErr w:type="spellEnd"/>
      <w:r w:rsidR="00FF4295" w:rsidRPr="00264AF8">
        <w:rPr>
          <w:i/>
          <w:iCs/>
        </w:rPr>
        <w:t>, is indicated for the first-line treatment of patients with metastatic squamous NSCLC.</w:t>
      </w:r>
    </w:p>
    <w:p w14:paraId="015B744D" w14:textId="0DF88E71" w:rsidR="00FF4295" w:rsidRPr="00264AF8" w:rsidRDefault="00264AF8" w:rsidP="00264AF8">
      <w:pPr>
        <w:ind w:left="720"/>
        <w:rPr>
          <w:i/>
          <w:iCs/>
        </w:rPr>
      </w:pPr>
      <w:r>
        <w:rPr>
          <w:i/>
          <w:iCs/>
        </w:rPr>
        <w:lastRenderedPageBreak/>
        <w:t>Keytruda</w:t>
      </w:r>
      <w:r w:rsidR="00FF4295" w:rsidRPr="00264AF8">
        <w:rPr>
          <w:i/>
          <w:iCs/>
        </w:rPr>
        <w:t xml:space="preserve"> (pembrolizumab) is indicated as monotherapy for the first-line treatment of patients with NSCLC expressing PD-L1 [tumour proportion score (TPS) ≥1%] as determined by a validated test, with no EGFR or ALK genomic tumour aberrations, and is</w:t>
      </w:r>
    </w:p>
    <w:p w14:paraId="2B9D7F46" w14:textId="22AB68F9" w:rsidR="00FF4295" w:rsidRPr="00264AF8" w:rsidRDefault="00FF4295" w:rsidP="00264AF8">
      <w:pPr>
        <w:pStyle w:val="ListBullet"/>
        <w:ind w:left="1080"/>
        <w:rPr>
          <w:i/>
          <w:iCs/>
        </w:rPr>
      </w:pPr>
      <w:r w:rsidRPr="00264AF8">
        <w:rPr>
          <w:i/>
          <w:iCs/>
        </w:rPr>
        <w:t>stage III where patients are not candidates for surgical resection or definitive chemoradiation, or</w:t>
      </w:r>
    </w:p>
    <w:p w14:paraId="54286A45" w14:textId="498B6F0F" w:rsidR="00FF4295" w:rsidRPr="00264AF8" w:rsidRDefault="00FF4295" w:rsidP="00264AF8">
      <w:pPr>
        <w:pStyle w:val="ListBullet"/>
        <w:ind w:left="1080"/>
        <w:rPr>
          <w:i/>
          <w:iCs/>
        </w:rPr>
      </w:pPr>
      <w:r w:rsidRPr="00264AF8">
        <w:rPr>
          <w:i/>
          <w:iCs/>
        </w:rPr>
        <w:t>metastatic.</w:t>
      </w:r>
    </w:p>
    <w:p w14:paraId="00E32E77" w14:textId="59BA3DD6"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w:t>
      </w:r>
      <w:r>
        <w:rPr>
          <w:i/>
          <w:iCs/>
        </w:rPr>
        <w:t>Keytruda</w:t>
      </w:r>
      <w:r w:rsidR="00FF4295" w:rsidRPr="00264AF8">
        <w:rPr>
          <w:i/>
          <w:iCs/>
        </w:rPr>
        <w:t>.</w:t>
      </w:r>
    </w:p>
    <w:p w14:paraId="267A33B2" w14:textId="77777777" w:rsidR="00FF4295" w:rsidRPr="00264AF8" w:rsidRDefault="00FF4295" w:rsidP="00264AF8">
      <w:pPr>
        <w:ind w:left="720"/>
        <w:rPr>
          <w:b/>
          <w:bCs/>
          <w:i/>
          <w:iCs/>
        </w:rPr>
      </w:pPr>
      <w:r w:rsidRPr="00264AF8">
        <w:rPr>
          <w:b/>
          <w:bCs/>
          <w:i/>
          <w:iCs/>
        </w:rPr>
        <w:t>Head and Neck Squamous Cell Cancer (HNSCC)</w:t>
      </w:r>
    </w:p>
    <w:p w14:paraId="14883B54" w14:textId="5ACAA4E4" w:rsidR="00FF4295" w:rsidRPr="00264AF8" w:rsidRDefault="00264AF8" w:rsidP="00264AF8">
      <w:pPr>
        <w:ind w:left="720"/>
        <w:rPr>
          <w:i/>
          <w:iCs/>
        </w:rPr>
      </w:pPr>
      <w:r>
        <w:rPr>
          <w:i/>
          <w:iCs/>
        </w:rPr>
        <w:t>Keytruda</w:t>
      </w:r>
      <w:r w:rsidR="00FF4295" w:rsidRPr="00264AF8">
        <w:rPr>
          <w:i/>
          <w:iCs/>
        </w:rPr>
        <w:t xml:space="preserve"> (pembrolizumab),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2E862164" w14:textId="369FC2AE"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patients with metastatic or unresectable recurrent HNSCC with disease progression on or after platinum containing chemotherapy and whose tumours express PD-L1 [Combined Positive Score (CPS) ≥1] as determined by a validated test.</w:t>
      </w:r>
    </w:p>
    <w:p w14:paraId="6EC38DD1" w14:textId="77777777" w:rsidR="00FF4295" w:rsidRPr="00264AF8" w:rsidRDefault="00FF4295" w:rsidP="00264AF8">
      <w:pPr>
        <w:ind w:left="720"/>
        <w:rPr>
          <w:b/>
          <w:bCs/>
          <w:i/>
          <w:iCs/>
        </w:rPr>
      </w:pPr>
      <w:r w:rsidRPr="00264AF8">
        <w:rPr>
          <w:b/>
          <w:bCs/>
          <w:i/>
          <w:iCs/>
        </w:rPr>
        <w:t>Classical Hodgkin Lymphoma (</w:t>
      </w:r>
      <w:proofErr w:type="spellStart"/>
      <w:r w:rsidRPr="00264AF8">
        <w:rPr>
          <w:b/>
          <w:bCs/>
          <w:i/>
          <w:iCs/>
        </w:rPr>
        <w:t>cHL</w:t>
      </w:r>
      <w:proofErr w:type="spellEnd"/>
      <w:r w:rsidRPr="00264AF8">
        <w:rPr>
          <w:b/>
          <w:bCs/>
          <w:i/>
          <w:iCs/>
        </w:rPr>
        <w:t>)</w:t>
      </w:r>
    </w:p>
    <w:p w14:paraId="17480AC2" w14:textId="53800A17"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adult and paediatric patients with relapsed or refractory classical Hodgkin Lymphoma (</w:t>
      </w:r>
      <w:proofErr w:type="spellStart"/>
      <w:r w:rsidR="00FF4295" w:rsidRPr="00264AF8">
        <w:rPr>
          <w:i/>
          <w:iCs/>
        </w:rPr>
        <w:t>cHL</w:t>
      </w:r>
      <w:proofErr w:type="spellEnd"/>
      <w:r w:rsidR="00FF4295" w:rsidRPr="00264AF8">
        <w:rPr>
          <w:i/>
          <w:iCs/>
        </w:rPr>
        <w:t>):</w:t>
      </w:r>
    </w:p>
    <w:p w14:paraId="41D1616F" w14:textId="4B90F3A9" w:rsidR="00FF4295" w:rsidRPr="00264AF8" w:rsidRDefault="00FF4295" w:rsidP="00264AF8">
      <w:pPr>
        <w:pStyle w:val="Numberbullet0"/>
        <w:ind w:left="1080"/>
        <w:rPr>
          <w:i/>
          <w:iCs/>
        </w:rPr>
      </w:pPr>
      <w:r w:rsidRPr="00264AF8">
        <w:rPr>
          <w:i/>
          <w:iCs/>
        </w:rPr>
        <w:t>following autologous stem cell transplant (ASCT) or</w:t>
      </w:r>
    </w:p>
    <w:p w14:paraId="761C52F6" w14:textId="445DE7D2" w:rsidR="00FF4295" w:rsidRPr="00264AF8" w:rsidRDefault="00FF4295" w:rsidP="00264AF8">
      <w:pPr>
        <w:pStyle w:val="Numberbullet0"/>
        <w:ind w:left="1080"/>
        <w:rPr>
          <w:i/>
          <w:iCs/>
        </w:rPr>
      </w:pPr>
      <w:r w:rsidRPr="00264AF8">
        <w:rPr>
          <w:i/>
          <w:iCs/>
        </w:rPr>
        <w:t>following at least two prior therapies when ASCT or multi-agent chemotherapy is not a treatment option.</w:t>
      </w:r>
    </w:p>
    <w:p w14:paraId="15AA84E9" w14:textId="76284EFA" w:rsidR="00FF4295" w:rsidRPr="00264AF8" w:rsidRDefault="00FF4295" w:rsidP="00264AF8">
      <w:pPr>
        <w:ind w:left="720"/>
        <w:rPr>
          <w:i/>
          <w:iCs/>
        </w:rPr>
      </w:pPr>
      <w:r w:rsidRPr="00264AF8">
        <w:rPr>
          <w:i/>
          <w:iCs/>
        </w:rPr>
        <w:t xml:space="preserve">The approval of this indication in paediatric patients is </w:t>
      </w:r>
      <w:proofErr w:type="gramStart"/>
      <w:r w:rsidRPr="00264AF8">
        <w:rPr>
          <w:i/>
          <w:iCs/>
        </w:rPr>
        <w:t>on the basis of</w:t>
      </w:r>
      <w:proofErr w:type="gramEnd"/>
      <w:r w:rsidRPr="00264AF8">
        <w:rPr>
          <w:i/>
          <w:iCs/>
        </w:rPr>
        <w:t xml:space="preserve"> objective response rate from patients aged 11 years and older from single arm trial data and extrapolation from adult data (see Section 5.1 Pharmacodynamic properties, Clinical Trials).</w:t>
      </w:r>
    </w:p>
    <w:p w14:paraId="49B98B87" w14:textId="16321C50" w:rsidR="00FF4295" w:rsidRPr="00264AF8" w:rsidRDefault="00FF4295" w:rsidP="00264AF8">
      <w:pPr>
        <w:ind w:left="720"/>
        <w:rPr>
          <w:b/>
          <w:bCs/>
          <w:i/>
          <w:iCs/>
        </w:rPr>
      </w:pPr>
      <w:r w:rsidRPr="00264AF8">
        <w:rPr>
          <w:b/>
          <w:bCs/>
          <w:i/>
          <w:iCs/>
        </w:rPr>
        <w:t>Primary mediastinal B-</w:t>
      </w:r>
      <w:r w:rsidR="006B26C1">
        <w:rPr>
          <w:b/>
          <w:bCs/>
          <w:i/>
          <w:iCs/>
        </w:rPr>
        <w:t>c</w:t>
      </w:r>
      <w:r w:rsidRPr="00264AF8">
        <w:rPr>
          <w:b/>
          <w:bCs/>
          <w:i/>
          <w:iCs/>
        </w:rPr>
        <w:t xml:space="preserve">ell </w:t>
      </w:r>
      <w:r w:rsidR="006B26C1">
        <w:rPr>
          <w:b/>
          <w:bCs/>
          <w:i/>
          <w:iCs/>
        </w:rPr>
        <w:t>l</w:t>
      </w:r>
      <w:r w:rsidRPr="00264AF8">
        <w:rPr>
          <w:b/>
          <w:bCs/>
          <w:i/>
          <w:iCs/>
        </w:rPr>
        <w:t>ymphoma (PMBCL)</w:t>
      </w:r>
    </w:p>
    <w:p w14:paraId="20AB49B4" w14:textId="6B8D3F2A" w:rsidR="00FF4295" w:rsidRPr="00264AF8" w:rsidRDefault="00264AF8" w:rsidP="00264AF8">
      <w:pPr>
        <w:ind w:left="720"/>
        <w:rPr>
          <w:i/>
          <w:iCs/>
        </w:rPr>
      </w:pPr>
      <w:r>
        <w:rPr>
          <w:i/>
          <w:iCs/>
        </w:rPr>
        <w:t>Keytruda</w:t>
      </w:r>
      <w:r w:rsidR="00FF4295" w:rsidRPr="00264AF8">
        <w:rPr>
          <w:i/>
          <w:iCs/>
        </w:rPr>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00FF4295" w:rsidRPr="00264AF8">
        <w:rPr>
          <w:i/>
          <w:iCs/>
        </w:rPr>
        <w:t>on the basis of</w:t>
      </w:r>
      <w:proofErr w:type="gramEnd"/>
      <w:r w:rsidR="00FF4295" w:rsidRPr="00264AF8">
        <w:rPr>
          <w:i/>
          <w:iCs/>
        </w:rPr>
        <w:t xml:space="preserve"> objective response rate (ORR) and duration of response from non-randomised studies. See Section 5.1 P</w:t>
      </w:r>
      <w:r>
        <w:rPr>
          <w:i/>
          <w:iCs/>
        </w:rPr>
        <w:t>harmacodynamic properties</w:t>
      </w:r>
      <w:r w:rsidR="00FF4295" w:rsidRPr="00264AF8">
        <w:rPr>
          <w:i/>
          <w:iCs/>
        </w:rPr>
        <w:t>, Clinical Trials.</w:t>
      </w:r>
    </w:p>
    <w:p w14:paraId="663740DA" w14:textId="77777777" w:rsidR="00FF4295" w:rsidRPr="00264AF8" w:rsidRDefault="00FF4295" w:rsidP="00264AF8">
      <w:pPr>
        <w:ind w:left="720"/>
        <w:rPr>
          <w:b/>
          <w:bCs/>
          <w:i/>
          <w:iCs/>
        </w:rPr>
      </w:pPr>
      <w:r w:rsidRPr="00264AF8">
        <w:rPr>
          <w:b/>
          <w:bCs/>
          <w:i/>
          <w:iCs/>
        </w:rPr>
        <w:t>Urothelial carcinoma</w:t>
      </w:r>
    </w:p>
    <w:p w14:paraId="4822D6B5" w14:textId="07EE7F27"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patients with</w:t>
      </w:r>
      <w:r w:rsidRPr="00264AF8">
        <w:rPr>
          <w:i/>
          <w:iCs/>
        </w:rPr>
        <w:t xml:space="preserve"> </w:t>
      </w:r>
      <w:r w:rsidR="00FF4295" w:rsidRPr="00264AF8">
        <w:rPr>
          <w:i/>
          <w:iCs/>
        </w:rPr>
        <w:t>locally advanced or metastatic urothelial carcinoma who are not eligible for any platinum</w:t>
      </w:r>
      <w:r w:rsidRPr="00264AF8">
        <w:rPr>
          <w:i/>
          <w:iCs/>
        </w:rPr>
        <w:t xml:space="preserve"> </w:t>
      </w:r>
      <w:r w:rsidR="00FF4295" w:rsidRPr="00264AF8">
        <w:rPr>
          <w:i/>
          <w:iCs/>
        </w:rPr>
        <w:t>containing chemotherapy. This indication is approved based on overall response rate and</w:t>
      </w:r>
      <w:r w:rsidRPr="00264AF8">
        <w:rPr>
          <w:i/>
          <w:iCs/>
        </w:rPr>
        <w:t xml:space="preserve"> </w:t>
      </w:r>
      <w:r w:rsidR="00FF4295" w:rsidRPr="00264AF8">
        <w:rPr>
          <w:i/>
          <w:iCs/>
        </w:rPr>
        <w:t>duration of response in a single-arm study. Improvements in overall survival, progression-free</w:t>
      </w:r>
      <w:r w:rsidRPr="00264AF8">
        <w:rPr>
          <w:i/>
          <w:iCs/>
        </w:rPr>
        <w:t xml:space="preserve"> </w:t>
      </w:r>
      <w:r w:rsidR="00FF4295" w:rsidRPr="00264AF8">
        <w:rPr>
          <w:i/>
          <w:iCs/>
        </w:rPr>
        <w:t>survival, or health-related quality of life have not been established.</w:t>
      </w:r>
    </w:p>
    <w:p w14:paraId="5765989E" w14:textId="4207106A" w:rsidR="00264AF8" w:rsidRPr="00264AF8" w:rsidRDefault="00264AF8" w:rsidP="00264AF8">
      <w:pPr>
        <w:ind w:left="720"/>
        <w:rPr>
          <w:i/>
          <w:iCs/>
        </w:rPr>
      </w:pPr>
      <w:r>
        <w:rPr>
          <w:i/>
          <w:iCs/>
        </w:rPr>
        <w:lastRenderedPageBreak/>
        <w:t>Keytruda</w:t>
      </w:r>
      <w:r w:rsidR="00FF4295" w:rsidRPr="00264AF8">
        <w:rPr>
          <w:i/>
          <w:iCs/>
        </w:rPr>
        <w:t xml:space="preserve"> (pembrolizumab) is indicated as monotherapy for the treatment of patients with</w:t>
      </w:r>
      <w:r w:rsidRPr="00264AF8">
        <w:rPr>
          <w:i/>
          <w:iCs/>
        </w:rPr>
        <w:t xml:space="preserve"> </w:t>
      </w:r>
      <w:r w:rsidR="00FF4295" w:rsidRPr="00264AF8">
        <w:rPr>
          <w:i/>
          <w:iCs/>
        </w:rPr>
        <w:t>locally advanced or metastatic urothelial carcinoma who have received platinum-containing</w:t>
      </w:r>
      <w:r w:rsidRPr="00264AF8">
        <w:rPr>
          <w:i/>
          <w:iCs/>
        </w:rPr>
        <w:t xml:space="preserve"> </w:t>
      </w:r>
      <w:r w:rsidR="00FF4295" w:rsidRPr="00264AF8">
        <w:rPr>
          <w:i/>
          <w:iCs/>
        </w:rPr>
        <w:t>chemotherapy.</w:t>
      </w:r>
    </w:p>
    <w:p w14:paraId="6BD15A89" w14:textId="351637CB" w:rsidR="00FF4295" w:rsidRPr="00264AF8" w:rsidRDefault="00264AF8" w:rsidP="00264AF8">
      <w:pPr>
        <w:ind w:left="720"/>
        <w:rPr>
          <w:i/>
          <w:iCs/>
        </w:rPr>
      </w:pPr>
      <w:r>
        <w:rPr>
          <w:i/>
          <w:iCs/>
        </w:rPr>
        <w:t>Keytruda</w:t>
      </w:r>
      <w:r w:rsidR="00FF4295" w:rsidRPr="00264AF8">
        <w:rPr>
          <w:i/>
          <w:iCs/>
        </w:rPr>
        <w:t xml:space="preserve"> (pembrolizumab) is indicated for the treatment of patients with Bacillus</w:t>
      </w:r>
      <w:r w:rsidRPr="00264AF8">
        <w:rPr>
          <w:i/>
          <w:iCs/>
        </w:rPr>
        <w:t xml:space="preserve"> </w:t>
      </w:r>
      <w:r w:rsidR="00FF4295" w:rsidRPr="00264AF8">
        <w:rPr>
          <w:i/>
          <w:iCs/>
        </w:rPr>
        <w:t>Calmette-Guerin (BCG)-unresponsive, high-risk, non-muscle invasive bladder cancer</w:t>
      </w:r>
      <w:r w:rsidRPr="00264AF8">
        <w:rPr>
          <w:i/>
          <w:iCs/>
        </w:rPr>
        <w:t xml:space="preserve"> </w:t>
      </w:r>
      <w:r w:rsidR="00FF4295" w:rsidRPr="00264AF8">
        <w:rPr>
          <w:i/>
          <w:iCs/>
        </w:rPr>
        <w:t>(NMIBC) with carcinoma in-situ (CIS) with or without papillary tumours who are ineligible for</w:t>
      </w:r>
      <w:r w:rsidRPr="00264AF8">
        <w:rPr>
          <w:i/>
          <w:iCs/>
        </w:rPr>
        <w:t xml:space="preserve"> </w:t>
      </w:r>
      <w:r w:rsidR="00FF4295" w:rsidRPr="00264AF8">
        <w:rPr>
          <w:i/>
          <w:iCs/>
        </w:rPr>
        <w:t xml:space="preserve">or have elected not to undergo cystectomy. This indication was approved via the </w:t>
      </w:r>
      <w:r w:rsidR="00FF4295" w:rsidRPr="00264AF8">
        <w:rPr>
          <w:b/>
          <w:bCs/>
          <w:i/>
          <w:iCs/>
        </w:rPr>
        <w:t>provisional</w:t>
      </w:r>
      <w:r w:rsidRPr="00264AF8">
        <w:rPr>
          <w:b/>
          <w:bCs/>
          <w:i/>
          <w:iCs/>
        </w:rPr>
        <w:t xml:space="preserve"> </w:t>
      </w:r>
      <w:r w:rsidR="00FF4295" w:rsidRPr="00264AF8">
        <w:rPr>
          <w:b/>
          <w:bCs/>
          <w:i/>
          <w:iCs/>
        </w:rPr>
        <w:t>approval</w:t>
      </w:r>
      <w:r w:rsidR="00FF4295" w:rsidRPr="00264AF8">
        <w:rPr>
          <w:i/>
          <w:iCs/>
        </w:rPr>
        <w:t xml:space="preserve"> pathway based on complete response rate and duration of response. Continued</w:t>
      </w:r>
      <w:r w:rsidRPr="00264AF8">
        <w:rPr>
          <w:i/>
          <w:iCs/>
        </w:rPr>
        <w:t xml:space="preserve"> </w:t>
      </w:r>
      <w:r w:rsidR="00FF4295" w:rsidRPr="00264AF8">
        <w:rPr>
          <w:i/>
          <w:iCs/>
        </w:rPr>
        <w:t>approval of this indication depends on verification and description of benefit in confirmatory</w:t>
      </w:r>
      <w:r w:rsidRPr="00264AF8">
        <w:rPr>
          <w:i/>
          <w:iCs/>
        </w:rPr>
        <w:t xml:space="preserve"> </w:t>
      </w:r>
      <w:r w:rsidR="00FF4295" w:rsidRPr="00264AF8">
        <w:rPr>
          <w:i/>
          <w:iCs/>
        </w:rPr>
        <w:t>trials.</w:t>
      </w:r>
    </w:p>
    <w:p w14:paraId="598B2451" w14:textId="77777777" w:rsidR="00FF4295" w:rsidRPr="00264AF8" w:rsidRDefault="00FF4295" w:rsidP="00264AF8">
      <w:pPr>
        <w:ind w:left="720"/>
        <w:rPr>
          <w:b/>
          <w:bCs/>
          <w:i/>
          <w:iCs/>
        </w:rPr>
      </w:pPr>
      <w:r w:rsidRPr="00264AF8">
        <w:rPr>
          <w:b/>
          <w:bCs/>
          <w:i/>
          <w:iCs/>
        </w:rPr>
        <w:t>Microsatellite instability-high (MSI-H) or mismatch repair deficient (</w:t>
      </w:r>
      <w:proofErr w:type="spellStart"/>
      <w:r w:rsidRPr="00264AF8">
        <w:rPr>
          <w:b/>
          <w:bCs/>
          <w:i/>
          <w:iCs/>
        </w:rPr>
        <w:t>dMMR</w:t>
      </w:r>
      <w:proofErr w:type="spellEnd"/>
      <w:r w:rsidRPr="00264AF8">
        <w:rPr>
          <w:b/>
          <w:bCs/>
          <w:i/>
          <w:iCs/>
        </w:rPr>
        <w:t>) cancer</w:t>
      </w:r>
    </w:p>
    <w:p w14:paraId="49FD1CA7" w14:textId="77777777" w:rsidR="00FF4295" w:rsidRPr="00264AF8" w:rsidRDefault="00FF4295" w:rsidP="00264AF8">
      <w:pPr>
        <w:ind w:left="720"/>
        <w:rPr>
          <w:i/>
          <w:iCs/>
        </w:rPr>
      </w:pPr>
      <w:r w:rsidRPr="00264AF8">
        <w:rPr>
          <w:i/>
          <w:iCs/>
        </w:rPr>
        <w:t>Colorectal (previously untreated)</w:t>
      </w:r>
    </w:p>
    <w:p w14:paraId="5DF750BF" w14:textId="00D59252" w:rsidR="00FF4295" w:rsidRPr="00264AF8" w:rsidRDefault="00264AF8" w:rsidP="00264AF8">
      <w:pPr>
        <w:ind w:left="720"/>
        <w:rPr>
          <w:i/>
          <w:iCs/>
        </w:rPr>
      </w:pPr>
      <w:r>
        <w:rPr>
          <w:i/>
          <w:iCs/>
        </w:rPr>
        <w:t>Keytruda</w:t>
      </w:r>
      <w:r w:rsidR="00FF4295" w:rsidRPr="00264AF8">
        <w:rPr>
          <w:i/>
          <w:iCs/>
        </w:rPr>
        <w:t xml:space="preserve"> (pembrolizumab) is indicated for the first-line treatment of patients with</w:t>
      </w:r>
      <w:r w:rsidRPr="00264AF8">
        <w:rPr>
          <w:i/>
          <w:iCs/>
        </w:rPr>
        <w:t xml:space="preserve"> </w:t>
      </w:r>
      <w:r w:rsidR="00FF4295" w:rsidRPr="00264AF8">
        <w:rPr>
          <w:i/>
          <w:iCs/>
        </w:rPr>
        <w:t xml:space="preserve">unresectable or metastatic colorectal cancer (CRC) that is MSI-H or </w:t>
      </w:r>
      <w:proofErr w:type="spellStart"/>
      <w:r w:rsidR="00FF4295" w:rsidRPr="00264AF8">
        <w:rPr>
          <w:i/>
          <w:iCs/>
        </w:rPr>
        <w:t>dMMR</w:t>
      </w:r>
      <w:proofErr w:type="spellEnd"/>
      <w:r w:rsidR="00FF4295" w:rsidRPr="00264AF8">
        <w:rPr>
          <w:i/>
          <w:iCs/>
        </w:rPr>
        <w:t xml:space="preserve"> as determined by a</w:t>
      </w:r>
      <w:r w:rsidRPr="00264AF8">
        <w:rPr>
          <w:i/>
          <w:iCs/>
        </w:rPr>
        <w:t xml:space="preserve"> </w:t>
      </w:r>
      <w:r w:rsidR="00FF4295" w:rsidRPr="00264AF8">
        <w:rPr>
          <w:i/>
          <w:iCs/>
        </w:rPr>
        <w:t>validated test.</w:t>
      </w:r>
    </w:p>
    <w:p w14:paraId="73E1A34C" w14:textId="77777777" w:rsidR="00FF4295" w:rsidRPr="00264AF8" w:rsidRDefault="00FF4295" w:rsidP="00264AF8">
      <w:pPr>
        <w:ind w:left="720"/>
        <w:rPr>
          <w:i/>
          <w:iCs/>
        </w:rPr>
      </w:pPr>
      <w:r w:rsidRPr="00264AF8">
        <w:rPr>
          <w:i/>
          <w:iCs/>
        </w:rPr>
        <w:t>Colorectal (previously treated)</w:t>
      </w:r>
    </w:p>
    <w:p w14:paraId="1CF17367" w14:textId="695842B6" w:rsidR="00FF4295" w:rsidRPr="00264AF8" w:rsidRDefault="00264AF8" w:rsidP="00264AF8">
      <w:pPr>
        <w:ind w:left="720"/>
        <w:rPr>
          <w:i/>
          <w:iCs/>
        </w:rPr>
      </w:pPr>
      <w:r>
        <w:rPr>
          <w:i/>
          <w:iCs/>
        </w:rPr>
        <w:t>Keytruda</w:t>
      </w:r>
      <w:r w:rsidR="00FF4295" w:rsidRPr="00264AF8">
        <w:rPr>
          <w:i/>
          <w:iCs/>
        </w:rPr>
        <w:t xml:space="preserve"> (pembrolizumab) is indicated in adult and paediatric patients for the treatment of</w:t>
      </w:r>
      <w:r w:rsidRPr="00264AF8">
        <w:rPr>
          <w:i/>
          <w:iCs/>
        </w:rPr>
        <w:t xml:space="preserve"> </w:t>
      </w:r>
      <w:r w:rsidR="00FF4295" w:rsidRPr="00264AF8">
        <w:rPr>
          <w:i/>
          <w:iCs/>
        </w:rPr>
        <w:t xml:space="preserve">unresectable or metastatic CRC that is MSI-H or </w:t>
      </w:r>
      <w:proofErr w:type="spellStart"/>
      <w:r w:rsidR="00FF4295" w:rsidRPr="00264AF8">
        <w:rPr>
          <w:i/>
          <w:iCs/>
        </w:rPr>
        <w:t>dMMR</w:t>
      </w:r>
      <w:proofErr w:type="spellEnd"/>
      <w:r w:rsidR="00FF4295" w:rsidRPr="00264AF8">
        <w:rPr>
          <w:i/>
          <w:iCs/>
        </w:rPr>
        <w:t xml:space="preserve"> as determined by a validated test, and</w:t>
      </w:r>
      <w:r w:rsidRPr="00264AF8">
        <w:rPr>
          <w:i/>
          <w:iCs/>
        </w:rPr>
        <w:t xml:space="preserve"> </w:t>
      </w:r>
      <w:r w:rsidR="00FF4295" w:rsidRPr="00264AF8">
        <w:rPr>
          <w:i/>
          <w:iCs/>
        </w:rPr>
        <w:t>that has progressed following treatment with a fluoropyrimidine, oxaliplatin, and irinotecan.</w:t>
      </w:r>
      <w:r w:rsidRPr="00264AF8">
        <w:rPr>
          <w:i/>
          <w:iCs/>
        </w:rPr>
        <w:t xml:space="preserve"> </w:t>
      </w:r>
      <w:r w:rsidR="00FF4295" w:rsidRPr="00264AF8">
        <w:rPr>
          <w:i/>
          <w:iCs/>
        </w:rPr>
        <w:t xml:space="preserve">This indication was approved via the </w:t>
      </w:r>
      <w:r w:rsidR="00FF4295" w:rsidRPr="00264AF8">
        <w:rPr>
          <w:b/>
          <w:bCs/>
          <w:i/>
          <w:iCs/>
        </w:rPr>
        <w:t>provisional approval</w:t>
      </w:r>
      <w:r w:rsidR="00FF4295" w:rsidRPr="00264AF8">
        <w:rPr>
          <w:i/>
          <w:iCs/>
        </w:rPr>
        <w:t xml:space="preserve"> pathway, based on objective</w:t>
      </w:r>
      <w:r w:rsidRPr="00264AF8">
        <w:rPr>
          <w:i/>
          <w:iCs/>
        </w:rPr>
        <w:t xml:space="preserve"> </w:t>
      </w:r>
      <w:r w:rsidR="00FF4295" w:rsidRPr="00264AF8">
        <w:rPr>
          <w:i/>
          <w:iCs/>
        </w:rPr>
        <w:t>response rate and response duration in a single-arm trial. Continued approval for this indication</w:t>
      </w:r>
      <w:r w:rsidRPr="00264AF8">
        <w:rPr>
          <w:i/>
          <w:iCs/>
        </w:rPr>
        <w:t xml:space="preserve"> </w:t>
      </w:r>
      <w:r w:rsidR="00FF4295" w:rsidRPr="00264AF8">
        <w:rPr>
          <w:i/>
          <w:iCs/>
        </w:rPr>
        <w:t>depends on verification and description of clinical benefit in the confirmatory trials.</w:t>
      </w:r>
    </w:p>
    <w:p w14:paraId="75E4EC37" w14:textId="77777777" w:rsidR="00FF4295" w:rsidRPr="00264AF8" w:rsidRDefault="00FF4295" w:rsidP="00264AF8">
      <w:pPr>
        <w:ind w:left="720"/>
        <w:rPr>
          <w:i/>
          <w:iCs/>
        </w:rPr>
      </w:pPr>
      <w:r w:rsidRPr="00264AF8">
        <w:rPr>
          <w:i/>
          <w:iCs/>
        </w:rPr>
        <w:t>Non-colorectal</w:t>
      </w:r>
    </w:p>
    <w:p w14:paraId="324CA955" w14:textId="10370A96" w:rsidR="00FF4295" w:rsidRPr="00264AF8" w:rsidRDefault="00264AF8" w:rsidP="00264AF8">
      <w:pPr>
        <w:ind w:left="720"/>
        <w:rPr>
          <w:i/>
          <w:iCs/>
        </w:rPr>
      </w:pPr>
      <w:r>
        <w:rPr>
          <w:i/>
          <w:iCs/>
        </w:rPr>
        <w:t>Keytruda</w:t>
      </w:r>
      <w:r w:rsidR="00FF4295" w:rsidRPr="00264AF8">
        <w:rPr>
          <w:i/>
          <w:iCs/>
        </w:rPr>
        <w:t xml:space="preserve"> (pembrolizumab) is indicated in adult and paediatric patients for the treatment of</w:t>
      </w:r>
      <w:r w:rsidRPr="00264AF8">
        <w:rPr>
          <w:i/>
          <w:iCs/>
        </w:rPr>
        <w:t xml:space="preserve"> </w:t>
      </w:r>
      <w:r w:rsidR="00FF4295" w:rsidRPr="00264AF8">
        <w:rPr>
          <w:i/>
          <w:iCs/>
        </w:rPr>
        <w:t xml:space="preserve">unresectable or metastatic solid tumours that are MSI-H or </w:t>
      </w:r>
      <w:proofErr w:type="spellStart"/>
      <w:r w:rsidR="00FF4295" w:rsidRPr="00264AF8">
        <w:rPr>
          <w:i/>
          <w:iCs/>
        </w:rPr>
        <w:t>dMMR</w:t>
      </w:r>
      <w:proofErr w:type="spellEnd"/>
      <w:r w:rsidR="00FF4295" w:rsidRPr="00264AF8">
        <w:rPr>
          <w:i/>
          <w:iCs/>
        </w:rPr>
        <w:t xml:space="preserve"> as determined by a validated</w:t>
      </w:r>
      <w:r w:rsidRPr="00264AF8">
        <w:rPr>
          <w:i/>
          <w:iCs/>
        </w:rPr>
        <w:t xml:space="preserve"> </w:t>
      </w:r>
      <w:r w:rsidR="00FF4295" w:rsidRPr="00264AF8">
        <w:rPr>
          <w:i/>
          <w:iCs/>
        </w:rPr>
        <w:t>test, that have progressed following prior treatment and when there are no satisfactory</w:t>
      </w:r>
      <w:r w:rsidRPr="00264AF8">
        <w:rPr>
          <w:i/>
          <w:iCs/>
        </w:rPr>
        <w:t xml:space="preserve"> </w:t>
      </w:r>
      <w:r w:rsidR="00FF4295" w:rsidRPr="00264AF8">
        <w:rPr>
          <w:i/>
          <w:iCs/>
        </w:rPr>
        <w:t xml:space="preserve">alternative treatment options. This indication was approved via the </w:t>
      </w:r>
      <w:r w:rsidR="00FF4295" w:rsidRPr="00264AF8">
        <w:rPr>
          <w:b/>
          <w:bCs/>
          <w:i/>
          <w:iCs/>
        </w:rPr>
        <w:t>provisional approval</w:t>
      </w:r>
      <w:r w:rsidRPr="00264AF8">
        <w:rPr>
          <w:i/>
          <w:iCs/>
        </w:rPr>
        <w:t xml:space="preserve"> </w:t>
      </w:r>
      <w:r w:rsidR="00FF4295" w:rsidRPr="00264AF8">
        <w:rPr>
          <w:i/>
          <w:iCs/>
        </w:rPr>
        <w:t>pathway, based on the pooling of data on objective response rate and response duration across</w:t>
      </w:r>
      <w:r w:rsidRPr="00264AF8">
        <w:rPr>
          <w:i/>
          <w:iCs/>
        </w:rPr>
        <w:t xml:space="preserve"> </w:t>
      </w:r>
      <w:r w:rsidR="00FF4295" w:rsidRPr="00264AF8">
        <w:rPr>
          <w:i/>
          <w:iCs/>
        </w:rPr>
        <w:t>multiple different tissue types in a single-arm trial. Sample sizes for individual tissue types were</w:t>
      </w:r>
      <w:r w:rsidRPr="00264AF8">
        <w:rPr>
          <w:i/>
          <w:iCs/>
        </w:rPr>
        <w:t xml:space="preserve"> </w:t>
      </w:r>
      <w:r w:rsidR="00FF4295" w:rsidRPr="00264AF8">
        <w:rPr>
          <w:i/>
          <w:iCs/>
        </w:rPr>
        <w:t>too small to provide data on clinical utility of the MSI-H/</w:t>
      </w:r>
      <w:proofErr w:type="spellStart"/>
      <w:r w:rsidR="00FF4295" w:rsidRPr="00264AF8">
        <w:rPr>
          <w:i/>
          <w:iCs/>
        </w:rPr>
        <w:t>dMMR</w:t>
      </w:r>
      <w:proofErr w:type="spellEnd"/>
      <w:r w:rsidR="00FF4295" w:rsidRPr="00264AF8">
        <w:rPr>
          <w:i/>
          <w:iCs/>
        </w:rPr>
        <w:t xml:space="preserve"> tests for each of the tissue types,</w:t>
      </w:r>
      <w:r w:rsidRPr="00264AF8">
        <w:rPr>
          <w:i/>
          <w:iCs/>
        </w:rPr>
        <w:t xml:space="preserve"> </w:t>
      </w:r>
      <w:r w:rsidR="00FF4295" w:rsidRPr="00264AF8">
        <w:rPr>
          <w:i/>
          <w:iCs/>
        </w:rPr>
        <w:t>individually. The assumption that MSI-H/</w:t>
      </w:r>
      <w:proofErr w:type="spellStart"/>
      <w:r w:rsidR="00FF4295" w:rsidRPr="00264AF8">
        <w:rPr>
          <w:i/>
          <w:iCs/>
        </w:rPr>
        <w:t>dMMR</w:t>
      </w:r>
      <w:proofErr w:type="spellEnd"/>
      <w:r w:rsidR="00FF4295" w:rsidRPr="00264AF8">
        <w:rPr>
          <w:i/>
          <w:iCs/>
        </w:rPr>
        <w:t>-status is predictive of the treatment effect of</w:t>
      </w:r>
    </w:p>
    <w:p w14:paraId="6CA1B99A" w14:textId="51DD1912" w:rsidR="00FF4295" w:rsidRPr="00264AF8" w:rsidRDefault="00264AF8" w:rsidP="00264AF8">
      <w:pPr>
        <w:ind w:left="720"/>
        <w:rPr>
          <w:i/>
          <w:iCs/>
        </w:rPr>
      </w:pPr>
      <w:r>
        <w:rPr>
          <w:i/>
          <w:iCs/>
        </w:rPr>
        <w:t>Keytruda</w:t>
      </w:r>
      <w:r w:rsidR="00FF4295" w:rsidRPr="00264AF8">
        <w:rPr>
          <w:i/>
          <w:iCs/>
        </w:rPr>
        <w:t xml:space="preserve"> for every tissue type has not been verified. Continued approval for this indication</w:t>
      </w:r>
      <w:r w:rsidRPr="00264AF8">
        <w:rPr>
          <w:i/>
          <w:iCs/>
        </w:rPr>
        <w:t xml:space="preserve"> </w:t>
      </w:r>
      <w:r w:rsidR="00FF4295" w:rsidRPr="00264AF8">
        <w:rPr>
          <w:i/>
          <w:iCs/>
        </w:rPr>
        <w:t>depends on verification and description of clinical benefit in the confirmatory trials.</w:t>
      </w:r>
      <w:r w:rsidRPr="00264AF8">
        <w:rPr>
          <w:i/>
          <w:iCs/>
        </w:rPr>
        <w:t xml:space="preserve"> </w:t>
      </w:r>
      <w:r w:rsidR="00FF4295" w:rsidRPr="00264AF8">
        <w:rPr>
          <w:i/>
          <w:iCs/>
        </w:rPr>
        <w:t xml:space="preserve">The safety and effectiveness of </w:t>
      </w:r>
      <w:r>
        <w:rPr>
          <w:i/>
          <w:iCs/>
        </w:rPr>
        <w:t>Keytruda</w:t>
      </w:r>
      <w:r w:rsidR="00FF4295" w:rsidRPr="00264AF8">
        <w:rPr>
          <w:i/>
          <w:iCs/>
        </w:rPr>
        <w:t xml:space="preserve"> in paediatric patients with MSI-H/</w:t>
      </w:r>
      <w:proofErr w:type="spellStart"/>
      <w:r w:rsidR="00FF4295" w:rsidRPr="00264AF8">
        <w:rPr>
          <w:i/>
          <w:iCs/>
        </w:rPr>
        <w:t>dMMR</w:t>
      </w:r>
      <w:proofErr w:type="spellEnd"/>
      <w:r w:rsidR="00FF4295" w:rsidRPr="00264AF8">
        <w:rPr>
          <w:i/>
          <w:iCs/>
        </w:rPr>
        <w:t xml:space="preserve"> central</w:t>
      </w:r>
      <w:r w:rsidRPr="00264AF8">
        <w:rPr>
          <w:i/>
          <w:iCs/>
        </w:rPr>
        <w:t xml:space="preserve"> </w:t>
      </w:r>
      <w:r w:rsidR="00FF4295" w:rsidRPr="00264AF8">
        <w:rPr>
          <w:i/>
          <w:iCs/>
        </w:rPr>
        <w:t>nervous system cancers have not been established.</w:t>
      </w:r>
    </w:p>
    <w:p w14:paraId="135A38F7" w14:textId="77777777" w:rsidR="00FF4295" w:rsidRPr="00264AF8" w:rsidRDefault="00FF4295" w:rsidP="00264AF8">
      <w:pPr>
        <w:ind w:left="720"/>
        <w:rPr>
          <w:b/>
          <w:bCs/>
          <w:i/>
          <w:iCs/>
        </w:rPr>
      </w:pPr>
      <w:r w:rsidRPr="00264AF8">
        <w:rPr>
          <w:b/>
          <w:bCs/>
          <w:i/>
          <w:iCs/>
        </w:rPr>
        <w:t>Endometrial carcinoma</w:t>
      </w:r>
    </w:p>
    <w:p w14:paraId="73CEE94B" w14:textId="046B2152" w:rsidR="00FF4295" w:rsidRPr="00264AF8" w:rsidRDefault="00264AF8" w:rsidP="00264AF8">
      <w:pPr>
        <w:ind w:left="720"/>
        <w:rPr>
          <w:i/>
          <w:iCs/>
        </w:rPr>
      </w:pPr>
      <w:r>
        <w:rPr>
          <w:i/>
          <w:iCs/>
        </w:rPr>
        <w:t>Keytruda</w:t>
      </w:r>
      <w:r w:rsidR="00FF4295" w:rsidRPr="00264AF8">
        <w:rPr>
          <w:i/>
          <w:iCs/>
        </w:rPr>
        <w:t xml:space="preserve"> (pembrolizumab), in combination with </w:t>
      </w:r>
      <w:proofErr w:type="spellStart"/>
      <w:r w:rsidR="00FF4295" w:rsidRPr="00264AF8">
        <w:rPr>
          <w:i/>
          <w:iCs/>
        </w:rPr>
        <w:t>lenvatinib</w:t>
      </w:r>
      <w:proofErr w:type="spellEnd"/>
      <w:r w:rsidR="00FF4295" w:rsidRPr="00264AF8">
        <w:rPr>
          <w:i/>
          <w:iCs/>
        </w:rPr>
        <w:t>, is indicated for the treatment</w:t>
      </w:r>
      <w:r w:rsidRPr="00264AF8">
        <w:rPr>
          <w:i/>
          <w:iCs/>
        </w:rPr>
        <w:t xml:space="preserve"> </w:t>
      </w:r>
      <w:r w:rsidR="00FF4295" w:rsidRPr="00264AF8">
        <w:rPr>
          <w:i/>
          <w:iCs/>
        </w:rPr>
        <w:t xml:space="preserve">of patients with advanced endometrial carcinoma that is not MSI-H or </w:t>
      </w:r>
      <w:proofErr w:type="spellStart"/>
      <w:r w:rsidR="00FF4295" w:rsidRPr="00264AF8">
        <w:rPr>
          <w:i/>
          <w:iCs/>
        </w:rPr>
        <w:t>dMMR</w:t>
      </w:r>
      <w:proofErr w:type="spellEnd"/>
      <w:r w:rsidR="00FF4295" w:rsidRPr="00264AF8">
        <w:rPr>
          <w:i/>
          <w:iCs/>
        </w:rPr>
        <w:t>, who have disease</w:t>
      </w:r>
      <w:r w:rsidRPr="00264AF8">
        <w:rPr>
          <w:i/>
          <w:iCs/>
        </w:rPr>
        <w:t xml:space="preserve"> </w:t>
      </w:r>
      <w:r w:rsidR="00FF4295" w:rsidRPr="00264AF8">
        <w:rPr>
          <w:i/>
          <w:iCs/>
        </w:rPr>
        <w:t>progression following prior systemic therapy in any setting and are not candidates for curative</w:t>
      </w:r>
      <w:r w:rsidRPr="00264AF8">
        <w:rPr>
          <w:i/>
          <w:iCs/>
        </w:rPr>
        <w:t xml:space="preserve"> </w:t>
      </w:r>
      <w:r w:rsidR="00FF4295" w:rsidRPr="00264AF8">
        <w:rPr>
          <w:i/>
          <w:iCs/>
        </w:rPr>
        <w:t>surgery or radiation.</w:t>
      </w:r>
    </w:p>
    <w:p w14:paraId="63D8D8B5" w14:textId="3C7FF94F" w:rsidR="00FF4295" w:rsidRPr="00264AF8" w:rsidRDefault="00FF4295" w:rsidP="00264AF8">
      <w:pPr>
        <w:ind w:left="720"/>
        <w:rPr>
          <w:b/>
          <w:bCs/>
          <w:i/>
          <w:iCs/>
        </w:rPr>
      </w:pPr>
      <w:r w:rsidRPr="00264AF8">
        <w:rPr>
          <w:b/>
          <w:bCs/>
          <w:i/>
          <w:iCs/>
        </w:rPr>
        <w:t xml:space="preserve">Cervical </w:t>
      </w:r>
      <w:r w:rsidR="006B26C1">
        <w:rPr>
          <w:b/>
          <w:bCs/>
          <w:i/>
          <w:iCs/>
        </w:rPr>
        <w:t>c</w:t>
      </w:r>
      <w:r w:rsidRPr="00264AF8">
        <w:rPr>
          <w:b/>
          <w:bCs/>
          <w:i/>
          <w:iCs/>
        </w:rPr>
        <w:t>ancer</w:t>
      </w:r>
    </w:p>
    <w:p w14:paraId="5D0065D1" w14:textId="5624A088" w:rsidR="00FF4295" w:rsidRPr="00264AF8" w:rsidRDefault="00264AF8" w:rsidP="00264AF8">
      <w:pPr>
        <w:ind w:left="720"/>
        <w:rPr>
          <w:i/>
          <w:iCs/>
        </w:rPr>
      </w:pPr>
      <w:r>
        <w:rPr>
          <w:i/>
          <w:iCs/>
        </w:rPr>
        <w:t>Keytruda</w:t>
      </w:r>
      <w:r w:rsidR="00FF4295" w:rsidRPr="00264AF8">
        <w:rPr>
          <w:i/>
          <w:iCs/>
        </w:rPr>
        <w:t xml:space="preserve"> (pembrolizumab) in combination with platinum chemotherapy and paclitaxel,</w:t>
      </w:r>
      <w:r w:rsidRPr="00264AF8">
        <w:rPr>
          <w:i/>
          <w:iCs/>
        </w:rPr>
        <w:t xml:space="preserve"> </w:t>
      </w:r>
      <w:r w:rsidR="00FF4295" w:rsidRPr="00264AF8">
        <w:rPr>
          <w:i/>
          <w:iCs/>
        </w:rPr>
        <w:t>with or without bevacizumab, is indicated for the treatment of patients with persistent,</w:t>
      </w:r>
      <w:r w:rsidRPr="00264AF8">
        <w:rPr>
          <w:i/>
          <w:iCs/>
        </w:rPr>
        <w:t xml:space="preserve"> </w:t>
      </w:r>
      <w:r w:rsidR="00FF4295" w:rsidRPr="00264AF8">
        <w:rPr>
          <w:i/>
          <w:iCs/>
        </w:rPr>
        <w:lastRenderedPageBreak/>
        <w:t>recurrent, or metastatic cervical cancer whose tumours express PD-L1 [Combined Positive Score</w:t>
      </w:r>
      <w:r w:rsidRPr="00264AF8">
        <w:rPr>
          <w:i/>
          <w:iCs/>
        </w:rPr>
        <w:t xml:space="preserve"> </w:t>
      </w:r>
      <w:r w:rsidR="00FF4295" w:rsidRPr="00264AF8">
        <w:rPr>
          <w:i/>
          <w:iCs/>
        </w:rPr>
        <w:t>(CPS) ≥1] as determined by a validated test.</w:t>
      </w:r>
    </w:p>
    <w:p w14:paraId="734EEB00" w14:textId="77777777" w:rsidR="00FF4295" w:rsidRPr="00264AF8" w:rsidRDefault="00FF4295" w:rsidP="00264AF8">
      <w:pPr>
        <w:ind w:left="720"/>
        <w:rPr>
          <w:b/>
          <w:bCs/>
          <w:i/>
          <w:iCs/>
        </w:rPr>
      </w:pPr>
      <w:r w:rsidRPr="00264AF8">
        <w:rPr>
          <w:b/>
          <w:bCs/>
          <w:i/>
          <w:iCs/>
        </w:rPr>
        <w:t>Renal Cell Carcinoma (RCC)</w:t>
      </w:r>
    </w:p>
    <w:p w14:paraId="3A0FCD49" w14:textId="724ACBDE" w:rsidR="00264AF8" w:rsidRPr="00264AF8" w:rsidRDefault="00264AF8" w:rsidP="00264AF8">
      <w:pPr>
        <w:ind w:left="720"/>
        <w:rPr>
          <w:i/>
          <w:iCs/>
        </w:rPr>
      </w:pPr>
      <w:r>
        <w:rPr>
          <w:i/>
          <w:iCs/>
        </w:rPr>
        <w:t>Keytruda</w:t>
      </w:r>
      <w:r w:rsidR="00FF4295" w:rsidRPr="00264AF8">
        <w:rPr>
          <w:i/>
          <w:iCs/>
        </w:rPr>
        <w:t xml:space="preserve"> (pembrolizumab), in combination with </w:t>
      </w:r>
      <w:proofErr w:type="spellStart"/>
      <w:r w:rsidR="00FF4295" w:rsidRPr="00264AF8">
        <w:rPr>
          <w:i/>
          <w:iCs/>
        </w:rPr>
        <w:t>axitinib</w:t>
      </w:r>
      <w:proofErr w:type="spellEnd"/>
      <w:r w:rsidR="00FF4295" w:rsidRPr="00264AF8">
        <w:rPr>
          <w:i/>
          <w:iCs/>
        </w:rPr>
        <w:t>, is indicated for the first-line</w:t>
      </w:r>
      <w:r w:rsidRPr="00264AF8">
        <w:rPr>
          <w:i/>
          <w:iCs/>
        </w:rPr>
        <w:t xml:space="preserve"> </w:t>
      </w:r>
      <w:r w:rsidR="00FF4295" w:rsidRPr="00264AF8">
        <w:rPr>
          <w:i/>
          <w:iCs/>
        </w:rPr>
        <w:t>treatment of patients with advanced renal cell carcinoma (RCC).</w:t>
      </w:r>
    </w:p>
    <w:p w14:paraId="44693EF9" w14:textId="3E6E04D4" w:rsidR="00FF4295" w:rsidRPr="00264AF8" w:rsidRDefault="00264AF8" w:rsidP="00264AF8">
      <w:pPr>
        <w:ind w:left="720"/>
        <w:rPr>
          <w:i/>
          <w:iCs/>
        </w:rPr>
      </w:pPr>
      <w:r>
        <w:rPr>
          <w:i/>
          <w:iCs/>
        </w:rPr>
        <w:t>Keytruda</w:t>
      </w:r>
      <w:r w:rsidR="00FF4295" w:rsidRPr="00264AF8">
        <w:rPr>
          <w:i/>
          <w:iCs/>
        </w:rPr>
        <w:t xml:space="preserve"> in combination with LENVIMA® (</w:t>
      </w:r>
      <w:proofErr w:type="spellStart"/>
      <w:r w:rsidR="00FF4295" w:rsidRPr="00264AF8">
        <w:rPr>
          <w:i/>
          <w:iCs/>
        </w:rPr>
        <w:t>lenvatinib</w:t>
      </w:r>
      <w:proofErr w:type="spellEnd"/>
      <w:r w:rsidR="00FF4295" w:rsidRPr="00264AF8">
        <w:rPr>
          <w:i/>
          <w:iCs/>
        </w:rPr>
        <w:t>) is indicated for the first-line</w:t>
      </w:r>
      <w:r w:rsidRPr="00264AF8">
        <w:rPr>
          <w:i/>
          <w:iCs/>
        </w:rPr>
        <w:t xml:space="preserve"> </w:t>
      </w:r>
      <w:r w:rsidR="00FF4295" w:rsidRPr="00264AF8">
        <w:rPr>
          <w:i/>
          <w:iCs/>
        </w:rPr>
        <w:t>treatment of adult patients with advanced renal cell carcinoma (RCC).</w:t>
      </w:r>
    </w:p>
    <w:p w14:paraId="46D31BF0" w14:textId="51E19C1A" w:rsidR="00264AF8" w:rsidRPr="00264AF8" w:rsidRDefault="00264AF8" w:rsidP="00264AF8">
      <w:pPr>
        <w:ind w:left="720"/>
        <w:rPr>
          <w:i/>
          <w:iCs/>
        </w:rPr>
      </w:pPr>
      <w:r>
        <w:rPr>
          <w:i/>
          <w:iCs/>
        </w:rPr>
        <w:t>Keytruda</w:t>
      </w:r>
      <w:r w:rsidR="00FF4295" w:rsidRPr="00264AF8">
        <w:rPr>
          <w:i/>
          <w:iCs/>
        </w:rPr>
        <w:t xml:space="preserve"> (pembrolizumab), as monotherapy, is indicated for the adjuvant treatment of</w:t>
      </w:r>
      <w:r w:rsidRPr="00264AF8">
        <w:rPr>
          <w:i/>
          <w:iCs/>
        </w:rPr>
        <w:t xml:space="preserve"> </w:t>
      </w:r>
      <w:r w:rsidR="00FF4295" w:rsidRPr="00264AF8">
        <w:rPr>
          <w:i/>
          <w:iCs/>
        </w:rPr>
        <w:t>patients with RCC with a clear cell component who are at intermediate-high or high risk of</w:t>
      </w:r>
      <w:r w:rsidRPr="00264AF8">
        <w:rPr>
          <w:i/>
          <w:iCs/>
        </w:rPr>
        <w:t xml:space="preserve"> </w:t>
      </w:r>
      <w:r w:rsidR="00FF4295" w:rsidRPr="00264AF8">
        <w:rPr>
          <w:i/>
          <w:iCs/>
        </w:rPr>
        <w:t xml:space="preserve">recurrence following </w:t>
      </w:r>
      <w:proofErr w:type="gramStart"/>
      <w:r w:rsidR="00FF4295" w:rsidRPr="00264AF8">
        <w:rPr>
          <w:i/>
          <w:iCs/>
        </w:rPr>
        <w:t>nephrectomy, or</w:t>
      </w:r>
      <w:proofErr w:type="gramEnd"/>
      <w:r w:rsidR="00FF4295" w:rsidRPr="00264AF8">
        <w:rPr>
          <w:i/>
          <w:iCs/>
        </w:rPr>
        <w:t xml:space="preserve"> following nephrectomy and resection of metastatic</w:t>
      </w:r>
      <w:r w:rsidRPr="00264AF8">
        <w:rPr>
          <w:i/>
          <w:iCs/>
        </w:rPr>
        <w:t xml:space="preserve"> </w:t>
      </w:r>
      <w:r w:rsidR="00FF4295" w:rsidRPr="00264AF8">
        <w:rPr>
          <w:i/>
          <w:iCs/>
        </w:rPr>
        <w:t>lesions (see section 5.1, Clinical Trials: Renal Cell Carcinoma).</w:t>
      </w:r>
    </w:p>
    <w:p w14:paraId="300EC885" w14:textId="15FDB05E" w:rsidR="00FF4295" w:rsidRPr="00264AF8" w:rsidRDefault="00FF4295" w:rsidP="00264AF8">
      <w:pPr>
        <w:ind w:left="720"/>
        <w:rPr>
          <w:b/>
          <w:bCs/>
          <w:i/>
          <w:iCs/>
        </w:rPr>
      </w:pPr>
      <w:r w:rsidRPr="00264AF8">
        <w:rPr>
          <w:b/>
          <w:bCs/>
          <w:i/>
          <w:iCs/>
        </w:rPr>
        <w:t xml:space="preserve">Cutaneous </w:t>
      </w:r>
      <w:r w:rsidR="006B26C1">
        <w:rPr>
          <w:b/>
          <w:bCs/>
          <w:i/>
          <w:iCs/>
        </w:rPr>
        <w:t>s</w:t>
      </w:r>
      <w:r w:rsidRPr="00264AF8">
        <w:rPr>
          <w:b/>
          <w:bCs/>
          <w:i/>
          <w:iCs/>
        </w:rPr>
        <w:t xml:space="preserve">quamous </w:t>
      </w:r>
      <w:r w:rsidR="006B26C1">
        <w:rPr>
          <w:b/>
          <w:bCs/>
          <w:i/>
          <w:iCs/>
        </w:rPr>
        <w:t>c</w:t>
      </w:r>
      <w:r w:rsidRPr="00264AF8">
        <w:rPr>
          <w:b/>
          <w:bCs/>
          <w:i/>
          <w:iCs/>
        </w:rPr>
        <w:t xml:space="preserve">ell </w:t>
      </w:r>
      <w:r w:rsidR="006B26C1">
        <w:rPr>
          <w:b/>
          <w:bCs/>
          <w:i/>
          <w:iCs/>
        </w:rPr>
        <w:t>c</w:t>
      </w:r>
      <w:r w:rsidRPr="00264AF8">
        <w:rPr>
          <w:b/>
          <w:bCs/>
          <w:i/>
          <w:iCs/>
        </w:rPr>
        <w:t>arcinoma</w:t>
      </w:r>
    </w:p>
    <w:p w14:paraId="07AEB522" w14:textId="2CCDAA90" w:rsidR="00FF4295" w:rsidRPr="00264AF8" w:rsidRDefault="00264AF8" w:rsidP="00264AF8">
      <w:pPr>
        <w:ind w:left="720"/>
        <w:rPr>
          <w:i/>
          <w:iCs/>
        </w:rPr>
      </w:pPr>
      <w:r>
        <w:rPr>
          <w:i/>
          <w:iCs/>
        </w:rPr>
        <w:t>Keytruda</w:t>
      </w:r>
      <w:r w:rsidR="00FF4295" w:rsidRPr="00264AF8">
        <w:rPr>
          <w:i/>
          <w:iCs/>
        </w:rPr>
        <w:t xml:space="preserve"> (pembrolizumab) is indicated as monotherapy for the treatment of adult patients</w:t>
      </w:r>
      <w:r w:rsidRPr="00264AF8">
        <w:rPr>
          <w:i/>
          <w:iCs/>
        </w:rPr>
        <w:t xml:space="preserve"> </w:t>
      </w:r>
      <w:r w:rsidR="00FF4295" w:rsidRPr="00264AF8">
        <w:rPr>
          <w:i/>
          <w:iCs/>
        </w:rPr>
        <w:t>with recurrent or metastatic cutaneous squamous cell carcinoma (</w:t>
      </w:r>
      <w:proofErr w:type="spellStart"/>
      <w:r w:rsidR="00FF4295" w:rsidRPr="00264AF8">
        <w:rPr>
          <w:i/>
          <w:iCs/>
        </w:rPr>
        <w:t>cSCC</w:t>
      </w:r>
      <w:proofErr w:type="spellEnd"/>
      <w:r w:rsidR="00FF4295" w:rsidRPr="00264AF8">
        <w:rPr>
          <w:i/>
          <w:iCs/>
        </w:rPr>
        <w:t>) or locally advanced</w:t>
      </w:r>
      <w:r w:rsidRPr="00264AF8">
        <w:rPr>
          <w:i/>
          <w:iCs/>
        </w:rPr>
        <w:t xml:space="preserve"> </w:t>
      </w:r>
      <w:proofErr w:type="spellStart"/>
      <w:r w:rsidR="00FF4295" w:rsidRPr="00264AF8">
        <w:rPr>
          <w:i/>
          <w:iCs/>
        </w:rPr>
        <w:t>cSCC</w:t>
      </w:r>
      <w:proofErr w:type="spellEnd"/>
      <w:r w:rsidR="00FF4295" w:rsidRPr="00264AF8">
        <w:rPr>
          <w:i/>
          <w:iCs/>
        </w:rPr>
        <w:t xml:space="preserve"> that is not curable by surgery or radiation. This indication was approved via the</w:t>
      </w:r>
      <w:r w:rsidRPr="00264AF8">
        <w:rPr>
          <w:i/>
          <w:iCs/>
        </w:rPr>
        <w:t xml:space="preserve"> </w:t>
      </w:r>
      <w:r w:rsidR="00FF4295" w:rsidRPr="00264AF8">
        <w:rPr>
          <w:b/>
          <w:bCs/>
          <w:i/>
          <w:iCs/>
        </w:rPr>
        <w:t>provisional approval</w:t>
      </w:r>
      <w:r w:rsidR="00FF4295" w:rsidRPr="00264AF8">
        <w:rPr>
          <w:i/>
          <w:iCs/>
        </w:rPr>
        <w:t xml:space="preserve"> pathway based on objective response rate and duration of response from</w:t>
      </w:r>
      <w:r w:rsidRPr="00264AF8">
        <w:rPr>
          <w:i/>
          <w:iCs/>
        </w:rPr>
        <w:t xml:space="preserve"> </w:t>
      </w:r>
      <w:r w:rsidR="00FF4295" w:rsidRPr="00264AF8">
        <w:rPr>
          <w:i/>
          <w:iCs/>
        </w:rPr>
        <w:t>a single-arm study. Improvements in overall survival, progression-free survival, or health</w:t>
      </w:r>
      <w:r w:rsidRPr="00264AF8">
        <w:rPr>
          <w:i/>
          <w:iCs/>
        </w:rPr>
        <w:t xml:space="preserve"> </w:t>
      </w:r>
      <w:r w:rsidR="00FF4295" w:rsidRPr="00264AF8">
        <w:rPr>
          <w:i/>
          <w:iCs/>
        </w:rPr>
        <w:t>related quality of life have not been established. Full registration for this indication depends on</w:t>
      </w:r>
      <w:r w:rsidRPr="00264AF8">
        <w:rPr>
          <w:i/>
          <w:iCs/>
        </w:rPr>
        <w:t xml:space="preserve"> </w:t>
      </w:r>
      <w:r w:rsidR="00FF4295" w:rsidRPr="00264AF8">
        <w:rPr>
          <w:i/>
          <w:iCs/>
        </w:rPr>
        <w:t>submission of further clinical data to confirm the clinical benefit of the medicine.</w:t>
      </w:r>
    </w:p>
    <w:p w14:paraId="54679A50" w14:textId="4F1C868B" w:rsidR="00FF4295" w:rsidRPr="00264AF8" w:rsidRDefault="00FF4295" w:rsidP="00264AF8">
      <w:pPr>
        <w:ind w:left="720"/>
        <w:rPr>
          <w:b/>
          <w:bCs/>
          <w:i/>
          <w:iCs/>
        </w:rPr>
      </w:pPr>
      <w:r w:rsidRPr="00264AF8">
        <w:rPr>
          <w:b/>
          <w:bCs/>
          <w:i/>
          <w:iCs/>
        </w:rPr>
        <w:t xml:space="preserve">Oesophageal </w:t>
      </w:r>
      <w:r w:rsidR="006B26C1">
        <w:rPr>
          <w:b/>
          <w:bCs/>
          <w:i/>
          <w:iCs/>
        </w:rPr>
        <w:t>c</w:t>
      </w:r>
      <w:r w:rsidRPr="00264AF8">
        <w:rPr>
          <w:b/>
          <w:bCs/>
          <w:i/>
          <w:iCs/>
        </w:rPr>
        <w:t>ancer</w:t>
      </w:r>
    </w:p>
    <w:p w14:paraId="00A4106F" w14:textId="683C2F82" w:rsidR="00FF4295" w:rsidRPr="00264AF8" w:rsidRDefault="00264AF8" w:rsidP="00264AF8">
      <w:pPr>
        <w:ind w:left="720"/>
        <w:rPr>
          <w:i/>
          <w:iCs/>
        </w:rPr>
      </w:pPr>
      <w:r>
        <w:rPr>
          <w:i/>
          <w:iCs/>
        </w:rPr>
        <w:t>Keytruda</w:t>
      </w:r>
      <w:r w:rsidR="00FF4295" w:rsidRPr="00264AF8">
        <w:rPr>
          <w:i/>
          <w:iCs/>
        </w:rPr>
        <w:t xml:space="preserve"> (pembrolizumab), in combination with platinum and fluoropyrimidine based</w:t>
      </w:r>
      <w:r w:rsidRPr="00264AF8">
        <w:rPr>
          <w:i/>
          <w:iCs/>
        </w:rPr>
        <w:t xml:space="preserve"> </w:t>
      </w:r>
      <w:r w:rsidR="00FF4295" w:rsidRPr="00264AF8">
        <w:rPr>
          <w:i/>
          <w:iCs/>
        </w:rPr>
        <w:t>chemotherapy, is indicated for the first-line treatment of patients with locally advanced or</w:t>
      </w:r>
      <w:r w:rsidRPr="00264AF8">
        <w:rPr>
          <w:i/>
          <w:iCs/>
        </w:rPr>
        <w:t xml:space="preserve"> </w:t>
      </w:r>
      <w:r w:rsidR="00FF4295" w:rsidRPr="00264AF8">
        <w:rPr>
          <w:i/>
          <w:iCs/>
        </w:rPr>
        <w:t>metastatic carcinoma of the oesophagus or HER2 negative gastroesophageal junction</w:t>
      </w:r>
      <w:r w:rsidRPr="00264AF8">
        <w:rPr>
          <w:i/>
          <w:iCs/>
        </w:rPr>
        <w:t xml:space="preserve"> </w:t>
      </w:r>
      <w:r w:rsidR="00FF4295" w:rsidRPr="00264AF8">
        <w:rPr>
          <w:i/>
          <w:iCs/>
        </w:rPr>
        <w:t>adenocarcinoma (tumour centre 1 to 5 centimetres above the gastroesophageal junction) that</w:t>
      </w:r>
      <w:r w:rsidRPr="00264AF8">
        <w:rPr>
          <w:i/>
          <w:iCs/>
        </w:rPr>
        <w:t xml:space="preserve"> </w:t>
      </w:r>
      <w:r w:rsidR="00FF4295" w:rsidRPr="00264AF8">
        <w:rPr>
          <w:i/>
          <w:iCs/>
        </w:rPr>
        <w:t>is not amenable to surgical resection or definitive chemoradiation.</w:t>
      </w:r>
    </w:p>
    <w:p w14:paraId="311724C1" w14:textId="69D75C23" w:rsidR="00FF4295" w:rsidRPr="00264AF8" w:rsidRDefault="00FF4295" w:rsidP="00264AF8">
      <w:pPr>
        <w:ind w:left="720"/>
        <w:rPr>
          <w:b/>
          <w:bCs/>
          <w:i/>
          <w:iCs/>
        </w:rPr>
      </w:pPr>
      <w:r w:rsidRPr="00264AF8">
        <w:rPr>
          <w:b/>
          <w:bCs/>
          <w:i/>
          <w:iCs/>
        </w:rPr>
        <w:t xml:space="preserve">Tumour </w:t>
      </w:r>
      <w:r w:rsidR="006B26C1" w:rsidRPr="00264AF8">
        <w:rPr>
          <w:b/>
          <w:bCs/>
          <w:i/>
          <w:iCs/>
        </w:rPr>
        <w:t xml:space="preserve">mutational burden-high </w:t>
      </w:r>
      <w:r w:rsidRPr="00264AF8">
        <w:rPr>
          <w:b/>
          <w:bCs/>
          <w:i/>
          <w:iCs/>
        </w:rPr>
        <w:t>(TMB-H) cancer</w:t>
      </w:r>
    </w:p>
    <w:p w14:paraId="1378BA44" w14:textId="6AA4B4BB" w:rsidR="00FF4295" w:rsidRPr="00264AF8" w:rsidRDefault="00264AF8" w:rsidP="00264AF8">
      <w:pPr>
        <w:ind w:left="720"/>
        <w:rPr>
          <w:i/>
          <w:iCs/>
        </w:rPr>
      </w:pPr>
      <w:r>
        <w:rPr>
          <w:i/>
          <w:iCs/>
        </w:rPr>
        <w:t>Keytruda</w:t>
      </w:r>
      <w:r w:rsidR="00FF4295" w:rsidRPr="00264AF8">
        <w:rPr>
          <w:i/>
          <w:iCs/>
        </w:rPr>
        <w:t xml:space="preserve"> (pembrolizumab) is indicated for the treatment of adult and paediatric patients</w:t>
      </w:r>
      <w:r w:rsidRPr="00264AF8">
        <w:rPr>
          <w:i/>
          <w:iCs/>
        </w:rPr>
        <w:t xml:space="preserve"> </w:t>
      </w:r>
      <w:r w:rsidR="00FF4295" w:rsidRPr="00264AF8">
        <w:rPr>
          <w:i/>
          <w:iCs/>
        </w:rPr>
        <w:t>with unresectable or metastatic tumour mutational burden-high (TMB-H) [≥10</w:t>
      </w:r>
      <w:r w:rsidRPr="00264AF8">
        <w:rPr>
          <w:i/>
          <w:iCs/>
        </w:rPr>
        <w:t xml:space="preserve"> </w:t>
      </w:r>
      <w:r w:rsidR="00FF4295" w:rsidRPr="00264AF8">
        <w:rPr>
          <w:i/>
          <w:iCs/>
        </w:rPr>
        <w:t>mutations/</w:t>
      </w:r>
      <w:proofErr w:type="spellStart"/>
      <w:r w:rsidR="00FF4295" w:rsidRPr="00264AF8">
        <w:rPr>
          <w:i/>
          <w:iCs/>
        </w:rPr>
        <w:t>megabase</w:t>
      </w:r>
      <w:proofErr w:type="spellEnd"/>
      <w:r w:rsidR="00FF4295" w:rsidRPr="00264AF8">
        <w:rPr>
          <w:i/>
          <w:iCs/>
        </w:rPr>
        <w:t xml:space="preserve"> (mut/Mb)] solid tumours, as determined by a validated test, that have</w:t>
      </w:r>
      <w:r w:rsidRPr="00264AF8">
        <w:rPr>
          <w:i/>
          <w:iCs/>
        </w:rPr>
        <w:t xml:space="preserve"> </w:t>
      </w:r>
      <w:r w:rsidR="00FF4295" w:rsidRPr="00264AF8">
        <w:rPr>
          <w:i/>
          <w:iCs/>
        </w:rPr>
        <w:t>progressed following prior treatment and who have no satisfactory alternative treatment</w:t>
      </w:r>
      <w:r w:rsidRPr="00264AF8">
        <w:rPr>
          <w:i/>
          <w:iCs/>
        </w:rPr>
        <w:t xml:space="preserve"> </w:t>
      </w:r>
      <w:r w:rsidR="00FF4295" w:rsidRPr="00264AF8">
        <w:rPr>
          <w:i/>
          <w:iCs/>
        </w:rPr>
        <w:t xml:space="preserve">options. This indication was approved via the </w:t>
      </w:r>
      <w:r w:rsidR="00FF4295" w:rsidRPr="00264AF8">
        <w:rPr>
          <w:b/>
          <w:bCs/>
          <w:i/>
          <w:iCs/>
        </w:rPr>
        <w:t>provisional approval</w:t>
      </w:r>
      <w:r w:rsidR="00FF4295" w:rsidRPr="00264AF8">
        <w:rPr>
          <w:i/>
          <w:iCs/>
        </w:rPr>
        <w:t xml:space="preserve"> pathway, based on the</w:t>
      </w:r>
      <w:r w:rsidRPr="00264AF8">
        <w:rPr>
          <w:i/>
          <w:iCs/>
        </w:rPr>
        <w:t xml:space="preserve"> </w:t>
      </w:r>
      <w:r w:rsidR="00FF4295" w:rsidRPr="00264AF8">
        <w:rPr>
          <w:i/>
          <w:iCs/>
        </w:rPr>
        <w:t>pooling of data on objective response rate and response duration across multiple different tissue</w:t>
      </w:r>
      <w:r w:rsidRPr="00264AF8">
        <w:rPr>
          <w:i/>
          <w:iCs/>
        </w:rPr>
        <w:t xml:space="preserve"> </w:t>
      </w:r>
      <w:r w:rsidR="00FF4295" w:rsidRPr="00264AF8">
        <w:rPr>
          <w:i/>
          <w:iCs/>
        </w:rPr>
        <w:t>types in a single-arm trial. The assumption that TMB-H status is predictive of the treatment</w:t>
      </w:r>
      <w:r w:rsidRPr="00264AF8">
        <w:rPr>
          <w:i/>
          <w:iCs/>
        </w:rPr>
        <w:t xml:space="preserve"> </w:t>
      </w:r>
      <w:r w:rsidR="00FF4295" w:rsidRPr="00264AF8">
        <w:rPr>
          <w:i/>
          <w:iCs/>
        </w:rPr>
        <w:t xml:space="preserve">effect of </w:t>
      </w:r>
      <w:r>
        <w:rPr>
          <w:i/>
          <w:iCs/>
        </w:rPr>
        <w:t>Keytruda</w:t>
      </w:r>
      <w:r w:rsidR="00FF4295" w:rsidRPr="00264AF8">
        <w:rPr>
          <w:i/>
          <w:iCs/>
        </w:rPr>
        <w:t xml:space="preserve"> for every tissue type has not been verified. Full registration for this</w:t>
      </w:r>
      <w:r w:rsidRPr="00264AF8">
        <w:rPr>
          <w:i/>
          <w:iCs/>
        </w:rPr>
        <w:t xml:space="preserve"> </w:t>
      </w:r>
      <w:r w:rsidR="00FF4295" w:rsidRPr="00264AF8">
        <w:rPr>
          <w:i/>
          <w:iCs/>
        </w:rPr>
        <w:t>indication depends on verification and description of clinical benefit in confirmatory trials.</w:t>
      </w:r>
    </w:p>
    <w:p w14:paraId="198E73C9" w14:textId="1D8874E4" w:rsidR="00FF4295" w:rsidRPr="00264AF8" w:rsidRDefault="00FF4295" w:rsidP="00264AF8">
      <w:pPr>
        <w:ind w:left="720"/>
        <w:rPr>
          <w:b/>
          <w:bCs/>
          <w:i/>
          <w:iCs/>
        </w:rPr>
      </w:pPr>
      <w:r w:rsidRPr="00264AF8">
        <w:rPr>
          <w:b/>
          <w:bCs/>
          <w:i/>
          <w:iCs/>
        </w:rPr>
        <w:t>Triple-</w:t>
      </w:r>
      <w:r w:rsidR="006B26C1" w:rsidRPr="00264AF8">
        <w:rPr>
          <w:b/>
          <w:bCs/>
          <w:i/>
          <w:iCs/>
        </w:rPr>
        <w:t>negative breast cancer</w:t>
      </w:r>
    </w:p>
    <w:p w14:paraId="27D46072" w14:textId="7911B6EF" w:rsidR="00FF4295" w:rsidRPr="00264AF8" w:rsidRDefault="00264AF8" w:rsidP="00264AF8">
      <w:pPr>
        <w:ind w:left="720"/>
        <w:rPr>
          <w:i/>
          <w:iCs/>
        </w:rPr>
      </w:pPr>
      <w:r>
        <w:rPr>
          <w:i/>
          <w:iCs/>
        </w:rPr>
        <w:t>Keytruda</w:t>
      </w:r>
      <w:r w:rsidR="00FF4295" w:rsidRPr="00264AF8">
        <w:rPr>
          <w:i/>
          <w:iCs/>
        </w:rPr>
        <w:t xml:space="preserve"> (pembrolizumab) is indicated for the treatment of patients with high-risk</w:t>
      </w:r>
      <w:r w:rsidRPr="00264AF8">
        <w:rPr>
          <w:i/>
          <w:iCs/>
        </w:rPr>
        <w:t xml:space="preserve"> </w:t>
      </w:r>
      <w:r w:rsidR="00FF4295" w:rsidRPr="00264AF8">
        <w:rPr>
          <w:i/>
          <w:iCs/>
        </w:rPr>
        <w:t>early-stage triple-negative breast cancer (TNBC) in combination with chemotherapy as</w:t>
      </w:r>
      <w:r w:rsidRPr="00264AF8">
        <w:rPr>
          <w:i/>
          <w:iCs/>
        </w:rPr>
        <w:t xml:space="preserve"> </w:t>
      </w:r>
      <w:r w:rsidR="00FF4295" w:rsidRPr="00264AF8">
        <w:rPr>
          <w:i/>
          <w:iCs/>
        </w:rPr>
        <w:t>neoadjuvant treatment, and then continued as monotherapy as adjuvant treatment after</w:t>
      </w:r>
      <w:r w:rsidRPr="00264AF8">
        <w:rPr>
          <w:i/>
          <w:iCs/>
        </w:rPr>
        <w:t xml:space="preserve"> </w:t>
      </w:r>
      <w:r w:rsidR="00FF4295" w:rsidRPr="00264AF8">
        <w:rPr>
          <w:i/>
          <w:iCs/>
        </w:rPr>
        <w:t>surgery.</w:t>
      </w:r>
    </w:p>
    <w:p w14:paraId="29280E3C" w14:textId="26A2B677" w:rsidR="00FF4295" w:rsidRPr="00264AF8" w:rsidRDefault="00264AF8" w:rsidP="00264AF8">
      <w:pPr>
        <w:ind w:left="720"/>
        <w:rPr>
          <w:i/>
          <w:iCs/>
        </w:rPr>
      </w:pPr>
      <w:r>
        <w:rPr>
          <w:i/>
          <w:iCs/>
        </w:rPr>
        <w:t>Keytruda</w:t>
      </w:r>
      <w:r w:rsidR="00FF4295" w:rsidRPr="00264AF8">
        <w:rPr>
          <w:i/>
          <w:iCs/>
        </w:rPr>
        <w:t xml:space="preserve"> (pembrolizumab), in combination with chemotherapy, is indicated for the</w:t>
      </w:r>
      <w:r w:rsidRPr="00264AF8">
        <w:rPr>
          <w:i/>
          <w:iCs/>
        </w:rPr>
        <w:t xml:space="preserve"> </w:t>
      </w:r>
      <w:r w:rsidR="00FF4295" w:rsidRPr="00264AF8">
        <w:rPr>
          <w:i/>
          <w:iCs/>
        </w:rPr>
        <w:t xml:space="preserve">treatment of patients with locally recurrent unresectable or metastatic TNBC whose </w:t>
      </w:r>
      <w:r w:rsidR="00FF4295" w:rsidRPr="00264AF8">
        <w:rPr>
          <w:i/>
          <w:iCs/>
        </w:rPr>
        <w:lastRenderedPageBreak/>
        <w:t>tumours</w:t>
      </w:r>
      <w:r w:rsidRPr="00264AF8">
        <w:rPr>
          <w:i/>
          <w:iCs/>
        </w:rPr>
        <w:t xml:space="preserve"> </w:t>
      </w:r>
      <w:r w:rsidR="00FF4295" w:rsidRPr="00264AF8">
        <w:rPr>
          <w:i/>
          <w:iCs/>
        </w:rPr>
        <w:t>express PD-L1 (CPS ≥10) as determined by a validated test and who have not received prior</w:t>
      </w:r>
      <w:r w:rsidRPr="00264AF8">
        <w:rPr>
          <w:i/>
          <w:iCs/>
        </w:rPr>
        <w:t xml:space="preserve"> </w:t>
      </w:r>
      <w:r w:rsidR="00FF4295" w:rsidRPr="00264AF8">
        <w:rPr>
          <w:i/>
          <w:iCs/>
        </w:rPr>
        <w:t>chemotherapy for metastatic disease.</w:t>
      </w:r>
    </w:p>
    <w:p w14:paraId="6524E925" w14:textId="77777777" w:rsidR="00C012C0" w:rsidRDefault="00C22214" w:rsidP="00264AF8">
      <w:pPr>
        <w:rPr>
          <w:szCs w:val="22"/>
        </w:rPr>
      </w:pPr>
      <w:r w:rsidRPr="00264AF8">
        <w:rPr>
          <w:szCs w:val="22"/>
        </w:rPr>
        <w:t xml:space="preserve">The above extension of indications </w:t>
      </w:r>
      <w:proofErr w:type="gramStart"/>
      <w:r w:rsidRPr="00264AF8">
        <w:rPr>
          <w:szCs w:val="22"/>
        </w:rPr>
        <w:t>are</w:t>
      </w:r>
      <w:proofErr w:type="gramEnd"/>
      <w:r w:rsidRPr="00264AF8">
        <w:rPr>
          <w:szCs w:val="22"/>
        </w:rPr>
        <w:t xml:space="preserve"> inclusive of the previous approved indications.</w:t>
      </w:r>
    </w:p>
    <w:p w14:paraId="6D25891E" w14:textId="562F06CE" w:rsidR="00C22214" w:rsidRPr="00D23139" w:rsidRDefault="00C22214" w:rsidP="00C22214">
      <w:pPr>
        <w:pStyle w:val="Heading3"/>
      </w:pPr>
      <w:bookmarkStart w:id="94" w:name="_Toc103679301"/>
      <w:bookmarkStart w:id="95" w:name="_Toc144287155"/>
      <w:r w:rsidRPr="00D23139">
        <w:t>Specific conditions of registration applying to these goods</w:t>
      </w:r>
      <w:bookmarkEnd w:id="94"/>
      <w:bookmarkEnd w:id="95"/>
    </w:p>
    <w:p w14:paraId="7C977131" w14:textId="398028A8" w:rsidR="00C22214" w:rsidRDefault="00FF4295" w:rsidP="00EE5F8D">
      <w:pPr>
        <w:pStyle w:val="ListBullet"/>
      </w:pPr>
      <w:r>
        <w:t xml:space="preserve">The </w:t>
      </w:r>
      <w:r w:rsidR="005941BE">
        <w:t>sponsor</w:t>
      </w:r>
      <w:r>
        <w:t xml:space="preserve"> is requested to submit the additional pre-specified analyses for KEYNOTE- 564</w:t>
      </w:r>
      <w:r w:rsidR="004C16C7">
        <w:t xml:space="preserve"> [trial]</w:t>
      </w:r>
      <w:r>
        <w:t xml:space="preserve"> when these become available, including updated analyses of overall survival.</w:t>
      </w:r>
    </w:p>
    <w:p w14:paraId="486625D3" w14:textId="57C9DFBA" w:rsidR="00FF4295" w:rsidRPr="00FF4295" w:rsidRDefault="00FF4295" w:rsidP="00EE5F8D">
      <w:pPr>
        <w:pStyle w:val="ListBullet"/>
      </w:pPr>
      <w:r w:rsidRPr="00FF4295">
        <w:t xml:space="preserve">The Product Information applying to these therapeutic goods must </w:t>
      </w:r>
      <w:proofErr w:type="gramStart"/>
      <w:r w:rsidRPr="00FF4295">
        <w:t>meet the TGA’s</w:t>
      </w:r>
      <w:r>
        <w:t xml:space="preserve"> </w:t>
      </w:r>
      <w:r w:rsidRPr="00FF4295">
        <w:t>approval at all times</w:t>
      </w:r>
      <w:proofErr w:type="gramEnd"/>
      <w:r w:rsidRPr="00FF4295">
        <w:t>. Any proposed changes to the approved text of the PI, including</w:t>
      </w:r>
      <w:r>
        <w:t xml:space="preserve"> </w:t>
      </w:r>
      <w:r w:rsidRPr="00FF4295">
        <w:t>safety related changes, must be submitted to, and be approved by, the TGA prior to</w:t>
      </w:r>
      <w:r>
        <w:t xml:space="preserve"> </w:t>
      </w:r>
      <w:r w:rsidRPr="00FF4295">
        <w:t>distribution.</w:t>
      </w:r>
    </w:p>
    <w:p w14:paraId="11C5E8D2" w14:textId="2EBF61A6" w:rsidR="00FF4295" w:rsidRPr="00FF4295" w:rsidRDefault="00FF4295" w:rsidP="00FF4295">
      <w:pPr>
        <w:pStyle w:val="ListBullet"/>
        <w:numPr>
          <w:ilvl w:val="0"/>
          <w:numId w:val="0"/>
        </w:numPr>
        <w:ind w:left="360"/>
      </w:pPr>
      <w:r w:rsidRPr="00FF4295">
        <w:t xml:space="preserve">For all </w:t>
      </w:r>
      <w:r w:rsidR="00264AF8">
        <w:t>Keytruda</w:t>
      </w:r>
      <w:r w:rsidRPr="00FF4295">
        <w:t xml:space="preserve"> products, either:</w:t>
      </w:r>
    </w:p>
    <w:p w14:paraId="32232DCA" w14:textId="6D54AE5B" w:rsidR="00FF4295" w:rsidRPr="00FF4295" w:rsidRDefault="00FF4295" w:rsidP="00FF4295">
      <w:pPr>
        <w:pStyle w:val="Numberbullet2"/>
      </w:pPr>
      <w:r w:rsidRPr="00FF4295">
        <w:t xml:space="preserve">A “Pack Insert” (being an abbreviated version of the TGA-approved </w:t>
      </w:r>
      <w:r w:rsidR="00264AF8">
        <w:t>Keytruda</w:t>
      </w:r>
      <w:r>
        <w:t xml:space="preserve"> </w:t>
      </w:r>
      <w:r w:rsidRPr="00FF4295">
        <w:t>Product Information) in a format acceptable to the TGA, or</w:t>
      </w:r>
    </w:p>
    <w:p w14:paraId="46F20E3E" w14:textId="5927061E" w:rsidR="00FF4295" w:rsidRPr="00FF4295" w:rsidRDefault="00FF4295" w:rsidP="00FF4295">
      <w:pPr>
        <w:pStyle w:val="Numberbullet2"/>
      </w:pPr>
      <w:proofErr w:type="gramStart"/>
      <w:r w:rsidRPr="00FF4295">
        <w:t>The approved Product Information,</w:t>
      </w:r>
      <w:proofErr w:type="gramEnd"/>
      <w:r>
        <w:t xml:space="preserve"> </w:t>
      </w:r>
      <w:r w:rsidRPr="00FF4295">
        <w:t>must be included with the products as a package insert.</w:t>
      </w:r>
    </w:p>
    <w:p w14:paraId="22A7ED9C" w14:textId="59560DDF" w:rsidR="00FF4295" w:rsidRPr="00FF4295" w:rsidRDefault="00FF4295" w:rsidP="00FF4295">
      <w:pPr>
        <w:pStyle w:val="Numberbullet2"/>
        <w:numPr>
          <w:ilvl w:val="0"/>
          <w:numId w:val="0"/>
        </w:numPr>
        <w:ind w:left="425"/>
      </w:pPr>
      <w:r w:rsidRPr="00FF4295">
        <w:t>Where a “Pack Insert” is provided as a package insert, there is a continuing obligation</w:t>
      </w:r>
      <w:r>
        <w:t xml:space="preserve"> </w:t>
      </w:r>
      <w:r w:rsidRPr="00FF4295">
        <w:t>on the sponsor to ensure that the content is consistent with the PI.</w:t>
      </w:r>
    </w:p>
    <w:p w14:paraId="451DC3FC" w14:textId="77777777" w:rsidR="00C22214" w:rsidRDefault="00C22214" w:rsidP="00C22214">
      <w:pPr>
        <w:pStyle w:val="Heading2"/>
      </w:pPr>
      <w:bookmarkStart w:id="96" w:name="_Toc103679303"/>
      <w:bookmarkStart w:id="97" w:name="_Toc144287156"/>
      <w:r>
        <w:t>Attachment 1. Product Information</w:t>
      </w:r>
      <w:bookmarkEnd w:id="96"/>
      <w:bookmarkEnd w:id="97"/>
    </w:p>
    <w:p w14:paraId="308F3DBC" w14:textId="610BF3C9" w:rsidR="00C012C0" w:rsidRDefault="00C22214" w:rsidP="00C22214">
      <w:pPr>
        <w:rPr>
          <w:szCs w:val="22"/>
        </w:rPr>
      </w:pPr>
      <w:r w:rsidRPr="00BD5DBD">
        <w:rPr>
          <w:szCs w:val="22"/>
        </w:rPr>
        <w:t xml:space="preserve">The PI for </w:t>
      </w:r>
      <w:r w:rsidR="00334B3E">
        <w:rPr>
          <w:szCs w:val="22"/>
        </w:rPr>
        <w:t>Keytruda</w:t>
      </w:r>
      <w:r w:rsidRPr="00BD5DBD">
        <w:rPr>
          <w:szCs w:val="22"/>
        </w:rPr>
        <w:t xml:space="preserve"> approved with the submission which is described in this AusPAR is at Attachment 1. For the most recent PI, please refer to the TGA </w:t>
      </w:r>
      <w:hyperlink r:id="rId59" w:history="1">
        <w:r w:rsidRPr="00BD5DBD">
          <w:rPr>
            <w:rStyle w:val="Hyperlink"/>
            <w:szCs w:val="22"/>
          </w:rPr>
          <w:t>PI/CMI search facility.</w:t>
        </w:r>
      </w:hyperlink>
    </w:p>
    <w:p w14:paraId="53357BF3" w14:textId="36CEA4A6" w:rsidR="00C22214" w:rsidRDefault="00C22214" w:rsidP="00C22214">
      <w:pPr>
        <w:rPr>
          <w:lang w:eastAsia="ja-JP"/>
        </w:rPr>
        <w:sectPr w:rsidR="00C22214" w:rsidSect="007452E8">
          <w:headerReference w:type="default" r:id="rId60"/>
          <w:footerReference w:type="default" r:id="rId61"/>
          <w:pgSz w:w="11906" w:h="16838" w:code="9"/>
          <w:pgMar w:top="1134" w:right="1418" w:bottom="1361" w:left="1418" w:header="573" w:footer="567" w:gutter="0"/>
          <w:cols w:space="708"/>
          <w:docGrid w:linePitch="360"/>
        </w:sectPr>
      </w:pPr>
    </w:p>
    <w:tbl>
      <w:tblPr>
        <w:tblpPr w:leftFromText="180" w:rightFromText="180" w:tblpY="-480"/>
        <w:tblW w:w="9145" w:type="dxa"/>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334B3E">
        <w:trPr>
          <w:trHeight w:hRule="exact" w:val="565"/>
        </w:trPr>
        <w:tc>
          <w:tcPr>
            <w:tcW w:w="9145" w:type="dxa"/>
          </w:tcPr>
          <w:bookmarkEnd w:id="3"/>
          <w:bookmarkEnd w:id="4"/>
          <w:p w14:paraId="7E090B86" w14:textId="77777777" w:rsidR="00F02AEC" w:rsidRPr="00215D48" w:rsidRDefault="00F02AEC" w:rsidP="00334B3E">
            <w:pPr>
              <w:pStyle w:val="TGASignoff"/>
            </w:pPr>
            <w:r w:rsidRPr="00215D48">
              <w:lastRenderedPageBreak/>
              <w:t>Therapeutic Goods Administration</w:t>
            </w:r>
          </w:p>
        </w:tc>
      </w:tr>
      <w:tr w:rsidR="00F02AEC" w:rsidRPr="00215D48" w14:paraId="70F47EA1" w14:textId="77777777" w:rsidTr="00334B3E">
        <w:trPr>
          <w:trHeight w:val="963"/>
        </w:trPr>
        <w:tc>
          <w:tcPr>
            <w:tcW w:w="9145" w:type="dxa"/>
            <w:tcMar>
              <w:top w:w="28" w:type="dxa"/>
            </w:tcMar>
          </w:tcPr>
          <w:p w14:paraId="3491EBCD" w14:textId="77777777" w:rsidR="00F02AEC" w:rsidRPr="00215D48" w:rsidRDefault="00F02AEC" w:rsidP="00334B3E">
            <w:pPr>
              <w:pStyle w:val="Address"/>
              <w:jc w:val="center"/>
            </w:pPr>
            <w:r w:rsidRPr="00215D48">
              <w:t>PO Box 100 Woden ACT 2606 Australia</w:t>
            </w:r>
          </w:p>
          <w:p w14:paraId="5D0FE0E7" w14:textId="03DFAB67" w:rsidR="00F02AEC" w:rsidRDefault="00F02AEC" w:rsidP="00334B3E">
            <w:pPr>
              <w:pStyle w:val="Address"/>
              <w:jc w:val="center"/>
              <w:rPr>
                <w:sz w:val="22"/>
                <w:szCs w:val="22"/>
              </w:rPr>
            </w:pPr>
            <w:r w:rsidRPr="00215D48">
              <w:t xml:space="preserve">Email: </w:t>
            </w:r>
            <w:hyperlink r:id="rId62" w:history="1">
              <w:r w:rsidRPr="00215D48">
                <w:rPr>
                  <w:rStyle w:val="Hyperlink"/>
                </w:rPr>
                <w:t>info@tga.gov.au</w:t>
              </w:r>
            </w:hyperlink>
            <w:r w:rsidR="00C012C0">
              <w:t xml:space="preserve"> </w:t>
            </w:r>
            <w:r w:rsidRPr="00215D48">
              <w:t xml:space="preserve">Phone: 1800 020 653 Fax: </w:t>
            </w:r>
            <w:r w:rsidRPr="00BA0DFC">
              <w:t>02 6203 1605</w:t>
            </w:r>
          </w:p>
          <w:p w14:paraId="4533D80F" w14:textId="61332CAA" w:rsidR="00F02AEC" w:rsidRPr="00215D48" w:rsidRDefault="006B26C1" w:rsidP="00334B3E">
            <w:pPr>
              <w:pStyle w:val="Address"/>
              <w:jc w:val="center"/>
              <w:rPr>
                <w:rStyle w:val="Hyperlink"/>
                <w:b/>
                <w:color w:val="auto"/>
                <w:sz w:val="22"/>
              </w:rPr>
            </w:pPr>
            <w:hyperlink r:id="rId63" w:history="1">
              <w:r w:rsidR="00F02AEC" w:rsidRPr="00C4721A">
                <w:rPr>
                  <w:rStyle w:val="Hyperlink"/>
                  <w:b/>
                </w:rPr>
                <w:t>https://www.tga.gov.au</w:t>
              </w:r>
            </w:hyperlink>
          </w:p>
        </w:tc>
      </w:tr>
      <w:tr w:rsidR="00F02AEC" w:rsidRPr="00215D48" w14:paraId="2AD74347" w14:textId="77777777" w:rsidTr="00334B3E">
        <w:trPr>
          <w:trHeight w:val="251"/>
        </w:trPr>
        <w:tc>
          <w:tcPr>
            <w:tcW w:w="9145" w:type="dxa"/>
            <w:tcMar>
              <w:top w:w="28" w:type="dxa"/>
            </w:tcMar>
          </w:tcPr>
          <w:p w14:paraId="6EAAD5C1" w14:textId="77777777" w:rsidR="00F02AEC" w:rsidRPr="00215D48" w:rsidRDefault="00F02AEC" w:rsidP="00334B3E">
            <w:pPr>
              <w:pStyle w:val="Address"/>
              <w:jc w:val="center"/>
            </w:pPr>
            <w:r w:rsidRPr="00215D48">
              <w:t>Reference/Publication #</w:t>
            </w:r>
          </w:p>
        </w:tc>
      </w:tr>
    </w:tbl>
    <w:p w14:paraId="788B80FD" w14:textId="77777777" w:rsidR="007452E8" w:rsidRDefault="007452E8"/>
    <w:sectPr w:rsidR="007452E8" w:rsidSect="007452E8">
      <w:headerReference w:type="first" r:id="rId64"/>
      <w:footerReference w:type="first" r:id="rId6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5ADEC" w14:textId="77777777" w:rsidR="00B7632E" w:rsidRDefault="00B7632E" w:rsidP="00F02AEC">
      <w:pPr>
        <w:spacing w:after="0" w:line="240" w:lineRule="auto"/>
      </w:pPr>
      <w:r>
        <w:separator/>
      </w:r>
    </w:p>
  </w:endnote>
  <w:endnote w:type="continuationSeparator" w:id="0">
    <w:p w14:paraId="18C5D9B4" w14:textId="77777777" w:rsidR="00B7632E" w:rsidRDefault="00B7632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hnschrift Ligh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275D" w14:textId="77777777" w:rsidR="00C012C0" w:rsidRDefault="00C012C0" w:rsidP="007452E8">
    <w:pPr>
      <w:pStyle w:val="Footer"/>
      <w:ind w:left="-1701"/>
    </w:pPr>
  </w:p>
  <w:p w14:paraId="09DAA29C" w14:textId="2F5D66B5" w:rsidR="007452E8" w:rsidRDefault="007452E8" w:rsidP="007452E8">
    <w:pPr>
      <w:pStyle w:val="Footer"/>
      <w:ind w:left="-170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797"/>
      <w:gridCol w:w="1275"/>
    </w:tblGrid>
    <w:tr w:rsidR="007452E8" w:rsidRPr="004A3084" w14:paraId="6266BC33" w14:textId="77777777" w:rsidTr="00E63736">
      <w:trPr>
        <w:trHeight w:val="423"/>
      </w:trPr>
      <w:tc>
        <w:tcPr>
          <w:tcW w:w="7797" w:type="dxa"/>
          <w:tcBorders>
            <w:top w:val="single" w:sz="4" w:space="0" w:color="auto"/>
          </w:tcBorders>
        </w:tcPr>
        <w:p w14:paraId="3C421323" w14:textId="1B33344B" w:rsidR="007452E8" w:rsidRPr="004A3084" w:rsidRDefault="007B43AB" w:rsidP="007452E8">
          <w:pPr>
            <w:pStyle w:val="Footer"/>
          </w:pPr>
          <w:r w:rsidRPr="007B43AB">
            <w:t>AusPAR - K</w:t>
          </w:r>
          <w:r>
            <w:t>eytruda</w:t>
          </w:r>
          <w:r w:rsidRPr="007B43AB">
            <w:t xml:space="preserve"> - </w:t>
          </w:r>
          <w:r w:rsidR="008A1DBD">
            <w:t>p</w:t>
          </w:r>
          <w:r w:rsidRPr="007B43AB">
            <w:t>embrolizumab - Merck Sharp &amp; Dohme (Australia) Pty L</w:t>
          </w:r>
          <w:r>
            <w:t>td -</w:t>
          </w:r>
          <w:r w:rsidR="0023634A">
            <w:t xml:space="preserve"> </w:t>
          </w:r>
          <w:r w:rsidRPr="007B43AB">
            <w:t>PM-2021-04316-1-4</w:t>
          </w:r>
          <w:r w:rsidR="007452E8">
            <w:br/>
          </w:r>
          <w:r w:rsidR="004E7B11">
            <w:t>FINAL 30</w:t>
          </w:r>
          <w:r w:rsidR="00F66C43">
            <w:t xml:space="preserve"> August</w:t>
          </w:r>
          <w:r w:rsidR="006C0C10">
            <w:t xml:space="preserve"> 2023</w:t>
          </w:r>
        </w:p>
      </w:tc>
      <w:tc>
        <w:tcPr>
          <w:tcW w:w="1275"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E861F" w14:textId="77777777" w:rsidR="00B7632E" w:rsidRDefault="00B7632E" w:rsidP="00F02AEC">
      <w:pPr>
        <w:spacing w:after="0" w:line="240" w:lineRule="auto"/>
      </w:pPr>
      <w:r>
        <w:separator/>
      </w:r>
    </w:p>
  </w:footnote>
  <w:footnote w:type="continuationSeparator" w:id="0">
    <w:p w14:paraId="3DF68F9A" w14:textId="77777777" w:rsidR="00B7632E" w:rsidRDefault="00B7632E"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5628771F" w14:textId="77777777" w:rsidR="008A1DBD" w:rsidRDefault="008A1DBD" w:rsidP="008A1DBD">
      <w:pPr>
        <w:pStyle w:val="FootnoteText"/>
      </w:pPr>
      <w:r>
        <w:rPr>
          <w:rStyle w:val="FootnoteReference"/>
        </w:rPr>
        <w:footnoteRef/>
      </w:r>
      <w:r>
        <w:t xml:space="preserve"> </w:t>
      </w:r>
      <w:hyperlink r:id="rId1" w:history="1">
        <w:r w:rsidRPr="00A15961">
          <w:rPr>
            <w:rStyle w:val="Hyperlink"/>
          </w:rPr>
          <w:t>Australian Institute of Health and Welfare 2019</w:t>
        </w:r>
      </w:hyperlink>
      <w:r>
        <w:t>. Cancer in Australia 2019. Cancer series no.119. Cat. no. CAN 123. Canberra: AIHW.</w:t>
      </w:r>
    </w:p>
  </w:footnote>
  <w:footnote w:id="3">
    <w:p w14:paraId="696EB24E" w14:textId="77777777" w:rsidR="008A1DBD" w:rsidRDefault="008A1DBD" w:rsidP="008A1DBD">
      <w:pPr>
        <w:pStyle w:val="FootnoteText"/>
      </w:pPr>
      <w:r>
        <w:rPr>
          <w:rStyle w:val="FootnoteReference"/>
        </w:rPr>
        <w:footnoteRef/>
      </w:r>
      <w:r>
        <w:t xml:space="preserve"> </w:t>
      </w:r>
      <w:r w:rsidRPr="00E90866">
        <w:rPr>
          <w:rFonts w:cs="Segoe UI"/>
          <w:color w:val="212121"/>
          <w:shd w:val="clear" w:color="auto" w:fill="FFFFFF"/>
        </w:rPr>
        <w:t xml:space="preserve">Gray RE, Harris GT. Renal Cell Carcinoma: Diagnosis and Management. </w:t>
      </w:r>
      <w:r w:rsidRPr="00E90866">
        <w:rPr>
          <w:rFonts w:cs="Segoe UI"/>
          <w:i/>
          <w:iCs/>
          <w:color w:val="212121"/>
          <w:shd w:val="clear" w:color="auto" w:fill="FFFFFF"/>
        </w:rPr>
        <w:t>Am Fam Physician</w:t>
      </w:r>
      <w:r w:rsidRPr="00E90866">
        <w:rPr>
          <w:rFonts w:cs="Segoe UI"/>
          <w:color w:val="212121"/>
          <w:shd w:val="clear" w:color="auto" w:fill="FFFFFF"/>
        </w:rPr>
        <w:t>. 2019 Feb 1;99(3):179-184.</w:t>
      </w:r>
    </w:p>
  </w:footnote>
  <w:footnote w:id="4">
    <w:p w14:paraId="5C0EB14B" w14:textId="77777777" w:rsidR="008A1DBD" w:rsidRDefault="008A1DBD" w:rsidP="008A1DBD">
      <w:pPr>
        <w:pStyle w:val="FootnoteText"/>
      </w:pPr>
      <w:r>
        <w:rPr>
          <w:rStyle w:val="FootnoteReference"/>
        </w:rPr>
        <w:footnoteRef/>
      </w:r>
      <w:r>
        <w:t xml:space="preserve"> </w:t>
      </w:r>
      <w:proofErr w:type="spellStart"/>
      <w:r w:rsidRPr="00855F26">
        <w:t>Howlader</w:t>
      </w:r>
      <w:proofErr w:type="spellEnd"/>
      <w:r w:rsidRPr="00855F26">
        <w:t xml:space="preserve"> N, </w:t>
      </w:r>
      <w:proofErr w:type="spellStart"/>
      <w:r w:rsidRPr="00855F26">
        <w:t>Noone</w:t>
      </w:r>
      <w:proofErr w:type="spellEnd"/>
      <w:r w:rsidRPr="00855F26">
        <w:t xml:space="preserve"> AM, </w:t>
      </w:r>
      <w:proofErr w:type="spellStart"/>
      <w:r w:rsidRPr="00855F26">
        <w:t>Krapcho</w:t>
      </w:r>
      <w:proofErr w:type="spellEnd"/>
      <w:r w:rsidRPr="00855F26">
        <w:t xml:space="preserve"> M, </w:t>
      </w:r>
      <w:r>
        <w:rPr>
          <w:i/>
          <w:iCs/>
        </w:rPr>
        <w:t>et al</w:t>
      </w:r>
      <w:r w:rsidRPr="00855F26">
        <w:t xml:space="preserve"> (eds). SEER Cancer Statistics Review, 1975-2016, National Cancer Institute. Bethesda, MD, </w:t>
      </w:r>
      <w:hyperlink r:id="rId2" w:history="1">
        <w:r w:rsidRPr="002C6A5A">
          <w:rPr>
            <w:rStyle w:val="Hyperlink"/>
          </w:rPr>
          <w:t>https://seer.cancer.gov/csr/1975_2016/</w:t>
        </w:r>
      </w:hyperlink>
      <w:r w:rsidRPr="00855F26">
        <w:t>, based on November 2018 SEER data submission, posted to the SEER web site, April 2019.</w:t>
      </w:r>
      <w:r>
        <w:t xml:space="preserve"> (</w:t>
      </w:r>
      <w:proofErr w:type="gramStart"/>
      <w:r>
        <w:t>last</w:t>
      </w:r>
      <w:proofErr w:type="gramEnd"/>
      <w:r>
        <w:t xml:space="preserve"> viewed 15/2/22)</w:t>
      </w:r>
    </w:p>
  </w:footnote>
  <w:footnote w:id="5">
    <w:p w14:paraId="79B96809" w14:textId="03C61A24" w:rsidR="008A1DBD" w:rsidRDefault="008A1DBD" w:rsidP="008A1DBD">
      <w:pPr>
        <w:pStyle w:val="FootnoteText"/>
      </w:pPr>
      <w:r>
        <w:rPr>
          <w:rStyle w:val="FootnoteReference"/>
        </w:rPr>
        <w:footnoteRef/>
      </w:r>
      <w:r>
        <w:t xml:space="preserve"> </w:t>
      </w:r>
      <w:r w:rsidR="00DA290C" w:rsidRPr="00DA290C">
        <w:t>National Comprehensive Cancer Network</w:t>
      </w:r>
      <w:r>
        <w:t xml:space="preserve"> Kidney Cancer Guidelines Version 4.2022.</w:t>
      </w:r>
    </w:p>
  </w:footnote>
  <w:footnote w:id="6">
    <w:p w14:paraId="58D91C60" w14:textId="4430B9F0" w:rsidR="008A1DBD" w:rsidRDefault="008A1DBD" w:rsidP="008A1DBD">
      <w:pPr>
        <w:pStyle w:val="FootnoteText"/>
      </w:pPr>
      <w:r>
        <w:rPr>
          <w:rStyle w:val="FootnoteReference"/>
        </w:rPr>
        <w:footnoteRef/>
      </w:r>
      <w:r>
        <w:t xml:space="preserve"> </w:t>
      </w:r>
      <w:r w:rsidRPr="00E62CBC">
        <w:t xml:space="preserve">Marconi L, Sun M, </w:t>
      </w:r>
      <w:proofErr w:type="spellStart"/>
      <w:r w:rsidRPr="00E62CBC">
        <w:t>Beisland</w:t>
      </w:r>
      <w:proofErr w:type="spellEnd"/>
      <w:r w:rsidRPr="00E62CBC">
        <w:t xml:space="preserve"> C,</w:t>
      </w:r>
      <w:r>
        <w:t xml:space="preserve"> </w:t>
      </w:r>
      <w:r>
        <w:rPr>
          <w:i/>
          <w:iCs/>
        </w:rPr>
        <w:t>et al.</w:t>
      </w:r>
      <w:r w:rsidR="00C012C0">
        <w:rPr>
          <w:i/>
          <w:iCs/>
        </w:rPr>
        <w:t xml:space="preserve"> </w:t>
      </w:r>
      <w:r w:rsidRPr="00E62CBC">
        <w:t xml:space="preserve">Prevalence, Disease-free, and Overall Survival of Contemporary Patients </w:t>
      </w:r>
      <w:proofErr w:type="gramStart"/>
      <w:r w:rsidRPr="00E62CBC">
        <w:t>With</w:t>
      </w:r>
      <w:proofErr w:type="gramEnd"/>
      <w:r w:rsidRPr="00E62CBC">
        <w:t xml:space="preserve"> Renal Cell Carcinoma Eligible for Adjuvant Checkpoint Inhibitor Trials. </w:t>
      </w:r>
      <w:r w:rsidRPr="00E62CBC">
        <w:rPr>
          <w:i/>
          <w:iCs/>
        </w:rPr>
        <w:t xml:space="preserve">Clin </w:t>
      </w:r>
      <w:proofErr w:type="spellStart"/>
      <w:r w:rsidRPr="00E62CBC">
        <w:rPr>
          <w:i/>
          <w:iCs/>
        </w:rPr>
        <w:t>Genitourin</w:t>
      </w:r>
      <w:proofErr w:type="spellEnd"/>
      <w:r w:rsidRPr="00E62CBC">
        <w:rPr>
          <w:i/>
          <w:iCs/>
        </w:rPr>
        <w:t xml:space="preserve"> Cancer</w:t>
      </w:r>
      <w:r w:rsidRPr="00E62CBC">
        <w:t>. 2021 Apr;19(2</w:t>
      </w:r>
      <w:proofErr w:type="gramStart"/>
      <w:r w:rsidRPr="00E62CBC">
        <w:t>):e</w:t>
      </w:r>
      <w:proofErr w:type="gramEnd"/>
      <w:r w:rsidRPr="00E62CBC">
        <w:t xml:space="preserve">92-e99. </w:t>
      </w:r>
    </w:p>
  </w:footnote>
  <w:footnote w:id="7">
    <w:p w14:paraId="1C227980" w14:textId="411CD0EE" w:rsidR="008A1DBD" w:rsidRDefault="008A1DBD" w:rsidP="008A1DBD">
      <w:pPr>
        <w:pStyle w:val="FootnoteText"/>
      </w:pPr>
      <w:r>
        <w:rPr>
          <w:rStyle w:val="FootnoteReference"/>
        </w:rPr>
        <w:footnoteRef/>
      </w:r>
      <w:r>
        <w:t xml:space="preserve"> Category 2A: uniform NCCN consensus that the intervention is appropriate, based on lower-level evidence.</w:t>
      </w:r>
      <w:r w:rsidR="00C012C0">
        <w:t xml:space="preserve"> </w:t>
      </w:r>
      <w:r>
        <w:t>Category 3: major NCCN disagreement that the intervention is appropriate, based on any level of evidence</w:t>
      </w:r>
    </w:p>
  </w:footnote>
  <w:footnote w:id="8">
    <w:p w14:paraId="32D64535" w14:textId="77777777" w:rsidR="008A1DBD" w:rsidRDefault="008A1DBD" w:rsidP="008A1DBD">
      <w:pPr>
        <w:pStyle w:val="FootnoteText"/>
      </w:pPr>
      <w:r>
        <w:rPr>
          <w:rStyle w:val="FootnoteReference"/>
        </w:rPr>
        <w:footnoteRef/>
      </w:r>
      <w:r>
        <w:t xml:space="preserve"> </w:t>
      </w:r>
      <w:r w:rsidRPr="0095297F">
        <w:t xml:space="preserve">Choueiri TK, Tomczak P, Park SH, </w:t>
      </w:r>
      <w:r>
        <w:rPr>
          <w:i/>
          <w:iCs/>
        </w:rPr>
        <w:t>et al.</w:t>
      </w:r>
      <w:r w:rsidRPr="0095297F">
        <w:t xml:space="preserve"> Adjuvant Pembrolizumab after Nephrectomy in Renal-Cell Carcinoma. </w:t>
      </w:r>
      <w:r w:rsidRPr="0095297F">
        <w:rPr>
          <w:i/>
          <w:iCs/>
        </w:rPr>
        <w:t xml:space="preserve">N </w:t>
      </w:r>
      <w:proofErr w:type="spellStart"/>
      <w:r w:rsidRPr="0095297F">
        <w:rPr>
          <w:i/>
          <w:iCs/>
        </w:rPr>
        <w:t>Engl</w:t>
      </w:r>
      <w:proofErr w:type="spellEnd"/>
      <w:r w:rsidRPr="0095297F">
        <w:rPr>
          <w:i/>
          <w:iCs/>
        </w:rPr>
        <w:t xml:space="preserve"> J Med</w:t>
      </w:r>
      <w:r w:rsidRPr="0095297F">
        <w:t>. 2021 Aug 19;385(8):683-694.</w:t>
      </w:r>
    </w:p>
  </w:footnote>
  <w:footnote w:id="9">
    <w:p w14:paraId="2DAFB05D" w14:textId="3028FD4C" w:rsidR="000C001E" w:rsidRDefault="000C001E" w:rsidP="000C001E">
      <w:pPr>
        <w:pStyle w:val="FootnoteText"/>
      </w:pPr>
      <w:r>
        <w:rPr>
          <w:rStyle w:val="FootnoteReference"/>
        </w:rPr>
        <w:footnoteRef/>
      </w:r>
      <w:r>
        <w:t xml:space="preserve"> </w:t>
      </w:r>
      <w:r w:rsidRPr="000C001E">
        <w:rPr>
          <w:b/>
          <w:bCs/>
        </w:rPr>
        <w:t>Metasta</w:t>
      </w:r>
      <w:r>
        <w:rPr>
          <w:b/>
          <w:bCs/>
        </w:rPr>
        <w:t>sis</w:t>
      </w:r>
      <w:r w:rsidRPr="000C001E">
        <w:rPr>
          <w:b/>
          <w:bCs/>
        </w:rPr>
        <w:t xml:space="preserve"> sta</w:t>
      </w:r>
      <w:r>
        <w:rPr>
          <w:b/>
          <w:bCs/>
        </w:rPr>
        <w:t>tus:</w:t>
      </w:r>
      <w:r>
        <w:t xml:space="preserve"> The "M" in the TNM system describes whether the cancer has spread to other parts of the body, called metastasis. Common areas where kidney cancer may spread include the bones, liver, lungs, brain, and distant lymph nodes.</w:t>
      </w:r>
      <w:r w:rsidR="00E63736">
        <w:br/>
      </w:r>
      <w:r>
        <w:t>M0 (M zero): The disease has not metastasized.</w:t>
      </w:r>
      <w:r w:rsidR="00E63736">
        <w:br/>
      </w:r>
      <w:r>
        <w:t>M1: The cancer has spread to other parts of the body beyond the kidney area.</w:t>
      </w:r>
    </w:p>
  </w:footnote>
  <w:footnote w:id="10">
    <w:p w14:paraId="2B58B8C1" w14:textId="5C78FF32" w:rsidR="00E131FB" w:rsidRDefault="00E131FB" w:rsidP="00E131FB">
      <w:pPr>
        <w:pStyle w:val="FootnoteText"/>
      </w:pPr>
      <w:r>
        <w:rPr>
          <w:rStyle w:val="FootnoteReference"/>
        </w:rPr>
        <w:footnoteRef/>
      </w:r>
      <w:r>
        <w:t xml:space="preserve"> </w:t>
      </w:r>
      <w:r w:rsidRPr="00DE311C">
        <w:rPr>
          <w:b/>
        </w:rPr>
        <w:t>Eastern Cooperative Oncology Group (ECOG) Performance Status</w:t>
      </w:r>
      <w:r>
        <w:t xml:space="preserve">: The ECOG has developed </w:t>
      </w:r>
      <w:proofErr w:type="spellStart"/>
      <w:r>
        <w:t>criteriaused</w:t>
      </w:r>
      <w:proofErr w:type="spellEnd"/>
      <w:r>
        <w:t xml:space="preserve"> by doctors and researchers to assess how a patient's disease is progressing, assess how the </w:t>
      </w:r>
      <w:proofErr w:type="spellStart"/>
      <w:r>
        <w:t>diseaseaffects</w:t>
      </w:r>
      <w:proofErr w:type="spellEnd"/>
      <w:r>
        <w:t xml:space="preserve"> the daily living abilities of the patient, and determine appropriate treatment and prognosis.</w:t>
      </w:r>
      <w:r w:rsidR="00E63736">
        <w:t xml:space="preserve"> </w:t>
      </w:r>
      <w:r>
        <w:t>The</w:t>
      </w:r>
      <w:r w:rsidR="00E63736">
        <w:t xml:space="preserve"> </w:t>
      </w:r>
      <w:r>
        <w:t>following are used:</w:t>
      </w:r>
      <w:r w:rsidR="00E63736">
        <w:br/>
      </w:r>
      <w:r>
        <w:t>0 - Fully active, able to carry on all pre-disease performance without restriction</w:t>
      </w:r>
      <w:r w:rsidR="00E63736">
        <w:br/>
      </w:r>
      <w:r>
        <w:t>1- Restricted in physically strenuous activity but ambulatory and able to carry out work of a light or sedentary</w:t>
      </w:r>
      <w:r w:rsidR="00E63736">
        <w:t xml:space="preserve"> </w:t>
      </w:r>
      <w:r>
        <w:t xml:space="preserve">nature, for example, light </w:t>
      </w:r>
      <w:proofErr w:type="gramStart"/>
      <w:r>
        <w:t>house work</w:t>
      </w:r>
      <w:proofErr w:type="gramEnd"/>
      <w:r>
        <w:t>, office work</w:t>
      </w:r>
    </w:p>
    <w:p w14:paraId="2108AB56" w14:textId="5E19C253" w:rsidR="00E131FB" w:rsidRDefault="00E131FB" w:rsidP="00E131FB">
      <w:pPr>
        <w:pStyle w:val="FootnoteText"/>
      </w:pPr>
      <w:r>
        <w:t>2 - Ambulatory and capable of all selfcare but unable to carry out any work activities. Up and about more than</w:t>
      </w:r>
      <w:r w:rsidR="00E63736">
        <w:t xml:space="preserve"> </w:t>
      </w:r>
      <w:r>
        <w:t>50% of waking hours</w:t>
      </w:r>
      <w:r w:rsidR="00E63736">
        <w:br/>
      </w:r>
      <w:r>
        <w:t>3 - Capable of only limited selfcare, confined to bed or chair more than 50% of waking hours</w:t>
      </w:r>
      <w:r w:rsidR="00E63736">
        <w:br/>
      </w:r>
      <w:r>
        <w:t>4 - Completely disabled. Cannot carry on any selfcare. Totally confined to bed or chair</w:t>
      </w:r>
      <w:r w:rsidR="00E63736">
        <w:br/>
      </w:r>
      <w:r>
        <w:t>5 – Dead</w:t>
      </w:r>
    </w:p>
  </w:footnote>
  <w:footnote w:id="11">
    <w:p w14:paraId="78938150" w14:textId="1286033C" w:rsidR="002F49D5" w:rsidRDefault="002F49D5" w:rsidP="002F49D5">
      <w:pPr>
        <w:pStyle w:val="FootnoteText"/>
      </w:pPr>
      <w:r>
        <w:rPr>
          <w:rStyle w:val="FootnoteReference"/>
        </w:rPr>
        <w:footnoteRef/>
      </w:r>
      <w:r>
        <w:t xml:space="preserve"> </w:t>
      </w:r>
      <w:r w:rsidR="0043114B" w:rsidRPr="0043114B">
        <w:rPr>
          <w:b/>
          <w:bCs/>
        </w:rPr>
        <w:t>FKSI-DR</w:t>
      </w:r>
      <w:r w:rsidR="0043114B">
        <w:rPr>
          <w:b/>
          <w:bCs/>
        </w:rPr>
        <w:t>S</w:t>
      </w:r>
      <w:r w:rsidR="0043114B">
        <w:t xml:space="preserve"> - </w:t>
      </w:r>
      <w:r>
        <w:t xml:space="preserve">Functional Assessment of Cancer Therapy Kidney Cancer Symptom Index - Disease Related Symptoms </w:t>
      </w:r>
    </w:p>
  </w:footnote>
  <w:footnote w:id="12">
    <w:p w14:paraId="1B744095" w14:textId="6D4EEA04" w:rsidR="0043114B" w:rsidRDefault="0043114B">
      <w:pPr>
        <w:pStyle w:val="FootnoteText"/>
      </w:pPr>
      <w:r>
        <w:rPr>
          <w:rStyle w:val="FootnoteReference"/>
        </w:rPr>
        <w:footnoteRef/>
      </w:r>
      <w:r>
        <w:t xml:space="preserve"> </w:t>
      </w:r>
      <w:r w:rsidRPr="0043114B">
        <w:rPr>
          <w:b/>
          <w:bCs/>
        </w:rPr>
        <w:t>EORTC QLQ</w:t>
      </w:r>
      <w:r>
        <w:rPr>
          <w:b/>
          <w:bCs/>
        </w:rPr>
        <w:t>-C30</w:t>
      </w:r>
      <w:r>
        <w:t xml:space="preserve"> – The European Organisation for Research and Treatment of Cancer Quality of Life Questionnaire is a questionnaire developed to assess the quality of life of cancer patients </w:t>
      </w:r>
    </w:p>
  </w:footnote>
  <w:footnote w:id="13">
    <w:p w14:paraId="368FFCB0" w14:textId="77777777" w:rsidR="008A1DBD" w:rsidRDefault="008A1DBD" w:rsidP="008A1DBD">
      <w:pPr>
        <w:pStyle w:val="FootnoteText"/>
      </w:pPr>
      <w:r>
        <w:rPr>
          <w:rStyle w:val="FootnoteReference"/>
        </w:rPr>
        <w:footnoteRef/>
      </w:r>
      <w:r>
        <w:t xml:space="preserve"> </w:t>
      </w:r>
      <w:r w:rsidRPr="00FE7D95">
        <w:t xml:space="preserve">McDermott DF, Lee JL, </w:t>
      </w:r>
      <w:proofErr w:type="spellStart"/>
      <w:r w:rsidRPr="00FE7D95">
        <w:t>Ziobro</w:t>
      </w:r>
      <w:proofErr w:type="spellEnd"/>
      <w:r w:rsidRPr="00FE7D95">
        <w:t xml:space="preserve"> M, </w:t>
      </w:r>
      <w:r>
        <w:rPr>
          <w:i/>
          <w:iCs/>
        </w:rPr>
        <w:t>et al.</w:t>
      </w:r>
      <w:r w:rsidRPr="00FE7D95">
        <w:t xml:space="preserve"> Open-Label, Single-Arm, Phase II Study of Pembrolizumab Monotherapy as First-Line Therapy in Patients </w:t>
      </w:r>
      <w:proofErr w:type="gramStart"/>
      <w:r w:rsidRPr="00FE7D95">
        <w:t>With</w:t>
      </w:r>
      <w:proofErr w:type="gramEnd"/>
      <w:r w:rsidRPr="00FE7D95">
        <w:t xml:space="preserve"> Advanced Non-Clear Cell Renal Cell Carcinoma. </w:t>
      </w:r>
      <w:r w:rsidRPr="00FE7D95">
        <w:rPr>
          <w:i/>
          <w:iCs/>
        </w:rPr>
        <w:t>J Clin Oncol</w:t>
      </w:r>
      <w:r w:rsidRPr="00FE7D95">
        <w:t>. 2021 Mar 20;39(9):1029-1039.</w:t>
      </w:r>
    </w:p>
  </w:footnote>
  <w:footnote w:id="14">
    <w:p w14:paraId="4CDDB25F" w14:textId="77777777" w:rsidR="008A1DBD" w:rsidRDefault="008A1DBD" w:rsidP="008A1DBD">
      <w:pPr>
        <w:pStyle w:val="FootnoteText"/>
      </w:pPr>
      <w:r>
        <w:rPr>
          <w:rStyle w:val="FootnoteReference"/>
        </w:rPr>
        <w:footnoteRef/>
      </w:r>
      <w:r>
        <w:t xml:space="preserve"> </w:t>
      </w:r>
      <w:r w:rsidRPr="00FB7805">
        <w:t xml:space="preserve">Narayan V, </w:t>
      </w:r>
      <w:proofErr w:type="spellStart"/>
      <w:r w:rsidRPr="00FB7805">
        <w:t>Puligandla</w:t>
      </w:r>
      <w:proofErr w:type="spellEnd"/>
      <w:r w:rsidRPr="00FB7805">
        <w:t xml:space="preserve"> M, Haas NB, </w:t>
      </w:r>
      <w:r w:rsidRPr="00FB7805">
        <w:rPr>
          <w:i/>
          <w:iCs/>
        </w:rPr>
        <w:t>et al</w:t>
      </w:r>
      <w:r>
        <w:t>.</w:t>
      </w:r>
      <w:r w:rsidRPr="00FB7805">
        <w:t xml:space="preserve"> Patterns of Relapse and Implications for Post-Nephrectomy </w:t>
      </w:r>
      <w:r>
        <w:t>S</w:t>
      </w:r>
      <w:r w:rsidRPr="00FB7805">
        <w:t xml:space="preserve">urveillance in Patients with High Risk Nonclear Cell Renal Cell Carcinoma: Subgroup Analysis of the Phase 3 ECOG-ACRIN E2805 Trial. </w:t>
      </w:r>
      <w:r w:rsidRPr="00FB7805">
        <w:rPr>
          <w:i/>
          <w:iCs/>
        </w:rPr>
        <w:t>J Urol</w:t>
      </w:r>
      <w:r w:rsidRPr="00FB7805">
        <w:t>. 2019 Jan;201(1):62-68.</w:t>
      </w:r>
    </w:p>
  </w:footnote>
  <w:footnote w:id="15">
    <w:p w14:paraId="7010B675" w14:textId="76A13370" w:rsidR="008A1DBD" w:rsidRDefault="008A1DBD" w:rsidP="008A1DBD">
      <w:pPr>
        <w:pStyle w:val="FootnoteText"/>
      </w:pPr>
      <w:r>
        <w:rPr>
          <w:rStyle w:val="FootnoteReference"/>
        </w:rPr>
        <w:footnoteRef/>
      </w:r>
      <w:r>
        <w:t xml:space="preserve"> Current approved PI for </w:t>
      </w:r>
      <w:r w:rsidR="00264AF8">
        <w:t>Keytruda</w:t>
      </w:r>
      <w:r w:rsidR="004B5399">
        <w:t xml:space="preserve"> at the time of submission.</w:t>
      </w:r>
    </w:p>
  </w:footnote>
  <w:footnote w:id="16">
    <w:p w14:paraId="7B044696" w14:textId="7F789087" w:rsidR="00EC5A67" w:rsidRPr="000976AE" w:rsidRDefault="00EC5A67" w:rsidP="000976AE">
      <w:pPr>
        <w:pStyle w:val="FootnoteText"/>
      </w:pPr>
      <w:r w:rsidRPr="000976AE">
        <w:rPr>
          <w:vertAlign w:val="superscript"/>
        </w:rPr>
        <w:footnoteRef/>
      </w:r>
      <w:r w:rsidRPr="000976AE">
        <w:t xml:space="preserve"> Motzer et al; N</w:t>
      </w:r>
      <w:r w:rsidR="000976AE">
        <w:t xml:space="preserve">ivolumab versus </w:t>
      </w:r>
      <w:proofErr w:type="spellStart"/>
      <w:r w:rsidR="000976AE">
        <w:t>everolimus</w:t>
      </w:r>
      <w:proofErr w:type="spellEnd"/>
      <w:r w:rsidR="000976AE">
        <w:t xml:space="preserve"> in advanced renal cell carcinoma</w:t>
      </w:r>
      <w:r w:rsidRPr="000976AE">
        <w:t xml:space="preserve">; </w:t>
      </w:r>
      <w:r w:rsidRPr="000976AE">
        <w:rPr>
          <w:i/>
          <w:iCs/>
        </w:rPr>
        <w:t xml:space="preserve">N </w:t>
      </w:r>
      <w:proofErr w:type="spellStart"/>
      <w:r w:rsidRPr="000976AE">
        <w:rPr>
          <w:i/>
          <w:iCs/>
        </w:rPr>
        <w:t>Engl</w:t>
      </w:r>
      <w:proofErr w:type="spellEnd"/>
      <w:r w:rsidRPr="000976AE">
        <w:rPr>
          <w:i/>
          <w:iCs/>
        </w:rPr>
        <w:t xml:space="preserve"> J Med</w:t>
      </w:r>
      <w:r w:rsidRPr="000976AE">
        <w:t>. 2015 Nov 5;373(19):1803-13.</w:t>
      </w:r>
    </w:p>
  </w:footnote>
  <w:footnote w:id="17">
    <w:p w14:paraId="20C8D1C1" w14:textId="6135BB7F" w:rsidR="00EC5A67" w:rsidRDefault="00EC5A67" w:rsidP="000976AE">
      <w:pPr>
        <w:pStyle w:val="FootnoteText"/>
      </w:pPr>
      <w:r w:rsidRPr="000976AE">
        <w:rPr>
          <w:vertAlign w:val="superscript"/>
        </w:rPr>
        <w:footnoteRef/>
      </w:r>
      <w:r w:rsidRPr="000976AE">
        <w:t xml:space="preserve"> Atkins et al.; </w:t>
      </w:r>
      <w:proofErr w:type="spellStart"/>
      <w:r w:rsidRPr="000976AE">
        <w:t>Axitinib</w:t>
      </w:r>
      <w:proofErr w:type="spellEnd"/>
      <w:r w:rsidRPr="000976AE">
        <w:t xml:space="preserve"> in combination with pembrolizumab in patients (pts) with</w:t>
      </w:r>
      <w:r w:rsidR="000976AE">
        <w:t xml:space="preserve"> </w:t>
      </w:r>
      <w:r w:rsidRPr="000976AE">
        <w:t>advanced renal cell carcinoma: Preliminary safety and efficacy results; ESMO 2016</w:t>
      </w:r>
    </w:p>
  </w:footnote>
  <w:footnote w:id="18">
    <w:p w14:paraId="182256CB" w14:textId="0DAED256" w:rsidR="00652ADF" w:rsidRDefault="00652ADF">
      <w:pPr>
        <w:pStyle w:val="FootnoteText"/>
      </w:pPr>
      <w:r>
        <w:rPr>
          <w:rStyle w:val="FootnoteReference"/>
        </w:rPr>
        <w:footnoteRef/>
      </w:r>
      <w:r>
        <w:t xml:space="preserve"> </w:t>
      </w:r>
      <w:r w:rsidRPr="00652ADF">
        <w:t>IMmotion-010 trial</w:t>
      </w:r>
      <w:r w:rsidR="00150FC1">
        <w:t>;</w:t>
      </w:r>
      <w:r>
        <w:t xml:space="preserve"> </w:t>
      </w:r>
      <w:r w:rsidRPr="00652ADF">
        <w:t>ClinicalTrials.gov Identifier</w:t>
      </w:r>
      <w:r w:rsidR="00150FC1">
        <w:t>:</w:t>
      </w:r>
      <w:r>
        <w:t xml:space="preserve"> </w:t>
      </w:r>
      <w:r w:rsidRPr="00652ADF">
        <w:t>NCT03024996</w:t>
      </w:r>
      <w:r>
        <w:t xml:space="preserve"> can be located at </w:t>
      </w:r>
      <w:r w:rsidRPr="00652ADF">
        <w:t>https://clinicaltrials.gov/</w:t>
      </w:r>
    </w:p>
  </w:footnote>
  <w:footnote w:id="19">
    <w:p w14:paraId="734A96E5" w14:textId="3F63493A" w:rsidR="00652ADF" w:rsidRDefault="00652ADF">
      <w:pPr>
        <w:pStyle w:val="FootnoteText"/>
      </w:pPr>
      <w:r>
        <w:rPr>
          <w:rStyle w:val="FootnoteReference"/>
        </w:rPr>
        <w:footnoteRef/>
      </w:r>
      <w:r>
        <w:t xml:space="preserve"> </w:t>
      </w:r>
      <w:r w:rsidRPr="00652ADF">
        <w:t>CheckMate-914 trial</w:t>
      </w:r>
      <w:r w:rsidR="00150FC1">
        <w:t>;</w:t>
      </w:r>
      <w:r>
        <w:t xml:space="preserve"> </w:t>
      </w:r>
      <w:r w:rsidRPr="00652ADF">
        <w:t>ClinicalTrials.gov Identifier</w:t>
      </w:r>
      <w:r w:rsidR="00150FC1">
        <w:t xml:space="preserve">: </w:t>
      </w:r>
      <w:r w:rsidRPr="00652ADF">
        <w:t>NCT03138512 can be located at https://clinicaltrials.gov/</w:t>
      </w:r>
    </w:p>
  </w:footnote>
  <w:footnote w:id="20">
    <w:p w14:paraId="3D2150D9" w14:textId="3E7E4FC6" w:rsidR="00652ADF" w:rsidRDefault="00652ADF">
      <w:pPr>
        <w:pStyle w:val="FootnoteText"/>
      </w:pPr>
      <w:r>
        <w:rPr>
          <w:rStyle w:val="FootnoteReference"/>
        </w:rPr>
        <w:footnoteRef/>
      </w:r>
      <w:r>
        <w:t xml:space="preserve"> </w:t>
      </w:r>
      <w:r w:rsidRPr="00652ADF">
        <w:t>KEYNOTE-426 trial</w:t>
      </w:r>
      <w:r w:rsidR="00150FC1">
        <w:t>;</w:t>
      </w:r>
      <w:r w:rsidRPr="00652ADF">
        <w:t xml:space="preserve"> ClinicalTrials.gov Identifier</w:t>
      </w:r>
      <w:r w:rsidR="00150FC1">
        <w:t xml:space="preserve">: </w:t>
      </w:r>
      <w:r w:rsidRPr="00652ADF">
        <w:t>NCT02853331 can be located at https://clinicaltrials.gov/</w:t>
      </w:r>
    </w:p>
  </w:footnote>
  <w:footnote w:id="21">
    <w:p w14:paraId="0D9FDACF" w14:textId="2BEBDAC4" w:rsidR="00150FC1" w:rsidRDefault="00150FC1">
      <w:pPr>
        <w:pStyle w:val="FootnoteText"/>
      </w:pPr>
      <w:r>
        <w:rPr>
          <w:rStyle w:val="FootnoteReference"/>
        </w:rPr>
        <w:footnoteRef/>
      </w:r>
      <w:r>
        <w:t xml:space="preserve"> </w:t>
      </w:r>
      <w:r w:rsidRPr="00150FC1">
        <w:t>KEYNOTE-581 trial</w:t>
      </w:r>
      <w:r>
        <w:t xml:space="preserve">; ClinicalTrials.gov Identifier: </w:t>
      </w:r>
      <w:r w:rsidRPr="00150FC1">
        <w:t>NCT02811861</w:t>
      </w:r>
      <w:r>
        <w:t xml:space="preserve"> </w:t>
      </w:r>
      <w:r w:rsidRPr="00150FC1">
        <w:t xml:space="preserve">can be located at </w:t>
      </w:r>
      <w:hyperlink r:id="rId3" w:history="1">
        <w:r w:rsidRPr="003E317E">
          <w:rPr>
            <w:rStyle w:val="Hyperlink"/>
          </w:rPr>
          <w:t>https://clinicaltrials.gov/</w:t>
        </w:r>
      </w:hyperlink>
    </w:p>
  </w:footnote>
  <w:footnote w:id="22">
    <w:p w14:paraId="484EE0E4" w14:textId="66996A9D" w:rsidR="00150FC1" w:rsidRDefault="00150FC1">
      <w:pPr>
        <w:pStyle w:val="FootnoteText"/>
      </w:pPr>
      <w:r>
        <w:rPr>
          <w:rStyle w:val="FootnoteReference"/>
        </w:rPr>
        <w:footnoteRef/>
      </w:r>
      <w:r>
        <w:t xml:space="preserve"> </w:t>
      </w:r>
      <w:r w:rsidRPr="00150FC1">
        <w:t>CheckMate-214 trial</w:t>
      </w:r>
      <w:r>
        <w:t xml:space="preserve">; ClinicalTrials.gov Identifier: </w:t>
      </w:r>
      <w:r w:rsidRPr="00150FC1">
        <w:t>NCT02231749</w:t>
      </w:r>
      <w:r>
        <w:t xml:space="preserve"> </w:t>
      </w:r>
      <w:r w:rsidRPr="00150FC1">
        <w:t>can be located at https://clinicaltrials.gov/</w:t>
      </w:r>
    </w:p>
  </w:footnote>
  <w:footnote w:id="23">
    <w:p w14:paraId="691BF499" w14:textId="0A472553" w:rsidR="00150FC1" w:rsidRDefault="00150FC1">
      <w:pPr>
        <w:pStyle w:val="FootnoteText"/>
      </w:pPr>
      <w:r>
        <w:rPr>
          <w:rStyle w:val="FootnoteReference"/>
        </w:rPr>
        <w:footnoteRef/>
      </w:r>
      <w:r>
        <w:t xml:space="preserve"> </w:t>
      </w:r>
      <w:r w:rsidRPr="00150FC1">
        <w:t>CheckMate-9ER trial</w:t>
      </w:r>
      <w:r>
        <w:t xml:space="preserve">, </w:t>
      </w:r>
      <w:r w:rsidRPr="00150FC1">
        <w:t>ClinicalTrials.gov Identifier: NCT03141177</w:t>
      </w:r>
      <w:r>
        <w:t xml:space="preserve"> </w:t>
      </w:r>
      <w:r w:rsidRPr="00150FC1">
        <w:t>can be located at https://clinicaltrials.gov/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1521C64" w:rsidR="007452E8" w:rsidRPr="002B29B2" w:rsidRDefault="006B26C1" w:rsidP="007452E8">
          <w:pPr>
            <w:ind w:left="-57"/>
            <w:rPr>
              <w:noProof/>
            </w:rPr>
          </w:pPr>
          <w:sdt>
            <w:sdtPr>
              <w:rPr>
                <w:noProof/>
              </w:rPr>
              <w:id w:val="1926993388"/>
              <w:picture/>
            </w:sdtPr>
            <w:sdtEndP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42693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95017A"/>
    <w:multiLevelType w:val="hybridMultilevel"/>
    <w:tmpl w:val="C332039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473" w:hanging="360"/>
      </w:pPr>
      <w:rPr>
        <w:rFonts w:ascii="Arial" w:hAnsi="Arial" w:hint="default"/>
      </w:rPr>
    </w:lvl>
    <w:lvl w:ilvl="1">
      <w:start w:val="1"/>
      <w:numFmt w:val="lowerLetter"/>
      <w:pStyle w:val="Numberbullet2"/>
      <w:lvlText w:val="%2."/>
      <w:lvlJc w:val="left"/>
      <w:pPr>
        <w:ind w:left="964" w:hanging="426"/>
      </w:pPr>
      <w:rPr>
        <w:rFonts w:hint="default"/>
      </w:rPr>
    </w:lvl>
    <w:lvl w:ilvl="2">
      <w:start w:val="1"/>
      <w:numFmt w:val="lowerRoman"/>
      <w:lvlText w:val="%3."/>
      <w:lvlJc w:val="left"/>
      <w:pPr>
        <w:ind w:left="1389" w:hanging="425"/>
      </w:pPr>
      <w:rPr>
        <w:rFonts w:hint="default"/>
      </w:rPr>
    </w:lvl>
    <w:lvl w:ilvl="3">
      <w:start w:val="1"/>
      <w:numFmt w:val="none"/>
      <w:lvlText w:val=""/>
      <w:lvlJc w:val="left"/>
      <w:pPr>
        <w:ind w:left="1389" w:hanging="425"/>
      </w:pPr>
      <w:rPr>
        <w:rFonts w:hint="default"/>
      </w:rPr>
    </w:lvl>
    <w:lvl w:ilvl="4">
      <w:start w:val="1"/>
      <w:numFmt w:val="none"/>
      <w:lvlText w:val=""/>
      <w:lvlJc w:val="left"/>
      <w:pPr>
        <w:ind w:left="1389" w:hanging="425"/>
      </w:pPr>
      <w:rPr>
        <w:rFonts w:hint="default"/>
      </w:rPr>
    </w:lvl>
    <w:lvl w:ilvl="5">
      <w:start w:val="1"/>
      <w:numFmt w:val="none"/>
      <w:lvlText w:val=""/>
      <w:lvlJc w:val="left"/>
      <w:pPr>
        <w:ind w:left="1389" w:hanging="425"/>
      </w:pPr>
      <w:rPr>
        <w:rFonts w:hint="default"/>
      </w:rPr>
    </w:lvl>
    <w:lvl w:ilvl="6">
      <w:start w:val="1"/>
      <w:numFmt w:val="none"/>
      <w:lvlText w:val="%7"/>
      <w:lvlJc w:val="left"/>
      <w:pPr>
        <w:ind w:left="1389" w:hanging="425"/>
      </w:pPr>
      <w:rPr>
        <w:rFonts w:hint="default"/>
      </w:rPr>
    </w:lvl>
    <w:lvl w:ilvl="7">
      <w:start w:val="1"/>
      <w:numFmt w:val="none"/>
      <w:lvlText w:val=""/>
      <w:lvlJc w:val="left"/>
      <w:pPr>
        <w:ind w:left="1389" w:hanging="425"/>
      </w:pPr>
      <w:rPr>
        <w:rFonts w:hint="default"/>
      </w:rPr>
    </w:lvl>
    <w:lvl w:ilvl="8">
      <w:start w:val="1"/>
      <w:numFmt w:val="none"/>
      <w:lvlText w:val=""/>
      <w:lvlJc w:val="left"/>
      <w:pPr>
        <w:ind w:left="1389"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7A3B5B"/>
    <w:multiLevelType w:val="hybridMultilevel"/>
    <w:tmpl w:val="BDBAF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E1B76F9"/>
    <w:multiLevelType w:val="hybridMultilevel"/>
    <w:tmpl w:val="987668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FC0A7E"/>
    <w:multiLevelType w:val="hybridMultilevel"/>
    <w:tmpl w:val="E4122F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914314"/>
    <w:multiLevelType w:val="hybridMultilevel"/>
    <w:tmpl w:val="A8762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FF053E"/>
    <w:multiLevelType w:val="hybridMultilevel"/>
    <w:tmpl w:val="97D8A7C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935773"/>
    <w:multiLevelType w:val="hybridMultilevel"/>
    <w:tmpl w:val="59465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AF5673"/>
    <w:multiLevelType w:val="hybridMultilevel"/>
    <w:tmpl w:val="6A606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E1248D"/>
    <w:multiLevelType w:val="hybridMultilevel"/>
    <w:tmpl w:val="EF88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AB7A33"/>
    <w:multiLevelType w:val="hybridMultilevel"/>
    <w:tmpl w:val="7AA6D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4341586">
    <w:abstractNumId w:val="4"/>
  </w:num>
  <w:num w:numId="2" w16cid:durableId="835726528">
    <w:abstractNumId w:val="2"/>
  </w:num>
  <w:num w:numId="3" w16cid:durableId="290088692">
    <w:abstractNumId w:val="3"/>
  </w:num>
  <w:num w:numId="4" w16cid:durableId="1234506040">
    <w:abstractNumId w:val="13"/>
  </w:num>
  <w:num w:numId="5" w16cid:durableId="468323061">
    <w:abstractNumId w:val="7"/>
  </w:num>
  <w:num w:numId="6" w16cid:durableId="1500072876">
    <w:abstractNumId w:val="12"/>
  </w:num>
  <w:num w:numId="7" w16cid:durableId="2746246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2057970005">
    <w:abstractNumId w:val="16"/>
  </w:num>
  <w:num w:numId="9" w16cid:durableId="1608274218">
    <w:abstractNumId w:val="10"/>
  </w:num>
  <w:num w:numId="10" w16cid:durableId="1284144312">
    <w:abstractNumId w:val="9"/>
  </w:num>
  <w:num w:numId="11" w16cid:durableId="2076781363">
    <w:abstractNumId w:val="11"/>
  </w:num>
  <w:num w:numId="12" w16cid:durableId="476841362">
    <w:abstractNumId w:val="1"/>
  </w:num>
  <w:num w:numId="13" w16cid:durableId="1186214299">
    <w:abstractNumId w:val="17"/>
  </w:num>
  <w:num w:numId="14" w16cid:durableId="923339541">
    <w:abstractNumId w:val="15"/>
  </w:num>
  <w:num w:numId="15" w16cid:durableId="1688825847">
    <w:abstractNumId w:val="6"/>
  </w:num>
  <w:num w:numId="16" w16cid:durableId="1422604547">
    <w:abstractNumId w:val="5"/>
  </w:num>
  <w:num w:numId="17" w16cid:durableId="1004555577">
    <w:abstractNumId w:val="14"/>
  </w:num>
  <w:num w:numId="18" w16cid:durableId="762338644">
    <w:abstractNumId w:val="8"/>
  </w:num>
  <w:num w:numId="19" w16cid:durableId="10451757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14116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5425552">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8886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2196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3412"/>
    <w:rsid w:val="0001036D"/>
    <w:rsid w:val="00014494"/>
    <w:rsid w:val="00056EFC"/>
    <w:rsid w:val="0005743D"/>
    <w:rsid w:val="000674CA"/>
    <w:rsid w:val="00077844"/>
    <w:rsid w:val="00094B81"/>
    <w:rsid w:val="000975AA"/>
    <w:rsid w:val="000976AE"/>
    <w:rsid w:val="000B4397"/>
    <w:rsid w:val="000B494F"/>
    <w:rsid w:val="000C001E"/>
    <w:rsid w:val="000D4CE9"/>
    <w:rsid w:val="000D67C3"/>
    <w:rsid w:val="000D7934"/>
    <w:rsid w:val="000E5474"/>
    <w:rsid w:val="000F2E6D"/>
    <w:rsid w:val="000F6362"/>
    <w:rsid w:val="00101FB1"/>
    <w:rsid w:val="0012473C"/>
    <w:rsid w:val="00127B08"/>
    <w:rsid w:val="0013528C"/>
    <w:rsid w:val="00150FC1"/>
    <w:rsid w:val="001645D8"/>
    <w:rsid w:val="00165D28"/>
    <w:rsid w:val="00175CD8"/>
    <w:rsid w:val="001B16D2"/>
    <w:rsid w:val="001B7DC9"/>
    <w:rsid w:val="001C1C2E"/>
    <w:rsid w:val="0020369B"/>
    <w:rsid w:val="00226F39"/>
    <w:rsid w:val="0023634A"/>
    <w:rsid w:val="00241B60"/>
    <w:rsid w:val="00264AF8"/>
    <w:rsid w:val="00272291"/>
    <w:rsid w:val="002A3854"/>
    <w:rsid w:val="002C5E29"/>
    <w:rsid w:val="002C77BD"/>
    <w:rsid w:val="002D7127"/>
    <w:rsid w:val="002E2D9A"/>
    <w:rsid w:val="002F49D5"/>
    <w:rsid w:val="003008D8"/>
    <w:rsid w:val="00303959"/>
    <w:rsid w:val="00303ED8"/>
    <w:rsid w:val="00312AC3"/>
    <w:rsid w:val="00314430"/>
    <w:rsid w:val="00324B33"/>
    <w:rsid w:val="00334B3E"/>
    <w:rsid w:val="003465EB"/>
    <w:rsid w:val="00346EC2"/>
    <w:rsid w:val="0035444D"/>
    <w:rsid w:val="00392142"/>
    <w:rsid w:val="00393130"/>
    <w:rsid w:val="00395140"/>
    <w:rsid w:val="003B149C"/>
    <w:rsid w:val="003C5854"/>
    <w:rsid w:val="003D71A1"/>
    <w:rsid w:val="003F26E9"/>
    <w:rsid w:val="0041688F"/>
    <w:rsid w:val="0042376F"/>
    <w:rsid w:val="004246B8"/>
    <w:rsid w:val="0043114B"/>
    <w:rsid w:val="00433318"/>
    <w:rsid w:val="00454C50"/>
    <w:rsid w:val="0046264F"/>
    <w:rsid w:val="00477C4E"/>
    <w:rsid w:val="00491A55"/>
    <w:rsid w:val="00494530"/>
    <w:rsid w:val="004B3081"/>
    <w:rsid w:val="004B5399"/>
    <w:rsid w:val="004C16C7"/>
    <w:rsid w:val="004D55A7"/>
    <w:rsid w:val="004E7B11"/>
    <w:rsid w:val="004F74F2"/>
    <w:rsid w:val="00503167"/>
    <w:rsid w:val="00535DFE"/>
    <w:rsid w:val="00562F42"/>
    <w:rsid w:val="0056766D"/>
    <w:rsid w:val="0058575E"/>
    <w:rsid w:val="00587580"/>
    <w:rsid w:val="0058783C"/>
    <w:rsid w:val="005911AE"/>
    <w:rsid w:val="0059313A"/>
    <w:rsid w:val="005941BE"/>
    <w:rsid w:val="00596B82"/>
    <w:rsid w:val="005B023F"/>
    <w:rsid w:val="005C6F8D"/>
    <w:rsid w:val="005D2089"/>
    <w:rsid w:val="005D7514"/>
    <w:rsid w:val="005E1A7B"/>
    <w:rsid w:val="005E555A"/>
    <w:rsid w:val="0062598B"/>
    <w:rsid w:val="006277A1"/>
    <w:rsid w:val="006351D9"/>
    <w:rsid w:val="00637130"/>
    <w:rsid w:val="00637F0E"/>
    <w:rsid w:val="006423F2"/>
    <w:rsid w:val="006450DE"/>
    <w:rsid w:val="00652ADF"/>
    <w:rsid w:val="00681023"/>
    <w:rsid w:val="006827AF"/>
    <w:rsid w:val="006921E7"/>
    <w:rsid w:val="006928DC"/>
    <w:rsid w:val="00692CCD"/>
    <w:rsid w:val="006A1F0B"/>
    <w:rsid w:val="006A277A"/>
    <w:rsid w:val="006B26C1"/>
    <w:rsid w:val="006C0C10"/>
    <w:rsid w:val="006D5E38"/>
    <w:rsid w:val="006D6B44"/>
    <w:rsid w:val="007072A1"/>
    <w:rsid w:val="00710BC5"/>
    <w:rsid w:val="00716CAE"/>
    <w:rsid w:val="0072003B"/>
    <w:rsid w:val="00731E15"/>
    <w:rsid w:val="007357B9"/>
    <w:rsid w:val="007452E8"/>
    <w:rsid w:val="0074696B"/>
    <w:rsid w:val="00746990"/>
    <w:rsid w:val="00750D70"/>
    <w:rsid w:val="00765241"/>
    <w:rsid w:val="00770570"/>
    <w:rsid w:val="00771A07"/>
    <w:rsid w:val="00793272"/>
    <w:rsid w:val="007A0095"/>
    <w:rsid w:val="007B04DE"/>
    <w:rsid w:val="007B1AB0"/>
    <w:rsid w:val="007B43AB"/>
    <w:rsid w:val="007C19EA"/>
    <w:rsid w:val="007C57BC"/>
    <w:rsid w:val="007D31EA"/>
    <w:rsid w:val="007D3605"/>
    <w:rsid w:val="007D4138"/>
    <w:rsid w:val="007F0A77"/>
    <w:rsid w:val="007F50D3"/>
    <w:rsid w:val="00801291"/>
    <w:rsid w:val="00821ED8"/>
    <w:rsid w:val="008329DB"/>
    <w:rsid w:val="008361C5"/>
    <w:rsid w:val="0083628F"/>
    <w:rsid w:val="00837AB9"/>
    <w:rsid w:val="00843295"/>
    <w:rsid w:val="00850637"/>
    <w:rsid w:val="00860B29"/>
    <w:rsid w:val="008804CF"/>
    <w:rsid w:val="008964B3"/>
    <w:rsid w:val="008A1DBD"/>
    <w:rsid w:val="008B1FE2"/>
    <w:rsid w:val="008B5056"/>
    <w:rsid w:val="008C49C6"/>
    <w:rsid w:val="008C754C"/>
    <w:rsid w:val="008D6A54"/>
    <w:rsid w:val="008E7A3D"/>
    <w:rsid w:val="0090605E"/>
    <w:rsid w:val="009108CE"/>
    <w:rsid w:val="00915A9F"/>
    <w:rsid w:val="009246B8"/>
    <w:rsid w:val="00930D58"/>
    <w:rsid w:val="00950A6A"/>
    <w:rsid w:val="00961AA4"/>
    <w:rsid w:val="00966EF1"/>
    <w:rsid w:val="00996FA5"/>
    <w:rsid w:val="009A0EDF"/>
    <w:rsid w:val="009A58C5"/>
    <w:rsid w:val="009C13BF"/>
    <w:rsid w:val="009C3573"/>
    <w:rsid w:val="009E6F8C"/>
    <w:rsid w:val="00A01C56"/>
    <w:rsid w:val="00A231CE"/>
    <w:rsid w:val="00A358E7"/>
    <w:rsid w:val="00A51A2D"/>
    <w:rsid w:val="00A61BED"/>
    <w:rsid w:val="00A63D9B"/>
    <w:rsid w:val="00A73672"/>
    <w:rsid w:val="00A85970"/>
    <w:rsid w:val="00A93DC6"/>
    <w:rsid w:val="00AB7CBF"/>
    <w:rsid w:val="00AC4701"/>
    <w:rsid w:val="00AE1947"/>
    <w:rsid w:val="00B13F50"/>
    <w:rsid w:val="00B46BC0"/>
    <w:rsid w:val="00B55681"/>
    <w:rsid w:val="00B631C9"/>
    <w:rsid w:val="00B7632E"/>
    <w:rsid w:val="00B93005"/>
    <w:rsid w:val="00B937D1"/>
    <w:rsid w:val="00B967FF"/>
    <w:rsid w:val="00BA7462"/>
    <w:rsid w:val="00BA79D5"/>
    <w:rsid w:val="00BA7F7D"/>
    <w:rsid w:val="00BD07DF"/>
    <w:rsid w:val="00BD5DBD"/>
    <w:rsid w:val="00BF1D48"/>
    <w:rsid w:val="00BF4638"/>
    <w:rsid w:val="00C012C0"/>
    <w:rsid w:val="00C07551"/>
    <w:rsid w:val="00C22214"/>
    <w:rsid w:val="00C30F2E"/>
    <w:rsid w:val="00C407AB"/>
    <w:rsid w:val="00C570FF"/>
    <w:rsid w:val="00C6574E"/>
    <w:rsid w:val="00C816C6"/>
    <w:rsid w:val="00C95C5E"/>
    <w:rsid w:val="00C9730F"/>
    <w:rsid w:val="00CB0550"/>
    <w:rsid w:val="00CB5A31"/>
    <w:rsid w:val="00CD2896"/>
    <w:rsid w:val="00D01DDB"/>
    <w:rsid w:val="00D078BE"/>
    <w:rsid w:val="00D13ED9"/>
    <w:rsid w:val="00D13F8A"/>
    <w:rsid w:val="00D15B67"/>
    <w:rsid w:val="00D35298"/>
    <w:rsid w:val="00D43F52"/>
    <w:rsid w:val="00D56440"/>
    <w:rsid w:val="00D62877"/>
    <w:rsid w:val="00D63760"/>
    <w:rsid w:val="00D745B4"/>
    <w:rsid w:val="00D845A7"/>
    <w:rsid w:val="00D918D5"/>
    <w:rsid w:val="00D94C8E"/>
    <w:rsid w:val="00D94E42"/>
    <w:rsid w:val="00DA290C"/>
    <w:rsid w:val="00DB1CF3"/>
    <w:rsid w:val="00DB536F"/>
    <w:rsid w:val="00DC68F7"/>
    <w:rsid w:val="00DD4CF8"/>
    <w:rsid w:val="00DF5BFE"/>
    <w:rsid w:val="00DF6F53"/>
    <w:rsid w:val="00DF7276"/>
    <w:rsid w:val="00E04ACF"/>
    <w:rsid w:val="00E056BB"/>
    <w:rsid w:val="00E131FB"/>
    <w:rsid w:val="00E15A9D"/>
    <w:rsid w:val="00E15F82"/>
    <w:rsid w:val="00E20F95"/>
    <w:rsid w:val="00E47E0C"/>
    <w:rsid w:val="00E51813"/>
    <w:rsid w:val="00E53D3F"/>
    <w:rsid w:val="00E5579B"/>
    <w:rsid w:val="00E57158"/>
    <w:rsid w:val="00E63736"/>
    <w:rsid w:val="00E7540B"/>
    <w:rsid w:val="00E822BB"/>
    <w:rsid w:val="00E90F9C"/>
    <w:rsid w:val="00E9177C"/>
    <w:rsid w:val="00EC1736"/>
    <w:rsid w:val="00EC1BEC"/>
    <w:rsid w:val="00EC5A67"/>
    <w:rsid w:val="00ED2AA0"/>
    <w:rsid w:val="00ED63D2"/>
    <w:rsid w:val="00EE5F8D"/>
    <w:rsid w:val="00F01EBC"/>
    <w:rsid w:val="00F02AEC"/>
    <w:rsid w:val="00F157FC"/>
    <w:rsid w:val="00F30AF3"/>
    <w:rsid w:val="00F657B4"/>
    <w:rsid w:val="00F66C43"/>
    <w:rsid w:val="00F865A7"/>
    <w:rsid w:val="00FA0754"/>
    <w:rsid w:val="00FA1BC9"/>
    <w:rsid w:val="00FA49C3"/>
    <w:rsid w:val="00FB236E"/>
    <w:rsid w:val="00FB7623"/>
    <w:rsid w:val="00FE2686"/>
    <w:rsid w:val="00FF2782"/>
    <w:rsid w:val="00FF4295"/>
    <w:rsid w:val="0BA88236"/>
    <w:rsid w:val="17910A44"/>
    <w:rsid w:val="18A086C5"/>
    <w:rsid w:val="20C2831C"/>
    <w:rsid w:val="2698A705"/>
    <w:rsid w:val="31767052"/>
    <w:rsid w:val="3499C27A"/>
    <w:rsid w:val="358AB156"/>
    <w:rsid w:val="36E130B9"/>
    <w:rsid w:val="3798A7FE"/>
    <w:rsid w:val="453F16CC"/>
    <w:rsid w:val="4DF2C4F2"/>
    <w:rsid w:val="5549C8C7"/>
    <w:rsid w:val="5C2C2248"/>
    <w:rsid w:val="5DC7F2A9"/>
    <w:rsid w:val="5E4F3D4B"/>
    <w:rsid w:val="6057EAD4"/>
    <w:rsid w:val="65ECA433"/>
    <w:rsid w:val="6621060E"/>
    <w:rsid w:val="66BED804"/>
    <w:rsid w:val="6810C5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E27F3CE0-5F5C-4CE5-A4CE-814D6B989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362"/>
    <w:pPr>
      <w:spacing w:before="120"/>
    </w:pPr>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A1DB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DA290C"/>
    <w:pPr>
      <w:numPr>
        <w:numId w:val="1"/>
      </w:numPr>
      <w:spacing w:after="180" w:line="240" w:lineRule="atLeast"/>
    </w:pPr>
    <w:rPr>
      <w:rFonts w:eastAsia="Cambria" w:cs="Times New Roman"/>
    </w:rPr>
  </w:style>
  <w:style w:type="paragraph" w:styleId="ListBullet2">
    <w:name w:val="List Bullet 2"/>
    <w:basedOn w:val="Normal"/>
    <w:uiPriority w:val="99"/>
    <w:qFormat/>
    <w:rsid w:val="00494530"/>
    <w:pPr>
      <w:numPr>
        <w:ilvl w:val="1"/>
        <w:numId w:val="1"/>
      </w:numPr>
      <w:spacing w:after="180" w:line="240" w:lineRule="atLeast"/>
      <w:ind w:left="850" w:hanging="425"/>
    </w:pPr>
    <w:rPr>
      <w:rFonts w:eastAsia="Cambria" w:cs="Times New Roman"/>
    </w:rPr>
  </w:style>
  <w:style w:type="paragraph" w:styleId="ListBullet3">
    <w:name w:val="List Bullet 3"/>
    <w:basedOn w:val="Normal"/>
    <w:uiPriority w:val="2"/>
    <w:qFormat/>
    <w:rsid w:val="00494530"/>
    <w:pPr>
      <w:numPr>
        <w:numId w:val="3"/>
      </w:numPr>
      <w:spacing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312AC3"/>
    <w:pPr>
      <w:keepLines/>
      <w:spacing w:after="0" w:line="240" w:lineRule="atLeast"/>
    </w:pPr>
    <w:rPr>
      <w:rFonts w:eastAsia="Cambria" w:cs="Times New Roman"/>
      <w:color w:val="333F48"/>
      <w:sz w:val="18"/>
    </w:rPr>
  </w:style>
  <w:style w:type="character" w:customStyle="1" w:styleId="FootnoteTextChar">
    <w:name w:val="Footnote Text Char"/>
    <w:basedOn w:val="DefaultParagraphFont"/>
    <w:link w:val="FootnoteText"/>
    <w:rsid w:val="00312AC3"/>
    <w:rPr>
      <w:rFonts w:ascii="Cambria" w:eastAsia="Cambria" w:hAnsi="Cambria" w:cs="Times New Roman"/>
      <w:color w:val="333F48"/>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line="240" w:lineRule="atLeast"/>
    </w:pPr>
    <w:rPr>
      <w:rFonts w:eastAsia="Cambria" w:cs="Times New Roman"/>
      <w:i/>
      <w:color w:val="007099"/>
      <w:szCs w:val="22"/>
    </w:rPr>
  </w:style>
  <w:style w:type="paragraph" w:customStyle="1" w:styleId="TableTitle">
    <w:name w:val="Table Title"/>
    <w:basedOn w:val="Normal"/>
    <w:qFormat/>
    <w:rsid w:val="00324B33"/>
    <w:pPr>
      <w:keepNext/>
      <w:spacing w:line="240" w:lineRule="atLeast"/>
    </w:pPr>
    <w:rPr>
      <w:rFonts w:eastAsia="Cambria" w:cs="Times New Roman"/>
      <w:b/>
      <w:szCs w:val="22"/>
    </w:rPr>
  </w:style>
  <w:style w:type="paragraph" w:customStyle="1" w:styleId="TableDescription">
    <w:name w:val="Table Description"/>
    <w:basedOn w:val="Normal"/>
    <w:rsid w:val="0056766D"/>
    <w:pPr>
      <w:spacing w:after="0" w:line="240" w:lineRule="auto"/>
    </w:pPr>
    <w:rPr>
      <w:rFonts w:eastAsia="Cambria" w:cs="Times New Roman"/>
      <w:sz w:val="19"/>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0F6362"/>
    <w:rPr>
      <w:color w:val="auto"/>
      <w:sz w:val="20"/>
      <w:lang w:val="en-GB"/>
    </w:rPr>
  </w:style>
  <w:style w:type="paragraph" w:styleId="ListParagraph">
    <w:name w:val="List Paragraph"/>
    <w:basedOn w:val="Normal"/>
    <w:link w:val="ListParagraphChar"/>
    <w:uiPriority w:val="34"/>
    <w:qFormat/>
    <w:rsid w:val="007B43AB"/>
    <w:pPr>
      <w:ind w:left="720"/>
      <w:contextualSpacing/>
    </w:pPr>
  </w:style>
  <w:style w:type="paragraph" w:customStyle="1" w:styleId="Quotation">
    <w:name w:val="Quotation"/>
    <w:basedOn w:val="Normal"/>
    <w:next w:val="Normal"/>
    <w:uiPriority w:val="4"/>
    <w:qFormat/>
    <w:rsid w:val="008A1DBD"/>
    <w:pPr>
      <w:spacing w:after="180" w:line="240" w:lineRule="atLeast"/>
      <w:ind w:left="425"/>
    </w:pPr>
    <w:rPr>
      <w:rFonts w:eastAsiaTheme="minorEastAsia"/>
      <w:sz w:val="20"/>
      <w:szCs w:val="22"/>
      <w:lang w:eastAsia="zh-TW"/>
    </w:rPr>
  </w:style>
  <w:style w:type="character" w:customStyle="1" w:styleId="ListParagraphChar">
    <w:name w:val="List Paragraph Char"/>
    <w:basedOn w:val="DefaultParagraphFont"/>
    <w:link w:val="ListParagraph"/>
    <w:uiPriority w:val="34"/>
    <w:rsid w:val="008A1DBD"/>
    <w:rPr>
      <w:rFonts w:ascii="Cambria" w:hAnsi="Cambria"/>
      <w:sz w:val="22"/>
    </w:rPr>
  </w:style>
  <w:style w:type="table" w:customStyle="1" w:styleId="TableTGAblue1">
    <w:name w:val="Table TGA blue1"/>
    <w:basedOn w:val="TableNormal"/>
    <w:uiPriority w:val="99"/>
    <w:qFormat/>
    <w:rsid w:val="008A1DBD"/>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ue11">
    <w:name w:val="Table TGA blue11"/>
    <w:basedOn w:val="TableNormal"/>
    <w:uiPriority w:val="99"/>
    <w:qFormat/>
    <w:rsid w:val="008A1DBD"/>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Paragraph">
    <w:name w:val="Table Paragraph"/>
    <w:basedOn w:val="Normal"/>
    <w:uiPriority w:val="1"/>
    <w:qFormat/>
    <w:rsid w:val="008A1DBD"/>
    <w:pPr>
      <w:widowControl w:val="0"/>
      <w:autoSpaceDE w:val="0"/>
      <w:autoSpaceDN w:val="0"/>
      <w:spacing w:before="11" w:after="0" w:line="148" w:lineRule="exact"/>
    </w:pPr>
    <w:rPr>
      <w:rFonts w:ascii="Calibri" w:eastAsia="Calibri" w:hAnsi="Calibri" w:cs="Calibri"/>
      <w:szCs w:val="22"/>
      <w:lang w:val="en-US"/>
    </w:rPr>
  </w:style>
  <w:style w:type="paragraph" w:customStyle="1" w:styleId="FigureTitle">
    <w:name w:val="Figure Title"/>
    <w:basedOn w:val="Normal"/>
    <w:qFormat/>
    <w:rsid w:val="008A1DBD"/>
    <w:pPr>
      <w:keepNext/>
      <w:spacing w:line="220" w:lineRule="atLeast"/>
    </w:pPr>
    <w:rPr>
      <w:rFonts w:eastAsia="Cambria" w:cs="Times New Roman"/>
      <w:b/>
      <w:szCs w:val="22"/>
    </w:rPr>
  </w:style>
  <w:style w:type="character" w:customStyle="1" w:styleId="Heading7Char">
    <w:name w:val="Heading 7 Char"/>
    <w:basedOn w:val="DefaultParagraphFont"/>
    <w:link w:val="Heading7"/>
    <w:uiPriority w:val="9"/>
    <w:rsid w:val="008A1DBD"/>
    <w:rPr>
      <w:rFonts w:asciiTheme="majorHAnsi" w:eastAsiaTheme="majorEastAsia" w:hAnsiTheme="majorHAnsi" w:cstheme="majorBidi"/>
      <w:i/>
      <w:iCs/>
      <w:color w:val="1F3763" w:themeColor="accent1" w:themeShade="7F"/>
      <w:sz w:val="22"/>
    </w:rPr>
  </w:style>
  <w:style w:type="paragraph" w:styleId="Caption">
    <w:name w:val="caption"/>
    <w:basedOn w:val="Normal"/>
    <w:next w:val="Normal"/>
    <w:uiPriority w:val="35"/>
    <w:unhideWhenUsed/>
    <w:qFormat/>
    <w:rsid w:val="000E5474"/>
    <w:pPr>
      <w:spacing w:after="200" w:line="240" w:lineRule="auto"/>
    </w:pPr>
    <w:rPr>
      <w:i/>
      <w:iCs/>
      <w:color w:val="44546A" w:themeColor="text2"/>
      <w:sz w:val="18"/>
      <w:szCs w:val="18"/>
    </w:rPr>
  </w:style>
  <w:style w:type="character" w:customStyle="1" w:styleId="ui-provider">
    <w:name w:val="ui-provider"/>
    <w:basedOn w:val="DefaultParagraphFont"/>
    <w:rsid w:val="006D5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6681">
      <w:bodyDiv w:val="1"/>
      <w:marLeft w:val="0"/>
      <w:marRight w:val="0"/>
      <w:marTop w:val="0"/>
      <w:marBottom w:val="0"/>
      <w:divBdr>
        <w:top w:val="none" w:sz="0" w:space="0" w:color="auto"/>
        <w:left w:val="none" w:sz="0" w:space="0" w:color="auto"/>
        <w:bottom w:val="none" w:sz="0" w:space="0" w:color="auto"/>
        <w:right w:val="none" w:sz="0" w:space="0" w:color="auto"/>
      </w:divBdr>
    </w:div>
    <w:div w:id="253631657">
      <w:bodyDiv w:val="1"/>
      <w:marLeft w:val="0"/>
      <w:marRight w:val="0"/>
      <w:marTop w:val="0"/>
      <w:marBottom w:val="0"/>
      <w:divBdr>
        <w:top w:val="none" w:sz="0" w:space="0" w:color="auto"/>
        <w:left w:val="none" w:sz="0" w:space="0" w:color="auto"/>
        <w:bottom w:val="none" w:sz="0" w:space="0" w:color="auto"/>
        <w:right w:val="none" w:sz="0" w:space="0" w:color="auto"/>
      </w:divBdr>
    </w:div>
    <w:div w:id="443886796">
      <w:bodyDiv w:val="1"/>
      <w:marLeft w:val="0"/>
      <w:marRight w:val="0"/>
      <w:marTop w:val="0"/>
      <w:marBottom w:val="0"/>
      <w:divBdr>
        <w:top w:val="none" w:sz="0" w:space="0" w:color="auto"/>
        <w:left w:val="none" w:sz="0" w:space="0" w:color="auto"/>
        <w:bottom w:val="none" w:sz="0" w:space="0" w:color="auto"/>
        <w:right w:val="none" w:sz="0" w:space="0" w:color="auto"/>
      </w:divBdr>
      <w:divsChild>
        <w:div w:id="226771504">
          <w:marLeft w:val="0"/>
          <w:marRight w:val="0"/>
          <w:marTop w:val="0"/>
          <w:marBottom w:val="0"/>
          <w:divBdr>
            <w:top w:val="none" w:sz="0" w:space="0" w:color="auto"/>
            <w:left w:val="none" w:sz="0" w:space="0" w:color="auto"/>
            <w:bottom w:val="none" w:sz="0" w:space="0" w:color="auto"/>
            <w:right w:val="none" w:sz="0" w:space="0" w:color="auto"/>
          </w:divBdr>
        </w:div>
        <w:div w:id="810054137">
          <w:marLeft w:val="0"/>
          <w:marRight w:val="0"/>
          <w:marTop w:val="0"/>
          <w:marBottom w:val="0"/>
          <w:divBdr>
            <w:top w:val="none" w:sz="0" w:space="0" w:color="auto"/>
            <w:left w:val="none" w:sz="0" w:space="0" w:color="auto"/>
            <w:bottom w:val="none" w:sz="0" w:space="0" w:color="auto"/>
            <w:right w:val="none" w:sz="0" w:space="0" w:color="auto"/>
          </w:divBdr>
          <w:divsChild>
            <w:div w:id="778181421">
              <w:marLeft w:val="0"/>
              <w:marRight w:val="0"/>
              <w:marTop w:val="0"/>
              <w:marBottom w:val="0"/>
              <w:divBdr>
                <w:top w:val="none" w:sz="0" w:space="0" w:color="auto"/>
                <w:left w:val="none" w:sz="0" w:space="0" w:color="auto"/>
                <w:bottom w:val="none" w:sz="0" w:space="0" w:color="auto"/>
                <w:right w:val="none" w:sz="0" w:space="0" w:color="auto"/>
              </w:divBdr>
              <w:divsChild>
                <w:div w:id="180976283">
                  <w:marLeft w:val="0"/>
                  <w:marRight w:val="0"/>
                  <w:marTop w:val="0"/>
                  <w:marBottom w:val="0"/>
                  <w:divBdr>
                    <w:top w:val="none" w:sz="0" w:space="0" w:color="auto"/>
                    <w:left w:val="none" w:sz="0" w:space="0" w:color="auto"/>
                    <w:bottom w:val="none" w:sz="0" w:space="0" w:color="auto"/>
                    <w:right w:val="none" w:sz="0" w:space="0" w:color="auto"/>
                  </w:divBdr>
                  <w:divsChild>
                    <w:div w:id="1039862211">
                      <w:marLeft w:val="0"/>
                      <w:marRight w:val="0"/>
                      <w:marTop w:val="0"/>
                      <w:marBottom w:val="0"/>
                      <w:divBdr>
                        <w:top w:val="none" w:sz="0" w:space="0" w:color="auto"/>
                        <w:left w:val="none" w:sz="0" w:space="0" w:color="auto"/>
                        <w:bottom w:val="none" w:sz="0" w:space="0" w:color="auto"/>
                        <w:right w:val="none" w:sz="0" w:space="0" w:color="auto"/>
                      </w:divBdr>
                      <w:divsChild>
                        <w:div w:id="1032995376">
                          <w:marLeft w:val="0"/>
                          <w:marRight w:val="0"/>
                          <w:marTop w:val="0"/>
                          <w:marBottom w:val="0"/>
                          <w:divBdr>
                            <w:top w:val="none" w:sz="0" w:space="0" w:color="auto"/>
                            <w:left w:val="none" w:sz="0" w:space="0" w:color="auto"/>
                            <w:bottom w:val="none" w:sz="0" w:space="0" w:color="auto"/>
                            <w:right w:val="none" w:sz="0" w:space="0" w:color="auto"/>
                          </w:divBdr>
                          <w:divsChild>
                            <w:div w:id="641816150">
                              <w:marLeft w:val="0"/>
                              <w:marRight w:val="0"/>
                              <w:marTop w:val="0"/>
                              <w:marBottom w:val="285"/>
                              <w:divBdr>
                                <w:top w:val="none" w:sz="0" w:space="0" w:color="auto"/>
                                <w:left w:val="none" w:sz="0" w:space="0" w:color="auto"/>
                                <w:bottom w:val="none" w:sz="0" w:space="0" w:color="auto"/>
                                <w:right w:val="none" w:sz="0" w:space="0" w:color="auto"/>
                              </w:divBdr>
                            </w:div>
                            <w:div w:id="11208026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8538687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3.emf"/><Relationship Id="rId21" Type="http://schemas.openxmlformats.org/officeDocument/2006/relationships/hyperlink" Target="https://www.tga.gov.au/products/australian-register-therapeutic-goods-artg" TargetMode="External"/><Relationship Id="rId34" Type="http://schemas.openxmlformats.org/officeDocument/2006/relationships/image" Target="media/image8.png"/><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emf"/><Relationship Id="rId55" Type="http://schemas.openxmlformats.org/officeDocument/2006/relationships/hyperlink" Target="https://www.tga.gov.au/publication/risk-management-plans-medicines-and-biologicals" TargetMode="External"/><Relationship Id="rId63" Type="http://schemas.openxmlformats.org/officeDocument/2006/relationships/hyperlink" Target="https://www.tga.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australian-register-therapeutic-goods-artg/consumer-medicines-information-cmi"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yperlink" Target="https://www.tga.gov.au/committee/advisory-committee-medicines-acm"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product-information-one" TargetMode="External"/><Relationship Id="rId28" Type="http://schemas.openxmlformats.org/officeDocument/2006/relationships/hyperlink" Target="https://www.tga.gov.au/resources/resource/international-scientific-guidelines/international-scientific-guidelines-appendix-1-guideline-evaluation-anticancer-medicinal-products-man-methodological-consideration-using-progression-free-survival-pfs-or-disease-free-survival-dfs" TargetMode="External"/><Relationship Id="rId36" Type="http://schemas.openxmlformats.org/officeDocument/2006/relationships/image" Target="media/image10.png"/><Relationship Id="rId49" Type="http://schemas.openxmlformats.org/officeDocument/2006/relationships/image" Target="media/image23.emf"/><Relationship Id="rId57" Type="http://schemas.openxmlformats.org/officeDocument/2006/relationships/hyperlink" Target="https://www.tga.gov.au/resources/resource/guidance/risk-management-plans-medicines-and-biologicals/australia-specific-annex-eu-rmp"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ga.gov.au/project-orbis" TargetMode="External"/><Relationship Id="rId31" Type="http://schemas.openxmlformats.org/officeDocument/2006/relationships/image" Target="media/image5.emf"/><Relationship Id="rId44" Type="http://schemas.openxmlformats.org/officeDocument/2006/relationships/image" Target="media/image18.png"/><Relationship Id="rId52" Type="http://schemas.openxmlformats.org/officeDocument/2006/relationships/image" Target="media/image26.emf"/><Relationship Id="rId60" Type="http://schemas.openxmlformats.org/officeDocument/2006/relationships/header" Target="header3.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product-information-one" TargetMode="External"/><Relationship Id="rId27" Type="http://schemas.openxmlformats.org/officeDocument/2006/relationships/hyperlink" Target="https://www.tga.gov.au/resources/resource/international-scientific-guidelines/international-scientific-guideline-guideline-evaluation-anticancer-medicinal-products-man" TargetMode="External"/><Relationship Id="rId30" Type="http://schemas.openxmlformats.org/officeDocument/2006/relationships/image" Target="media/image4.emf"/><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hyperlink" Target="https://www.tga.gov.au/tgas-risk-management-approach"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picmi-search-facility"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image" Target="media/image20.png"/><Relationship Id="rId59" Type="http://schemas.openxmlformats.org/officeDocument/2006/relationships/hyperlink" Target="https://www.tga.gov.au/picmi-search-facility" TargetMode="External"/><Relationship Id="rId67" Type="http://schemas.openxmlformats.org/officeDocument/2006/relationships/theme" Target="theme/theme1.xml"/><Relationship Id="rId20" Type="http://schemas.openxmlformats.org/officeDocument/2006/relationships/hyperlink" Target="https://www.tga.gov.au/products/australian-register-therapeutic-goods-artg" TargetMode="External"/><Relationship Id="rId41" Type="http://schemas.openxmlformats.org/officeDocument/2006/relationships/image" Target="media/image15.emf"/><Relationship Id="rId54" Type="http://schemas.openxmlformats.org/officeDocument/2006/relationships/hyperlink" Target="https://www.tga.gov.au/resources/resource/guidance/risk-management-plans-medicines-and-biologicals/when-rmp-required" TargetMode="External"/><Relationship Id="rId6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linicaltrials.gov/" TargetMode="External"/><Relationship Id="rId2" Type="http://schemas.openxmlformats.org/officeDocument/2006/relationships/hyperlink" Target="https://seer.cancer.gov/csr/1975_2016/" TargetMode="External"/><Relationship Id="rId1" Type="http://schemas.openxmlformats.org/officeDocument/2006/relationships/hyperlink" Target="https://www.aihw.gov.au/getmedia/8c9fcf52-0055-41a0-96d9-f81b0feb98cf/aihw-can-123.pdf.aspx?inline=tru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TaxCatchAll xmlns="2da0982e-0f9d-4525-92cd-42452a6082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8DE63-FB7B-445E-AEA9-9C902E86A38D}">
  <ds:schemaRefs>
    <ds:schemaRef ds:uri="http://schemas.microsoft.com/office/2006/metadata/properties"/>
    <ds:schemaRef ds:uri="http://schemas.microsoft.com/office/infopath/2007/PartnerControls"/>
    <ds:schemaRef ds:uri="f8e007dd-a2ae-40d7-a15a-7fdace1322ad"/>
    <ds:schemaRef ds:uri="2da0982e-0f9d-4525-92cd-42452a6082d6"/>
  </ds:schemaRefs>
</ds:datastoreItem>
</file>

<file path=customXml/itemProps2.xml><?xml version="1.0" encoding="utf-8"?>
<ds:datastoreItem xmlns:ds="http://schemas.openxmlformats.org/officeDocument/2006/customXml" ds:itemID="{8C6CBA18-435F-4689-A76E-E8B58D013FBC}">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AF76D378-3BBB-42E8-896B-38DD6E4AA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51</Pages>
  <Words>14339</Words>
  <Characters>81020</Characters>
  <Application>Microsoft Office Word</Application>
  <DocSecurity>0</DocSecurity>
  <Lines>2700</Lines>
  <Paragraphs>1869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TGA</Company>
  <LinksUpToDate>false</LinksUpToDate>
  <CharactersWithSpaces>93490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Keytruda</dc:title>
  <dc:subject>Prescription medicines</dc:subject>
  <dc:creator>Therapeutic Goods Administration</dc:creator>
  <cp:keywords/>
  <dc:description/>
  <cp:lastModifiedBy>LACK, Janet</cp:lastModifiedBy>
  <cp:revision>3</cp:revision>
  <dcterms:created xsi:type="dcterms:W3CDTF">2023-09-04T01:09:00Z</dcterms:created>
  <dcterms:modified xsi:type="dcterms:W3CDTF">2023-09-04T01:34:00Z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0x010100BEAAFF769D30864DB32681B6C11085F2</vt:lpwstr>
  </property>
  <property fmtid="{D5CDD505-2E9C-101B-9397-08002B2CF9AE}" pid="4" name="MSIP_Label_e81acc0d-dcc4-4dc9-a2c5-be70b05a2fe6_Enabled">
    <vt:lpwstr>true</vt:lpwstr>
  </property>
  <property fmtid="{D5CDD505-2E9C-101B-9397-08002B2CF9AE}" pid="5" name="MSIP_Label_e81acc0d-dcc4-4dc9-a2c5-be70b05a2fe6_SetDate">
    <vt:lpwstr>2023-05-25T13:36:07Z</vt:lpwstr>
  </property>
  <property fmtid="{D5CDD505-2E9C-101B-9397-08002B2CF9AE}" pid="6" name="MSIP_Label_e81acc0d-dcc4-4dc9-a2c5-be70b05a2fe6_Method">
    <vt:lpwstr>Privileged</vt:lpwstr>
  </property>
  <property fmtid="{D5CDD505-2E9C-101B-9397-08002B2CF9AE}" pid="7" name="MSIP_Label_e81acc0d-dcc4-4dc9-a2c5-be70b05a2fe6_Name">
    <vt:lpwstr>e81acc0d-dcc4-4dc9-a2c5-be70b05a2fe6</vt:lpwstr>
  </property>
  <property fmtid="{D5CDD505-2E9C-101B-9397-08002B2CF9AE}" pid="8" name="MSIP_Label_e81acc0d-dcc4-4dc9-a2c5-be70b05a2fe6_SiteId">
    <vt:lpwstr>a00de4ec-48a8-43a6-be74-e31274e2060d</vt:lpwstr>
  </property>
  <property fmtid="{D5CDD505-2E9C-101B-9397-08002B2CF9AE}" pid="9" name="MSIP_Label_e81acc0d-dcc4-4dc9-a2c5-be70b05a2fe6_ActionId">
    <vt:lpwstr>e22f23fb-a2f3-4821-ab8f-9b06e4f25135</vt:lpwstr>
  </property>
  <property fmtid="{D5CDD505-2E9C-101B-9397-08002B2CF9AE}" pid="10" name="MSIP_Label_e81acc0d-dcc4-4dc9-a2c5-be70b05a2fe6_ContentBits">
    <vt:lpwstr>0</vt:lpwstr>
  </property>
  <property fmtid="{D5CDD505-2E9C-101B-9397-08002B2CF9AE}" pid="11" name="MerckAIPLabel">
    <vt:lpwstr>NotClassified</vt:lpwstr>
  </property>
  <property fmtid="{D5CDD505-2E9C-101B-9397-08002B2CF9AE}" pid="12" name="MerckAIPDataExchange">
    <vt:lpwstr>!MRKMIP@NotClassified</vt:lpwstr>
  </property>
</Properties>
</file>