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F02AEC" w:rsidRPr="00215D48" w14:paraId="77FAC49C" w14:textId="77777777" w:rsidTr="002E4391">
        <w:trPr>
          <w:trHeight w:val="2002"/>
        </w:trPr>
        <w:tc>
          <w:tcPr>
            <w:tcW w:w="9021" w:type="dxa"/>
          </w:tcPr>
          <w:p w14:paraId="0BAC9C74" w14:textId="5C53341D" w:rsidR="002E4391" w:rsidRPr="00215D48" w:rsidRDefault="00522B11" w:rsidP="002B29B2">
            <w:pPr>
              <w:pStyle w:val="Title"/>
            </w:pPr>
            <w:bookmarkStart w:id="0" w:name="_Hlk141944147"/>
            <w:r>
              <w:t>Notice of interim decisions to amend (or not amend) the current Poisons Standard</w:t>
            </w:r>
            <w:r w:rsidR="00730B47">
              <w:t xml:space="preserve"> with regards to lead</w:t>
            </w:r>
            <w:bookmarkEnd w:id="0"/>
          </w:p>
        </w:tc>
      </w:tr>
      <w:tr w:rsidR="00F02AEC" w:rsidRPr="00215D48" w14:paraId="708AC3B4" w14:textId="77777777" w:rsidTr="002E4391">
        <w:trPr>
          <w:trHeight w:val="2141"/>
        </w:trPr>
        <w:tc>
          <w:tcPr>
            <w:tcW w:w="9021" w:type="dxa"/>
          </w:tcPr>
          <w:p w14:paraId="6A5596E5" w14:textId="59E4DC6A" w:rsidR="002E4391" w:rsidRPr="00215D48" w:rsidRDefault="00403EB7" w:rsidP="002B29B2">
            <w:pPr>
              <w:pStyle w:val="Subtitle"/>
              <w:ind w:left="0"/>
            </w:pPr>
            <w:r>
              <w:t>3</w:t>
            </w:r>
            <w:r w:rsidR="00522B11">
              <w:t xml:space="preserve"> </w:t>
            </w:r>
            <w:r w:rsidR="00D671B2">
              <w:t>August</w:t>
            </w:r>
            <w:r w:rsidR="00522B11">
              <w:t xml:space="preserve"> 20</w:t>
            </w:r>
            <w:r w:rsidR="00D671B2">
              <w:t>23</w:t>
            </w:r>
          </w:p>
        </w:tc>
      </w:tr>
      <w:tr w:rsidR="00F02AEC" w:rsidRPr="00215D48" w14:paraId="30616D62" w14:textId="77777777" w:rsidTr="002E4391">
        <w:trPr>
          <w:trHeight w:val="486"/>
        </w:trPr>
        <w:tc>
          <w:tcPr>
            <w:tcW w:w="9021" w:type="dxa"/>
          </w:tcPr>
          <w:p w14:paraId="1682BB8A" w14:textId="6F7CEE70" w:rsidR="00F02AEC" w:rsidRPr="00215D48" w:rsidRDefault="00F02AEC" w:rsidP="00F54CA9">
            <w:pPr>
              <w:pStyle w:val="Date"/>
            </w:pPr>
          </w:p>
        </w:tc>
      </w:tr>
    </w:tbl>
    <w:p w14:paraId="24AE10AF" w14:textId="77777777" w:rsidR="00F02AEC" w:rsidRPr="00215D48" w:rsidRDefault="00F02AEC" w:rsidP="00B24FF5">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44C2D95F" w14:textId="77777777" w:rsidR="00F02AEC" w:rsidRPr="0090744F" w:rsidRDefault="00F02AEC" w:rsidP="00BA0DFC">
      <w:pPr>
        <w:pStyle w:val="LegalSubheading"/>
        <w:rPr>
          <w:rFonts w:asciiTheme="minorHAnsi" w:hAnsiTheme="minorHAnsi" w:cstheme="minorHAnsi"/>
          <w:color w:val="auto"/>
        </w:rPr>
      </w:pPr>
      <w:r w:rsidRPr="0090744F">
        <w:rPr>
          <w:rFonts w:asciiTheme="minorHAnsi" w:hAnsiTheme="minorHAnsi" w:cstheme="minorHAnsi"/>
          <w:color w:val="auto"/>
        </w:rPr>
        <w:lastRenderedPageBreak/>
        <w:t>Copyright</w:t>
      </w:r>
    </w:p>
    <w:p w14:paraId="0219FC83" w14:textId="362771E4" w:rsidR="00930D58" w:rsidRPr="0090744F" w:rsidRDefault="00F02AEC" w:rsidP="00FA49C3">
      <w:pPr>
        <w:pStyle w:val="LegalCopy"/>
        <w:rPr>
          <w:rFonts w:asciiTheme="minorHAnsi" w:hAnsiTheme="minorHAnsi" w:cstheme="minorHAnsi"/>
          <w:color w:val="auto"/>
        </w:rPr>
      </w:pPr>
      <w:r w:rsidRPr="0090744F">
        <w:rPr>
          <w:rFonts w:asciiTheme="minorHAnsi" w:hAnsiTheme="minorHAnsi" w:cstheme="minorHAnsi"/>
          <w:color w:val="auto"/>
        </w:rPr>
        <w:t>© Commonwealth of Australia 202</w:t>
      </w:r>
      <w:r w:rsidR="00522B11" w:rsidRPr="0090744F">
        <w:rPr>
          <w:rFonts w:asciiTheme="minorHAnsi" w:hAnsiTheme="minorHAnsi" w:cstheme="minorHAnsi"/>
          <w:color w:val="auto"/>
        </w:rPr>
        <w:t>3</w:t>
      </w:r>
      <w:r w:rsidRPr="0090744F">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0744F">
        <w:rPr>
          <w:rFonts w:asciiTheme="minorHAnsi" w:hAnsiTheme="minorHAnsi" w:cstheme="minorHAnsi"/>
          <w:i/>
          <w:color w:val="auto"/>
        </w:rPr>
        <w:t>Copyright Act 1968</w:t>
      </w:r>
      <w:r w:rsidRPr="0090744F">
        <w:rPr>
          <w:rFonts w:asciiTheme="minorHAnsi" w:hAnsiTheme="minorHAnsi" w:cstheme="minorHAnsi"/>
          <w:color w:val="auto"/>
        </w:rPr>
        <w:t xml:space="preserve"> or allowed by this copyright notice, all other rights are </w:t>
      </w:r>
      <w:proofErr w:type="gramStart"/>
      <w:r w:rsidRPr="0090744F">
        <w:rPr>
          <w:rFonts w:asciiTheme="minorHAnsi" w:hAnsiTheme="minorHAnsi" w:cstheme="minorHAnsi"/>
          <w:color w:val="auto"/>
        </w:rPr>
        <w:t>reserved</w:t>
      </w:r>
      <w:proofErr w:type="gramEnd"/>
      <w:r w:rsidRPr="0090744F">
        <w:rPr>
          <w:rFonts w:asciiTheme="minorHAnsi" w:hAnsiTheme="minorHAnsi" w:cstheme="minorHAnsi"/>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0744F">
          <w:rPr>
            <w:rStyle w:val="Hyperlink"/>
            <w:rFonts w:asciiTheme="minorHAnsi" w:hAnsiTheme="minorHAnsi" w:cstheme="minorHAnsi"/>
            <w:color w:val="auto"/>
          </w:rPr>
          <w:t>tga.copyright@tga.gov.au</w:t>
        </w:r>
      </w:hyperlink>
      <w:r w:rsidRPr="0090744F">
        <w:rPr>
          <w:rFonts w:asciiTheme="minorHAnsi" w:hAnsiTheme="minorHAnsi" w:cstheme="minorHAnsi"/>
          <w:color w:val="auto"/>
        </w:rPr>
        <w:t>&gt;.</w:t>
      </w:r>
    </w:p>
    <w:p w14:paraId="39F8EFC1" w14:textId="0225CA68" w:rsidR="00175CD8" w:rsidRPr="0090744F" w:rsidRDefault="00175CD8" w:rsidP="00175CD8">
      <w:pPr>
        <w:rPr>
          <w:rFonts w:cstheme="minorHAnsi"/>
        </w:rPr>
      </w:pPr>
    </w:p>
    <w:p w14:paraId="73EF69EA" w14:textId="77777777" w:rsidR="0090744F" w:rsidRPr="0090744F" w:rsidRDefault="0090744F" w:rsidP="0090744F">
      <w:pPr>
        <w:rPr>
          <w:rFonts w:cstheme="minorHAnsi"/>
          <w:b/>
          <w:sz w:val="17"/>
          <w:szCs w:val="17"/>
        </w:rPr>
      </w:pPr>
      <w:r w:rsidRPr="0090744F">
        <w:rPr>
          <w:rFonts w:cstheme="minorHAnsi"/>
          <w:b/>
          <w:sz w:val="17"/>
          <w:szCs w:val="17"/>
        </w:rPr>
        <w:t>Confidentiality</w:t>
      </w:r>
    </w:p>
    <w:p w14:paraId="42BF299F" w14:textId="77777777" w:rsidR="0090744F" w:rsidRPr="0090744F" w:rsidRDefault="0090744F" w:rsidP="0090744F">
      <w:pPr>
        <w:rPr>
          <w:rFonts w:cstheme="minorHAnsi"/>
          <w:sz w:val="17"/>
          <w:szCs w:val="17"/>
        </w:rPr>
      </w:pPr>
      <w:r w:rsidRPr="0090744F">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7ED2B179" w14:textId="77777777" w:rsidR="0090744F" w:rsidRPr="00FA49C3" w:rsidRDefault="0090744F"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1E128181" w14:textId="77777777" w:rsidR="00F02AEC" w:rsidRPr="00215D48" w:rsidRDefault="00F02AEC" w:rsidP="00035110">
          <w:pPr>
            <w:pStyle w:val="NonTOCheading2"/>
          </w:pPr>
          <w:r w:rsidRPr="00215D48">
            <w:t>Contents</w:t>
          </w:r>
        </w:p>
        <w:p w14:paraId="594B1E3C" w14:textId="74B9FEFA" w:rsidR="002E4391"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0130720" w:history="1">
            <w:r w:rsidR="002E4391" w:rsidRPr="005A61A4">
              <w:rPr>
                <w:rStyle w:val="Hyperlink"/>
                <w:noProof/>
              </w:rPr>
              <w:t xml:space="preserve">Notice of interim decisions made under Regulation 42ZCZN of the </w:t>
            </w:r>
            <w:r w:rsidR="002E4391" w:rsidRPr="005A61A4">
              <w:rPr>
                <w:rStyle w:val="Hyperlink"/>
                <w:i/>
                <w:iCs/>
                <w:noProof/>
              </w:rPr>
              <w:t>Therapeutic Goods Regulations 1990</w:t>
            </w:r>
            <w:r w:rsidR="002E4391">
              <w:rPr>
                <w:noProof/>
                <w:webHidden/>
              </w:rPr>
              <w:tab/>
            </w:r>
            <w:r w:rsidR="002E4391">
              <w:rPr>
                <w:noProof/>
                <w:webHidden/>
              </w:rPr>
              <w:fldChar w:fldCharType="begin"/>
            </w:r>
            <w:r w:rsidR="002E4391">
              <w:rPr>
                <w:noProof/>
                <w:webHidden/>
              </w:rPr>
              <w:instrText xml:space="preserve"> PAGEREF _Toc140130720 \h </w:instrText>
            </w:r>
            <w:r w:rsidR="002E4391">
              <w:rPr>
                <w:noProof/>
                <w:webHidden/>
              </w:rPr>
            </w:r>
            <w:r w:rsidR="002E4391">
              <w:rPr>
                <w:noProof/>
                <w:webHidden/>
              </w:rPr>
              <w:fldChar w:fldCharType="separate"/>
            </w:r>
            <w:r w:rsidR="002E4391">
              <w:rPr>
                <w:noProof/>
                <w:webHidden/>
              </w:rPr>
              <w:t>4</w:t>
            </w:r>
            <w:r w:rsidR="002E4391">
              <w:rPr>
                <w:noProof/>
                <w:webHidden/>
              </w:rPr>
              <w:fldChar w:fldCharType="end"/>
            </w:r>
          </w:hyperlink>
        </w:p>
        <w:p w14:paraId="31D3C521" w14:textId="346EF5CD" w:rsidR="002E4391" w:rsidRDefault="003D3B65">
          <w:pPr>
            <w:pStyle w:val="TOC1"/>
            <w:rPr>
              <w:rFonts w:asciiTheme="minorHAnsi" w:eastAsiaTheme="minorEastAsia" w:hAnsiTheme="minorHAnsi" w:cstheme="minorBidi"/>
              <w:b w:val="0"/>
              <w:noProof/>
              <w:color w:val="auto"/>
              <w:sz w:val="22"/>
              <w:szCs w:val="22"/>
              <w:lang w:eastAsia="en-AU"/>
            </w:rPr>
          </w:pPr>
          <w:hyperlink w:anchor="_Toc140130721" w:history="1">
            <w:r w:rsidR="002E4391" w:rsidRPr="005A61A4">
              <w:rPr>
                <w:rStyle w:val="Hyperlink"/>
                <w:noProof/>
              </w:rPr>
              <w:t>Interim decision on a proposed amendment referred to the Advisory Committees on Medicines and Chemicals Scheduling in joint session (ACMS-ACCS #34, June 2023)</w:t>
            </w:r>
            <w:r w:rsidR="002E4391">
              <w:rPr>
                <w:noProof/>
                <w:webHidden/>
              </w:rPr>
              <w:tab/>
            </w:r>
            <w:r w:rsidR="002E4391">
              <w:rPr>
                <w:noProof/>
                <w:webHidden/>
              </w:rPr>
              <w:fldChar w:fldCharType="begin"/>
            </w:r>
            <w:r w:rsidR="002E4391">
              <w:rPr>
                <w:noProof/>
                <w:webHidden/>
              </w:rPr>
              <w:instrText xml:space="preserve"> PAGEREF _Toc140130721 \h </w:instrText>
            </w:r>
            <w:r w:rsidR="002E4391">
              <w:rPr>
                <w:noProof/>
                <w:webHidden/>
              </w:rPr>
            </w:r>
            <w:r w:rsidR="002E4391">
              <w:rPr>
                <w:noProof/>
                <w:webHidden/>
              </w:rPr>
              <w:fldChar w:fldCharType="separate"/>
            </w:r>
            <w:r w:rsidR="002E4391">
              <w:rPr>
                <w:noProof/>
                <w:webHidden/>
              </w:rPr>
              <w:t>5</w:t>
            </w:r>
            <w:r w:rsidR="002E4391">
              <w:rPr>
                <w:noProof/>
                <w:webHidden/>
              </w:rPr>
              <w:fldChar w:fldCharType="end"/>
            </w:r>
          </w:hyperlink>
        </w:p>
        <w:p w14:paraId="243E5AF5" w14:textId="3282608F" w:rsidR="002E4391" w:rsidRDefault="003D3B65">
          <w:pPr>
            <w:pStyle w:val="TOC2"/>
            <w:rPr>
              <w:rFonts w:asciiTheme="minorHAnsi" w:eastAsiaTheme="minorEastAsia" w:hAnsiTheme="minorHAnsi" w:cstheme="minorBidi"/>
              <w:b w:val="0"/>
              <w:noProof/>
              <w:color w:val="auto"/>
              <w:sz w:val="22"/>
              <w:szCs w:val="22"/>
              <w:lang w:eastAsia="en-AU"/>
            </w:rPr>
          </w:pPr>
          <w:hyperlink w:anchor="_Toc140130722" w:history="1">
            <w:r w:rsidR="002E4391" w:rsidRPr="005A61A4">
              <w:rPr>
                <w:rStyle w:val="Hyperlink"/>
                <w:noProof/>
              </w:rPr>
              <w:t>Interim decision in relation to lead</w:t>
            </w:r>
            <w:r w:rsidR="002E4391">
              <w:rPr>
                <w:noProof/>
                <w:webHidden/>
              </w:rPr>
              <w:tab/>
            </w:r>
            <w:r w:rsidR="002E4391">
              <w:rPr>
                <w:noProof/>
                <w:webHidden/>
              </w:rPr>
              <w:fldChar w:fldCharType="begin"/>
            </w:r>
            <w:r w:rsidR="002E4391">
              <w:rPr>
                <w:noProof/>
                <w:webHidden/>
              </w:rPr>
              <w:instrText xml:space="preserve"> PAGEREF _Toc140130722 \h </w:instrText>
            </w:r>
            <w:r w:rsidR="002E4391">
              <w:rPr>
                <w:noProof/>
                <w:webHidden/>
              </w:rPr>
            </w:r>
            <w:r w:rsidR="002E4391">
              <w:rPr>
                <w:noProof/>
                <w:webHidden/>
              </w:rPr>
              <w:fldChar w:fldCharType="separate"/>
            </w:r>
            <w:r w:rsidR="002E4391">
              <w:rPr>
                <w:noProof/>
                <w:webHidden/>
              </w:rPr>
              <w:t>5</w:t>
            </w:r>
            <w:r w:rsidR="002E4391">
              <w:rPr>
                <w:noProof/>
                <w:webHidden/>
              </w:rPr>
              <w:fldChar w:fldCharType="end"/>
            </w:r>
          </w:hyperlink>
        </w:p>
        <w:p w14:paraId="74F18401" w14:textId="073425ED" w:rsidR="00F02AEC" w:rsidRPr="00215D48" w:rsidRDefault="00F02AEC" w:rsidP="00F401EF">
          <w:r w:rsidRPr="00215D48">
            <w:fldChar w:fldCharType="end"/>
          </w:r>
        </w:p>
      </w:sdtContent>
    </w:sdt>
    <w:p w14:paraId="706207E8" w14:textId="77777777" w:rsidR="00F02AEC" w:rsidRPr="00215D48" w:rsidRDefault="00F02AEC" w:rsidP="0055653F">
      <w:r w:rsidRPr="00215D48">
        <w:br w:type="page"/>
      </w:r>
    </w:p>
    <w:p w14:paraId="7BD63EB2" w14:textId="7DCFC458" w:rsidR="00F02AEC" w:rsidRDefault="00522B11" w:rsidP="0078745C">
      <w:pPr>
        <w:pStyle w:val="Heading2"/>
        <w:rPr>
          <w:i/>
          <w:iCs/>
        </w:rPr>
      </w:pPr>
      <w:bookmarkStart w:id="1" w:name="_Toc140130720"/>
      <w:r>
        <w:lastRenderedPageBreak/>
        <w:t xml:space="preserve">Notice of interim decisions made under Regulation 42ZCZN of the </w:t>
      </w:r>
      <w:r w:rsidRPr="00522B11">
        <w:rPr>
          <w:i/>
          <w:iCs/>
        </w:rPr>
        <w:t>Therapeutic Goods Regulations 1990</w:t>
      </w:r>
      <w:bookmarkEnd w:id="1"/>
    </w:p>
    <w:p w14:paraId="26AC5317" w14:textId="4FB40799" w:rsidR="00522B11" w:rsidRPr="009421DD" w:rsidRDefault="00522B11" w:rsidP="00522B11">
      <w:pPr>
        <w:rPr>
          <w:szCs w:val="22"/>
        </w:rPr>
      </w:pPr>
      <w:r w:rsidRPr="009421DD">
        <w:rPr>
          <w:szCs w:val="22"/>
        </w:rPr>
        <w:t xml:space="preserve">This web publication constitutes a notice for the purposes of regulation 42ZCZP of the </w:t>
      </w:r>
      <w:r w:rsidRPr="009421DD">
        <w:rPr>
          <w:i/>
          <w:iCs/>
          <w:szCs w:val="22"/>
        </w:rPr>
        <w:t>Therapeutic Goods Regulations 1990</w:t>
      </w:r>
      <w:r w:rsidRPr="009421DD">
        <w:rPr>
          <w:szCs w:val="22"/>
        </w:rPr>
        <w:t xml:space="preserve"> (the </w:t>
      </w:r>
      <w:r w:rsidRPr="009421DD">
        <w:rPr>
          <w:b/>
          <w:bCs/>
          <w:szCs w:val="22"/>
        </w:rPr>
        <w:t>Regulations</w:t>
      </w:r>
      <w:r w:rsidRPr="009421DD">
        <w:rPr>
          <w:szCs w:val="22"/>
        </w:rPr>
        <w:t>). In accordance with regulation 42ZCZP, this notice sets out:</w:t>
      </w:r>
    </w:p>
    <w:p w14:paraId="48944635" w14:textId="07EA092C" w:rsidR="00522B11" w:rsidRPr="002935AB" w:rsidRDefault="00522B11" w:rsidP="00522B11">
      <w:pPr>
        <w:pStyle w:val="ListBullet"/>
        <w:rPr>
          <w:rFonts w:ascii="Calibri" w:hAnsi="Calibri" w:cs="Calibri"/>
          <w:color w:val="000000" w:themeColor="text1"/>
          <w:szCs w:val="22"/>
        </w:rPr>
      </w:pPr>
      <w:r w:rsidRPr="002935AB">
        <w:rPr>
          <w:rFonts w:ascii="Calibri" w:hAnsi="Calibri" w:cs="Calibri"/>
          <w:color w:val="000000" w:themeColor="text1"/>
          <w:szCs w:val="22"/>
        </w:rPr>
        <w:t>the interim decision made by a delegate of the Secretary</w:t>
      </w:r>
      <w:r w:rsidR="00F40C78" w:rsidRPr="002935AB">
        <w:rPr>
          <w:rFonts w:ascii="Calibri" w:hAnsi="Calibri" w:cs="Calibri"/>
          <w:color w:val="000000" w:themeColor="text1"/>
          <w:szCs w:val="22"/>
        </w:rPr>
        <w:t xml:space="preserve"> of the Department of Health and Aged Care (the </w:t>
      </w:r>
      <w:r w:rsidR="00F40C78" w:rsidRPr="002935AB">
        <w:rPr>
          <w:rFonts w:ascii="Calibri" w:hAnsi="Calibri" w:cs="Calibri"/>
          <w:b/>
          <w:bCs/>
          <w:color w:val="000000" w:themeColor="text1"/>
          <w:szCs w:val="22"/>
        </w:rPr>
        <w:t>Delegate</w:t>
      </w:r>
      <w:r w:rsidR="00F40C78" w:rsidRPr="002935AB">
        <w:rPr>
          <w:rFonts w:ascii="Calibri" w:hAnsi="Calibri" w:cs="Calibri"/>
          <w:color w:val="000000" w:themeColor="text1"/>
          <w:szCs w:val="22"/>
        </w:rPr>
        <w:t>)</w:t>
      </w:r>
      <w:r w:rsidRPr="002935AB">
        <w:rPr>
          <w:rFonts w:ascii="Calibri" w:hAnsi="Calibri" w:cs="Calibri"/>
          <w:color w:val="000000" w:themeColor="text1"/>
          <w:szCs w:val="22"/>
        </w:rPr>
        <w:t xml:space="preserve"> under regulation 42ZCZN in relation to</w:t>
      </w:r>
      <w:r w:rsidR="00F40C78" w:rsidRPr="002935AB">
        <w:rPr>
          <w:rFonts w:ascii="Calibri" w:hAnsi="Calibri" w:cs="Calibri"/>
          <w:color w:val="000000" w:themeColor="text1"/>
          <w:szCs w:val="22"/>
        </w:rPr>
        <w:t xml:space="preserve"> </w:t>
      </w:r>
      <w:r w:rsidRPr="002935AB">
        <w:rPr>
          <w:rFonts w:ascii="Calibri" w:hAnsi="Calibri" w:cs="Calibri"/>
          <w:color w:val="000000" w:themeColor="text1"/>
          <w:szCs w:val="22"/>
        </w:rPr>
        <w:t>a proposed amendment to the current Poisons Standard which was referred to an expert advisory committee</w:t>
      </w:r>
      <w:r w:rsidR="009421DD" w:rsidRPr="002935AB">
        <w:rPr>
          <w:rStyle w:val="FootnoteReference"/>
          <w:rFonts w:ascii="Calibri" w:hAnsi="Calibri" w:cs="Calibri"/>
          <w:color w:val="000000" w:themeColor="text1"/>
          <w:szCs w:val="22"/>
        </w:rPr>
        <w:footnoteReference w:id="2"/>
      </w:r>
      <w:r w:rsidRPr="002935AB">
        <w:rPr>
          <w:rFonts w:ascii="Calibri" w:hAnsi="Calibri" w:cs="Calibri"/>
          <w:color w:val="000000" w:themeColor="text1"/>
          <w:szCs w:val="22"/>
        </w:rPr>
        <w:t xml:space="preserve"> under subdivision 3D.2 of the Regulations in </w:t>
      </w:r>
      <w:r w:rsidR="00F40C78" w:rsidRPr="002935AB">
        <w:rPr>
          <w:rFonts w:ascii="Calibri" w:hAnsi="Calibri" w:cs="Calibri"/>
          <w:color w:val="000000" w:themeColor="text1"/>
          <w:szCs w:val="22"/>
        </w:rPr>
        <w:t>June 2023</w:t>
      </w:r>
      <w:r w:rsidR="006B57FC">
        <w:rPr>
          <w:rFonts w:ascii="Calibri" w:hAnsi="Calibri" w:cs="Calibri"/>
          <w:color w:val="000000" w:themeColor="text1"/>
          <w:szCs w:val="22"/>
        </w:rPr>
        <w:t>.</w:t>
      </w:r>
    </w:p>
    <w:p w14:paraId="28BAC8D2" w14:textId="7FC00A1A" w:rsidR="00522B11" w:rsidRPr="002935AB" w:rsidRDefault="00522B11" w:rsidP="00522B11">
      <w:pPr>
        <w:pStyle w:val="ListBullet"/>
        <w:rPr>
          <w:rFonts w:ascii="Calibri" w:hAnsi="Calibri" w:cs="Calibri"/>
          <w:color w:val="000000" w:themeColor="text1"/>
          <w:szCs w:val="22"/>
        </w:rPr>
      </w:pPr>
      <w:r w:rsidRPr="002935AB">
        <w:rPr>
          <w:rFonts w:ascii="Calibri" w:hAnsi="Calibri" w:cs="Calibri"/>
          <w:color w:val="000000" w:themeColor="text1"/>
          <w:szCs w:val="22"/>
        </w:rPr>
        <w:t>the proposed date of effect of the proposed amendmen</w:t>
      </w:r>
      <w:r w:rsidR="00F40C78" w:rsidRPr="002935AB">
        <w:rPr>
          <w:rFonts w:ascii="Calibri" w:hAnsi="Calibri" w:cs="Calibri"/>
          <w:color w:val="000000" w:themeColor="text1"/>
          <w:szCs w:val="22"/>
        </w:rPr>
        <w:t>t</w:t>
      </w:r>
      <w:r w:rsidR="00BF5EE2" w:rsidRPr="002935AB">
        <w:rPr>
          <w:rFonts w:ascii="Calibri" w:hAnsi="Calibri" w:cs="Calibri"/>
          <w:color w:val="000000" w:themeColor="text1"/>
          <w:szCs w:val="22"/>
        </w:rPr>
        <w:t>.</w:t>
      </w:r>
    </w:p>
    <w:p w14:paraId="28F69095" w14:textId="0BE88E27" w:rsidR="00522B11" w:rsidRPr="009421DD" w:rsidRDefault="00522B11" w:rsidP="00522B11">
      <w:pPr>
        <w:rPr>
          <w:szCs w:val="22"/>
        </w:rPr>
      </w:pPr>
      <w:r w:rsidRPr="009421DD">
        <w:rPr>
          <w:szCs w:val="22"/>
        </w:rPr>
        <w:t xml:space="preserve">In accordance with regulation 42ZCZP, interested persons are invited to make submissions to the Secretary in </w:t>
      </w:r>
      <w:r w:rsidRPr="00BF5EE2">
        <w:rPr>
          <w:szCs w:val="22"/>
        </w:rPr>
        <w:t>relation to this interim</w:t>
      </w:r>
      <w:r w:rsidRPr="009421DD">
        <w:rPr>
          <w:szCs w:val="22"/>
        </w:rPr>
        <w:t xml:space="preserve"> decision on or </w:t>
      </w:r>
      <w:r w:rsidRPr="00BF5EE2">
        <w:rPr>
          <w:szCs w:val="22"/>
        </w:rPr>
        <w:t xml:space="preserve">before </w:t>
      </w:r>
      <w:r w:rsidR="00BF5EE2" w:rsidRPr="00BF5EE2">
        <w:rPr>
          <w:b/>
          <w:szCs w:val="22"/>
        </w:rPr>
        <w:t>1</w:t>
      </w:r>
      <w:r w:rsidRPr="00BF5EE2">
        <w:rPr>
          <w:b/>
          <w:szCs w:val="22"/>
        </w:rPr>
        <w:t xml:space="preserve"> </w:t>
      </w:r>
      <w:r w:rsidR="00BF5EE2">
        <w:rPr>
          <w:b/>
          <w:szCs w:val="22"/>
        </w:rPr>
        <w:t>September</w:t>
      </w:r>
      <w:r w:rsidRPr="00BF5EE2">
        <w:rPr>
          <w:b/>
          <w:szCs w:val="22"/>
        </w:rPr>
        <w:t xml:space="preserve"> 20</w:t>
      </w:r>
      <w:r w:rsidR="00BF5EE2" w:rsidRPr="00BF5EE2">
        <w:rPr>
          <w:b/>
          <w:szCs w:val="22"/>
        </w:rPr>
        <w:t>23.</w:t>
      </w:r>
    </w:p>
    <w:p w14:paraId="495BF5E5" w14:textId="3F9864E6" w:rsidR="00522B11" w:rsidRPr="009421DD" w:rsidRDefault="00522B11" w:rsidP="00522B11">
      <w:pPr>
        <w:rPr>
          <w:rFonts w:eastAsia="Times New Roman"/>
          <w:color w:val="000000"/>
          <w:szCs w:val="22"/>
          <w:lang w:val="en" w:eastAsia="en-AU"/>
        </w:rPr>
      </w:pPr>
      <w:r w:rsidRPr="009421DD">
        <w:rPr>
          <w:rFonts w:eastAsia="Times New Roman"/>
          <w:color w:val="000000"/>
          <w:szCs w:val="22"/>
          <w:lang w:val="en" w:eastAsia="en-AU"/>
        </w:rPr>
        <w:t xml:space="preserve">Submissions should be provided through our </w:t>
      </w:r>
      <w:hyperlink r:id="rId15" w:tgtFrame="_blank" w:history="1">
        <w:r w:rsidRPr="00BE168B">
          <w:rPr>
            <w:rFonts w:eastAsia="Times New Roman"/>
            <w:color w:val="0000FF"/>
            <w:szCs w:val="22"/>
            <w:u w:val="single"/>
            <w:lang w:val="en" w:eastAsia="en-AU"/>
          </w:rPr>
          <w:t>consultation hub</w:t>
        </w:r>
      </w:hyperlink>
      <w:r w:rsidRPr="00BE168B">
        <w:rPr>
          <w:rFonts w:eastAsia="Times New Roman"/>
          <w:color w:val="0000FF"/>
          <w:szCs w:val="22"/>
          <w:lang w:val="en" w:eastAsia="en-AU"/>
        </w:rPr>
        <w:t>.</w:t>
      </w:r>
      <w:r w:rsidRPr="009421DD">
        <w:rPr>
          <w:rFonts w:eastAsia="Times New Roman"/>
          <w:color w:val="000000"/>
          <w:szCs w:val="22"/>
          <w:lang w:val="en" w:eastAsia="en-AU"/>
        </w:rPr>
        <w:t xml:space="preserve"> Submissions will be considered by the Delegate in making the final decision.</w:t>
      </w:r>
    </w:p>
    <w:p w14:paraId="67F51D7E" w14:textId="77777777" w:rsidR="00522B11" w:rsidRPr="009421DD" w:rsidRDefault="00522B11" w:rsidP="00522B11">
      <w:pPr>
        <w:rPr>
          <w:szCs w:val="22"/>
        </w:rPr>
      </w:pPr>
      <w:r w:rsidRPr="009421DD">
        <w:rPr>
          <w:szCs w:val="22"/>
        </w:rPr>
        <w:t xml:space="preserve">Please note that in accordance with </w:t>
      </w:r>
      <w:proofErr w:type="spellStart"/>
      <w:r w:rsidRPr="009421DD">
        <w:rPr>
          <w:szCs w:val="22"/>
        </w:rPr>
        <w:t>subregulation</w:t>
      </w:r>
      <w:proofErr w:type="spellEnd"/>
      <w:r w:rsidRPr="009421DD">
        <w:rPr>
          <w:szCs w:val="22"/>
        </w:rPr>
        <w:t xml:space="preserve"> 42</w:t>
      </w:r>
      <w:proofErr w:type="gramStart"/>
      <w:r w:rsidRPr="009421DD">
        <w:rPr>
          <w:szCs w:val="22"/>
        </w:rPr>
        <w:t>ZCZQ(</w:t>
      </w:r>
      <w:proofErr w:type="gramEnd"/>
      <w:r w:rsidRPr="009421DD">
        <w:rPr>
          <w:szCs w:val="22"/>
        </w:rPr>
        <w:t>4) of the Regulations, the Secretary must publish all relevant submissions received, unless the Secretary considers the information to be confidential information.</w:t>
      </w:r>
    </w:p>
    <w:p w14:paraId="51A104F0" w14:textId="77777777" w:rsidR="00522B11" w:rsidRPr="009421DD" w:rsidRDefault="00522B11" w:rsidP="00222A19">
      <w:pPr>
        <w:pStyle w:val="Heading4"/>
      </w:pPr>
      <w:r w:rsidRPr="009421DD">
        <w:t>Defined terms</w:t>
      </w:r>
    </w:p>
    <w:p w14:paraId="744BA280" w14:textId="77777777" w:rsidR="00222A19" w:rsidRPr="00222A19" w:rsidRDefault="00222A19" w:rsidP="00222A19">
      <w:pPr>
        <w:rPr>
          <w:color w:val="000000" w:themeColor="text1"/>
          <w:szCs w:val="22"/>
        </w:rPr>
      </w:pPr>
      <w:r w:rsidRPr="00222A19">
        <w:rPr>
          <w:color w:val="000000" w:themeColor="text1"/>
          <w:szCs w:val="22"/>
        </w:rPr>
        <w:t>In this notice the following defined terms are used in addition to those above:</w:t>
      </w:r>
    </w:p>
    <w:p w14:paraId="14A5F539" w14:textId="77777777" w:rsidR="00222A19" w:rsidRPr="00222A19" w:rsidRDefault="00222A19" w:rsidP="00222A19">
      <w:pPr>
        <w:pStyle w:val="ListBullet"/>
        <w:rPr>
          <w:rFonts w:asciiTheme="minorHAnsi" w:hAnsiTheme="minorHAnsi" w:cstheme="minorHAnsi"/>
          <w:color w:val="000000" w:themeColor="text1"/>
        </w:rPr>
      </w:pPr>
      <w:r w:rsidRPr="00222A19">
        <w:rPr>
          <w:rFonts w:asciiTheme="minorHAnsi" w:hAnsiTheme="minorHAnsi" w:cstheme="minorHAnsi"/>
          <w:color w:val="000000" w:themeColor="text1"/>
        </w:rPr>
        <w:t xml:space="preserve">the </w:t>
      </w:r>
      <w:r w:rsidRPr="00025F93">
        <w:rPr>
          <w:rFonts w:asciiTheme="minorHAnsi" w:hAnsiTheme="minorHAnsi" w:cstheme="minorHAnsi"/>
          <w:i/>
          <w:iCs/>
          <w:color w:val="000000" w:themeColor="text1"/>
        </w:rPr>
        <w:t>Therapeutic Goods Act 1989</w:t>
      </w:r>
      <w:r w:rsidRPr="00222A19">
        <w:rPr>
          <w:rFonts w:asciiTheme="minorHAnsi" w:hAnsiTheme="minorHAnsi" w:cstheme="minorHAnsi"/>
          <w:color w:val="000000" w:themeColor="text1"/>
        </w:rPr>
        <w:t xml:space="preserve"> (</w:t>
      </w:r>
      <w:proofErr w:type="spellStart"/>
      <w:r w:rsidRPr="00222A19">
        <w:rPr>
          <w:rFonts w:asciiTheme="minorHAnsi" w:hAnsiTheme="minorHAnsi" w:cstheme="minorHAnsi"/>
          <w:color w:val="000000" w:themeColor="text1"/>
        </w:rPr>
        <w:t>Cth</w:t>
      </w:r>
      <w:proofErr w:type="spellEnd"/>
      <w:r w:rsidRPr="00222A19">
        <w:rPr>
          <w:rFonts w:asciiTheme="minorHAnsi" w:hAnsiTheme="minorHAnsi" w:cstheme="minorHAnsi"/>
          <w:color w:val="000000" w:themeColor="text1"/>
        </w:rPr>
        <w:t xml:space="preserve">) (the </w:t>
      </w:r>
      <w:r w:rsidRPr="00222A19">
        <w:rPr>
          <w:rFonts w:asciiTheme="minorHAnsi" w:hAnsiTheme="minorHAnsi" w:cstheme="minorHAnsi"/>
          <w:b/>
          <w:bCs/>
          <w:color w:val="000000" w:themeColor="text1"/>
        </w:rPr>
        <w:t>Act</w:t>
      </w:r>
      <w:r w:rsidRPr="00222A19">
        <w:rPr>
          <w:rFonts w:asciiTheme="minorHAnsi" w:hAnsiTheme="minorHAnsi" w:cstheme="minorHAnsi"/>
          <w:color w:val="000000" w:themeColor="text1"/>
        </w:rPr>
        <w:t>)</w:t>
      </w:r>
    </w:p>
    <w:p w14:paraId="3DBD54C3" w14:textId="78DC0DBA" w:rsidR="00222A19" w:rsidRPr="00222A19" w:rsidRDefault="00222A19" w:rsidP="00222A19">
      <w:pPr>
        <w:pStyle w:val="ListBullet"/>
        <w:rPr>
          <w:rFonts w:asciiTheme="minorHAnsi" w:hAnsiTheme="minorHAnsi" w:cstheme="minorHAnsi"/>
          <w:szCs w:val="22"/>
        </w:rPr>
      </w:pPr>
      <w:r w:rsidRPr="00222A19">
        <w:rPr>
          <w:rFonts w:asciiTheme="minorHAnsi" w:hAnsiTheme="minorHAnsi" w:cstheme="minorHAnsi"/>
          <w:color w:val="000000" w:themeColor="text1"/>
          <w:szCs w:val="22"/>
        </w:rPr>
        <w:t>the</w:t>
      </w:r>
      <w:r w:rsidRPr="00222A19">
        <w:rPr>
          <w:rFonts w:asciiTheme="minorHAnsi" w:hAnsiTheme="minorHAnsi" w:cstheme="minorHAnsi"/>
          <w:szCs w:val="22"/>
        </w:rPr>
        <w:t xml:space="preserve"> </w:t>
      </w:r>
      <w:hyperlink r:id="rId16" w:history="1">
        <w:r w:rsidRPr="00222A19">
          <w:rPr>
            <w:rStyle w:val="Hyperlink"/>
            <w:rFonts w:asciiTheme="minorHAnsi" w:hAnsiTheme="minorHAnsi" w:cstheme="minorHAnsi"/>
            <w:szCs w:val="22"/>
          </w:rPr>
          <w:t>Scheduling Policy Framework</w:t>
        </w:r>
      </w:hyperlink>
      <w:r w:rsidRPr="00222A19">
        <w:rPr>
          <w:rFonts w:asciiTheme="minorHAnsi" w:hAnsiTheme="minorHAnsi" w:cstheme="minorHAnsi"/>
          <w:szCs w:val="22"/>
        </w:rPr>
        <w:t xml:space="preserve"> </w:t>
      </w:r>
      <w:r w:rsidRPr="00222A19">
        <w:rPr>
          <w:rFonts w:asciiTheme="minorHAnsi" w:hAnsiTheme="minorHAnsi" w:cstheme="minorHAnsi"/>
          <w:color w:val="000000" w:themeColor="text1"/>
          <w:szCs w:val="22"/>
        </w:rPr>
        <w:t xml:space="preserve">2018 (the </w:t>
      </w:r>
      <w:r w:rsidRPr="00222A19">
        <w:rPr>
          <w:rFonts w:asciiTheme="minorHAnsi" w:hAnsiTheme="minorHAnsi" w:cstheme="minorHAnsi"/>
          <w:b/>
          <w:bCs/>
          <w:color w:val="000000" w:themeColor="text1"/>
          <w:szCs w:val="22"/>
        </w:rPr>
        <w:t>SPF</w:t>
      </w:r>
      <w:r w:rsidRPr="00222A19">
        <w:rPr>
          <w:rFonts w:asciiTheme="minorHAnsi" w:hAnsiTheme="minorHAnsi" w:cstheme="minorHAnsi"/>
          <w:color w:val="000000" w:themeColor="text1"/>
          <w:szCs w:val="22"/>
        </w:rPr>
        <w:t>)</w:t>
      </w:r>
    </w:p>
    <w:p w14:paraId="23699A81" w14:textId="248AB8B0" w:rsidR="00222A19" w:rsidRPr="00222A19" w:rsidRDefault="00222A19" w:rsidP="00222A19">
      <w:pPr>
        <w:pStyle w:val="ListBullet"/>
        <w:rPr>
          <w:rFonts w:asciiTheme="minorHAnsi" w:hAnsiTheme="minorHAnsi" w:cstheme="minorHAnsi"/>
          <w:color w:val="000000" w:themeColor="text1"/>
          <w:szCs w:val="22"/>
        </w:rPr>
      </w:pPr>
      <w:r w:rsidRPr="00222A19">
        <w:rPr>
          <w:rFonts w:asciiTheme="minorHAnsi" w:hAnsiTheme="minorHAnsi" w:cstheme="minorHAnsi"/>
          <w:color w:val="000000" w:themeColor="text1"/>
          <w:szCs w:val="22"/>
        </w:rPr>
        <w:t>the</w:t>
      </w:r>
      <w:r w:rsidRPr="00222A19">
        <w:rPr>
          <w:rFonts w:asciiTheme="minorHAnsi" w:hAnsiTheme="minorHAnsi" w:cstheme="minorHAnsi"/>
          <w:szCs w:val="22"/>
        </w:rPr>
        <w:t xml:space="preserve"> </w:t>
      </w:r>
      <w:hyperlink r:id="rId17" w:history="1">
        <w:r w:rsidRPr="00222A19">
          <w:rPr>
            <w:rStyle w:val="Hyperlink"/>
            <w:rFonts w:asciiTheme="minorHAnsi" w:hAnsiTheme="minorHAnsi" w:cstheme="minorHAnsi"/>
            <w:szCs w:val="22"/>
          </w:rPr>
          <w:t>Scheduling handbook: Guidance for amending the Poisons Standard</w:t>
        </w:r>
      </w:hyperlink>
      <w:r w:rsidRPr="00222A19">
        <w:rPr>
          <w:rFonts w:asciiTheme="minorHAnsi" w:hAnsiTheme="minorHAnsi" w:cstheme="minorHAnsi"/>
          <w:szCs w:val="22"/>
        </w:rPr>
        <w:t xml:space="preserve"> </w:t>
      </w:r>
      <w:r w:rsidRPr="00222A19">
        <w:rPr>
          <w:rFonts w:asciiTheme="minorHAnsi" w:hAnsiTheme="minorHAnsi" w:cstheme="minorHAnsi"/>
          <w:color w:val="000000" w:themeColor="text1"/>
          <w:szCs w:val="22"/>
        </w:rPr>
        <w:t xml:space="preserve">(the </w:t>
      </w:r>
      <w:r w:rsidRPr="00222A19">
        <w:rPr>
          <w:rFonts w:asciiTheme="minorHAnsi" w:hAnsiTheme="minorHAnsi" w:cstheme="minorHAnsi"/>
          <w:b/>
          <w:bCs/>
          <w:color w:val="000000" w:themeColor="text1"/>
          <w:szCs w:val="22"/>
        </w:rPr>
        <w:t>Handbook</w:t>
      </w:r>
      <w:r w:rsidRPr="00222A19">
        <w:rPr>
          <w:rFonts w:asciiTheme="minorHAnsi" w:hAnsiTheme="minorHAnsi" w:cstheme="minorHAnsi"/>
          <w:color w:val="000000" w:themeColor="text1"/>
          <w:szCs w:val="22"/>
        </w:rPr>
        <w:t>)</w:t>
      </w:r>
    </w:p>
    <w:p w14:paraId="2558FC4A" w14:textId="77777777" w:rsidR="00222A19" w:rsidRPr="00222A19" w:rsidRDefault="00222A19" w:rsidP="00222A19">
      <w:pPr>
        <w:pStyle w:val="ListBullet"/>
        <w:rPr>
          <w:rFonts w:asciiTheme="minorHAnsi" w:hAnsiTheme="minorHAnsi" w:cstheme="minorHAnsi"/>
          <w:color w:val="000000" w:themeColor="text1"/>
        </w:rPr>
      </w:pPr>
      <w:r w:rsidRPr="00222A19">
        <w:rPr>
          <w:rFonts w:asciiTheme="minorHAnsi" w:hAnsiTheme="minorHAnsi" w:cstheme="minorHAnsi"/>
          <w:color w:val="000000" w:themeColor="text1"/>
        </w:rPr>
        <w:t xml:space="preserve">the Therapeutic Goods Administration (the </w:t>
      </w:r>
      <w:r w:rsidRPr="00222A19">
        <w:rPr>
          <w:rFonts w:asciiTheme="minorHAnsi" w:hAnsiTheme="minorHAnsi" w:cstheme="minorHAnsi"/>
          <w:b/>
          <w:bCs/>
          <w:color w:val="000000" w:themeColor="text1"/>
        </w:rPr>
        <w:t>TGA</w:t>
      </w:r>
      <w:r w:rsidRPr="00222A19">
        <w:rPr>
          <w:rFonts w:asciiTheme="minorHAnsi" w:hAnsiTheme="minorHAnsi" w:cstheme="minorHAnsi"/>
          <w:color w:val="000000" w:themeColor="text1"/>
        </w:rPr>
        <w:t>).</w:t>
      </w:r>
    </w:p>
    <w:p w14:paraId="61D369EA" w14:textId="77777777" w:rsidR="00222A19" w:rsidRPr="00222A19" w:rsidRDefault="00222A19" w:rsidP="00222A19">
      <w:pPr>
        <w:rPr>
          <w:color w:val="000000" w:themeColor="text1"/>
          <w:szCs w:val="22"/>
        </w:rPr>
      </w:pPr>
      <w:r w:rsidRPr="00222A19">
        <w:rPr>
          <w:color w:val="000000" w:themeColor="text1"/>
          <w:szCs w:val="22"/>
        </w:rPr>
        <w:t>Note: additional terms are also be defined for individual decisions.</w:t>
      </w:r>
    </w:p>
    <w:p w14:paraId="318270C0" w14:textId="77777777" w:rsidR="009421DD" w:rsidRDefault="009421DD">
      <w:pPr>
        <w:rPr>
          <w:rFonts w:eastAsia="Cambria" w:cstheme="minorHAnsi"/>
          <w:color w:val="333F48"/>
        </w:rPr>
      </w:pPr>
      <w:r>
        <w:rPr>
          <w:rFonts w:cstheme="minorHAnsi"/>
        </w:rPr>
        <w:br w:type="page"/>
      </w:r>
    </w:p>
    <w:p w14:paraId="41673D1D" w14:textId="1B4F6884" w:rsidR="005A34E2" w:rsidRDefault="005A34E2" w:rsidP="005A34E2">
      <w:pPr>
        <w:pStyle w:val="Heading2"/>
      </w:pPr>
      <w:bookmarkStart w:id="2" w:name="_Toc140130721"/>
      <w:r>
        <w:lastRenderedPageBreak/>
        <w:t xml:space="preserve">Interim decision on </w:t>
      </w:r>
      <w:r w:rsidR="00D671B2">
        <w:t xml:space="preserve">a </w:t>
      </w:r>
      <w:r>
        <w:t>proposed amendment referred to the Advisory Committees on Medicines and Chemicals Scheduling</w:t>
      </w:r>
      <w:r w:rsidR="00CF3718">
        <w:t xml:space="preserve"> in joint session</w:t>
      </w:r>
      <w:r>
        <w:t xml:space="preserve"> (</w:t>
      </w:r>
      <w:r w:rsidR="00CF3718">
        <w:t>ACMS-</w:t>
      </w:r>
      <w:r>
        <w:t>ACCS #</w:t>
      </w:r>
      <w:r w:rsidR="00D671B2">
        <w:t>34</w:t>
      </w:r>
      <w:r>
        <w:t xml:space="preserve">, </w:t>
      </w:r>
      <w:r w:rsidR="00D671B2">
        <w:t>June</w:t>
      </w:r>
      <w:r>
        <w:t xml:space="preserve"> 20</w:t>
      </w:r>
      <w:r w:rsidR="00D671B2">
        <w:t>23</w:t>
      </w:r>
      <w:r>
        <w:t>)</w:t>
      </w:r>
      <w:bookmarkEnd w:id="2"/>
    </w:p>
    <w:p w14:paraId="30A0566E" w14:textId="5584D818" w:rsidR="005A34E2" w:rsidRPr="00215D48" w:rsidRDefault="005A34E2" w:rsidP="005A34E2">
      <w:pPr>
        <w:pStyle w:val="Heading3"/>
      </w:pPr>
      <w:bookmarkStart w:id="3" w:name="_Toc140130722"/>
      <w:r>
        <w:t xml:space="preserve">Interim decision in relation to </w:t>
      </w:r>
      <w:r w:rsidR="00D671B2">
        <w:t>lead</w:t>
      </w:r>
      <w:bookmarkEnd w:id="3"/>
    </w:p>
    <w:p w14:paraId="12208C16" w14:textId="2A14C832" w:rsidR="005A34E2" w:rsidRPr="007216E2" w:rsidRDefault="003A4036" w:rsidP="007216E2">
      <w:pPr>
        <w:rPr>
          <w:i/>
          <w:iCs/>
        </w:rPr>
      </w:pPr>
      <w:r>
        <w:rPr>
          <w:b/>
          <w:bCs/>
          <w:i/>
          <w:iCs/>
        </w:rPr>
        <w:t>Proposal</w:t>
      </w:r>
    </w:p>
    <w:p w14:paraId="624FF3F7" w14:textId="567C160E" w:rsidR="00925DD1" w:rsidRDefault="004B7ACE">
      <w:r>
        <w:t>A final decision to amend the Poisons Standard</w:t>
      </w:r>
      <w:r w:rsidR="005B3A96">
        <w:t xml:space="preserve"> was</w:t>
      </w:r>
      <w:r>
        <w:t xml:space="preserve"> published in September 2021 (the </w:t>
      </w:r>
      <w:hyperlink r:id="rId18" w:history="1">
        <w:r w:rsidRPr="005528AC">
          <w:rPr>
            <w:rStyle w:val="Hyperlink"/>
            <w:rFonts w:asciiTheme="minorHAnsi" w:hAnsiTheme="minorHAnsi"/>
            <w:b/>
            <w:bCs/>
          </w:rPr>
          <w:t>2021 Decision</w:t>
        </w:r>
      </w:hyperlink>
      <w:r>
        <w:rPr>
          <w:rStyle w:val="FootnoteReference"/>
          <w:b/>
          <w:bCs/>
        </w:rPr>
        <w:footnoteReference w:id="3"/>
      </w:r>
      <w:r>
        <w:t xml:space="preserve">) relevantly amended the scheduling </w:t>
      </w:r>
      <w:r w:rsidR="000E5936">
        <w:t xml:space="preserve">of lead to reduce the maximum permissible </w:t>
      </w:r>
      <w:r w:rsidR="00AA79CC">
        <w:t xml:space="preserve">level </w:t>
      </w:r>
      <w:r w:rsidR="00E87309">
        <w:t xml:space="preserve">of lead </w:t>
      </w:r>
      <w:r w:rsidR="00AA79CC">
        <w:t xml:space="preserve">in paints </w:t>
      </w:r>
      <w:r w:rsidR="00E87309">
        <w:t xml:space="preserve">to </w:t>
      </w:r>
      <w:r w:rsidR="00F801B5">
        <w:t>90 mg/kg (equivalent to 90 ppm or 0.009%)</w:t>
      </w:r>
      <w:r w:rsidR="00AA79CC">
        <w:t xml:space="preserve">. </w:t>
      </w:r>
      <w:r w:rsidR="002263C9">
        <w:t>Anti-fouling and anti-corrosive paints were exempted from the 2021 Decision a</w:t>
      </w:r>
      <w:r w:rsidR="003D246D">
        <w:t>nd</w:t>
      </w:r>
      <w:r w:rsidR="00AA79CC">
        <w:t xml:space="preserve"> retained the previous maximum permissible level of 0.1%. The delegate </w:t>
      </w:r>
      <w:r w:rsidR="002263C9">
        <w:t>of the 2021 Decision foreshadowed that</w:t>
      </w:r>
      <w:r w:rsidR="003D246D">
        <w:t xml:space="preserve"> </w:t>
      </w:r>
      <w:r w:rsidR="002D2E91">
        <w:t xml:space="preserve">the exemption </w:t>
      </w:r>
      <w:r w:rsidR="00A63929">
        <w:t>in relation to anti-fouling and anti-corrosive paints would be repealed by 1 October 2023</w:t>
      </w:r>
      <w:r w:rsidR="00BD20F3">
        <w:t xml:space="preserve">, in effect providing a two-year transition period for industry </w:t>
      </w:r>
      <w:r w:rsidR="007C56D1">
        <w:t>to develop</w:t>
      </w:r>
      <w:r w:rsidR="0007071A">
        <w:t xml:space="preserve"> paints that are compliant with </w:t>
      </w:r>
      <w:r w:rsidR="004E5998">
        <w:t>the 0.009% level</w:t>
      </w:r>
      <w:r w:rsidR="00A63929">
        <w:t>.</w:t>
      </w:r>
    </w:p>
    <w:p w14:paraId="7D7944B8" w14:textId="77777777" w:rsidR="008C4A66" w:rsidRDefault="00C01E05">
      <w:pPr>
        <w:rPr>
          <w:rFonts w:eastAsia="Times New Roman"/>
          <w:color w:val="000000"/>
          <w:szCs w:val="22"/>
          <w:lang w:val="en" w:eastAsia="en-AU"/>
        </w:rPr>
      </w:pPr>
      <w:r>
        <w:t>An application was received in December 2022</w:t>
      </w:r>
      <w:r>
        <w:rPr>
          <w:rStyle w:val="FootnoteReference"/>
        </w:rPr>
        <w:footnoteReference w:id="4"/>
      </w:r>
      <w:r>
        <w:t xml:space="preserve"> to amend </w:t>
      </w:r>
      <w:r w:rsidRPr="00C01E05">
        <w:t>the limit of lead in anti-fouling paints</w:t>
      </w:r>
      <w:r w:rsidR="003C67CE">
        <w:t xml:space="preserve"> to 600 mg/kg (equivalent to 600 ppm or 0.06%)</w:t>
      </w:r>
      <w:r>
        <w:t>.</w:t>
      </w:r>
      <w:r w:rsidR="0041118F">
        <w:t xml:space="preserve"> The applicant did not propose a change to the limit for anti-corrosive paints.</w:t>
      </w:r>
    </w:p>
    <w:p w14:paraId="597BF391" w14:textId="32EDAA30" w:rsidR="00C01E05" w:rsidRPr="006F1547" w:rsidRDefault="5AC903E3" w:rsidP="006F1547">
      <w:pPr>
        <w:rPr>
          <w:rFonts w:eastAsia="Times New Roman"/>
          <w:color w:val="000000"/>
          <w:lang w:val="en" w:eastAsia="en-AU"/>
        </w:rPr>
      </w:pPr>
      <w:r w:rsidRPr="77477234">
        <w:rPr>
          <w:rFonts w:eastAsia="Times New Roman"/>
          <w:color w:val="000000" w:themeColor="text1"/>
          <w:lang w:val="en" w:eastAsia="en-AU"/>
        </w:rPr>
        <w:t>Because the application sought to amend a future version of the Poisons Standard (being the version that was foreshadowed to be in force on 1 O</w:t>
      </w:r>
      <w:r w:rsidR="234DF742" w:rsidRPr="77477234">
        <w:rPr>
          <w:rFonts w:eastAsia="Times New Roman"/>
          <w:color w:val="000000" w:themeColor="text1"/>
          <w:lang w:val="en" w:eastAsia="en-AU"/>
        </w:rPr>
        <w:t>c</w:t>
      </w:r>
      <w:r w:rsidRPr="77477234">
        <w:rPr>
          <w:rFonts w:eastAsia="Times New Roman"/>
          <w:color w:val="000000" w:themeColor="text1"/>
          <w:lang w:val="en" w:eastAsia="en-AU"/>
        </w:rPr>
        <w:t xml:space="preserve">tober </w:t>
      </w:r>
      <w:r w:rsidR="517E003D" w:rsidRPr="77477234">
        <w:rPr>
          <w:rFonts w:eastAsia="Times New Roman"/>
          <w:color w:val="000000" w:themeColor="text1"/>
          <w:lang w:val="en" w:eastAsia="en-AU"/>
        </w:rPr>
        <w:t>2023)</w:t>
      </w:r>
      <w:r w:rsidR="00C01E05" w:rsidRPr="77477234">
        <w:rPr>
          <w:rFonts w:eastAsia="Times New Roman"/>
          <w:color w:val="000000" w:themeColor="text1"/>
          <w:lang w:val="en" w:eastAsia="en-AU"/>
        </w:rPr>
        <w:t xml:space="preserve">, </w:t>
      </w:r>
      <w:r w:rsidR="5097659E" w:rsidRPr="77477234">
        <w:rPr>
          <w:rFonts w:eastAsia="Times New Roman"/>
          <w:color w:val="000000" w:themeColor="text1"/>
          <w:lang w:val="en" w:eastAsia="en-AU"/>
        </w:rPr>
        <w:t xml:space="preserve">rather than the current Poisons Standard, </w:t>
      </w:r>
      <w:r w:rsidR="00C01E05" w:rsidRPr="77477234">
        <w:rPr>
          <w:rFonts w:eastAsia="Times New Roman"/>
          <w:color w:val="000000" w:themeColor="text1"/>
          <w:lang w:val="en" w:eastAsia="en-AU"/>
        </w:rPr>
        <w:t xml:space="preserve">the application </w:t>
      </w:r>
      <w:r w:rsidR="52D71A5B" w:rsidRPr="77477234">
        <w:rPr>
          <w:rFonts w:eastAsia="Times New Roman"/>
          <w:color w:val="000000" w:themeColor="text1"/>
          <w:lang w:val="en" w:eastAsia="en-AU"/>
        </w:rPr>
        <w:t>was not</w:t>
      </w:r>
      <w:r w:rsidR="00C01E05" w:rsidRPr="77477234">
        <w:rPr>
          <w:rFonts w:eastAsia="Times New Roman"/>
          <w:color w:val="000000" w:themeColor="text1"/>
          <w:lang w:val="en" w:eastAsia="en-AU"/>
        </w:rPr>
        <w:t xml:space="preserve"> valid. </w:t>
      </w:r>
      <w:r w:rsidR="6D6EBB01" w:rsidRPr="77477234">
        <w:rPr>
          <w:rFonts w:eastAsia="Times New Roman"/>
          <w:color w:val="000000" w:themeColor="text1"/>
          <w:lang w:val="en" w:eastAsia="en-AU"/>
        </w:rPr>
        <w:t>T</w:t>
      </w:r>
      <w:r w:rsidR="00C01E05" w:rsidRPr="77477234">
        <w:rPr>
          <w:rFonts w:eastAsia="Times New Roman"/>
          <w:color w:val="000000" w:themeColor="text1"/>
          <w:lang w:val="en" w:eastAsia="en-AU"/>
        </w:rPr>
        <w:t xml:space="preserve">his amendment is </w:t>
      </w:r>
      <w:r w:rsidR="7557BC49" w:rsidRPr="77477234">
        <w:rPr>
          <w:rFonts w:eastAsia="Times New Roman"/>
          <w:color w:val="000000" w:themeColor="text1"/>
          <w:lang w:val="en" w:eastAsia="en-AU"/>
        </w:rPr>
        <w:t xml:space="preserve">instead </w:t>
      </w:r>
      <w:r w:rsidR="00C01E05" w:rsidRPr="77477234">
        <w:rPr>
          <w:rFonts w:eastAsia="Times New Roman"/>
          <w:color w:val="000000" w:themeColor="text1"/>
          <w:lang w:val="en" w:eastAsia="en-AU"/>
        </w:rPr>
        <w:t>proceeding as a Secretary-initiated amendment under section 52D of the Act.</w:t>
      </w:r>
    </w:p>
    <w:p w14:paraId="07255719" w14:textId="77777777" w:rsidR="005A34E2" w:rsidRPr="007216E2" w:rsidRDefault="005A34E2" w:rsidP="007216E2">
      <w:pPr>
        <w:rPr>
          <w:i/>
          <w:iCs/>
        </w:rPr>
      </w:pPr>
      <w:r w:rsidRPr="007216E2">
        <w:rPr>
          <w:b/>
          <w:bCs/>
          <w:i/>
          <w:iCs/>
        </w:rPr>
        <w:t>Interim decision</w:t>
      </w:r>
    </w:p>
    <w:p w14:paraId="3E8B01B8" w14:textId="6D650156" w:rsidR="005A34E2" w:rsidRDefault="00350BD5" w:rsidP="005A34E2">
      <w:pPr>
        <w:spacing w:before="120"/>
      </w:pPr>
      <w:r>
        <w:t>T</w:t>
      </w:r>
      <w:r w:rsidR="005A34E2">
        <w:t xml:space="preserve">he </w:t>
      </w:r>
      <w:r w:rsidR="005A34E2" w:rsidRPr="00C72DAB">
        <w:t xml:space="preserve">Delegate </w:t>
      </w:r>
      <w:proofErr w:type="gramStart"/>
      <w:r w:rsidR="005A34E2" w:rsidRPr="00C72DAB">
        <w:t>has,</w:t>
      </w:r>
      <w:proofErr w:type="gramEnd"/>
      <w:r w:rsidR="005A34E2" w:rsidRPr="00C72DAB">
        <w:t xml:space="preserve"> </w:t>
      </w:r>
      <w:r w:rsidR="00642268">
        <w:t>on their own initiative</w:t>
      </w:r>
      <w:r w:rsidR="005A34E2" w:rsidRPr="00A4167A">
        <w:t>, made an interim decision</w:t>
      </w:r>
      <w:r>
        <w:rPr>
          <w:rStyle w:val="FootnoteReference"/>
        </w:rPr>
        <w:footnoteReference w:id="5"/>
      </w:r>
      <w:r w:rsidR="005A34E2" w:rsidRPr="00A4167A">
        <w:t xml:space="preserve"> to</w:t>
      </w:r>
      <w:r w:rsidR="00B95EC2">
        <w:t xml:space="preserve"> make </w:t>
      </w:r>
      <w:r w:rsidR="00A4167A" w:rsidRPr="00A4167A">
        <w:t>the following</w:t>
      </w:r>
      <w:r w:rsidR="00B95EC2">
        <w:t xml:space="preserve"> amendments to the Poisons Standard</w:t>
      </w:r>
      <w:r w:rsidR="005A34E2" w:rsidRPr="00A4167A">
        <w:t>:</w:t>
      </w:r>
      <w:r w:rsidR="00270CFA">
        <w:rPr>
          <w:rStyle w:val="FootnoteReference"/>
        </w:rPr>
        <w:footnoteReference w:id="6"/>
      </w:r>
    </w:p>
    <w:p w14:paraId="656D70B6" w14:textId="755E72EA" w:rsidR="00173817" w:rsidRPr="00D0237E" w:rsidRDefault="00173817" w:rsidP="00173817">
      <w:pPr>
        <w:ind w:left="426"/>
        <w:rPr>
          <w:b/>
          <w:color w:val="000000"/>
          <w:shd w:val="clear" w:color="auto" w:fill="FFFFFF"/>
        </w:rPr>
      </w:pPr>
      <w:r w:rsidRPr="00D0237E">
        <w:rPr>
          <w:b/>
          <w:color w:val="000000"/>
          <w:shd w:val="clear" w:color="auto" w:fill="FFFFFF"/>
        </w:rPr>
        <w:t xml:space="preserve">PART 2, </w:t>
      </w:r>
      <w:r w:rsidR="006B57FC">
        <w:rPr>
          <w:b/>
          <w:color w:val="000000"/>
          <w:shd w:val="clear" w:color="auto" w:fill="FFFFFF"/>
        </w:rPr>
        <w:t>DIVISION 9, SECTION 66</w:t>
      </w:r>
      <w:r>
        <w:rPr>
          <w:b/>
          <w:color w:val="000000"/>
          <w:shd w:val="clear" w:color="auto" w:fill="FFFFFF"/>
        </w:rPr>
        <w:t xml:space="preserve"> – Amend Section</w:t>
      </w:r>
    </w:p>
    <w:p w14:paraId="12439944" w14:textId="2C7B4424" w:rsidR="00642268" w:rsidRPr="00642268" w:rsidRDefault="00642268" w:rsidP="0012303C">
      <w:pPr>
        <w:spacing w:before="120" w:after="180" w:line="240" w:lineRule="atLeast"/>
        <w:ind w:left="1145" w:hanging="425"/>
        <w:rPr>
          <w:rFonts w:eastAsia="Cambria" w:cstheme="minorHAnsi"/>
          <w:i/>
          <w:iCs/>
          <w:color w:val="70AD47" w:themeColor="accent6"/>
        </w:rPr>
      </w:pPr>
    </w:p>
    <w:p w14:paraId="48C36295" w14:textId="358389A0" w:rsidR="0012303C" w:rsidRDefault="0012303C" w:rsidP="0012303C">
      <w:pPr>
        <w:spacing w:before="120" w:after="180" w:line="240" w:lineRule="atLeast"/>
        <w:ind w:left="1145" w:hanging="425"/>
        <w:rPr>
          <w:rFonts w:eastAsia="Cambria" w:cstheme="minorHAnsi"/>
        </w:rPr>
      </w:pPr>
      <w:r>
        <w:rPr>
          <w:rFonts w:eastAsia="Cambria" w:cstheme="minorHAnsi"/>
        </w:rPr>
        <w:t xml:space="preserve">(2) </w:t>
      </w:r>
      <w:r>
        <w:rPr>
          <w:rFonts w:eastAsia="Cambria" w:cstheme="minorHAnsi"/>
        </w:rPr>
        <w:tab/>
        <w:t xml:space="preserve">An </w:t>
      </w:r>
      <w:r w:rsidRPr="0005664A">
        <w:rPr>
          <w:rFonts w:eastAsia="Cambria" w:cstheme="minorHAnsi"/>
        </w:rPr>
        <w:t xml:space="preserve">anti-fouling </w:t>
      </w:r>
      <w:r w:rsidRPr="0005664A">
        <w:rPr>
          <w:rFonts w:eastAsia="Cambria" w:cstheme="minorHAnsi"/>
          <w:strike/>
          <w:color w:val="FF0000"/>
        </w:rPr>
        <w:t xml:space="preserve">or anti-corrosive </w:t>
      </w:r>
      <w:r>
        <w:rPr>
          <w:rFonts w:eastAsia="Cambria" w:cstheme="minorHAnsi"/>
        </w:rPr>
        <w:t xml:space="preserve">paint containing more than 0.1% lead (the proportion of lead for the purposes of this section is calculated as a percentage of the element present in the non-volatile content of the paint) must not be manufactured, </w:t>
      </w:r>
      <w:proofErr w:type="gramStart"/>
      <w:r>
        <w:rPr>
          <w:rFonts w:eastAsia="Cambria" w:cstheme="minorHAnsi"/>
        </w:rPr>
        <w:t>supplied</w:t>
      </w:r>
      <w:proofErr w:type="gramEnd"/>
      <w:r>
        <w:rPr>
          <w:rFonts w:eastAsia="Cambria" w:cstheme="minorHAnsi"/>
        </w:rPr>
        <w:t xml:space="preserve"> or used.</w:t>
      </w:r>
    </w:p>
    <w:p w14:paraId="0AA9DA7B" w14:textId="77777777" w:rsidR="0012303C" w:rsidRDefault="0012303C" w:rsidP="0012303C">
      <w:pPr>
        <w:spacing w:before="120" w:after="180" w:line="240" w:lineRule="atLeast"/>
        <w:ind w:left="1145" w:hanging="425"/>
        <w:rPr>
          <w:rFonts w:eastAsia="Cambria" w:cstheme="minorHAnsi"/>
        </w:rPr>
      </w:pPr>
      <w:r>
        <w:rPr>
          <w:rFonts w:eastAsia="Cambria" w:cstheme="minorHAnsi"/>
        </w:rPr>
        <w:t>(3)</w:t>
      </w:r>
      <w:r>
        <w:rPr>
          <w:rFonts w:eastAsia="Cambria" w:cstheme="minorHAnsi"/>
        </w:rPr>
        <w:tab/>
        <w:t>A paint (other than an anti-fouling</w:t>
      </w:r>
      <w:r w:rsidRPr="00C56EA8">
        <w:rPr>
          <w:rFonts w:eastAsia="Cambria" w:cstheme="minorHAnsi"/>
          <w:color w:val="FF0000"/>
        </w:rPr>
        <w:t xml:space="preserve"> </w:t>
      </w:r>
      <w:r w:rsidRPr="0005664A">
        <w:rPr>
          <w:rFonts w:eastAsia="Cambria" w:cstheme="minorHAnsi"/>
          <w:strike/>
          <w:color w:val="FF0000"/>
        </w:rPr>
        <w:t>or anti-corrosive</w:t>
      </w:r>
      <w:r w:rsidRPr="00C56EA8">
        <w:rPr>
          <w:rFonts w:eastAsia="Cambria" w:cstheme="minorHAnsi"/>
          <w:strike/>
          <w:color w:val="FF0000"/>
        </w:rPr>
        <w:t xml:space="preserve"> </w:t>
      </w:r>
      <w:r w:rsidRPr="0005664A">
        <w:rPr>
          <w:rFonts w:eastAsia="Cambria" w:cstheme="minorHAnsi"/>
        </w:rPr>
        <w:t>paint</w:t>
      </w:r>
      <w:r>
        <w:rPr>
          <w:rFonts w:eastAsia="Cambria" w:cstheme="minorHAnsi"/>
        </w:rPr>
        <w:t xml:space="preserve">) or tinter containing more than 0.009% lead (calculated as a percentage of the element present in the non-volatile content of the paint) must not be manufactured, </w:t>
      </w:r>
      <w:proofErr w:type="gramStart"/>
      <w:r>
        <w:rPr>
          <w:rFonts w:eastAsia="Cambria" w:cstheme="minorHAnsi"/>
        </w:rPr>
        <w:t>supplied</w:t>
      </w:r>
      <w:proofErr w:type="gramEnd"/>
      <w:r>
        <w:rPr>
          <w:rFonts w:eastAsia="Cambria" w:cstheme="minorHAnsi"/>
        </w:rPr>
        <w:t xml:space="preserve"> or used.</w:t>
      </w:r>
    </w:p>
    <w:p w14:paraId="78CEC74E" w14:textId="77777777" w:rsidR="00173817" w:rsidRDefault="00173817" w:rsidP="00173817">
      <w:pPr>
        <w:ind w:left="426"/>
        <w:rPr>
          <w:b/>
          <w:color w:val="000000"/>
          <w:shd w:val="clear" w:color="auto" w:fill="FFFFFF"/>
        </w:rPr>
      </w:pPr>
    </w:p>
    <w:p w14:paraId="14BCCB34" w14:textId="77777777" w:rsidR="005B3A96" w:rsidRDefault="005B3A96" w:rsidP="007216E2">
      <w:pPr>
        <w:spacing w:before="120" w:after="180" w:line="240" w:lineRule="atLeast"/>
        <w:ind w:left="425"/>
        <w:rPr>
          <w:rFonts w:eastAsia="Cambria" w:cstheme="minorHAnsi"/>
          <w:b/>
        </w:rPr>
      </w:pPr>
    </w:p>
    <w:p w14:paraId="77CC7274" w14:textId="7166EDC6" w:rsidR="0012303C" w:rsidRPr="002008D8" w:rsidRDefault="0012303C" w:rsidP="007216E2">
      <w:pPr>
        <w:spacing w:before="120" w:after="180" w:line="240" w:lineRule="atLeast"/>
        <w:ind w:left="425"/>
        <w:rPr>
          <w:rFonts w:eastAsia="Cambria" w:cstheme="minorHAnsi"/>
          <w:b/>
        </w:rPr>
      </w:pPr>
      <w:r w:rsidRPr="002008D8">
        <w:rPr>
          <w:rFonts w:eastAsia="Cambria" w:cstheme="minorHAnsi"/>
          <w:b/>
        </w:rPr>
        <w:lastRenderedPageBreak/>
        <w:t xml:space="preserve">Schedule </w:t>
      </w:r>
      <w:r>
        <w:rPr>
          <w:rFonts w:eastAsia="Cambria" w:cstheme="minorHAnsi"/>
          <w:b/>
        </w:rPr>
        <w:t>10</w:t>
      </w:r>
      <w:r w:rsidRPr="002008D8">
        <w:rPr>
          <w:rFonts w:eastAsia="Cambria" w:cstheme="minorHAnsi"/>
          <w:b/>
        </w:rPr>
        <w:t xml:space="preserve"> –</w:t>
      </w:r>
      <w:r>
        <w:rPr>
          <w:rFonts w:eastAsia="Cambria" w:cstheme="minorHAnsi"/>
          <w:b/>
        </w:rPr>
        <w:t xml:space="preserve"> </w:t>
      </w:r>
      <w:r w:rsidRPr="002008D8">
        <w:rPr>
          <w:rFonts w:eastAsia="Cambria" w:cstheme="minorHAnsi"/>
          <w:b/>
        </w:rPr>
        <w:t>Amend Entry</w:t>
      </w:r>
    </w:p>
    <w:p w14:paraId="24860C73" w14:textId="4ABE425D" w:rsidR="00642268" w:rsidRPr="006F1547" w:rsidRDefault="0012303C" w:rsidP="0012303C">
      <w:pPr>
        <w:shd w:val="clear" w:color="auto" w:fill="FFFFFF"/>
        <w:spacing w:after="0" w:line="240" w:lineRule="auto"/>
        <w:ind w:left="851"/>
        <w:rPr>
          <w:rFonts w:eastAsia="Times New Roman" w:cstheme="minorHAnsi"/>
          <w:i/>
          <w:iCs/>
          <w:color w:val="000000"/>
          <w:szCs w:val="22"/>
          <w:lang w:eastAsia="en-AU"/>
        </w:rPr>
      </w:pPr>
      <w:r>
        <w:rPr>
          <w:rFonts w:eastAsia="Times New Roman" w:cstheme="minorHAnsi"/>
          <w:color w:val="000000"/>
          <w:szCs w:val="22"/>
          <w:lang w:eastAsia="en-AU"/>
        </w:rPr>
        <w:t>LEAD COMPOUNDS</w:t>
      </w:r>
      <w:r w:rsidRPr="002008D8">
        <w:rPr>
          <w:rFonts w:eastAsia="Times New Roman" w:cstheme="minorHAnsi"/>
          <w:color w:val="000000"/>
          <w:szCs w:val="22"/>
          <w:lang w:eastAsia="en-AU"/>
        </w:rPr>
        <w:t xml:space="preserve"> </w:t>
      </w:r>
    </w:p>
    <w:tbl>
      <w:tblPr>
        <w:tblStyle w:val="TableGrid1"/>
        <w:tblW w:w="7840" w:type="dxa"/>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0"/>
      </w:tblGrid>
      <w:tr w:rsidR="0012303C" w:rsidRPr="002008D8" w14:paraId="2178808E" w14:textId="77777777" w:rsidTr="007216E2">
        <w:tc>
          <w:tcPr>
            <w:tcW w:w="7840" w:type="dxa"/>
            <w:hideMark/>
          </w:tcPr>
          <w:p w14:paraId="03AD112C" w14:textId="77777777" w:rsidR="0012303C" w:rsidRPr="002008D8" w:rsidRDefault="0012303C" w:rsidP="0012303C">
            <w:pPr>
              <w:numPr>
                <w:ilvl w:val="0"/>
                <w:numId w:val="13"/>
              </w:numPr>
              <w:spacing w:before="120" w:after="120" w:line="240" w:lineRule="atLeast"/>
              <w:rPr>
                <w:rFonts w:asciiTheme="minorHAnsi" w:hAnsiTheme="minorHAnsi" w:cstheme="minorHAnsi"/>
                <w:i/>
                <w:iCs/>
                <w:strike/>
                <w:color w:val="FF0000"/>
                <w:szCs w:val="20"/>
                <w:lang w:eastAsia="en-US"/>
              </w:rPr>
            </w:pPr>
            <w:r w:rsidRPr="00A4167A">
              <w:rPr>
                <w:rFonts w:asciiTheme="minorHAnsi" w:hAnsiTheme="minorHAnsi" w:cstheme="minorHAnsi"/>
                <w:szCs w:val="20"/>
                <w:lang w:eastAsia="en-US"/>
              </w:rPr>
              <w:t xml:space="preserve">in anti-fouling </w:t>
            </w:r>
            <w:r>
              <w:rPr>
                <w:rFonts w:asciiTheme="minorHAnsi" w:hAnsiTheme="minorHAnsi" w:cstheme="minorHAnsi"/>
                <w:strike/>
                <w:color w:val="FF0000"/>
                <w:szCs w:val="20"/>
                <w:lang w:eastAsia="en-US"/>
              </w:rPr>
              <w:t>or anti-corrosive</w:t>
            </w:r>
            <w:r w:rsidRPr="00A4167A">
              <w:rPr>
                <w:rFonts w:asciiTheme="minorHAnsi" w:hAnsiTheme="minorHAnsi" w:cstheme="minorHAnsi"/>
                <w:strike/>
                <w:color w:val="FF0000"/>
                <w:szCs w:val="20"/>
                <w:lang w:eastAsia="en-US"/>
              </w:rPr>
              <w:t xml:space="preserve"> </w:t>
            </w:r>
            <w:r w:rsidRPr="00A4167A">
              <w:rPr>
                <w:rFonts w:asciiTheme="minorHAnsi" w:hAnsiTheme="minorHAnsi" w:cstheme="minorHAnsi"/>
                <w:szCs w:val="20"/>
                <w:lang w:eastAsia="en-US"/>
              </w:rPr>
              <w:t>paints</w:t>
            </w:r>
            <w:r w:rsidRPr="00A4167A">
              <w:rPr>
                <w:rFonts w:asciiTheme="minorHAnsi" w:hAnsiTheme="minorHAnsi" w:cstheme="minorHAnsi"/>
                <w:color w:val="FF0000"/>
                <w:szCs w:val="20"/>
                <w:lang w:eastAsia="en-US"/>
              </w:rPr>
              <w:t xml:space="preserve"> </w:t>
            </w:r>
            <w:r w:rsidRPr="00A4167A">
              <w:rPr>
                <w:rFonts w:asciiTheme="minorHAnsi" w:hAnsiTheme="minorHAnsi" w:cstheme="minorHAnsi"/>
                <w:b/>
                <w:bCs/>
                <w:szCs w:val="20"/>
                <w:lang w:eastAsia="en-US"/>
              </w:rPr>
              <w:t>except</w:t>
            </w:r>
            <w:r w:rsidRPr="00A4167A">
              <w:rPr>
                <w:rFonts w:asciiTheme="minorHAnsi" w:hAnsiTheme="minorHAnsi" w:cstheme="minorHAnsi"/>
                <w:szCs w:val="20"/>
                <w:lang w:eastAsia="en-US"/>
              </w:rPr>
              <w:t xml:space="preserve"> in preparations containing</w:t>
            </w:r>
            <w:r>
              <w:rPr>
                <w:rFonts w:asciiTheme="minorHAnsi" w:hAnsiTheme="minorHAnsi" w:cstheme="minorHAnsi"/>
                <w:szCs w:val="20"/>
                <w:lang w:eastAsia="en-US"/>
              </w:rPr>
              <w:t xml:space="preserve"> </w:t>
            </w:r>
            <w:r w:rsidRPr="00A4167A">
              <w:rPr>
                <w:rFonts w:asciiTheme="minorHAnsi" w:hAnsiTheme="minorHAnsi" w:cstheme="minorHAnsi"/>
                <w:szCs w:val="20"/>
                <w:lang w:eastAsia="en-US"/>
              </w:rPr>
              <w:t>0.1% or less of lead calculated on the non-volatile content of the paint; or</w:t>
            </w:r>
          </w:p>
        </w:tc>
      </w:tr>
      <w:tr w:rsidR="0012303C" w:rsidRPr="002008D8" w14:paraId="4218EBB7" w14:textId="77777777" w:rsidTr="007216E2">
        <w:tc>
          <w:tcPr>
            <w:tcW w:w="7840" w:type="dxa"/>
            <w:hideMark/>
          </w:tcPr>
          <w:p w14:paraId="26E88A93" w14:textId="66A0DEB4" w:rsidR="00F43069" w:rsidRPr="00F43069" w:rsidRDefault="0012303C" w:rsidP="00F43069">
            <w:pPr>
              <w:numPr>
                <w:ilvl w:val="0"/>
                <w:numId w:val="13"/>
              </w:numPr>
              <w:spacing w:before="120" w:after="120" w:line="240" w:lineRule="atLeast"/>
              <w:rPr>
                <w:rFonts w:asciiTheme="minorHAnsi" w:hAnsiTheme="minorHAnsi" w:cstheme="minorHAnsi"/>
                <w:szCs w:val="22"/>
              </w:rPr>
            </w:pPr>
            <w:r w:rsidRPr="007237CC">
              <w:rPr>
                <w:rFonts w:asciiTheme="minorHAnsi" w:hAnsiTheme="minorHAnsi" w:cstheme="minorHAnsi"/>
                <w:szCs w:val="22"/>
              </w:rPr>
              <w:t xml:space="preserve">in paints (other than anti-fouling </w:t>
            </w:r>
            <w:r w:rsidRPr="007237CC">
              <w:rPr>
                <w:rFonts w:asciiTheme="minorHAnsi" w:hAnsiTheme="minorHAnsi" w:cstheme="minorHAnsi"/>
                <w:strike/>
                <w:color w:val="FF0000"/>
                <w:szCs w:val="22"/>
              </w:rPr>
              <w:t>or anti-corrosive</w:t>
            </w:r>
            <w:r w:rsidRPr="00C56EA8">
              <w:rPr>
                <w:rFonts w:asciiTheme="minorHAnsi" w:hAnsiTheme="minorHAnsi" w:cstheme="minorHAnsi"/>
                <w:strike/>
                <w:color w:val="FF0000"/>
                <w:szCs w:val="22"/>
              </w:rPr>
              <w:t xml:space="preserve"> </w:t>
            </w:r>
            <w:r w:rsidRPr="007237CC">
              <w:rPr>
                <w:rFonts w:asciiTheme="minorHAnsi" w:hAnsiTheme="minorHAnsi" w:cstheme="minorHAnsi"/>
                <w:szCs w:val="22"/>
              </w:rPr>
              <w:t xml:space="preserve">paints), tinters, </w:t>
            </w:r>
            <w:proofErr w:type="gramStart"/>
            <w:r w:rsidRPr="007237CC">
              <w:rPr>
                <w:rFonts w:asciiTheme="minorHAnsi" w:hAnsiTheme="minorHAnsi" w:cstheme="minorHAnsi"/>
                <w:szCs w:val="22"/>
              </w:rPr>
              <w:t>inks</w:t>
            </w:r>
            <w:proofErr w:type="gramEnd"/>
            <w:r w:rsidRPr="007237CC">
              <w:rPr>
                <w:rFonts w:asciiTheme="minorHAnsi" w:hAnsiTheme="minorHAnsi" w:cstheme="minorHAnsi"/>
                <w:szCs w:val="22"/>
              </w:rPr>
              <w:t xml:space="preserve"> or ink additives except in preparations containing 0.009% or less of lead calculated on the non-volatile content of the paint, tinter, ink or ink additive.</w:t>
            </w:r>
          </w:p>
        </w:tc>
      </w:tr>
    </w:tbl>
    <w:p w14:paraId="13DA18F8" w14:textId="77777777" w:rsidR="005A34E2" w:rsidRPr="005A34E2" w:rsidRDefault="005A34E2" w:rsidP="00A27CE5">
      <w:pPr>
        <w:pStyle w:val="Heading4"/>
      </w:pPr>
      <w:r w:rsidRPr="005A34E2">
        <w:t>Materials considered</w:t>
      </w:r>
    </w:p>
    <w:p w14:paraId="30FC94D2" w14:textId="77777777" w:rsidR="005A34E2" w:rsidRDefault="005A34E2" w:rsidP="005A34E2">
      <w:r w:rsidRPr="00C72DAB">
        <w:t>In making this interim decision, the Delegate considered the following material:</w:t>
      </w:r>
    </w:p>
    <w:p w14:paraId="64E61501" w14:textId="76F17DD7" w:rsidR="005A34E2" w:rsidRDefault="006B57FC" w:rsidP="005A34E2">
      <w:pPr>
        <w:pStyle w:val="ListBullet"/>
        <w:rPr>
          <w:rFonts w:asciiTheme="minorHAnsi" w:hAnsiTheme="minorHAnsi" w:cstheme="minorHAnsi"/>
        </w:rPr>
      </w:pPr>
      <w:r>
        <w:rPr>
          <w:rFonts w:asciiTheme="minorHAnsi" w:hAnsiTheme="minorHAnsi" w:cstheme="minorHAnsi"/>
          <w:color w:val="000000" w:themeColor="text1"/>
        </w:rPr>
        <w:t>t</w:t>
      </w:r>
      <w:r w:rsidR="005A34E2" w:rsidRPr="00D51193">
        <w:rPr>
          <w:rFonts w:asciiTheme="minorHAnsi" w:hAnsiTheme="minorHAnsi" w:cstheme="minorHAnsi"/>
          <w:color w:val="000000" w:themeColor="text1"/>
        </w:rPr>
        <w:t>he</w:t>
      </w:r>
      <w:sdt>
        <w:sdtPr>
          <w:rPr>
            <w:rFonts w:asciiTheme="minorHAnsi" w:hAnsiTheme="minorHAnsi" w:cstheme="minorHAnsi"/>
          </w:rPr>
          <w:alias w:val="Hyperlink to TGA website"/>
          <w:tag w:val="Hyperlink to TGA website"/>
          <w:id w:val="-1968344990"/>
          <w:placeholder>
            <w:docPart w:val="C87787EBC80E4E4CB69F99D9DB1DFD52"/>
          </w:placeholder>
        </w:sdtPr>
        <w:sdtEndPr>
          <w:rPr>
            <w:color w:val="0000FF"/>
            <w:u w:val="single"/>
          </w:rPr>
        </w:sdtEndPr>
        <w:sdtContent>
          <w:r w:rsidR="005A34E2" w:rsidRPr="005A34E2">
            <w:rPr>
              <w:rFonts w:asciiTheme="minorHAnsi" w:hAnsiTheme="minorHAnsi" w:cstheme="minorHAnsi"/>
            </w:rPr>
            <w:t xml:space="preserve"> </w:t>
          </w:r>
          <w:hyperlink r:id="rId19" w:history="1">
            <w:r w:rsidR="005A34E2" w:rsidRPr="00382BC0">
              <w:rPr>
                <w:rStyle w:val="Hyperlink"/>
                <w:rFonts w:asciiTheme="minorHAnsi" w:hAnsiTheme="minorHAnsi" w:cstheme="minorHAnsi"/>
              </w:rPr>
              <w:t>application</w:t>
            </w:r>
          </w:hyperlink>
        </w:sdtContent>
      </w:sdt>
      <w:r w:rsidR="005A34E2" w:rsidRPr="005A34E2">
        <w:rPr>
          <w:rFonts w:asciiTheme="minorHAnsi" w:hAnsiTheme="minorHAnsi" w:cstheme="minorHAnsi"/>
        </w:rPr>
        <w:t xml:space="preserve"> </w:t>
      </w:r>
      <w:r w:rsidR="005A34E2" w:rsidRPr="00D51193">
        <w:rPr>
          <w:rFonts w:asciiTheme="minorHAnsi" w:hAnsiTheme="minorHAnsi" w:cstheme="minorHAnsi"/>
          <w:color w:val="000000" w:themeColor="text1"/>
        </w:rPr>
        <w:t xml:space="preserve">to amend the current Poisons Standard with respect to </w:t>
      </w:r>
      <w:r w:rsidR="00772045" w:rsidRPr="00D51193">
        <w:rPr>
          <w:rFonts w:asciiTheme="minorHAnsi" w:hAnsiTheme="minorHAnsi" w:cstheme="minorHAnsi"/>
          <w:color w:val="000000" w:themeColor="text1"/>
        </w:rPr>
        <w:t>lead</w:t>
      </w:r>
      <w:r w:rsidR="005A34E2" w:rsidRPr="00D51193">
        <w:rPr>
          <w:rFonts w:asciiTheme="minorHAnsi" w:hAnsiTheme="minorHAnsi" w:cstheme="minorHAnsi"/>
          <w:color w:val="000000" w:themeColor="text1"/>
        </w:rPr>
        <w:t xml:space="preserve"> (the </w:t>
      </w:r>
      <w:r w:rsidR="005A34E2" w:rsidRPr="00D51193">
        <w:rPr>
          <w:rFonts w:asciiTheme="minorHAnsi" w:hAnsiTheme="minorHAnsi" w:cstheme="minorHAnsi"/>
          <w:b/>
          <w:bCs/>
          <w:color w:val="000000" w:themeColor="text1"/>
        </w:rPr>
        <w:t>Application</w:t>
      </w:r>
      <w:r w:rsidR="005A34E2" w:rsidRPr="00D51193">
        <w:rPr>
          <w:rFonts w:asciiTheme="minorHAnsi" w:hAnsiTheme="minorHAnsi" w:cstheme="minorHAnsi"/>
          <w:color w:val="000000" w:themeColor="text1"/>
        </w:rPr>
        <w:t>)</w:t>
      </w:r>
    </w:p>
    <w:p w14:paraId="69C0A399" w14:textId="4BC697AC" w:rsidR="005A34E2" w:rsidRDefault="006B57FC" w:rsidP="005A34E2">
      <w:pPr>
        <w:numPr>
          <w:ilvl w:val="0"/>
          <w:numId w:val="1"/>
        </w:numPr>
        <w:spacing w:before="120" w:after="180" w:line="240" w:lineRule="atLeast"/>
      </w:pPr>
      <w:r>
        <w:t>t</w:t>
      </w:r>
      <w:sdt>
        <w:sdtPr>
          <w:id w:val="-1805536372"/>
          <w:placeholder>
            <w:docPart w:val="B5BD697038864A619950F3F2903766ED"/>
          </w:placeholder>
        </w:sdtPr>
        <w:sdtEndPr/>
        <w:sdtContent>
          <w:r w:rsidR="005A34E2" w:rsidRPr="00C72DAB">
            <w:t xml:space="preserve">he </w:t>
          </w:r>
          <w:r w:rsidR="00963783">
            <w:t>17</w:t>
          </w:r>
          <w:r w:rsidR="005A34E2" w:rsidRPr="00C72DAB">
            <w:t xml:space="preserve"> </w:t>
          </w:r>
          <w:hyperlink r:id="rId20" w:history="1">
            <w:r w:rsidR="005A34E2" w:rsidRPr="00382BC0">
              <w:rPr>
                <w:rStyle w:val="Hyperlink"/>
                <w:rFonts w:asciiTheme="minorHAnsi" w:hAnsiTheme="minorHAnsi"/>
              </w:rPr>
              <w:t>public submissions</w:t>
            </w:r>
          </w:hyperlink>
          <w:r w:rsidR="005A34E2" w:rsidRPr="00C24E8A">
            <w:t>,</w:t>
          </w:r>
          <w:r w:rsidR="005A34E2" w:rsidRPr="00C72DAB">
            <w:t xml:space="preserve"> </w:t>
          </w:r>
          <w:r w:rsidR="005A34E2" w:rsidRPr="00960F41">
            <w:t xml:space="preserve">with </w:t>
          </w:r>
          <w:r w:rsidR="00963783">
            <w:t>9</w:t>
          </w:r>
          <w:r w:rsidR="005A34E2">
            <w:t xml:space="preserve"> </w:t>
          </w:r>
          <w:r w:rsidR="005A34E2" w:rsidRPr="00960F41">
            <w:t>including a written component, received</w:t>
          </w:r>
          <w:r w:rsidR="005A34E2" w:rsidRPr="00C72DAB">
            <w:t xml:space="preserve"> in response to the </w:t>
          </w:r>
          <w:r w:rsidR="005A34E2" w:rsidRPr="005A34E2">
            <w:rPr>
              <w:color w:val="0000FF"/>
              <w:u w:val="single"/>
            </w:rPr>
            <w:t xml:space="preserve">pre-meeting </w:t>
          </w:r>
          <w:hyperlink r:id="rId21" w:history="1">
            <w:r w:rsidR="005A34E2" w:rsidRPr="00382BC0">
              <w:rPr>
                <w:rStyle w:val="Hyperlink"/>
                <w:rFonts w:asciiTheme="minorHAnsi" w:hAnsiTheme="minorHAnsi"/>
              </w:rPr>
              <w:t>consultation</w:t>
            </w:r>
          </w:hyperlink>
          <w:r w:rsidR="005A34E2" w:rsidRPr="00C72DAB">
            <w:t xml:space="preserve"> under regulation 42ZCZK of the Regulations</w:t>
          </w:r>
        </w:sdtContent>
      </w:sdt>
      <w:r w:rsidR="005A34E2">
        <w:t xml:space="preserve"> (the </w:t>
      </w:r>
      <w:r w:rsidR="005A34E2" w:rsidRPr="005A34E2">
        <w:rPr>
          <w:b/>
          <w:bCs/>
        </w:rPr>
        <w:t>Submissions)</w:t>
      </w:r>
    </w:p>
    <w:p w14:paraId="1E51156D" w14:textId="7BCCD3DA" w:rsidR="005A34E2" w:rsidRPr="00F323B5" w:rsidRDefault="006B57FC" w:rsidP="005A34E2">
      <w:pPr>
        <w:numPr>
          <w:ilvl w:val="0"/>
          <w:numId w:val="1"/>
        </w:numPr>
        <w:spacing w:before="120" w:after="180" w:line="240" w:lineRule="atLeast"/>
        <w:rPr>
          <w:color w:val="000000" w:themeColor="text1"/>
        </w:rPr>
      </w:pPr>
      <w:r>
        <w:rPr>
          <w:color w:val="000000" w:themeColor="text1"/>
        </w:rPr>
        <w:t>t</w:t>
      </w:r>
      <w:sdt>
        <w:sdtPr>
          <w:rPr>
            <w:color w:val="000000" w:themeColor="text1"/>
          </w:rPr>
          <w:id w:val="1840569746"/>
          <w:placeholder>
            <w:docPart w:val="28889722D4444529AC4AADD62F3A95DC"/>
          </w:placeholder>
        </w:sdtPr>
        <w:sdtEndPr>
          <w:rPr>
            <w:highlight w:val="yellow"/>
          </w:rPr>
        </w:sdtEndPr>
        <w:sdtContent>
          <w:proofErr w:type="gramStart"/>
          <w:r w:rsidR="005A34E2" w:rsidRPr="00F323B5">
            <w:rPr>
              <w:color w:val="000000" w:themeColor="text1"/>
            </w:rPr>
            <w:t>he</w:t>
          </w:r>
          <w:proofErr w:type="gramEnd"/>
          <w:r w:rsidR="005A34E2" w:rsidRPr="00F323B5">
            <w:rPr>
              <w:color w:val="000000" w:themeColor="text1"/>
            </w:rPr>
            <w:t xml:space="preserve"> advice received from the </w:t>
          </w:r>
          <w:r w:rsidR="00963783" w:rsidRPr="00F323B5">
            <w:rPr>
              <w:color w:val="000000" w:themeColor="text1"/>
            </w:rPr>
            <w:t>34</w:t>
          </w:r>
          <w:r w:rsidR="00963783" w:rsidRPr="00F323B5">
            <w:rPr>
              <w:color w:val="000000" w:themeColor="text1"/>
              <w:vertAlign w:val="superscript"/>
            </w:rPr>
            <w:t>th</w:t>
          </w:r>
          <w:r w:rsidR="00963783" w:rsidRPr="00F323B5">
            <w:rPr>
              <w:color w:val="000000" w:themeColor="text1"/>
            </w:rPr>
            <w:t xml:space="preserve"> </w:t>
          </w:r>
          <w:r w:rsidR="005A34E2" w:rsidRPr="00F323B5">
            <w:rPr>
              <w:color w:val="000000" w:themeColor="text1"/>
            </w:rPr>
            <w:t>meeting of the Advisory Committee</w:t>
          </w:r>
          <w:r w:rsidR="00963783" w:rsidRPr="00F323B5">
            <w:rPr>
              <w:color w:val="000000" w:themeColor="text1"/>
            </w:rPr>
            <w:t>s</w:t>
          </w:r>
          <w:r w:rsidR="005A34E2" w:rsidRPr="00F323B5">
            <w:rPr>
              <w:color w:val="000000" w:themeColor="text1"/>
            </w:rPr>
            <w:t xml:space="preserve"> on Medicines and Chemicals Scheduling in joint session</w:t>
          </w:r>
        </w:sdtContent>
      </w:sdt>
      <w:r w:rsidR="005A34E2" w:rsidRPr="00F323B5">
        <w:rPr>
          <w:color w:val="000000" w:themeColor="text1"/>
        </w:rPr>
        <w:t xml:space="preserve"> (the </w:t>
      </w:r>
      <w:r w:rsidR="005A34E2" w:rsidRPr="00F323B5">
        <w:rPr>
          <w:b/>
          <w:bCs/>
          <w:color w:val="000000" w:themeColor="text1"/>
        </w:rPr>
        <w:t>Committee</w:t>
      </w:r>
      <w:r w:rsidR="005A34E2" w:rsidRPr="00F323B5">
        <w:rPr>
          <w:color w:val="000000" w:themeColor="text1"/>
        </w:rPr>
        <w:t>)</w:t>
      </w:r>
    </w:p>
    <w:p w14:paraId="7B60D986" w14:textId="1A40A9B8" w:rsidR="00F323B5" w:rsidRPr="00F323B5" w:rsidRDefault="006B57FC" w:rsidP="00F323B5">
      <w:pPr>
        <w:pStyle w:val="ListBullet"/>
        <w:rPr>
          <w:rFonts w:asciiTheme="minorHAnsi" w:hAnsiTheme="minorHAnsi" w:cstheme="minorHAnsi"/>
        </w:rPr>
      </w:pPr>
      <w:r>
        <w:rPr>
          <w:rFonts w:asciiTheme="minorHAnsi" w:hAnsiTheme="minorHAnsi" w:cstheme="minorHAnsi"/>
          <w:color w:val="000000" w:themeColor="text1"/>
        </w:rPr>
        <w:t>t</w:t>
      </w:r>
      <w:r w:rsidR="00F323B5" w:rsidRPr="002935AB">
        <w:rPr>
          <w:rFonts w:asciiTheme="minorHAnsi" w:hAnsiTheme="minorHAnsi" w:cstheme="minorHAnsi"/>
          <w:color w:val="000000" w:themeColor="text1"/>
        </w:rPr>
        <w:t xml:space="preserve">he </w:t>
      </w:r>
      <w:r w:rsidR="00F323B5" w:rsidRPr="00C902CA">
        <w:rPr>
          <w:rFonts w:asciiTheme="minorHAnsi" w:hAnsiTheme="minorHAnsi" w:cstheme="minorHAnsi"/>
          <w:color w:val="000000" w:themeColor="text1"/>
        </w:rPr>
        <w:t xml:space="preserve">Delegate’s </w:t>
      </w:r>
      <w:hyperlink r:id="rId22" w:history="1">
        <w:r w:rsidR="00662603" w:rsidRPr="00C902CA">
          <w:rPr>
            <w:rStyle w:val="Hyperlink"/>
            <w:rFonts w:asciiTheme="minorHAnsi" w:hAnsiTheme="minorHAnsi" w:cstheme="minorHAnsi"/>
          </w:rPr>
          <w:t>2021 Decision</w:t>
        </w:r>
      </w:hyperlink>
      <w:r w:rsidR="00F323B5" w:rsidRPr="00C902CA">
        <w:rPr>
          <w:rFonts w:asciiTheme="minorHAnsi" w:hAnsiTheme="minorHAnsi" w:cstheme="minorHAnsi"/>
        </w:rPr>
        <w:t xml:space="preserve"> </w:t>
      </w:r>
      <w:r w:rsidR="00F323B5" w:rsidRPr="00C902CA">
        <w:rPr>
          <w:rFonts w:asciiTheme="minorHAnsi" w:hAnsiTheme="minorHAnsi" w:cstheme="minorHAnsi"/>
          <w:color w:val="000000" w:themeColor="text1"/>
        </w:rPr>
        <w:t>to amend</w:t>
      </w:r>
      <w:r w:rsidR="00F323B5" w:rsidRPr="002935AB">
        <w:rPr>
          <w:rFonts w:asciiTheme="minorHAnsi" w:hAnsiTheme="minorHAnsi" w:cstheme="minorHAnsi"/>
          <w:color w:val="000000" w:themeColor="text1"/>
        </w:rPr>
        <w:t xml:space="preserve"> the Poisons Standard in relation to lead (in paint) in September 2021 and the materials considered in making those decisions</w:t>
      </w:r>
    </w:p>
    <w:p w14:paraId="27AFBF34" w14:textId="651DE9A6" w:rsidR="005A34E2" w:rsidRPr="00C72DAB" w:rsidRDefault="006B57FC" w:rsidP="005A34E2">
      <w:pPr>
        <w:numPr>
          <w:ilvl w:val="0"/>
          <w:numId w:val="1"/>
        </w:numPr>
        <w:spacing w:before="120" w:after="180" w:line="240" w:lineRule="atLeast"/>
      </w:pPr>
      <w:r>
        <w:t>s</w:t>
      </w:r>
      <w:r w:rsidR="005A34E2" w:rsidRPr="00C72DAB">
        <w:t>ubsection 52</w:t>
      </w:r>
      <w:proofErr w:type="gramStart"/>
      <w:r w:rsidR="005A34E2" w:rsidRPr="00C72DAB">
        <w:t>E(</w:t>
      </w:r>
      <w:proofErr w:type="gramEnd"/>
      <w:r w:rsidR="005A34E2" w:rsidRPr="00C72DAB">
        <w:t xml:space="preserve">1) of </w:t>
      </w:r>
      <w:r w:rsidR="005A34E2" w:rsidRPr="00B57044">
        <w:t xml:space="preserve">the </w:t>
      </w:r>
      <w:r w:rsidR="005A34E2" w:rsidRPr="009031DD">
        <w:rPr>
          <w:iCs/>
        </w:rPr>
        <w:t>Act</w:t>
      </w:r>
      <w:r w:rsidR="005A34E2" w:rsidRPr="00B57044">
        <w:rPr>
          <w:i/>
        </w:rPr>
        <w:t xml:space="preserve">, </w:t>
      </w:r>
      <w:r w:rsidR="005A34E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5A34E2" w:rsidRPr="00C72DAB">
        <w:t xml:space="preserve"> any other matters that the Secretary considers necessary to protect public health</w:t>
      </w:r>
    </w:p>
    <w:p w14:paraId="1C47081B" w14:textId="62065E8F" w:rsidR="005A34E2" w:rsidRPr="00C72DAB" w:rsidRDefault="006B57FC" w:rsidP="005A34E2">
      <w:pPr>
        <w:numPr>
          <w:ilvl w:val="0"/>
          <w:numId w:val="1"/>
        </w:numPr>
        <w:spacing w:before="120" w:after="180" w:line="240" w:lineRule="atLeast"/>
      </w:pPr>
      <w:r>
        <w:t>t</w:t>
      </w:r>
      <w:r w:rsidR="005A34E2" w:rsidRPr="00C72DAB">
        <w:t xml:space="preserve">he </w:t>
      </w:r>
      <w:r w:rsidR="005A34E2" w:rsidRPr="009031DD">
        <w:t>SPF</w:t>
      </w:r>
      <w:r>
        <w:t>,</w:t>
      </w:r>
      <w:r w:rsidR="005A34E2">
        <w:t xml:space="preserve"> and</w:t>
      </w:r>
    </w:p>
    <w:p w14:paraId="6C0EC1F5" w14:textId="2966889D" w:rsidR="005A34E2" w:rsidRPr="009031DD" w:rsidRDefault="006B57FC" w:rsidP="005A34E2">
      <w:pPr>
        <w:numPr>
          <w:ilvl w:val="0"/>
          <w:numId w:val="1"/>
        </w:numPr>
        <w:spacing w:before="120" w:after="180" w:line="240" w:lineRule="atLeast"/>
      </w:pPr>
      <w:r>
        <w:t>t</w:t>
      </w:r>
      <w:r w:rsidR="005A34E2" w:rsidRPr="00C72DAB">
        <w:t>he</w:t>
      </w:r>
      <w:r w:rsidR="005A34E2">
        <w:t xml:space="preserve"> Handbook</w:t>
      </w:r>
      <w:r w:rsidR="005A34E2" w:rsidRPr="00C72DAB">
        <w:t>.</w:t>
      </w:r>
    </w:p>
    <w:p w14:paraId="0D33BF28" w14:textId="77777777" w:rsidR="005A34E2" w:rsidRDefault="005A34E2" w:rsidP="00A27CE5">
      <w:pPr>
        <w:pStyle w:val="Heading4"/>
      </w:pPr>
      <w:r w:rsidRPr="009031DD">
        <w:t>Summary of Committee advice to the Delegate</w:t>
      </w:r>
    </w:p>
    <w:p w14:paraId="15390B6B" w14:textId="17E58301" w:rsidR="005A34E2" w:rsidRDefault="005A34E2" w:rsidP="005A34E2">
      <w:r w:rsidRPr="00C72DAB">
        <w:t xml:space="preserve">The Committee </w:t>
      </w:r>
      <w:r>
        <w:t>recommended</w:t>
      </w:r>
      <w:r w:rsidRPr="00C72DAB">
        <w:t xml:space="preserve"> </w:t>
      </w:r>
      <w:r>
        <w:t xml:space="preserve">that </w:t>
      </w:r>
      <w:r w:rsidR="00963783">
        <w:t>t</w:t>
      </w:r>
      <w:r w:rsidR="00963783">
        <w:rPr>
          <w:rStyle w:val="normaltextrun"/>
          <w:color w:val="000000"/>
          <w:szCs w:val="22"/>
          <w:shd w:val="clear" w:color="auto" w:fill="FFFFFF"/>
        </w:rPr>
        <w:t xml:space="preserve">he </w:t>
      </w:r>
      <w:r w:rsidR="00F4053D">
        <w:rPr>
          <w:rStyle w:val="normaltextrun"/>
          <w:color w:val="000000"/>
          <w:szCs w:val="22"/>
          <w:shd w:val="clear" w:color="auto" w:fill="FFFFFF"/>
        </w:rPr>
        <w:t>transition period</w:t>
      </w:r>
      <w:r w:rsidR="00963783">
        <w:rPr>
          <w:rStyle w:val="normaltextrun"/>
          <w:color w:val="000000"/>
          <w:szCs w:val="22"/>
          <w:shd w:val="clear" w:color="auto" w:fill="FFFFFF"/>
        </w:rPr>
        <w:t xml:space="preserve"> of the 2021 Decision be extended by </w:t>
      </w:r>
      <w:r w:rsidR="006B57FC">
        <w:rPr>
          <w:rStyle w:val="normaltextrun"/>
          <w:color w:val="000000"/>
          <w:szCs w:val="22"/>
          <w:shd w:val="clear" w:color="auto" w:fill="FFFFFF"/>
        </w:rPr>
        <w:t>2 </w:t>
      </w:r>
      <w:r w:rsidR="00963783">
        <w:rPr>
          <w:rStyle w:val="normaltextrun"/>
          <w:color w:val="000000"/>
          <w:szCs w:val="22"/>
          <w:shd w:val="clear" w:color="auto" w:fill="FFFFFF"/>
        </w:rPr>
        <w:t xml:space="preserve">years to </w:t>
      </w:r>
      <w:r w:rsidR="00963783">
        <w:rPr>
          <w:rStyle w:val="normaltextrun"/>
          <w:b/>
          <w:bCs/>
          <w:color w:val="000000"/>
          <w:szCs w:val="22"/>
          <w:shd w:val="clear" w:color="auto" w:fill="FFFFFF"/>
        </w:rPr>
        <w:t>1 October 2025</w:t>
      </w:r>
      <w:r w:rsidR="00963783">
        <w:rPr>
          <w:rStyle w:val="normaltextrun"/>
          <w:color w:val="000000"/>
          <w:szCs w:val="22"/>
          <w:shd w:val="clear" w:color="auto" w:fill="FFFFFF"/>
        </w:rPr>
        <w:t>.</w:t>
      </w:r>
    </w:p>
    <w:p w14:paraId="37719371" w14:textId="4A95DA19" w:rsidR="005A34E2" w:rsidRPr="002935AB" w:rsidRDefault="005A34E2" w:rsidP="005A34E2">
      <w:pPr>
        <w:rPr>
          <w:color w:val="000000" w:themeColor="text1"/>
        </w:rPr>
      </w:pPr>
      <w:r w:rsidRPr="002935AB">
        <w:rPr>
          <w:color w:val="000000" w:themeColor="text1"/>
        </w:rPr>
        <w:t xml:space="preserve">Members agreed that the relevant matters under subsection 52E(1) of the </w:t>
      </w:r>
      <w:r w:rsidRPr="002935AB">
        <w:rPr>
          <w:iCs/>
          <w:color w:val="000000" w:themeColor="text1"/>
        </w:rPr>
        <w:t xml:space="preserve">Act </w:t>
      </w:r>
      <w:r w:rsidRPr="002935AB">
        <w:rPr>
          <w:color w:val="000000" w:themeColor="text1"/>
        </w:rPr>
        <w:t>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1B321AB0" w14:textId="77777777" w:rsidR="005A34E2" w:rsidRPr="00C72DAB" w:rsidRDefault="005A34E2" w:rsidP="005A34E2">
      <w:r w:rsidRPr="00C72DAB">
        <w:t>The reasons for the advice included:</w:t>
      </w:r>
    </w:p>
    <w:p w14:paraId="6C369419" w14:textId="77777777" w:rsidR="005A34E2" w:rsidRPr="00C72DAB" w:rsidRDefault="005A34E2" w:rsidP="00CF3718">
      <w:pPr>
        <w:numPr>
          <w:ilvl w:val="0"/>
          <w:numId w:val="12"/>
        </w:numPr>
        <w:spacing w:before="120" w:after="180" w:line="360" w:lineRule="auto"/>
        <w:contextualSpacing/>
        <w:rPr>
          <w:i/>
        </w:rPr>
      </w:pPr>
      <w:r w:rsidRPr="00C72DAB">
        <w:rPr>
          <w:i/>
        </w:rPr>
        <w:t>the risks and benefits of the use of a substance</w:t>
      </w:r>
    </w:p>
    <w:p w14:paraId="1721A1D3" w14:textId="11E68180" w:rsidR="005A34E2" w:rsidRPr="004B3DB0" w:rsidRDefault="005A34E2" w:rsidP="004B3DB0">
      <w:pPr>
        <w:ind w:left="851"/>
        <w:contextualSpacing/>
        <w:rPr>
          <w:rFonts w:eastAsia="Times New Roman"/>
        </w:rPr>
      </w:pPr>
      <w:r w:rsidRPr="00C72DAB">
        <w:rPr>
          <w:rFonts w:eastAsia="Times New Roman"/>
        </w:rPr>
        <w:t>Risks:</w:t>
      </w:r>
    </w:p>
    <w:p w14:paraId="0049CE29" w14:textId="67452DB5" w:rsidR="005A34E2" w:rsidRDefault="005A34E2" w:rsidP="004B3DB0">
      <w:pPr>
        <w:pStyle w:val="ListBullet2"/>
      </w:pPr>
      <w:r>
        <w:t xml:space="preserve"> </w:t>
      </w:r>
      <w:r w:rsidR="005B3A96">
        <w:t>Work health and safety (W</w:t>
      </w:r>
      <w:r w:rsidR="0028073D">
        <w:t>H</w:t>
      </w:r>
      <w:r w:rsidR="005B3A96">
        <w:t>S)</w:t>
      </w:r>
      <w:r w:rsidR="0028073D">
        <w:t xml:space="preserve"> issues for workers involved in the maintenance of ocean-going vessels:</w:t>
      </w:r>
    </w:p>
    <w:p w14:paraId="733F5341" w14:textId="5A590987" w:rsidR="0028073D" w:rsidRDefault="0028073D" w:rsidP="004B3DB0">
      <w:pPr>
        <w:pStyle w:val="ListBullet3"/>
      </w:pPr>
      <w:r>
        <w:t xml:space="preserve">Exposure to lead in paint can come from multiple sources </w:t>
      </w:r>
      <w:proofErr w:type="gramStart"/>
      <w:r>
        <w:t>e.g.</w:t>
      </w:r>
      <w:proofErr w:type="gramEnd"/>
      <w:r>
        <w:t xml:space="preserve"> manufacture, application, removal and aging painted surfaces where crumbling and flaking can release lead into the environment.</w:t>
      </w:r>
    </w:p>
    <w:p w14:paraId="24CF72C3" w14:textId="20073E97" w:rsidR="0028073D" w:rsidRDefault="0028073D" w:rsidP="004B3DB0">
      <w:pPr>
        <w:pStyle w:val="ListBullet3"/>
      </w:pPr>
      <w:r>
        <w:lastRenderedPageBreak/>
        <w:t>Inhalation of nanoparticulate lead during hull preparation/cleaning/sanding.</w:t>
      </w:r>
    </w:p>
    <w:p w14:paraId="50F8D72F" w14:textId="38F4E93A" w:rsidR="0028073D" w:rsidRDefault="0028073D" w:rsidP="004B3DB0">
      <w:pPr>
        <w:pStyle w:val="ListBullet3"/>
      </w:pPr>
      <w:r>
        <w:t>Fumes from low boiling solvent mixture.</w:t>
      </w:r>
    </w:p>
    <w:p w14:paraId="26A41FA7" w14:textId="745059E7" w:rsidR="004B3DB0" w:rsidRDefault="004B3DB0" w:rsidP="004B3DB0">
      <w:pPr>
        <w:pStyle w:val="ListBullet2"/>
      </w:pPr>
      <w:r>
        <w:t>Release of lead into local environment from dry-docks or maintenance facilities, causing localised contamination and potential exposure to humans in surrounding environs.</w:t>
      </w:r>
    </w:p>
    <w:p w14:paraId="4995D8BF" w14:textId="2287D161" w:rsidR="004B3DB0" w:rsidRDefault="004B3DB0" w:rsidP="004B3DB0">
      <w:pPr>
        <w:pStyle w:val="ListBullet2"/>
      </w:pPr>
      <w:r>
        <w:t>In poorly regulated setting exposure is more likely.</w:t>
      </w:r>
    </w:p>
    <w:p w14:paraId="4F783973" w14:textId="032DE48C" w:rsidR="004B3DB0" w:rsidRPr="00A507D9" w:rsidRDefault="004B3DB0" w:rsidP="004B3DB0">
      <w:pPr>
        <w:pStyle w:val="ListBullet2"/>
      </w:pPr>
      <w:r>
        <w:t>Lead is an accumulative toxin and there is no ‘safe’ lower level.</w:t>
      </w:r>
    </w:p>
    <w:p w14:paraId="22BF2A35" w14:textId="0D68C583" w:rsidR="005A34E2" w:rsidRPr="00C72DAB" w:rsidRDefault="005A34E2" w:rsidP="00E01AFD">
      <w:pPr>
        <w:spacing w:line="360" w:lineRule="auto"/>
        <w:ind w:left="851"/>
        <w:contextualSpacing/>
      </w:pPr>
      <w:r w:rsidRPr="00C72DAB">
        <w:t>Benefits:</w:t>
      </w:r>
    </w:p>
    <w:p w14:paraId="1AC30AFF" w14:textId="01F7C48C" w:rsidR="005A34E2" w:rsidRDefault="005A34E2" w:rsidP="005A34E2">
      <w:pPr>
        <w:numPr>
          <w:ilvl w:val="1"/>
          <w:numId w:val="1"/>
        </w:numPr>
        <w:spacing w:before="120" w:after="180" w:line="240" w:lineRule="atLeast"/>
        <w:ind w:left="1276"/>
      </w:pPr>
      <w:r>
        <w:t xml:space="preserve"> </w:t>
      </w:r>
      <w:r w:rsidR="004B3DB0">
        <w:t xml:space="preserve">Copper-based antifouling paints are the most efficacious and long-lasting paints in the Australian maritime economy. Cuprous oxide </w:t>
      </w:r>
      <w:r w:rsidR="004B3DB0" w:rsidRPr="00E447F1">
        <w:rPr>
          <w:rStyle w:val="normaltextrun"/>
          <w:szCs w:val="22"/>
        </w:rPr>
        <w:t>(Cu</w:t>
      </w:r>
      <w:r w:rsidR="004B3DB0" w:rsidRPr="00E447F1">
        <w:rPr>
          <w:rStyle w:val="normaltextrun"/>
          <w:sz w:val="17"/>
          <w:szCs w:val="17"/>
          <w:vertAlign w:val="subscript"/>
        </w:rPr>
        <w:t>2</w:t>
      </w:r>
      <w:r w:rsidR="004B3DB0" w:rsidRPr="00E447F1">
        <w:rPr>
          <w:rStyle w:val="normaltextrun"/>
          <w:szCs w:val="22"/>
        </w:rPr>
        <w:t>O) is the most effective.</w:t>
      </w:r>
      <w:r w:rsidR="004B3DB0" w:rsidRPr="00E447F1">
        <w:rPr>
          <w:rStyle w:val="eop"/>
          <w:szCs w:val="22"/>
        </w:rPr>
        <w:t> </w:t>
      </w:r>
      <w:r w:rsidR="004B3DB0">
        <w:rPr>
          <w:rStyle w:val="normaltextrun"/>
          <w:szCs w:val="22"/>
        </w:rPr>
        <w:t>They reduce</w:t>
      </w:r>
      <w:r w:rsidR="004B3DB0" w:rsidRPr="00712B74">
        <w:rPr>
          <w:rStyle w:val="normaltextrun"/>
          <w:szCs w:val="22"/>
        </w:rPr>
        <w:t xml:space="preserve"> fuel consumption of ocean-going vessels</w:t>
      </w:r>
      <w:r w:rsidR="004B3DB0">
        <w:rPr>
          <w:rStyle w:val="normaltextrun"/>
          <w:szCs w:val="22"/>
        </w:rPr>
        <w:t xml:space="preserve"> and minimise </w:t>
      </w:r>
      <w:r w:rsidR="004B3DB0" w:rsidRPr="00712B74">
        <w:rPr>
          <w:rStyle w:val="normaltextrun"/>
          <w:szCs w:val="22"/>
        </w:rPr>
        <w:t xml:space="preserve">the risk of </w:t>
      </w:r>
      <w:r w:rsidR="004B3DB0">
        <w:rPr>
          <w:rStyle w:val="normaltextrun"/>
          <w:szCs w:val="22"/>
        </w:rPr>
        <w:t xml:space="preserve">the </w:t>
      </w:r>
      <w:r w:rsidR="004B3DB0" w:rsidRPr="00712B74">
        <w:rPr>
          <w:rStyle w:val="normaltextrun"/>
          <w:szCs w:val="22"/>
        </w:rPr>
        <w:t xml:space="preserve">spread of </w:t>
      </w:r>
      <w:r w:rsidR="004B3DB0">
        <w:rPr>
          <w:rStyle w:val="normaltextrun"/>
          <w:szCs w:val="22"/>
        </w:rPr>
        <w:t xml:space="preserve">unwanted </w:t>
      </w:r>
      <w:r w:rsidR="004B3DB0" w:rsidRPr="00712B74">
        <w:rPr>
          <w:rStyle w:val="normaltextrun"/>
          <w:szCs w:val="22"/>
        </w:rPr>
        <w:t>bio-organisms into Australian waters.</w:t>
      </w:r>
    </w:p>
    <w:p w14:paraId="4789A703"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the purposes for which a substance is to be used and the extent of use of a substance</w:t>
      </w:r>
    </w:p>
    <w:p w14:paraId="72B253DA" w14:textId="4385AC42" w:rsidR="004B3DB0" w:rsidRPr="00E447F1" w:rsidRDefault="004B3DB0" w:rsidP="004B3DB0">
      <w:pPr>
        <w:pStyle w:val="ListBullet2"/>
        <w:rPr>
          <w:lang w:eastAsia="en-AU"/>
        </w:rPr>
      </w:pPr>
      <w:r w:rsidRPr="00E447F1">
        <w:rPr>
          <w:rStyle w:val="normaltextrun"/>
          <w:szCs w:val="22"/>
        </w:rPr>
        <w:t>Cuprous oxide-based antifouling paints are used globally on all sizes of ocean-going vessels. Economic factors support prominent use of recycled copper, which can contain significant levels of lead as a contaminant.</w:t>
      </w:r>
      <w:r w:rsidRPr="00E447F1">
        <w:rPr>
          <w:rStyle w:val="eop"/>
          <w:szCs w:val="22"/>
        </w:rPr>
        <w:t> </w:t>
      </w:r>
    </w:p>
    <w:p w14:paraId="3E47C835" w14:textId="77777777" w:rsidR="004B3DB0" w:rsidRPr="00E447F1" w:rsidRDefault="004B3DB0" w:rsidP="004B3DB0">
      <w:pPr>
        <w:pStyle w:val="ListBullet2"/>
        <w:rPr>
          <w:rFonts w:ascii="Segoe UI" w:hAnsi="Segoe UI"/>
          <w:sz w:val="18"/>
          <w:szCs w:val="18"/>
        </w:rPr>
      </w:pPr>
      <w:r w:rsidRPr="00E447F1">
        <w:rPr>
          <w:rStyle w:val="normaltextrun"/>
          <w:rFonts w:cs="Segoe UI"/>
          <w:color w:val="000000"/>
          <w:szCs w:val="22"/>
        </w:rPr>
        <w:t>General consumer exposure will be limited because the anti-fouling paint is only used on vessel hulls, below the waterline. </w:t>
      </w:r>
      <w:r w:rsidRPr="00E447F1">
        <w:rPr>
          <w:rStyle w:val="eop"/>
          <w:rFonts w:cs="Segoe UI"/>
          <w:color w:val="000000"/>
          <w:szCs w:val="22"/>
        </w:rPr>
        <w:t> </w:t>
      </w:r>
    </w:p>
    <w:p w14:paraId="62D87663" w14:textId="77777777" w:rsidR="004B3DB0" w:rsidRPr="00E447F1" w:rsidRDefault="004B3DB0" w:rsidP="004B3DB0">
      <w:pPr>
        <w:pStyle w:val="ListBullet2"/>
        <w:rPr>
          <w:rFonts w:ascii="Segoe UI" w:hAnsi="Segoe UI"/>
          <w:sz w:val="18"/>
          <w:szCs w:val="18"/>
        </w:rPr>
      </w:pPr>
      <w:r w:rsidRPr="00E447F1">
        <w:rPr>
          <w:rStyle w:val="normaltextrun"/>
          <w:rFonts w:cs="Segoe UI"/>
          <w:szCs w:val="22"/>
        </w:rPr>
        <w:t xml:space="preserve">The </w:t>
      </w:r>
      <w:proofErr w:type="gramStart"/>
      <w:r w:rsidRPr="00E447F1">
        <w:rPr>
          <w:rStyle w:val="normaltextrun"/>
          <w:rFonts w:cs="Segoe UI"/>
          <w:szCs w:val="22"/>
        </w:rPr>
        <w:t>600</w:t>
      </w:r>
      <w:r>
        <w:rPr>
          <w:rStyle w:val="normaltextrun"/>
          <w:rFonts w:cs="Segoe UI"/>
          <w:szCs w:val="22"/>
        </w:rPr>
        <w:t xml:space="preserve"> </w:t>
      </w:r>
      <w:r w:rsidRPr="00E447F1">
        <w:rPr>
          <w:rStyle w:val="normaltextrun"/>
          <w:rFonts w:cs="Segoe UI"/>
          <w:szCs w:val="22"/>
        </w:rPr>
        <w:t>ppm</w:t>
      </w:r>
      <w:proofErr w:type="gramEnd"/>
      <w:r w:rsidRPr="00E447F1">
        <w:rPr>
          <w:rStyle w:val="normaltextrun"/>
          <w:rFonts w:cs="Segoe UI"/>
          <w:szCs w:val="22"/>
        </w:rPr>
        <w:t xml:space="preserve"> limit appears to only be necessary for anti-fouling paints with cuprous oxide as the main biocide. </w:t>
      </w:r>
      <w:r w:rsidRPr="00E447F1">
        <w:rPr>
          <w:rStyle w:val="eop"/>
          <w:rFonts w:cs="Segoe UI"/>
          <w:szCs w:val="22"/>
        </w:rPr>
        <w:t> </w:t>
      </w:r>
    </w:p>
    <w:p w14:paraId="2542ABB4" w14:textId="77777777" w:rsidR="004B3DB0" w:rsidRPr="00E447F1" w:rsidRDefault="004B3DB0" w:rsidP="004B3DB0">
      <w:pPr>
        <w:pStyle w:val="ListBullet2"/>
        <w:rPr>
          <w:rFonts w:ascii="Segoe UI" w:hAnsi="Segoe UI"/>
          <w:sz w:val="18"/>
          <w:szCs w:val="18"/>
        </w:rPr>
      </w:pPr>
      <w:r w:rsidRPr="00E447F1">
        <w:rPr>
          <w:rStyle w:val="normaltextrun"/>
          <w:rFonts w:cs="Segoe UI"/>
          <w:color w:val="000000"/>
          <w:szCs w:val="22"/>
        </w:rPr>
        <w:t>There are several grades of recycled copper, using the better grades will yield lower lead levels. </w:t>
      </w:r>
      <w:r w:rsidRPr="00E447F1">
        <w:rPr>
          <w:rStyle w:val="eop"/>
          <w:rFonts w:cs="Segoe UI"/>
          <w:color w:val="000000"/>
          <w:szCs w:val="22"/>
        </w:rPr>
        <w:t> </w:t>
      </w:r>
    </w:p>
    <w:p w14:paraId="4CA67764" w14:textId="5F63E6A3" w:rsidR="005A34E2" w:rsidRPr="004B3DB0" w:rsidRDefault="004B3DB0" w:rsidP="004B3DB0">
      <w:pPr>
        <w:pStyle w:val="ListBullet2"/>
        <w:rPr>
          <w:rFonts w:ascii="Segoe UI" w:hAnsi="Segoe UI"/>
          <w:sz w:val="18"/>
          <w:szCs w:val="18"/>
        </w:rPr>
      </w:pPr>
      <w:r w:rsidRPr="00E447F1">
        <w:rPr>
          <w:rStyle w:val="normaltextrun"/>
          <w:rFonts w:cs="Segoe UI"/>
          <w:szCs w:val="22"/>
        </w:rPr>
        <w:t>Polymer-based products, and other currently approved anti-fouling paints that do not contain cuprous oxide should be required to conform to the 90ppm limit. </w:t>
      </w:r>
      <w:r w:rsidRPr="00E447F1">
        <w:rPr>
          <w:rStyle w:val="eop"/>
          <w:rFonts w:cs="Segoe UI"/>
          <w:szCs w:val="22"/>
        </w:rPr>
        <w:t> </w:t>
      </w:r>
    </w:p>
    <w:p w14:paraId="293F18F6" w14:textId="77777777" w:rsidR="005A34E2" w:rsidRDefault="005A34E2" w:rsidP="00CF3718">
      <w:pPr>
        <w:numPr>
          <w:ilvl w:val="0"/>
          <w:numId w:val="12"/>
        </w:numPr>
        <w:spacing w:before="120" w:after="180" w:line="240" w:lineRule="atLeast"/>
        <w:ind w:left="426" w:firstLine="0"/>
        <w:contextualSpacing/>
        <w:rPr>
          <w:i/>
        </w:rPr>
      </w:pPr>
      <w:r w:rsidRPr="00C72DAB">
        <w:rPr>
          <w:i/>
        </w:rPr>
        <w:t>the toxicity of a substance</w:t>
      </w:r>
    </w:p>
    <w:p w14:paraId="3AB5CB44" w14:textId="62E36BAB" w:rsidR="005A34E2" w:rsidRDefault="004B3DB0" w:rsidP="004B3DB0">
      <w:pPr>
        <w:pStyle w:val="ListBullet2"/>
      </w:pPr>
      <w:r w:rsidRPr="00E447F1">
        <w:rPr>
          <w:rStyle w:val="normaltextrun"/>
          <w:color w:val="000000"/>
          <w:szCs w:val="22"/>
          <w:shd w:val="clear" w:color="auto" w:fill="FFFFFF"/>
        </w:rPr>
        <w:t>There is no safe lower limit for lead exposure in humans. Lead has known cumulative toxic effects affecting multiple body systems. </w:t>
      </w:r>
      <w:r w:rsidRPr="00E447F1">
        <w:rPr>
          <w:rStyle w:val="eop"/>
          <w:color w:val="000000"/>
          <w:szCs w:val="22"/>
          <w:shd w:val="clear" w:color="auto" w:fill="FFFFFF"/>
        </w:rPr>
        <w:t> </w:t>
      </w:r>
    </w:p>
    <w:p w14:paraId="6B43BE9A"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 xml:space="preserve">the dosage, formulation, labelling, </w:t>
      </w:r>
      <w:proofErr w:type="gramStart"/>
      <w:r w:rsidRPr="00C72DAB">
        <w:rPr>
          <w:rFonts w:eastAsia="Times New Roman"/>
          <w:i/>
        </w:rPr>
        <w:t>packaging</w:t>
      </w:r>
      <w:proofErr w:type="gramEnd"/>
      <w:r w:rsidRPr="00C72DAB">
        <w:rPr>
          <w:rFonts w:eastAsia="Times New Roman"/>
          <w:i/>
        </w:rPr>
        <w:t xml:space="preserve"> and presentation of a substance</w:t>
      </w:r>
    </w:p>
    <w:p w14:paraId="4B6605F9" w14:textId="22FD2A1C" w:rsidR="005A34E2" w:rsidRDefault="004B3DB0" w:rsidP="004B3DB0">
      <w:pPr>
        <w:pStyle w:val="ListBullet2"/>
      </w:pPr>
      <w:r w:rsidRPr="00E447F1">
        <w:rPr>
          <w:rStyle w:val="normaltextrun"/>
          <w:color w:val="000000"/>
          <w:szCs w:val="22"/>
          <w:shd w:val="clear" w:color="auto" w:fill="FFFFFF"/>
        </w:rPr>
        <w:t>Anti-fouling paints are regulated by the APVMA. Requirements include labelling mandating the use of PPE (overalls, washable hat, gloves, eye protection, respirator if spray painting) and handwashing after use. </w:t>
      </w:r>
      <w:r w:rsidR="005A34E2">
        <w:t xml:space="preserve"> </w:t>
      </w:r>
    </w:p>
    <w:p w14:paraId="240005B7" w14:textId="77777777" w:rsidR="005A34E2" w:rsidRDefault="005A34E2" w:rsidP="004B3DB0">
      <w:pPr>
        <w:numPr>
          <w:ilvl w:val="0"/>
          <w:numId w:val="12"/>
        </w:numPr>
        <w:spacing w:before="120" w:after="180" w:line="240" w:lineRule="atLeast"/>
        <w:ind w:left="425" w:firstLine="0"/>
        <w:rPr>
          <w:i/>
        </w:rPr>
      </w:pPr>
      <w:r w:rsidRPr="00C72DAB">
        <w:rPr>
          <w:i/>
        </w:rPr>
        <w:t>the potential for abuse of a substance</w:t>
      </w:r>
    </w:p>
    <w:p w14:paraId="70477658" w14:textId="2FA3E005" w:rsidR="005A34E2" w:rsidRPr="00E01AFD" w:rsidRDefault="004B3DB0" w:rsidP="004B3DB0">
      <w:pPr>
        <w:numPr>
          <w:ilvl w:val="1"/>
          <w:numId w:val="1"/>
        </w:numPr>
        <w:spacing w:before="120" w:after="180" w:line="240" w:lineRule="atLeast"/>
        <w:ind w:left="1276" w:hanging="357"/>
        <w:rPr>
          <w:i/>
          <w:iCs/>
        </w:rPr>
      </w:pPr>
      <w:r w:rsidRPr="00E01AFD">
        <w:rPr>
          <w:i/>
          <w:iCs/>
        </w:rPr>
        <w:t>Nil.</w:t>
      </w:r>
      <w:r w:rsidR="005A34E2" w:rsidRPr="00E01AFD">
        <w:rPr>
          <w:i/>
          <w:iCs/>
        </w:rPr>
        <w:t xml:space="preserve"> </w:t>
      </w:r>
    </w:p>
    <w:p w14:paraId="00941046"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any other matters that the Secretary considers necessary to protect public health</w:t>
      </w:r>
    </w:p>
    <w:p w14:paraId="25C8D5D9" w14:textId="6AD71B46" w:rsidR="004B3DB0" w:rsidRDefault="004B3DB0" w:rsidP="004B3DB0">
      <w:pPr>
        <w:pStyle w:val="ListBullet2"/>
        <w:rPr>
          <w:rFonts w:ascii="Segoe UI" w:hAnsi="Segoe UI"/>
          <w:sz w:val="18"/>
          <w:szCs w:val="18"/>
        </w:rPr>
      </w:pPr>
      <w:r>
        <w:rPr>
          <w:rStyle w:val="normaltextrun"/>
          <w:rFonts w:cs="Segoe UI"/>
          <w:szCs w:val="22"/>
        </w:rPr>
        <w:t>Exemption of anti-</w:t>
      </w:r>
      <w:r w:rsidRPr="002C2897">
        <w:rPr>
          <w:rStyle w:val="normaltextrun"/>
        </w:rPr>
        <w:t>fouling</w:t>
      </w:r>
      <w:r>
        <w:rPr>
          <w:rStyle w:val="normaltextrun"/>
          <w:rFonts w:cs="Segoe UI"/>
          <w:szCs w:val="22"/>
        </w:rPr>
        <w:t xml:space="preserve"> paints from the scheduling framework and reliance on APVMA product registration alone to protect public health is not supported. New standard would ensure a set (lower) level for industry to comply with.</w:t>
      </w:r>
    </w:p>
    <w:p w14:paraId="24C0AE71" w14:textId="77777777" w:rsidR="004B3DB0" w:rsidRDefault="004B3DB0" w:rsidP="004B3DB0">
      <w:pPr>
        <w:pStyle w:val="ListBullet2"/>
        <w:rPr>
          <w:rFonts w:ascii="Segoe UI" w:hAnsi="Segoe UI"/>
          <w:sz w:val="18"/>
          <w:szCs w:val="18"/>
        </w:rPr>
      </w:pPr>
      <w:r>
        <w:rPr>
          <w:rStyle w:val="normaltextrun"/>
          <w:rFonts w:cs="Segoe UI"/>
          <w:szCs w:val="22"/>
        </w:rPr>
        <w:t xml:space="preserve">The standards governing permissible lead content of these paints are widely variable, but 600ppm is accepted in the US, </w:t>
      </w:r>
      <w:proofErr w:type="gramStart"/>
      <w:r>
        <w:rPr>
          <w:rStyle w:val="normaltextrun"/>
          <w:rFonts w:cs="Segoe UI"/>
          <w:szCs w:val="22"/>
        </w:rPr>
        <w:t>UK</w:t>
      </w:r>
      <w:proofErr w:type="gramEnd"/>
      <w:r>
        <w:rPr>
          <w:rStyle w:val="normaltextrun"/>
          <w:rFonts w:cs="Segoe UI"/>
          <w:szCs w:val="22"/>
        </w:rPr>
        <w:t xml:space="preserve"> and Europe.</w:t>
      </w:r>
    </w:p>
    <w:p w14:paraId="0EF0D8E8" w14:textId="77777777" w:rsidR="004B3DB0" w:rsidRDefault="004B3DB0" w:rsidP="004B3DB0">
      <w:pPr>
        <w:pStyle w:val="ListBullet2"/>
        <w:rPr>
          <w:rFonts w:ascii="Segoe UI" w:hAnsi="Segoe UI"/>
          <w:sz w:val="18"/>
          <w:szCs w:val="18"/>
        </w:rPr>
      </w:pPr>
      <w:r>
        <w:rPr>
          <w:rStyle w:val="normaltextrun"/>
          <w:rFonts w:cs="Segoe UI"/>
          <w:szCs w:val="22"/>
        </w:rPr>
        <w:lastRenderedPageBreak/>
        <w:t xml:space="preserve">A </w:t>
      </w:r>
      <w:proofErr w:type="gramStart"/>
      <w:r>
        <w:rPr>
          <w:rStyle w:val="normaltextrun"/>
          <w:rFonts w:cs="Segoe UI"/>
          <w:szCs w:val="22"/>
        </w:rPr>
        <w:t>90 ppm</w:t>
      </w:r>
      <w:proofErr w:type="gramEnd"/>
      <w:r>
        <w:rPr>
          <w:rStyle w:val="normaltextrun"/>
          <w:rFonts w:cs="Segoe UI"/>
          <w:szCs w:val="22"/>
        </w:rPr>
        <w:t xml:space="preserve"> limit is considered technically feasible for manufacturers to achieve for almost all types of paint but is currently unachievable.</w:t>
      </w:r>
    </w:p>
    <w:p w14:paraId="48BDE411" w14:textId="77777777" w:rsidR="004B3DB0" w:rsidRDefault="004B3DB0" w:rsidP="004B3DB0">
      <w:pPr>
        <w:pStyle w:val="ListBullet2"/>
        <w:rPr>
          <w:rFonts w:ascii="Segoe UI" w:hAnsi="Segoe UI"/>
          <w:sz w:val="18"/>
          <w:szCs w:val="18"/>
        </w:rPr>
      </w:pPr>
      <w:r>
        <w:rPr>
          <w:rStyle w:val="normaltextrun"/>
          <w:rFonts w:cs="Segoe UI"/>
          <w:szCs w:val="22"/>
        </w:rPr>
        <w:t>Recent data suggests that for the next two decades over 80% of global copper demand will continue to come from primary (refined ore) sources.</w:t>
      </w:r>
    </w:p>
    <w:p w14:paraId="37E34B53" w14:textId="77777777" w:rsidR="004B3DB0" w:rsidRDefault="004B3DB0" w:rsidP="004B3DB0">
      <w:pPr>
        <w:pStyle w:val="ListBullet2"/>
        <w:rPr>
          <w:rFonts w:ascii="Segoe UI" w:hAnsi="Segoe UI"/>
          <w:sz w:val="18"/>
          <w:szCs w:val="18"/>
        </w:rPr>
      </w:pPr>
      <w:r>
        <w:rPr>
          <w:rStyle w:val="normaltextrun"/>
          <w:rFonts w:cs="Segoe UI"/>
          <w:szCs w:val="22"/>
        </w:rPr>
        <w:t>The potential consequences of servicing overseas:</w:t>
      </w:r>
    </w:p>
    <w:p w14:paraId="25CD7F41" w14:textId="77777777" w:rsidR="004B3DB0" w:rsidRDefault="004B3DB0" w:rsidP="004B3DB0">
      <w:pPr>
        <w:pStyle w:val="ListBullet3"/>
      </w:pPr>
      <w:r>
        <w:rPr>
          <w:rStyle w:val="normaltextrun"/>
          <w:rFonts w:cs="Segoe UI"/>
        </w:rPr>
        <w:t>more ships painted with higher lead levels would arrive in Australia</w:t>
      </w:r>
    </w:p>
    <w:p w14:paraId="17149E3C" w14:textId="0B49B785" w:rsidR="005A34E2" w:rsidRDefault="004B3DB0" w:rsidP="004B3DB0">
      <w:pPr>
        <w:pStyle w:val="ListBullet3"/>
      </w:pPr>
      <w:r>
        <w:rPr>
          <w:rStyle w:val="normaltextrun"/>
          <w:rFonts w:cs="Segoe UI"/>
        </w:rPr>
        <w:t>loss of Australian jobs in the industry if servicing went offshore.</w:t>
      </w:r>
    </w:p>
    <w:p w14:paraId="606CE2B7" w14:textId="5CD95E52" w:rsidR="00D51193" w:rsidRDefault="005A34E2" w:rsidP="00D51193">
      <w:pPr>
        <w:pStyle w:val="Heading4"/>
      </w:pPr>
      <w:r w:rsidRPr="00915A60">
        <w:t>Reasons for the interim decision (including findings on material questions of fact)</w:t>
      </w:r>
    </w:p>
    <w:p w14:paraId="0BDC8983" w14:textId="53400869" w:rsidR="0014752C" w:rsidRDefault="00963783" w:rsidP="005A34E2">
      <w:r>
        <w:t xml:space="preserve">I have made an interim decision </w:t>
      </w:r>
      <w:r w:rsidR="00115E79">
        <w:t xml:space="preserve">to </w:t>
      </w:r>
      <w:r w:rsidR="003450AC">
        <w:t>amend</w:t>
      </w:r>
      <w:r w:rsidR="00115E79">
        <w:t xml:space="preserve"> the scheduling of lead as it pertains to anti-</w:t>
      </w:r>
      <w:r w:rsidR="00165845">
        <w:t xml:space="preserve">corrosive </w:t>
      </w:r>
      <w:r w:rsidR="00115E79">
        <w:t xml:space="preserve">paints. </w:t>
      </w:r>
      <w:r w:rsidR="003165C2">
        <w:t xml:space="preserve">The </w:t>
      </w:r>
      <w:r w:rsidR="00422017">
        <w:t xml:space="preserve">introduction </w:t>
      </w:r>
      <w:r w:rsidR="003165C2">
        <w:t xml:space="preserve">of a 0.009% limit on lead in anti-corrosive paints, as </w:t>
      </w:r>
      <w:r w:rsidR="00165845">
        <w:t xml:space="preserve">foreshadowed </w:t>
      </w:r>
      <w:r w:rsidR="00422017">
        <w:t xml:space="preserve">in the 2021 Decision, </w:t>
      </w:r>
      <w:r w:rsidR="00165845">
        <w:t xml:space="preserve">is given effect by this </w:t>
      </w:r>
      <w:proofErr w:type="gramStart"/>
      <w:r w:rsidR="00165845">
        <w:t>amendment</w:t>
      </w:r>
      <w:proofErr w:type="gramEnd"/>
      <w:r w:rsidR="00165845">
        <w:t xml:space="preserve"> and will </w:t>
      </w:r>
      <w:r w:rsidR="00422017">
        <w:t>be implemented on 1 October 2023.</w:t>
      </w:r>
      <w:r w:rsidR="00165845">
        <w:t xml:space="preserve"> </w:t>
      </w:r>
    </w:p>
    <w:p w14:paraId="6F56C17A" w14:textId="0DD81083" w:rsidR="00090ABF" w:rsidRDefault="0014752C" w:rsidP="005A34E2">
      <w:pPr>
        <w:rPr>
          <w:highlight w:val="yellow"/>
        </w:rPr>
      </w:pPr>
      <w:r>
        <w:t xml:space="preserve">I have also made an interim decision to </w:t>
      </w:r>
      <w:r w:rsidR="000E4EAE">
        <w:t xml:space="preserve">not amend </w:t>
      </w:r>
      <w:r w:rsidR="001C56D9">
        <w:t>the scheduling of lead as it pertains to anti-fouling paints. The</w:t>
      </w:r>
      <w:r w:rsidR="001E0897">
        <w:t xml:space="preserve"> scheduling of lead will </w:t>
      </w:r>
      <w:r>
        <w:t>retain t</w:t>
      </w:r>
      <w:r w:rsidR="00165845">
        <w:t xml:space="preserve">he permissible maximum level of lead in anti-fouling paints </w:t>
      </w:r>
      <w:r w:rsidR="000E4EAE">
        <w:t>of</w:t>
      </w:r>
      <w:r w:rsidR="00165845">
        <w:t xml:space="preserve"> 0.1%</w:t>
      </w:r>
      <w:r w:rsidR="0003420F">
        <w:t>.</w:t>
      </w:r>
      <w:r w:rsidR="00090ABF">
        <w:t xml:space="preserve"> </w:t>
      </w:r>
      <w:r w:rsidR="00290FA6">
        <w:t>However, i</w:t>
      </w:r>
      <w:r w:rsidR="00BD5253">
        <w:t xml:space="preserve">t is anticipated that </w:t>
      </w:r>
      <w:r w:rsidR="2DA5F1A8">
        <w:t xml:space="preserve">consideration will be given to reducing </w:t>
      </w:r>
      <w:r w:rsidR="00BD5253">
        <w:t>the permissible maximum level of lead in anti-fouling paints to 0.06% by 1 October 2026</w:t>
      </w:r>
      <w:r w:rsidR="0027409B">
        <w:t>, and further reduced to 0.009% by 1 October 2029.</w:t>
      </w:r>
    </w:p>
    <w:p w14:paraId="79B95AFB" w14:textId="629DCCFB" w:rsidR="00E87C97" w:rsidRPr="00E01AFD" w:rsidRDefault="00165845" w:rsidP="00165845">
      <w:pPr>
        <w:rPr>
          <w:b/>
          <w:bCs/>
        </w:rPr>
      </w:pPr>
      <w:r w:rsidRPr="00E01AFD">
        <w:rPr>
          <w:b/>
          <w:bCs/>
          <w:i/>
          <w:iCs/>
        </w:rPr>
        <w:t>Anti-corrosive paints</w:t>
      </w:r>
    </w:p>
    <w:p w14:paraId="086DC588" w14:textId="7DE8CE8D" w:rsidR="007E1413" w:rsidRDefault="00165845" w:rsidP="00165845">
      <w:r>
        <w:t>Anti-corrosive paints are typically based on zinc and are unlikely to contain significant levels of lead as an impurity. Therefore, I have decided to retain this element of the 2021 Decision</w:t>
      </w:r>
      <w:r w:rsidR="001D2284">
        <w:t xml:space="preserve">, for the reasons given in that </w:t>
      </w:r>
      <w:r w:rsidR="00B30A42">
        <w:t>d</w:t>
      </w:r>
      <w:r w:rsidR="001D2284">
        <w:t>ecision,</w:t>
      </w:r>
      <w:r>
        <w:t xml:space="preserve"> and make the intended amendments with regards to lead in anti-corrosive paints on 1 October 2023.</w:t>
      </w:r>
      <w:r w:rsidR="007E1413">
        <w:t xml:space="preserve"> </w:t>
      </w:r>
    </w:p>
    <w:p w14:paraId="63E5336E" w14:textId="511D31D1" w:rsidR="00165845" w:rsidRPr="00915A60" w:rsidRDefault="007E1413" w:rsidP="00165845">
      <w:r>
        <w:t>I note that there is no objection in the submissions to the implementation of a 0.009% limit on lead in anti-corrosive paints, as outlined in the 2021 Decision.</w:t>
      </w:r>
    </w:p>
    <w:p w14:paraId="254951C0" w14:textId="2343D2F9" w:rsidR="00165845" w:rsidRPr="00E01AFD" w:rsidRDefault="00165845" w:rsidP="00865F11">
      <w:pPr>
        <w:rPr>
          <w:b/>
          <w:bCs/>
        </w:rPr>
      </w:pPr>
      <w:r w:rsidRPr="00E01AFD">
        <w:rPr>
          <w:b/>
          <w:bCs/>
          <w:i/>
          <w:iCs/>
        </w:rPr>
        <w:t>Anti-fouling paints</w:t>
      </w:r>
    </w:p>
    <w:p w14:paraId="56100799" w14:textId="48629068" w:rsidR="00662603" w:rsidRDefault="005A34E2" w:rsidP="00865F11">
      <w:r w:rsidRPr="00915A60">
        <w:t xml:space="preserve">I </w:t>
      </w:r>
      <w:r w:rsidRPr="00963783">
        <w:t>agree</w:t>
      </w:r>
      <w:r w:rsidRPr="00915A60">
        <w:t xml:space="preserve"> with the Committee's findings on the relevant provisions of section 52E of the Act.</w:t>
      </w:r>
      <w:r w:rsidR="001F0B9B">
        <w:t xml:space="preserve"> </w:t>
      </w:r>
      <w:r w:rsidR="00662603">
        <w:t xml:space="preserve">While the </w:t>
      </w:r>
      <w:r w:rsidR="00EC632A">
        <w:t xml:space="preserve">interim </w:t>
      </w:r>
      <w:r w:rsidR="00662603">
        <w:t>decision is to extend the implementation of the reduced limit for lead in anti-fouling paint</w:t>
      </w:r>
      <w:r w:rsidR="00865F11">
        <w:t xml:space="preserve">, </w:t>
      </w:r>
      <w:r w:rsidR="00004ACB">
        <w:t xml:space="preserve">with reference to </w:t>
      </w:r>
      <w:r w:rsidR="00461AAD">
        <w:t>s</w:t>
      </w:r>
      <w:r w:rsidR="00004ACB">
        <w:t xml:space="preserve"> 52E(1)(c) of the Act</w:t>
      </w:r>
      <w:r w:rsidR="006B57FC">
        <w:t>,</w:t>
      </w:r>
      <w:r w:rsidR="00004ACB">
        <w:t xml:space="preserve"> </w:t>
      </w:r>
      <w:r w:rsidR="00865F11">
        <w:t xml:space="preserve">I reiterate the 2021 Decision that </w:t>
      </w:r>
      <w:proofErr w:type="gramStart"/>
      <w:r w:rsidR="00662603" w:rsidRPr="00662603">
        <w:t>lead</w:t>
      </w:r>
      <w:proofErr w:type="gramEnd"/>
      <w:r w:rsidR="00662603" w:rsidRPr="00662603">
        <w:t xml:space="preserve"> is a substance with known cumulative toxicity to humans</w:t>
      </w:r>
      <w:r w:rsidR="00455D86">
        <w:t xml:space="preserve"> with </w:t>
      </w:r>
      <w:r w:rsidR="00662603" w:rsidRPr="00662603">
        <w:t xml:space="preserve">no regulatory threshold for human exposure below which is considered safe. </w:t>
      </w:r>
      <w:r w:rsidR="006145AF">
        <w:t xml:space="preserve">I </w:t>
      </w:r>
      <w:r w:rsidR="003F07DC">
        <w:t xml:space="preserve">agree with the Committee </w:t>
      </w:r>
      <w:r w:rsidR="006145AF">
        <w:t>that public health policy makers have a responsibility to reduce the potential for human exposure to lead wherever possible, including through controls in the Poisons Standard.</w:t>
      </w:r>
    </w:p>
    <w:p w14:paraId="5804FC69" w14:textId="13FCC4C7" w:rsidR="006B57FC" w:rsidRDefault="001F0B9B" w:rsidP="00BA5A4C">
      <w:r>
        <w:t xml:space="preserve">The main consideration in </w:t>
      </w:r>
      <w:r w:rsidR="003450AC">
        <w:t>deferring</w:t>
      </w:r>
      <w:r>
        <w:t xml:space="preserve"> the</w:t>
      </w:r>
      <w:r w:rsidR="003450AC">
        <w:rPr>
          <w:rStyle w:val="normaltextrun"/>
          <w:color w:val="000000"/>
          <w:szCs w:val="22"/>
          <w:shd w:val="clear" w:color="auto" w:fill="FFFFFF"/>
        </w:rPr>
        <w:t xml:space="preserve"> foreshadowed repeal of the 0.1% limit in relation to anti-fouling paints in </w:t>
      </w:r>
      <w:r>
        <w:t>2021 Decision is to ensure that industry has sufficient time to develop innovative and safe alternatives to the anti-fouling paints</w:t>
      </w:r>
      <w:r w:rsidR="00836435">
        <w:t xml:space="preserve"> that are</w:t>
      </w:r>
      <w:r>
        <w:t xml:space="preserve"> currently available. </w:t>
      </w:r>
      <w:r w:rsidR="00BA5A4C">
        <w:t xml:space="preserve">The </w:t>
      </w:r>
      <w:r w:rsidR="006B57FC">
        <w:t>2021 </w:t>
      </w:r>
      <w:r w:rsidR="00BA5A4C">
        <w:t xml:space="preserve">Decision recognised that </w:t>
      </w:r>
      <w:r w:rsidR="00662603">
        <w:t xml:space="preserve">reduction of the limit for lead in anti-fouling paints </w:t>
      </w:r>
      <w:r w:rsidR="00BA5A4C">
        <w:t>may be problematic</w:t>
      </w:r>
      <w:r w:rsidR="00662603">
        <w:t xml:space="preserve"> on the basis that</w:t>
      </w:r>
      <w:r w:rsidR="00BA5A4C">
        <w:t xml:space="preserve"> manufacture us</w:t>
      </w:r>
      <w:r w:rsidR="00662603">
        <w:t>es</w:t>
      </w:r>
      <w:r w:rsidR="00BA5A4C">
        <w:t xml:space="preserve"> recycled copper, which typically contains traces of lead as an impurity from its use in solder.</w:t>
      </w:r>
    </w:p>
    <w:p w14:paraId="7E02E7A4" w14:textId="34F23AB6" w:rsidR="006B57FC" w:rsidRDefault="00BA5A4C" w:rsidP="00BA5A4C">
      <w:r>
        <w:t xml:space="preserve">The </w:t>
      </w:r>
      <w:r w:rsidR="00662603">
        <w:t>2021 D</w:t>
      </w:r>
      <w:r>
        <w:t xml:space="preserve">ecision was made with the intention that manufacturers would source alternative materials </w:t>
      </w:r>
      <w:r w:rsidR="001F0B9B">
        <w:t xml:space="preserve">or methods </w:t>
      </w:r>
      <w:r>
        <w:t>for producing anti-fouling paints during the</w:t>
      </w:r>
      <w:r w:rsidR="002F121A">
        <w:t xml:space="preserve"> </w:t>
      </w:r>
      <w:r>
        <w:t>two</w:t>
      </w:r>
      <w:r w:rsidR="00662603">
        <w:t>-</w:t>
      </w:r>
      <w:r>
        <w:t xml:space="preserve">year </w:t>
      </w:r>
      <w:r w:rsidR="002F121A">
        <w:t xml:space="preserve">transition </w:t>
      </w:r>
      <w:r>
        <w:t>period</w:t>
      </w:r>
      <w:r w:rsidR="001F0B9B">
        <w:t>,</w:t>
      </w:r>
      <w:r>
        <w:t xml:space="preserve"> such that the 0.009% limit on lead content could be achieved by </w:t>
      </w:r>
      <w:r w:rsidR="006B57FC">
        <w:t>1 October </w:t>
      </w:r>
      <w:r>
        <w:t xml:space="preserve">2023. </w:t>
      </w:r>
      <w:r w:rsidRPr="003555D3">
        <w:t xml:space="preserve">I recognise that despite </w:t>
      </w:r>
      <w:r w:rsidRPr="003555D3">
        <w:lastRenderedPageBreak/>
        <w:t xml:space="preserve">the </w:t>
      </w:r>
      <w:r w:rsidR="002F121A">
        <w:t>transition period</w:t>
      </w:r>
      <w:r w:rsidRPr="003555D3">
        <w:t xml:space="preserve"> of the 2021 Decision,</w:t>
      </w:r>
      <w:r>
        <w:t xml:space="preserve"> copper compounds remain the predominant active ingredient for anti-fouling paints</w:t>
      </w:r>
      <w:r w:rsidR="001F0B9B">
        <w:t xml:space="preserve"> and there are few alternatives </w:t>
      </w:r>
      <w:r w:rsidR="00C902CA">
        <w:t>available</w:t>
      </w:r>
      <w:r>
        <w:t>.</w:t>
      </w:r>
    </w:p>
    <w:p w14:paraId="5F03029B" w14:textId="136DD95E" w:rsidR="002F36F0" w:rsidRDefault="00BA5A4C" w:rsidP="00BA5A4C">
      <w:r>
        <w:t>The Australian Pesticides and Veterinary Medicines Authority (APVMA), which is the regulator for anti-fouling paints in Australia, lists 43 anti-fouling products on the Public Chemical Registration Information System (</w:t>
      </w:r>
      <w:proofErr w:type="spellStart"/>
      <w:r>
        <w:t>PubCRIS</w:t>
      </w:r>
      <w:proofErr w:type="spellEnd"/>
      <w:r>
        <w:t>)</w:t>
      </w:r>
      <w:r w:rsidR="00836435">
        <w:t>.</w:t>
      </w:r>
      <w:r>
        <w:t xml:space="preserve"> </w:t>
      </w:r>
      <w:r w:rsidR="00836435">
        <w:t>A</w:t>
      </w:r>
      <w:r>
        <w:t xml:space="preserve">ll contain one or more copper compounds, such as cuprous oxide, cuprous thiocyanate and/or copper </w:t>
      </w:r>
      <w:proofErr w:type="spellStart"/>
      <w:r>
        <w:t>pyrithione</w:t>
      </w:r>
      <w:proofErr w:type="spellEnd"/>
      <w:r>
        <w:t>. The use of recycled copper in these preparations means it is unlikely that the intended 0.009% limit for lead would be able to be met</w:t>
      </w:r>
      <w:r w:rsidR="00455D86">
        <w:t xml:space="preserve"> </w:t>
      </w:r>
      <w:r w:rsidR="006B57FC">
        <w:t xml:space="preserve">by industry </w:t>
      </w:r>
      <w:r w:rsidR="00455D86">
        <w:t>by 1 October 2023</w:t>
      </w:r>
      <w:r>
        <w:t>.</w:t>
      </w:r>
    </w:p>
    <w:p w14:paraId="2203396B" w14:textId="30CFF5D5" w:rsidR="00053DAF" w:rsidRDefault="00053DAF" w:rsidP="00053DAF">
      <w:r>
        <w:t xml:space="preserve">I </w:t>
      </w:r>
      <w:r w:rsidR="00836435">
        <w:t xml:space="preserve">have </w:t>
      </w:r>
      <w:r>
        <w:t>note</w:t>
      </w:r>
      <w:r w:rsidR="00836435">
        <w:t>d</w:t>
      </w:r>
      <w:r>
        <w:t xml:space="preserve"> th</w:t>
      </w:r>
      <w:r w:rsidR="00836435">
        <w:t>e</w:t>
      </w:r>
      <w:r>
        <w:t xml:space="preserve"> </w:t>
      </w:r>
      <w:r w:rsidR="006B57FC">
        <w:t xml:space="preserve">submission </w:t>
      </w:r>
      <w:r>
        <w:t xml:space="preserve">from </w:t>
      </w:r>
      <w:r w:rsidR="00730B47">
        <w:t>an i</w:t>
      </w:r>
      <w:r w:rsidR="00887CC7">
        <w:t>ndustry bod</w:t>
      </w:r>
      <w:r w:rsidR="00730B47">
        <w:t>y</w:t>
      </w:r>
      <w:r w:rsidR="00836435">
        <w:t xml:space="preserve"> </w:t>
      </w:r>
      <w:r>
        <w:t xml:space="preserve">stating that that virgin (mined) copper, which is of higher purity and contains lower levels of impurities including lead, is currently not adequately accessible or economically viable for </w:t>
      </w:r>
      <w:r w:rsidR="006B57FC">
        <w:t xml:space="preserve">use by </w:t>
      </w:r>
      <w:r>
        <w:t xml:space="preserve">manufacturers of anti-fouling paints. While scheduling decisions are based on considerations of the effects of a substance on human health rather than economic factors, </w:t>
      </w:r>
      <w:r w:rsidR="00461AAD">
        <w:t xml:space="preserve">in my considerations of s 52E(1)(a) of the Act </w:t>
      </w:r>
      <w:r>
        <w:t xml:space="preserve">I recognise the importance of anti-fouling paints in Australian industry. Reduction in the practice of </w:t>
      </w:r>
      <w:r w:rsidR="006B57FC">
        <w:t xml:space="preserve">using </w:t>
      </w:r>
      <w:r>
        <w:t xml:space="preserve">anti-fouling </w:t>
      </w:r>
      <w:r w:rsidR="006B57FC">
        <w:t xml:space="preserve">paints </w:t>
      </w:r>
      <w:r>
        <w:t xml:space="preserve">on watercraft in Australia has potential detrimental effects or risks, such as increased fuel consumption and the introduction of undesirable bio-organisms, both of which can have flow-on effects to human health. I also recognise the concerns expressed in the </w:t>
      </w:r>
      <w:r w:rsidR="006B57FC">
        <w:t>a</w:t>
      </w:r>
      <w:r w:rsidR="004F11D2">
        <w:t xml:space="preserve">pplication and the </w:t>
      </w:r>
      <w:r w:rsidR="006B57FC">
        <w:t>s</w:t>
      </w:r>
      <w:r>
        <w:t>ubmissions that</w:t>
      </w:r>
      <w:r w:rsidR="006B57FC">
        <w:t xml:space="preserve"> without access to viable </w:t>
      </w:r>
      <w:r>
        <w:t>anti-fouling paint</w:t>
      </w:r>
      <w:r w:rsidR="006B57FC">
        <w:t xml:space="preserve"> alternatives in </w:t>
      </w:r>
      <w:r>
        <w:t xml:space="preserve">the Australian market </w:t>
      </w:r>
      <w:r w:rsidR="006B57FC">
        <w:t xml:space="preserve">there will </w:t>
      </w:r>
      <w:r>
        <w:t xml:space="preserve">likely </w:t>
      </w:r>
      <w:r w:rsidR="006B57FC">
        <w:t>be</w:t>
      </w:r>
      <w:r>
        <w:t xml:space="preserve"> offshore transfer of work involving such products to countries with less stringent restrictions. This may present little (if any) benefit to the health of Australians in terms of the intent of this decision, as watercraft bearing anti-fouling paints with excessive levels of lead would still be free to re-enter Australian waters</w:t>
      </w:r>
      <w:r w:rsidR="007C6A82">
        <w:t xml:space="preserve"> </w:t>
      </w:r>
      <w:r w:rsidR="004F11D2">
        <w:t>and potentially release contamina</w:t>
      </w:r>
      <w:r w:rsidR="00486F32">
        <w:t>n</w:t>
      </w:r>
      <w:r w:rsidR="004F11D2">
        <w:t>t</w:t>
      </w:r>
      <w:r w:rsidR="006B57FC">
        <w:t>s to</w:t>
      </w:r>
      <w:r w:rsidR="004F11D2">
        <w:t xml:space="preserve"> local waterways.</w:t>
      </w:r>
    </w:p>
    <w:p w14:paraId="0E29ACD4" w14:textId="4121D7DE" w:rsidR="00DF222A" w:rsidRDefault="00356E75" w:rsidP="00DF222A">
      <w:r>
        <w:t xml:space="preserve">I </w:t>
      </w:r>
      <w:r w:rsidR="001F0B9B">
        <w:t xml:space="preserve">have </w:t>
      </w:r>
      <w:r>
        <w:t>consider</w:t>
      </w:r>
      <w:r w:rsidR="001F0B9B">
        <w:t xml:space="preserve">ed the risk to public health from exposure to </w:t>
      </w:r>
      <w:r w:rsidR="00EC632A">
        <w:t xml:space="preserve">lead in </w:t>
      </w:r>
      <w:r w:rsidR="001F0B9B">
        <w:t xml:space="preserve">anti-fouling paints and </w:t>
      </w:r>
      <w:r w:rsidR="00EC632A">
        <w:t xml:space="preserve">I </w:t>
      </w:r>
      <w:r w:rsidR="004F11D2">
        <w:t xml:space="preserve">have </w:t>
      </w:r>
      <w:r w:rsidR="004F11D2" w:rsidRPr="0053559E">
        <w:t xml:space="preserve">decided </w:t>
      </w:r>
      <w:r w:rsidR="00EC632A" w:rsidRPr="0053559E">
        <w:t xml:space="preserve">that </w:t>
      </w:r>
      <w:r w:rsidR="00D33E21" w:rsidRPr="00E01AFD">
        <w:t>extending the tr</w:t>
      </w:r>
      <w:r w:rsidR="00FE7489" w:rsidRPr="00E01AFD">
        <w:t>ansition period</w:t>
      </w:r>
      <w:r w:rsidR="001F0B9B" w:rsidRPr="0053559E">
        <w:t xml:space="preserve"> </w:t>
      </w:r>
      <w:r w:rsidR="00EC632A" w:rsidRPr="0053559E">
        <w:t xml:space="preserve">is </w:t>
      </w:r>
      <w:r w:rsidR="007069E8" w:rsidRPr="0053559E">
        <w:t xml:space="preserve">not likely to unduly increase the risk </w:t>
      </w:r>
      <w:r w:rsidR="00EC632A" w:rsidRPr="0053559E">
        <w:t xml:space="preserve">to Australian public health. </w:t>
      </w:r>
    </w:p>
    <w:p w14:paraId="262C893D" w14:textId="6863B88B" w:rsidR="002F36F0" w:rsidRDefault="007201F2" w:rsidP="002F36F0">
      <w:r w:rsidRPr="00E24E20">
        <w:t>A</w:t>
      </w:r>
      <w:r w:rsidR="002F36F0" w:rsidRPr="00E24E20">
        <w:t xml:space="preserve">n extended </w:t>
      </w:r>
      <w:r w:rsidR="004341B4" w:rsidRPr="00E01AFD">
        <w:t xml:space="preserve">transition </w:t>
      </w:r>
      <w:r w:rsidR="002F36F0" w:rsidRPr="00E24E20">
        <w:t xml:space="preserve">period provides scope for industry to scale-down the production of paints which may be non-compliant with the </w:t>
      </w:r>
      <w:r w:rsidR="006B57FC" w:rsidRPr="00E24E20">
        <w:t xml:space="preserve">new </w:t>
      </w:r>
      <w:r w:rsidR="002F36F0" w:rsidRPr="00E24E20">
        <w:t xml:space="preserve">limits on lead </w:t>
      </w:r>
      <w:r w:rsidR="006B57FC" w:rsidRPr="00E24E20">
        <w:t xml:space="preserve">at each stage </w:t>
      </w:r>
      <w:r w:rsidR="002F36F0" w:rsidRPr="00E24E20">
        <w:t xml:space="preserve">and minimises the risk of inappropriate disposal of existing non-compliant products. This has the potential to minimise the release of lead from disposed anti-fouling paints into the environment and hence contributes to lowering the probability of human exposure to lead from these products. </w:t>
      </w:r>
    </w:p>
    <w:p w14:paraId="2D83CDF0" w14:textId="2A515E36" w:rsidR="004017E2" w:rsidRDefault="00455D86" w:rsidP="005A34E2">
      <w:r>
        <w:t xml:space="preserve">In considering the risk to public health from </w:t>
      </w:r>
      <w:r w:rsidR="00E06E73">
        <w:t>extending the transition period</w:t>
      </w:r>
      <w:r>
        <w:t xml:space="preserve"> for the lower lead limit, I </w:t>
      </w:r>
      <w:r w:rsidR="007201F2">
        <w:t>recognise that</w:t>
      </w:r>
      <w:r>
        <w:t xml:space="preserve"> </w:t>
      </w:r>
      <w:r w:rsidR="00EC632A">
        <w:t>there are significantly reduced exposure pathways from anti-fouling paints compared to other paints</w:t>
      </w:r>
      <w:r>
        <w:t>.</w:t>
      </w:r>
      <w:r w:rsidR="00EC632A">
        <w:t xml:space="preserve"> </w:t>
      </w:r>
      <w:r>
        <w:t xml:space="preserve">The key population at risk </w:t>
      </w:r>
      <w:r w:rsidR="007201F2">
        <w:t>is</w:t>
      </w:r>
      <w:r>
        <w:t xml:space="preserve"> </w:t>
      </w:r>
      <w:r w:rsidR="004017E2">
        <w:t>shipyard workers during maintenance activities</w:t>
      </w:r>
      <w:r w:rsidR="00271C38">
        <w:t xml:space="preserve"> on watercraft.</w:t>
      </w:r>
      <w:r w:rsidR="00630F95">
        <w:t xml:space="preserve"> However, in making this decision I have taken into consideration </w:t>
      </w:r>
      <w:r w:rsidR="00461AAD">
        <w:t>s 52E(1)(d) of the Act</w:t>
      </w:r>
      <w:r w:rsidR="006B57FC">
        <w:t xml:space="preserve">. </w:t>
      </w:r>
      <w:r w:rsidR="00730B47">
        <w:t>Of</w:t>
      </w:r>
      <w:r w:rsidR="00461AAD">
        <w:t xml:space="preserve"> </w:t>
      </w:r>
      <w:proofErr w:type="gramStart"/>
      <w:r w:rsidR="00461AAD">
        <w:t>particular</w:t>
      </w:r>
      <w:r w:rsidR="00730B47">
        <w:t xml:space="preserve"> relevance</w:t>
      </w:r>
      <w:proofErr w:type="gramEnd"/>
      <w:r w:rsidR="00730B47">
        <w:t xml:space="preserve"> is</w:t>
      </w:r>
      <w:r w:rsidR="00461AAD">
        <w:t xml:space="preserve"> </w:t>
      </w:r>
      <w:r w:rsidR="00630F95">
        <w:t>that the exposure to lead for those working on the removal or application of anti-fouling paints in dry dock is significantly mitigated under work health and safety laws</w:t>
      </w:r>
      <w:r w:rsidR="001833B3">
        <w:t>,</w:t>
      </w:r>
      <w:r w:rsidR="00630F95">
        <w:t xml:space="preserve"> through </w:t>
      </w:r>
      <w:r w:rsidR="008425D8">
        <w:t xml:space="preserve">the use of engineering controls </w:t>
      </w:r>
      <w:r w:rsidR="00BA48A5">
        <w:t xml:space="preserve">such </w:t>
      </w:r>
      <w:r w:rsidR="00A216BD">
        <w:t>as</w:t>
      </w:r>
      <w:r w:rsidR="00BA48A5">
        <w:t xml:space="preserve"> wet abrasion and vacuuming, and </w:t>
      </w:r>
      <w:r w:rsidR="00630F95">
        <w:t xml:space="preserve">the use of personal protective equipment </w:t>
      </w:r>
      <w:r w:rsidR="007C6A82">
        <w:t xml:space="preserve">(PPE) </w:t>
      </w:r>
      <w:r w:rsidR="00630F95">
        <w:t>such as masks and gloves.</w:t>
      </w:r>
      <w:r w:rsidR="001833B3">
        <w:t xml:space="preserve"> This supports the points raised in the </w:t>
      </w:r>
      <w:r w:rsidR="006B57FC">
        <w:t>a</w:t>
      </w:r>
      <w:r w:rsidR="007201F2">
        <w:t xml:space="preserve">pplication </w:t>
      </w:r>
      <w:r w:rsidR="001833B3">
        <w:t xml:space="preserve">regarding the reduced potential for human exposure to lead in anti-fouling paints and has contributed to my decision to extend the </w:t>
      </w:r>
      <w:r w:rsidR="0019645A">
        <w:t xml:space="preserve">transition </w:t>
      </w:r>
      <w:r w:rsidR="001833B3">
        <w:t xml:space="preserve">timeframes from the </w:t>
      </w:r>
      <w:r w:rsidR="006B57FC">
        <w:t>2021 </w:t>
      </w:r>
      <w:r w:rsidR="001833B3">
        <w:t>Decision.</w:t>
      </w:r>
    </w:p>
    <w:p w14:paraId="0EBEEF23" w14:textId="225F006F" w:rsidR="00BA5A4C" w:rsidRDefault="005E300F" w:rsidP="00BA5A4C">
      <w:r>
        <w:t>Pursuant to</w:t>
      </w:r>
      <w:r w:rsidR="00461AAD">
        <w:t xml:space="preserve"> s 52E(1)(b) of the Act, </w:t>
      </w:r>
      <w:r w:rsidR="00BA5A4C">
        <w:t xml:space="preserve">I have considered </w:t>
      </w:r>
      <w:r w:rsidR="006B57FC">
        <w:t xml:space="preserve">the </w:t>
      </w:r>
      <w:r w:rsidR="00BA5A4C">
        <w:t xml:space="preserve">data provided in the </w:t>
      </w:r>
      <w:r w:rsidR="006B57FC">
        <w:t>s</w:t>
      </w:r>
      <w:r w:rsidR="00BA5A4C">
        <w:t>ubmissions from the Boating Industry Association</w:t>
      </w:r>
      <w:r w:rsidR="00BA5A4C">
        <w:rPr>
          <w:rStyle w:val="FootnoteReference"/>
        </w:rPr>
        <w:footnoteReference w:id="7"/>
      </w:r>
      <w:r w:rsidR="00BA5A4C">
        <w:t xml:space="preserve"> which indicated that 85% of boats in Australia are under 6m long</w:t>
      </w:r>
      <w:r w:rsidR="000D2FE7">
        <w:t>,</w:t>
      </w:r>
      <w:r w:rsidR="00BA5A4C">
        <w:t xml:space="preserve"> and 62% are </w:t>
      </w:r>
      <w:r w:rsidR="000D2FE7">
        <w:t xml:space="preserve">constructed from </w:t>
      </w:r>
      <w:r w:rsidR="00BA5A4C">
        <w:t xml:space="preserve">aluminium. Therefore, </w:t>
      </w:r>
      <w:r w:rsidR="0065747E">
        <w:t>I consider the risk of exposure to lead from maintenance activities on watercraft to be low and to a small population, as small watercraft are predominantly coated with</w:t>
      </w:r>
      <w:r w:rsidR="00BA5A4C">
        <w:t xml:space="preserve"> anti-fouling paints based on cuprous thiocyanate which </w:t>
      </w:r>
      <w:r w:rsidR="007508E3">
        <w:t xml:space="preserve">is </w:t>
      </w:r>
      <w:r w:rsidR="00461AAD">
        <w:t>preferred</w:t>
      </w:r>
      <w:r w:rsidR="007508E3">
        <w:t xml:space="preserve"> for </w:t>
      </w:r>
      <w:r w:rsidR="007508E3">
        <w:lastRenderedPageBreak/>
        <w:t>use on aluminium hulls</w:t>
      </w:r>
      <w:r w:rsidR="006B57FC">
        <w:t>. Cuprous thiocyanate</w:t>
      </w:r>
      <w:r w:rsidR="007508E3">
        <w:t xml:space="preserve"> </w:t>
      </w:r>
      <w:r w:rsidR="00BA5A4C">
        <w:t>contains a lower proportion of copper (and therefore likely to contain a lower level of lead</w:t>
      </w:r>
      <w:r w:rsidR="00BA48A5">
        <w:t xml:space="preserve"> contamination</w:t>
      </w:r>
      <w:r w:rsidR="00BA5A4C">
        <w:t xml:space="preserve">) than </w:t>
      </w:r>
      <w:r w:rsidR="00ED395F">
        <w:t>other forms of copper</w:t>
      </w:r>
      <w:r w:rsidR="005B3A96">
        <w:t>-</w:t>
      </w:r>
      <w:r w:rsidR="00271C38">
        <w:t xml:space="preserve">based </w:t>
      </w:r>
      <w:r w:rsidR="00ED395F">
        <w:t>anti-fouling paints</w:t>
      </w:r>
      <w:r w:rsidR="00BA5A4C">
        <w:t xml:space="preserve">. </w:t>
      </w:r>
      <w:r w:rsidR="0065747E">
        <w:t xml:space="preserve">For larger watercraft, more likely to be coated with anti-fouling paints containing </w:t>
      </w:r>
      <w:r w:rsidR="00FA072F">
        <w:t xml:space="preserve">higher levels of lead (cuprous oxide), </w:t>
      </w:r>
      <w:r w:rsidR="0065747E">
        <w:t>maintenance activities will be carried out by shipyard worker</w:t>
      </w:r>
      <w:r w:rsidR="00FA072F">
        <w:t xml:space="preserve">s with enforcement of appropriate PPE measures. </w:t>
      </w:r>
      <w:r w:rsidR="00271C38">
        <w:t xml:space="preserve">This </w:t>
      </w:r>
      <w:r w:rsidR="007201F2">
        <w:t>information</w:t>
      </w:r>
      <w:r w:rsidR="00271C38">
        <w:t xml:space="preserve"> supports my view that </w:t>
      </w:r>
      <w:r w:rsidR="006B57FC">
        <w:t xml:space="preserve">the </w:t>
      </w:r>
      <w:r w:rsidR="00271C38">
        <w:t xml:space="preserve">population most at risk of lead exposure from anti-fouling paints are workers associated with the </w:t>
      </w:r>
      <w:r w:rsidR="007C4FB3">
        <w:t>maintenance</w:t>
      </w:r>
      <w:r w:rsidR="00271C38">
        <w:t xml:space="preserve"> of larger vessels, where appropriate</w:t>
      </w:r>
      <w:r w:rsidR="00BA48A5">
        <w:t xml:space="preserve"> engineering controls and</w:t>
      </w:r>
      <w:r w:rsidR="00271C38">
        <w:t xml:space="preserve"> PPE </w:t>
      </w:r>
      <w:r w:rsidR="00BA48A5">
        <w:t>are</w:t>
      </w:r>
      <w:r w:rsidR="00271C38">
        <w:t xml:space="preserve"> enforced and regulated</w:t>
      </w:r>
      <w:r w:rsidR="007201F2">
        <w:t xml:space="preserve"> to mitigate this risk</w:t>
      </w:r>
      <w:r w:rsidR="00271C38">
        <w:t xml:space="preserve">, rather than individuals working on smaller </w:t>
      </w:r>
      <w:r w:rsidR="00053DAF">
        <w:t>watercraft.</w:t>
      </w:r>
    </w:p>
    <w:p w14:paraId="53B519DB" w14:textId="4BA1864C" w:rsidR="00F01A3B" w:rsidRDefault="00690D14" w:rsidP="005A34E2">
      <w:r w:rsidRPr="00DD1D16">
        <w:t xml:space="preserve">I acknowledge the Committee’s advice regarding </w:t>
      </w:r>
      <w:r w:rsidR="00925DD1">
        <w:t xml:space="preserve">the </w:t>
      </w:r>
      <w:r w:rsidR="00FD5C5A">
        <w:t>revised</w:t>
      </w:r>
      <w:r w:rsidR="001117F3">
        <w:t xml:space="preserve"> transition</w:t>
      </w:r>
      <w:r w:rsidR="00925DD1">
        <w:t xml:space="preserve"> </w:t>
      </w:r>
      <w:proofErr w:type="gramStart"/>
      <w:r w:rsidR="00925DD1">
        <w:t>period</w:t>
      </w:r>
      <w:r w:rsidRPr="00DD1D16">
        <w:t>,</w:t>
      </w:r>
      <w:proofErr w:type="gramEnd"/>
      <w:r w:rsidRPr="00DD1D16">
        <w:t xml:space="preserve"> however I am of the view that t</w:t>
      </w:r>
      <w:r w:rsidR="006B57FC" w:rsidRPr="00DD1D16">
        <w:t xml:space="preserve">his </w:t>
      </w:r>
      <w:r w:rsidRPr="00DD1D16">
        <w:t xml:space="preserve">decision </w:t>
      </w:r>
      <w:r w:rsidR="006B57FC" w:rsidRPr="00DD1D16">
        <w:t xml:space="preserve">will </w:t>
      </w:r>
      <w:r w:rsidR="00C93E95" w:rsidRPr="00DD1D16">
        <w:t xml:space="preserve">provide an adequate adjustment period for relevant stakeholders to </w:t>
      </w:r>
      <w:r w:rsidR="00AA71C2" w:rsidRPr="00DD1D16">
        <w:t xml:space="preserve">meet </w:t>
      </w:r>
      <w:r w:rsidR="00C6688A">
        <w:t>the requirements at each stage of the</w:t>
      </w:r>
      <w:r w:rsidR="00494632">
        <w:t xml:space="preserve"> </w:t>
      </w:r>
      <w:r w:rsidR="0051298A">
        <w:t xml:space="preserve">suggested </w:t>
      </w:r>
      <w:r w:rsidR="002A5AA0">
        <w:t>staggered amendment process</w:t>
      </w:r>
      <w:r w:rsidR="00494632">
        <w:t>.</w:t>
      </w:r>
    </w:p>
    <w:p w14:paraId="4D147D82" w14:textId="76AF09AB" w:rsidR="00BD34BF" w:rsidRPr="00BE1B32" w:rsidRDefault="1589F564" w:rsidP="005A34E2">
      <w:pPr>
        <w:rPr>
          <w:b/>
          <w:bCs/>
        </w:rPr>
      </w:pPr>
      <w:r w:rsidRPr="77477234">
        <w:rPr>
          <w:b/>
          <w:bCs/>
          <w:i/>
          <w:iCs/>
        </w:rPr>
        <w:t>Fu</w:t>
      </w:r>
      <w:r w:rsidR="0165B985" w:rsidRPr="77477234">
        <w:rPr>
          <w:b/>
          <w:bCs/>
          <w:i/>
          <w:iCs/>
        </w:rPr>
        <w:t>ture</w:t>
      </w:r>
      <w:r w:rsidR="00435597" w:rsidRPr="00BE1B32">
        <w:rPr>
          <w:b/>
          <w:bCs/>
          <w:i/>
          <w:iCs/>
        </w:rPr>
        <w:t xml:space="preserve"> scheduling </w:t>
      </w:r>
      <w:r w:rsidR="5C45CD1C" w:rsidRPr="77477234">
        <w:rPr>
          <w:b/>
          <w:bCs/>
          <w:i/>
          <w:iCs/>
        </w:rPr>
        <w:t xml:space="preserve">amendments </w:t>
      </w:r>
      <w:r w:rsidR="00435597" w:rsidRPr="00BE1B32">
        <w:rPr>
          <w:b/>
          <w:bCs/>
          <w:i/>
          <w:iCs/>
        </w:rPr>
        <w:t>in relation to lead</w:t>
      </w:r>
    </w:p>
    <w:p w14:paraId="5F3AE187" w14:textId="4EA6E4A8" w:rsidR="00BD34BF" w:rsidRDefault="363782CB" w:rsidP="005A34E2">
      <w:r>
        <w:t>In</w:t>
      </w:r>
      <w:r w:rsidR="6001DC33">
        <w:t xml:space="preserve"> my view, consid</w:t>
      </w:r>
      <w:r w:rsidR="03DB9840">
        <w:t>er</w:t>
      </w:r>
      <w:r w:rsidR="6001DC33">
        <w:t>ation should be given</w:t>
      </w:r>
      <w:r w:rsidR="068A9D7F">
        <w:t xml:space="preserve"> </w:t>
      </w:r>
      <w:r w:rsidR="00F1313D">
        <w:t>to mak</w:t>
      </w:r>
      <w:r w:rsidR="3F544ECC">
        <w:t>ing</w:t>
      </w:r>
      <w:r w:rsidR="00F1313D">
        <w:t xml:space="preserve"> further</w:t>
      </w:r>
      <w:r w:rsidR="003E052B">
        <w:t xml:space="preserve"> amendments</w:t>
      </w:r>
      <w:r w:rsidR="00F1313D">
        <w:t xml:space="preserve"> to the scheduling of lead in relation to anti-fouling </w:t>
      </w:r>
      <w:r w:rsidR="003E052B">
        <w:t xml:space="preserve">paints </w:t>
      </w:r>
      <w:proofErr w:type="gramStart"/>
      <w:r w:rsidR="002455AA">
        <w:t>at a later date</w:t>
      </w:r>
      <w:proofErr w:type="gramEnd"/>
      <w:r w:rsidR="003E052B">
        <w:t xml:space="preserve">. </w:t>
      </w:r>
      <w:r w:rsidR="002455AA">
        <w:t>In particular:</w:t>
      </w:r>
    </w:p>
    <w:p w14:paraId="087B1A3F" w14:textId="72FC7D0D" w:rsidR="00825F24" w:rsidRDefault="00DD1D16" w:rsidP="00825F24">
      <w:pPr>
        <w:pStyle w:val="ListParagraph"/>
        <w:numPr>
          <w:ilvl w:val="0"/>
          <w:numId w:val="27"/>
        </w:numPr>
        <w:rPr>
          <w:rFonts w:asciiTheme="minorHAnsi" w:hAnsiTheme="minorHAnsi" w:cstheme="minorHAnsi"/>
        </w:rPr>
      </w:pPr>
      <w:r w:rsidRPr="00BE1B32">
        <w:rPr>
          <w:rFonts w:asciiTheme="minorHAnsi" w:hAnsiTheme="minorHAnsi" w:cstheme="minorHAnsi"/>
        </w:rPr>
        <w:t>to reduce</w:t>
      </w:r>
      <w:r w:rsidR="005779F1">
        <w:rPr>
          <w:rFonts w:asciiTheme="minorHAnsi" w:hAnsiTheme="minorHAnsi" w:cstheme="minorHAnsi"/>
        </w:rPr>
        <w:t xml:space="preserve"> the </w:t>
      </w:r>
      <w:r w:rsidR="00083723" w:rsidRPr="00083723">
        <w:rPr>
          <w:rFonts w:asciiTheme="minorHAnsi" w:hAnsiTheme="minorHAnsi" w:cstheme="minorHAnsi"/>
        </w:rPr>
        <w:t>permissible maximum level of lead in anti-fouling paints</w:t>
      </w:r>
      <w:r w:rsidR="00825F24">
        <w:rPr>
          <w:rFonts w:asciiTheme="minorHAnsi" w:hAnsiTheme="minorHAnsi" w:cstheme="minorHAnsi"/>
        </w:rPr>
        <w:t xml:space="preserve"> to 0.06% by 1 October 2026, and </w:t>
      </w:r>
    </w:p>
    <w:p w14:paraId="1FF0B491" w14:textId="03BF9BEB" w:rsidR="00825F24" w:rsidRDefault="00825F24" w:rsidP="00825F24">
      <w:pPr>
        <w:pStyle w:val="ListParagraph"/>
        <w:numPr>
          <w:ilvl w:val="0"/>
          <w:numId w:val="27"/>
        </w:numPr>
        <w:rPr>
          <w:rFonts w:asciiTheme="minorHAnsi" w:hAnsiTheme="minorHAnsi" w:cstheme="minorHAnsi"/>
        </w:rPr>
      </w:pPr>
      <w:r w:rsidRPr="00825F24">
        <w:rPr>
          <w:rFonts w:asciiTheme="minorHAnsi" w:hAnsiTheme="minorHAnsi" w:cstheme="minorHAnsi"/>
        </w:rPr>
        <w:t>to reduce the permissible maximum level of lead in anti-fouling paints to 0.0</w:t>
      </w:r>
      <w:r>
        <w:rPr>
          <w:rFonts w:asciiTheme="minorHAnsi" w:hAnsiTheme="minorHAnsi" w:cstheme="minorHAnsi"/>
        </w:rPr>
        <w:t>09</w:t>
      </w:r>
      <w:r w:rsidRPr="00825F24">
        <w:rPr>
          <w:rFonts w:asciiTheme="minorHAnsi" w:hAnsiTheme="minorHAnsi" w:cstheme="minorHAnsi"/>
        </w:rPr>
        <w:t>% by 1 October 202</w:t>
      </w:r>
      <w:r>
        <w:rPr>
          <w:rFonts w:asciiTheme="minorHAnsi" w:hAnsiTheme="minorHAnsi" w:cstheme="minorHAnsi"/>
        </w:rPr>
        <w:t>9.</w:t>
      </w:r>
    </w:p>
    <w:p w14:paraId="0650702A" w14:textId="4352FE0E" w:rsidR="00A55103" w:rsidRDefault="00A55103" w:rsidP="00825F24">
      <w:r w:rsidRPr="0053559E">
        <w:t>I consider that the ‘sta</w:t>
      </w:r>
      <w:r>
        <w:t>g</w:t>
      </w:r>
      <w:r w:rsidRPr="0053559E">
        <w:t>ge</w:t>
      </w:r>
      <w:r>
        <w:t>re</w:t>
      </w:r>
      <w:r w:rsidRPr="0053559E">
        <w:t>d’ approach to the reduction of lead in anti-fouling paints should contribute to the impetus for innovation in this sector. The introduction in the 1990’s of global restrictions on the use of tributyl tin – previously the active ingredient of choice in anti-fouling paints despite presenting with undesirable toxic and bio-accumulative effects – catalysed the development of copper-based alternatives for this purpose. I expect that a sta</w:t>
      </w:r>
      <w:r>
        <w:t>g</w:t>
      </w:r>
      <w:r w:rsidRPr="0053559E">
        <w:t>ge</w:t>
      </w:r>
      <w:r>
        <w:t>re</w:t>
      </w:r>
      <w:r w:rsidRPr="0053559E">
        <w:t>d reduction in the limits applying to the presence of lead in anti-fouling paints will also present a similar opportunity for the development of new and improved products and methods to prevent the fouling of the hulls of watercraft.</w:t>
      </w:r>
    </w:p>
    <w:p w14:paraId="27341FD7" w14:textId="50D6D67A" w:rsidR="00D21113" w:rsidRDefault="00D21113" w:rsidP="00825F24">
      <w:r w:rsidRPr="00BE1B32">
        <w:t>Further, a sta</w:t>
      </w:r>
      <w:r w:rsidR="008A5731">
        <w:t>g</w:t>
      </w:r>
      <w:r w:rsidRPr="00BE1B32">
        <w:t>ge</w:t>
      </w:r>
      <w:r w:rsidR="008A5731">
        <w:t>re</w:t>
      </w:r>
      <w:r w:rsidRPr="00BE1B32">
        <w:t>d implementation allows adequate time for the proper reformulation of anti-fouling paints by manufacturers and minimises the risk that product quality may be compromised, such as increasing the quantity of other toxic components to make the paints compliant. I consider this to be a likely risk in the face of the current lack of innovation in the space as presented by the applicant.</w:t>
      </w:r>
    </w:p>
    <w:p w14:paraId="2BE6D75D" w14:textId="11F3582B" w:rsidR="00C67A2C" w:rsidRPr="00C67A2C" w:rsidRDefault="1DAC963B" w:rsidP="00825F24">
      <w:r w:rsidRPr="77477234">
        <w:t>In the absence of an application to make the above amendments</w:t>
      </w:r>
      <w:r w:rsidR="0FAE99DE" w:rsidRPr="77477234">
        <w:t xml:space="preserve"> at the appropriate time</w:t>
      </w:r>
      <w:r w:rsidRPr="77477234">
        <w:t xml:space="preserve">, a </w:t>
      </w:r>
      <w:proofErr w:type="gramStart"/>
      <w:r w:rsidR="3AB34549" w:rsidRPr="77477234">
        <w:t>Secretary</w:t>
      </w:r>
      <w:proofErr w:type="gramEnd"/>
      <w:r w:rsidR="00BE1B32">
        <w:t>-</w:t>
      </w:r>
      <w:r w:rsidRPr="77477234">
        <w:t xml:space="preserve">initiated </w:t>
      </w:r>
      <w:r w:rsidR="6F010C76" w:rsidRPr="77477234">
        <w:t>amendment</w:t>
      </w:r>
      <w:r w:rsidRPr="77477234">
        <w:t xml:space="preserve"> to </w:t>
      </w:r>
      <w:r w:rsidR="43BA7824" w:rsidRPr="77477234">
        <w:t>make</w:t>
      </w:r>
      <w:r w:rsidRPr="77477234">
        <w:t xml:space="preserve"> the above amendments</w:t>
      </w:r>
      <w:r w:rsidR="3C19E70D" w:rsidRPr="77477234">
        <w:t xml:space="preserve"> may be proposed</w:t>
      </w:r>
      <w:r w:rsidRPr="77477234">
        <w:t>, in acc</w:t>
      </w:r>
      <w:r w:rsidR="0137972D" w:rsidRPr="77477234">
        <w:t xml:space="preserve">ordance with </w:t>
      </w:r>
      <w:r w:rsidR="00C67A2C" w:rsidRPr="77477234">
        <w:t>the ordinary procedures to amend the Poisons Standard. A person may apply at any time to seek a different scheduling amendment.</w:t>
      </w:r>
    </w:p>
    <w:p w14:paraId="29EF60CC" w14:textId="31A07A24" w:rsidR="005A34E2" w:rsidRPr="00FD780A" w:rsidRDefault="005A34E2" w:rsidP="00FD780A">
      <w:pPr>
        <w:spacing w:before="240"/>
        <w:rPr>
          <w:i/>
          <w:iCs/>
        </w:rPr>
      </w:pPr>
      <w:r w:rsidRPr="00FD780A">
        <w:rPr>
          <w:b/>
          <w:bCs/>
          <w:i/>
          <w:iCs/>
        </w:rPr>
        <w:t>Implementation date</w:t>
      </w:r>
    </w:p>
    <w:p w14:paraId="7B857AE6" w14:textId="747A8C6B" w:rsidR="005A34E2" w:rsidRDefault="00217A33" w:rsidP="005A34E2">
      <w:pPr>
        <w:rPr>
          <w:rFonts w:ascii="Arial" w:eastAsia="Cambria" w:hAnsi="Arial" w:cs="Times New Roman"/>
          <w:b/>
          <w:color w:val="001871"/>
          <w:sz w:val="38"/>
        </w:rPr>
      </w:pPr>
      <w:r>
        <w:t>1 October 2023</w:t>
      </w:r>
    </w:p>
    <w:p w14:paraId="5E99DD6D" w14:textId="77777777" w:rsidR="00F02AEC" w:rsidRPr="00215D48" w:rsidRDefault="00F02AEC">
      <w:pPr>
        <w:spacing w:after="0" w:line="240" w:lineRule="auto"/>
      </w:pPr>
    </w:p>
    <w:p w14:paraId="6274A1DA" w14:textId="151A6735" w:rsidR="00F02AEC" w:rsidRPr="00215D48" w:rsidRDefault="00F02AEC" w:rsidP="00706634">
      <w:pPr>
        <w:spacing w:after="0" w:line="240" w:lineRule="auto"/>
        <w:sectPr w:rsidR="00F02AEC" w:rsidRPr="00215D48" w:rsidSect="00AE7C6A">
          <w:headerReference w:type="default" r:id="rId23"/>
          <w:footerReference w:type="default" r:id="rId2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215D48">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D45D42" w:rsidRDefault="00F02AEC" w:rsidP="00EB5622">
            <w:pPr>
              <w:pStyle w:val="Address"/>
              <w:jc w:val="center"/>
              <w:rPr>
                <w:color w:val="000000" w:themeColor="text1"/>
              </w:rPr>
            </w:pPr>
            <w:r w:rsidRPr="00D45D42">
              <w:rPr>
                <w:color w:val="000000" w:themeColor="text1"/>
              </w:rPr>
              <w:t>PO Box 100 Woden ACT 2606 Australia</w:t>
            </w:r>
          </w:p>
          <w:p w14:paraId="066495A2" w14:textId="77777777" w:rsidR="00F02AEC" w:rsidRPr="00D45D42" w:rsidRDefault="00F02AEC">
            <w:pPr>
              <w:pStyle w:val="Address"/>
              <w:jc w:val="center"/>
              <w:rPr>
                <w:color w:val="000000" w:themeColor="text1"/>
                <w:sz w:val="22"/>
                <w:szCs w:val="22"/>
              </w:rPr>
            </w:pPr>
            <w:r w:rsidRPr="00D45D42">
              <w:rPr>
                <w:color w:val="000000" w:themeColor="text1"/>
              </w:rPr>
              <w:t xml:space="preserve">Email: </w:t>
            </w:r>
            <w:hyperlink r:id="rId25" w:history="1">
              <w:r w:rsidRPr="00215D48">
                <w:rPr>
                  <w:rStyle w:val="Hyperlink"/>
                </w:rPr>
                <w:t>info@tga.gov.au</w:t>
              </w:r>
            </w:hyperlink>
            <w:r w:rsidRPr="00215D48">
              <w:t xml:space="preserve">  </w:t>
            </w:r>
            <w:r w:rsidRPr="00D45D42">
              <w:rPr>
                <w:color w:val="000000" w:themeColor="text1"/>
              </w:rPr>
              <w:t xml:space="preserve">Phone: 1800 020 </w:t>
            </w:r>
            <w:proofErr w:type="gramStart"/>
            <w:r w:rsidRPr="00D45D42">
              <w:rPr>
                <w:color w:val="000000" w:themeColor="text1"/>
              </w:rPr>
              <w:t>653  Fax</w:t>
            </w:r>
            <w:proofErr w:type="gramEnd"/>
            <w:r w:rsidRPr="00D45D42">
              <w:rPr>
                <w:color w:val="000000" w:themeColor="text1"/>
              </w:rPr>
              <w:t>: 02 6203 1605</w:t>
            </w:r>
          </w:p>
          <w:p w14:paraId="5BCD25E4" w14:textId="77777777" w:rsidR="00F02AEC" w:rsidRPr="00215D48" w:rsidRDefault="003D3B65">
            <w:pPr>
              <w:pStyle w:val="Address"/>
              <w:jc w:val="center"/>
              <w:rPr>
                <w:rStyle w:val="Hyperlink"/>
                <w:b/>
                <w:color w:val="auto"/>
                <w:sz w:val="22"/>
              </w:rPr>
            </w:pPr>
            <w:hyperlink r:id="rId26"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2216A7" w:rsidRDefault="003D3B65"/>
    <w:sectPr w:rsidR="002216A7" w:rsidSect="00AE7C6A">
      <w:headerReference w:type="first" r:id="rId27"/>
      <w:footerReference w:type="first" r:id="rId2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564D" w14:textId="77777777" w:rsidR="0050599F" w:rsidRDefault="0050599F" w:rsidP="00F02AEC">
      <w:pPr>
        <w:spacing w:after="0" w:line="240" w:lineRule="auto"/>
      </w:pPr>
      <w:r>
        <w:separator/>
      </w:r>
    </w:p>
  </w:endnote>
  <w:endnote w:type="continuationSeparator" w:id="0">
    <w:p w14:paraId="1F5284A4" w14:textId="77777777" w:rsidR="0050599F" w:rsidRDefault="0050599F" w:rsidP="00F02AEC">
      <w:pPr>
        <w:spacing w:after="0" w:line="240" w:lineRule="auto"/>
      </w:pPr>
      <w:r>
        <w:continuationSeparator/>
      </w:r>
    </w:p>
  </w:endnote>
  <w:endnote w:type="continuationNotice" w:id="1">
    <w:p w14:paraId="7FA93685" w14:textId="77777777" w:rsidR="0050599F" w:rsidRDefault="00505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EF75" w14:textId="77777777" w:rsidR="00A27CE5" w:rsidRDefault="00A2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D3B65">
                <w:fldChar w:fldCharType="begin"/>
              </w:r>
              <w:r w:rsidR="003D3B65">
                <w:instrText xml:space="preserve"> NUMPAGES  </w:instrText>
              </w:r>
              <w:r w:rsidR="003D3B65">
                <w:fldChar w:fldCharType="separate"/>
              </w:r>
              <w:r>
                <w:rPr>
                  <w:noProof/>
                </w:rPr>
                <w:t>2</w:t>
              </w:r>
              <w:r w:rsidR="003D3B65">
                <w:rPr>
                  <w:noProof/>
                </w:rPr>
                <w:fldChar w:fldCharType="end"/>
              </w:r>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90744F" w14:paraId="1054AAE5" w14:textId="77777777" w:rsidTr="00030D34">
      <w:trPr>
        <w:trHeight w:val="423"/>
      </w:trPr>
      <w:tc>
        <w:tcPr>
          <w:tcW w:w="7338" w:type="dxa"/>
          <w:tcBorders>
            <w:top w:val="single" w:sz="4" w:space="0" w:color="auto"/>
          </w:tcBorders>
        </w:tcPr>
        <w:p w14:paraId="4B9D0562" w14:textId="01E8A413" w:rsidR="00F02AEC" w:rsidRPr="00F40C78" w:rsidRDefault="002E4391" w:rsidP="0090744F">
          <w:pPr>
            <w:pStyle w:val="Footer"/>
            <w:ind w:left="-105"/>
            <w:rPr>
              <w:rFonts w:asciiTheme="minorHAnsi" w:hAnsiTheme="minorHAnsi" w:cstheme="minorHAnsi"/>
            </w:rPr>
          </w:pPr>
          <w:r w:rsidRPr="00A27CE5">
            <w:rPr>
              <w:rFonts w:asciiTheme="minorHAnsi" w:hAnsiTheme="minorHAnsi" w:cstheme="minorHAnsi"/>
              <w:color w:val="000000" w:themeColor="text1"/>
            </w:rPr>
            <w:t>Delegate’s interim decision and reasons for decisions in relation to lead (Joint ACMS-ACCS #34, June 2023)</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EndPr/>
          <w:sdtContent>
            <w:p w14:paraId="61E459C4" w14:textId="77777777" w:rsidR="00F02AEC" w:rsidRPr="0090744F" w:rsidRDefault="00F02AEC" w:rsidP="0090744F">
              <w:pPr>
                <w:pStyle w:val="Footer"/>
                <w:ind w:right="-102"/>
                <w:jc w:val="right"/>
                <w:rPr>
                  <w:rFonts w:asciiTheme="minorHAnsi" w:hAnsiTheme="minorHAnsi" w:cstheme="minorHAnsi"/>
                </w:rPr>
              </w:pPr>
              <w:r w:rsidRPr="0090744F">
                <w:rPr>
                  <w:rFonts w:asciiTheme="minorHAnsi" w:hAnsiTheme="minorHAnsi" w:cstheme="minorHAnsi"/>
                </w:rPr>
                <w:t xml:space="preserve">Page </w:t>
              </w:r>
              <w:r w:rsidRPr="0090744F">
                <w:rPr>
                  <w:rFonts w:asciiTheme="minorHAnsi" w:hAnsiTheme="minorHAnsi" w:cstheme="minorHAnsi"/>
                </w:rPr>
                <w:fldChar w:fldCharType="begin"/>
              </w:r>
              <w:r w:rsidRPr="0090744F">
                <w:rPr>
                  <w:rFonts w:asciiTheme="minorHAnsi" w:hAnsiTheme="minorHAnsi" w:cstheme="minorHAnsi"/>
                </w:rPr>
                <w:instrText xml:space="preserve"> PAGE </w:instrText>
              </w:r>
              <w:r w:rsidRPr="0090744F">
                <w:rPr>
                  <w:rFonts w:asciiTheme="minorHAnsi" w:hAnsiTheme="minorHAnsi" w:cstheme="minorHAnsi"/>
                </w:rPr>
                <w:fldChar w:fldCharType="separate"/>
              </w:r>
              <w:r w:rsidRPr="0090744F">
                <w:rPr>
                  <w:rFonts w:asciiTheme="minorHAnsi" w:hAnsiTheme="minorHAnsi" w:cstheme="minorHAnsi"/>
                  <w:noProof/>
                </w:rPr>
                <w:t>6</w:t>
              </w:r>
              <w:r w:rsidRPr="0090744F">
                <w:rPr>
                  <w:rFonts w:asciiTheme="minorHAnsi" w:hAnsiTheme="minorHAnsi" w:cstheme="minorHAnsi"/>
                  <w:noProof/>
                </w:rPr>
                <w:fldChar w:fldCharType="end"/>
              </w:r>
              <w:r w:rsidRPr="0090744F">
                <w:rPr>
                  <w:rFonts w:asciiTheme="minorHAnsi" w:hAnsiTheme="minorHAnsi" w:cstheme="minorHAnsi"/>
                </w:rPr>
                <w:t xml:space="preserve"> of </w:t>
              </w:r>
              <w:r w:rsidR="001A5C54" w:rsidRPr="0090744F">
                <w:rPr>
                  <w:rFonts w:asciiTheme="minorHAnsi" w:hAnsiTheme="minorHAnsi" w:cstheme="minorHAnsi"/>
                </w:rPr>
                <w:fldChar w:fldCharType="begin"/>
              </w:r>
              <w:r w:rsidR="001A5C54" w:rsidRPr="0090744F">
                <w:rPr>
                  <w:rFonts w:asciiTheme="minorHAnsi" w:hAnsiTheme="minorHAnsi" w:cstheme="minorHAnsi"/>
                </w:rPr>
                <w:instrText xml:space="preserve"> NUMPAGES  </w:instrText>
              </w:r>
              <w:r w:rsidR="001A5C54" w:rsidRPr="0090744F">
                <w:rPr>
                  <w:rFonts w:asciiTheme="minorHAnsi" w:hAnsiTheme="minorHAnsi" w:cstheme="minorHAnsi"/>
                </w:rPr>
                <w:fldChar w:fldCharType="separate"/>
              </w:r>
              <w:r w:rsidRPr="0090744F">
                <w:rPr>
                  <w:rFonts w:asciiTheme="minorHAnsi" w:hAnsiTheme="minorHAnsi" w:cstheme="minorHAnsi"/>
                  <w:noProof/>
                </w:rPr>
                <w:t>7</w:t>
              </w:r>
              <w:r w:rsidR="001A5C54" w:rsidRPr="0090744F">
                <w:rPr>
                  <w:rFonts w:asciiTheme="minorHAnsi" w:hAnsiTheme="minorHAnsi" w:cstheme="minorHAnsi"/>
                  <w:noProof/>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A77452" w:rsidRPr="008E3C43" w:rsidRDefault="003D3B65"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F475" w14:textId="77777777" w:rsidR="0050599F" w:rsidRDefault="0050599F" w:rsidP="00F02AEC">
      <w:pPr>
        <w:spacing w:after="0" w:line="240" w:lineRule="auto"/>
      </w:pPr>
      <w:r>
        <w:separator/>
      </w:r>
    </w:p>
  </w:footnote>
  <w:footnote w:type="continuationSeparator" w:id="0">
    <w:p w14:paraId="2464764C" w14:textId="77777777" w:rsidR="0050599F" w:rsidRDefault="0050599F" w:rsidP="00F02AEC">
      <w:pPr>
        <w:spacing w:after="0" w:line="240" w:lineRule="auto"/>
      </w:pPr>
      <w:r>
        <w:continuationSeparator/>
      </w:r>
    </w:p>
  </w:footnote>
  <w:footnote w:type="continuationNotice" w:id="1">
    <w:p w14:paraId="50F39F3D" w14:textId="77777777" w:rsidR="0050599F" w:rsidRDefault="0050599F">
      <w:pPr>
        <w:spacing w:after="0" w:line="240" w:lineRule="auto"/>
      </w:pPr>
    </w:p>
  </w:footnote>
  <w:footnote w:id="2">
    <w:p w14:paraId="76CD5AF3" w14:textId="08E269FC" w:rsidR="009421DD" w:rsidRPr="009421DD" w:rsidRDefault="009421DD">
      <w:pPr>
        <w:pStyle w:val="FootnoteText"/>
        <w:rPr>
          <w:rFonts w:asciiTheme="minorHAnsi" w:hAnsiTheme="minorHAnsi" w:cstheme="minorHAnsi"/>
          <w:sz w:val="18"/>
          <w:szCs w:val="18"/>
        </w:rPr>
      </w:pPr>
      <w:r w:rsidRPr="00A27CE5">
        <w:rPr>
          <w:rStyle w:val="FootnoteReference"/>
          <w:rFonts w:asciiTheme="minorHAnsi" w:hAnsiTheme="minorHAnsi" w:cstheme="minorHAnsi"/>
          <w:color w:val="000000" w:themeColor="text1"/>
          <w:sz w:val="18"/>
          <w:szCs w:val="18"/>
        </w:rPr>
        <w:footnoteRef/>
      </w:r>
      <w:r w:rsidRPr="00A27CE5">
        <w:rPr>
          <w:rFonts w:asciiTheme="minorHAnsi" w:hAnsiTheme="minorHAnsi" w:cstheme="minorHAnsi"/>
          <w:color w:val="000000" w:themeColor="text1"/>
          <w:sz w:val="18"/>
          <w:szCs w:val="18"/>
        </w:rPr>
        <w:t xml:space="preserve"> Established under sections 52B and 52C of the </w:t>
      </w:r>
      <w:r w:rsidRPr="00A27CE5">
        <w:rPr>
          <w:rFonts w:asciiTheme="minorHAnsi" w:hAnsiTheme="minorHAnsi" w:cstheme="minorHAnsi"/>
          <w:i/>
          <w:iCs/>
          <w:color w:val="000000" w:themeColor="text1"/>
          <w:sz w:val="18"/>
          <w:szCs w:val="18"/>
        </w:rPr>
        <w:t>Therapeutic Goods Act 1989</w:t>
      </w:r>
      <w:r w:rsidRPr="00A27CE5">
        <w:rPr>
          <w:rFonts w:asciiTheme="minorHAnsi" w:hAnsiTheme="minorHAnsi" w:cstheme="minorHAnsi"/>
          <w:color w:val="000000" w:themeColor="text1"/>
          <w:sz w:val="18"/>
          <w:szCs w:val="18"/>
        </w:rPr>
        <w:t xml:space="preserve"> (</w:t>
      </w:r>
      <w:proofErr w:type="spellStart"/>
      <w:r w:rsidRPr="00A27CE5">
        <w:rPr>
          <w:rFonts w:asciiTheme="minorHAnsi" w:hAnsiTheme="minorHAnsi" w:cstheme="minorHAnsi"/>
          <w:color w:val="000000" w:themeColor="text1"/>
          <w:sz w:val="18"/>
          <w:szCs w:val="18"/>
        </w:rPr>
        <w:t>Cth</w:t>
      </w:r>
      <w:proofErr w:type="spellEnd"/>
      <w:r w:rsidRPr="00A27CE5">
        <w:rPr>
          <w:rFonts w:asciiTheme="minorHAnsi" w:hAnsiTheme="minorHAnsi" w:cstheme="minorHAnsi"/>
          <w:color w:val="000000" w:themeColor="text1"/>
          <w:sz w:val="18"/>
          <w:szCs w:val="18"/>
        </w:rPr>
        <w:t>).</w:t>
      </w:r>
    </w:p>
  </w:footnote>
  <w:footnote w:id="3">
    <w:p w14:paraId="7CC019D4" w14:textId="77777777" w:rsidR="004B7ACE" w:rsidRPr="007216E2" w:rsidRDefault="004B7ACE" w:rsidP="004B7ACE">
      <w:pPr>
        <w:pStyle w:val="FootnoteText"/>
        <w:rPr>
          <w:rFonts w:asciiTheme="minorHAnsi" w:hAnsiTheme="minorHAnsi" w:cstheme="minorHAnsi"/>
          <w:sz w:val="18"/>
          <w:szCs w:val="18"/>
        </w:rPr>
      </w:pPr>
      <w:r w:rsidRPr="007216E2">
        <w:rPr>
          <w:rStyle w:val="FootnoteReference"/>
          <w:rFonts w:asciiTheme="minorHAnsi" w:hAnsiTheme="minorHAnsi" w:cstheme="minorHAnsi"/>
          <w:sz w:val="18"/>
          <w:szCs w:val="18"/>
        </w:rPr>
        <w:footnoteRef/>
      </w:r>
      <w:r w:rsidRPr="007216E2">
        <w:rPr>
          <w:rFonts w:asciiTheme="minorHAnsi" w:hAnsiTheme="minorHAnsi" w:cstheme="minorHAnsi"/>
          <w:sz w:val="18"/>
          <w:szCs w:val="18"/>
        </w:rPr>
        <w:t xml:space="preserve"> </w:t>
      </w:r>
      <w:hyperlink r:id="rId1" w:history="1">
        <w:r w:rsidRPr="007216E2">
          <w:rPr>
            <w:rStyle w:val="Hyperlink"/>
            <w:rFonts w:asciiTheme="minorHAnsi" w:hAnsiTheme="minorHAnsi" w:cstheme="minorHAnsi"/>
            <w:sz w:val="18"/>
            <w:szCs w:val="18"/>
          </w:rPr>
          <w:t>www.tga.gov.au/sites/default/files/notice-final-decisions-amend-or-not-amend-the-current-poisons-standard.pdf</w:t>
        </w:r>
      </w:hyperlink>
    </w:p>
  </w:footnote>
  <w:footnote w:id="4">
    <w:p w14:paraId="327406EA" w14:textId="5944CC01" w:rsidR="00C01E05" w:rsidRPr="006F1547" w:rsidRDefault="00C01E05">
      <w:pPr>
        <w:pStyle w:val="FootnoteText"/>
        <w:rPr>
          <w:rFonts w:asciiTheme="minorHAnsi" w:hAnsiTheme="minorHAnsi" w:cstheme="minorHAnsi"/>
          <w:sz w:val="18"/>
          <w:szCs w:val="18"/>
        </w:rPr>
      </w:pPr>
      <w:r w:rsidRPr="006F1547">
        <w:rPr>
          <w:rStyle w:val="FootnoteReference"/>
          <w:rFonts w:asciiTheme="minorHAnsi" w:hAnsiTheme="minorHAnsi" w:cstheme="minorHAnsi"/>
          <w:color w:val="000000" w:themeColor="text1"/>
          <w:sz w:val="18"/>
          <w:szCs w:val="18"/>
        </w:rPr>
        <w:footnoteRef/>
      </w:r>
      <w:r w:rsidRPr="006F1547">
        <w:rPr>
          <w:rFonts w:asciiTheme="minorHAnsi" w:hAnsiTheme="minorHAnsi" w:cstheme="minorHAnsi"/>
          <w:color w:val="000000" w:themeColor="text1"/>
          <w:sz w:val="18"/>
          <w:szCs w:val="18"/>
        </w:rPr>
        <w:t xml:space="preserve"> </w:t>
      </w:r>
      <w:hyperlink r:id="rId2" w:history="1">
        <w:r w:rsidR="006F1547" w:rsidRPr="006F1547">
          <w:rPr>
            <w:rStyle w:val="Hyperlink"/>
            <w:rFonts w:asciiTheme="minorHAnsi" w:hAnsiTheme="minorHAnsi" w:cstheme="minorHAnsi"/>
            <w:sz w:val="18"/>
            <w:szCs w:val="18"/>
          </w:rPr>
          <w:t>https://consultations.tga.gov.au/tga/scheduling-pre-meeting-june-2023/user_uploads/june-pre-meeting-public-notice-acms--42-acms-accs--34-1.pdf</w:t>
        </w:r>
      </w:hyperlink>
      <w:r w:rsidR="006F1547">
        <w:rPr>
          <w:rFonts w:asciiTheme="minorHAnsi" w:hAnsiTheme="minorHAnsi" w:cstheme="minorHAnsi"/>
          <w:color w:val="000000" w:themeColor="text1"/>
          <w:sz w:val="18"/>
          <w:szCs w:val="18"/>
        </w:rPr>
        <w:t xml:space="preserve"> </w:t>
      </w:r>
    </w:p>
  </w:footnote>
  <w:footnote w:id="5">
    <w:p w14:paraId="3A4A9544" w14:textId="605577DF" w:rsidR="00350BD5" w:rsidRPr="007216E2" w:rsidRDefault="00350BD5">
      <w:pPr>
        <w:pStyle w:val="FootnoteText"/>
        <w:rPr>
          <w:sz w:val="18"/>
          <w:szCs w:val="18"/>
        </w:rPr>
      </w:pPr>
      <w:r w:rsidRPr="007216E2">
        <w:rPr>
          <w:rStyle w:val="FootnoteReference"/>
          <w:sz w:val="18"/>
          <w:szCs w:val="18"/>
        </w:rPr>
        <w:footnoteRef/>
      </w:r>
      <w:r w:rsidRPr="007216E2">
        <w:rPr>
          <w:sz w:val="18"/>
          <w:szCs w:val="18"/>
        </w:rPr>
        <w:t xml:space="preserve"> </w:t>
      </w:r>
      <w:r w:rsidRPr="00DC04FE">
        <w:rPr>
          <w:rFonts w:asciiTheme="minorHAnsi" w:hAnsiTheme="minorHAnsi" w:cstheme="minorHAnsi"/>
          <w:color w:val="auto"/>
          <w:sz w:val="18"/>
          <w:szCs w:val="18"/>
        </w:rPr>
        <w:t>Pursuant</w:t>
      </w:r>
      <w:r w:rsidRPr="00DC04FE">
        <w:rPr>
          <w:rFonts w:asciiTheme="minorHAnsi" w:hAnsiTheme="minorHAnsi" w:cstheme="minorHAnsi"/>
          <w:color w:val="auto"/>
          <w:sz w:val="18"/>
          <w:szCs w:val="18"/>
        </w:rPr>
        <w:t xml:space="preserve"> to regulation 42ZCZN of the Regulations</w:t>
      </w:r>
    </w:p>
  </w:footnote>
  <w:footnote w:id="6">
    <w:p w14:paraId="6A4803B9" w14:textId="7467DCC6" w:rsidR="00270CFA" w:rsidRPr="006F1547" w:rsidRDefault="00270CFA" w:rsidP="00270CFA">
      <w:pPr>
        <w:pStyle w:val="FootnoteText"/>
        <w:rPr>
          <w:rFonts w:asciiTheme="minorHAnsi" w:hAnsiTheme="minorHAnsi" w:cstheme="minorHAnsi"/>
          <w:color w:val="000000" w:themeColor="text1"/>
          <w:sz w:val="18"/>
          <w:szCs w:val="18"/>
        </w:rPr>
      </w:pPr>
      <w:r w:rsidRPr="006F1547">
        <w:rPr>
          <w:rStyle w:val="FootnoteReference"/>
          <w:rFonts w:asciiTheme="minorHAnsi" w:hAnsiTheme="minorHAnsi" w:cstheme="minorHAnsi"/>
          <w:color w:val="000000" w:themeColor="text1"/>
          <w:sz w:val="18"/>
          <w:szCs w:val="18"/>
        </w:rPr>
        <w:footnoteRef/>
      </w:r>
      <w:r w:rsidRPr="006F1547">
        <w:rPr>
          <w:rFonts w:asciiTheme="minorHAnsi" w:hAnsiTheme="minorHAnsi" w:cstheme="minorHAnsi"/>
          <w:color w:val="000000" w:themeColor="text1"/>
          <w:sz w:val="18"/>
          <w:szCs w:val="18"/>
        </w:rPr>
        <w:t xml:space="preserve"> Amendments to t</w:t>
      </w:r>
      <w:r w:rsidR="007D733F" w:rsidRPr="006F1547">
        <w:rPr>
          <w:rFonts w:asciiTheme="minorHAnsi" w:hAnsiTheme="minorHAnsi" w:cstheme="minorHAnsi"/>
          <w:color w:val="000000" w:themeColor="text1"/>
          <w:sz w:val="18"/>
          <w:szCs w:val="18"/>
        </w:rPr>
        <w:t xml:space="preserve">he </w:t>
      </w:r>
      <w:r w:rsidRPr="006F1547">
        <w:rPr>
          <w:rFonts w:asciiTheme="minorHAnsi" w:hAnsiTheme="minorHAnsi" w:cstheme="minorHAnsi"/>
          <w:color w:val="000000" w:themeColor="text1"/>
          <w:sz w:val="18"/>
          <w:szCs w:val="18"/>
        </w:rPr>
        <w:t>Poisons Standard are made to the current Poisons Standard</w:t>
      </w:r>
      <w:r w:rsidR="007D733F" w:rsidRPr="006F1547">
        <w:rPr>
          <w:rFonts w:asciiTheme="minorHAnsi" w:hAnsiTheme="minorHAnsi" w:cstheme="minorHAnsi"/>
          <w:color w:val="000000" w:themeColor="text1"/>
          <w:sz w:val="18"/>
          <w:szCs w:val="18"/>
        </w:rPr>
        <w:t xml:space="preserve">, </w:t>
      </w:r>
      <w:hyperlink r:id="rId3" w:history="1">
        <w:r w:rsidR="007D733F" w:rsidRPr="00DC04FE">
          <w:rPr>
            <w:rStyle w:val="Hyperlink"/>
            <w:rFonts w:asciiTheme="minorHAnsi" w:hAnsiTheme="minorHAnsi" w:cstheme="minorHAnsi"/>
            <w:sz w:val="18"/>
            <w:szCs w:val="18"/>
          </w:rPr>
          <w:t>Therapeutic Goods (Poisons Standard—July 2023) Instrument 2023</w:t>
        </w:r>
      </w:hyperlink>
      <w:r w:rsidR="0018303F">
        <w:rPr>
          <w:rFonts w:asciiTheme="minorHAnsi" w:hAnsiTheme="minorHAnsi" w:cstheme="minorHAnsi"/>
          <w:sz w:val="18"/>
          <w:szCs w:val="18"/>
        </w:rPr>
        <w:t>.</w:t>
      </w:r>
    </w:p>
  </w:footnote>
  <w:footnote w:id="7">
    <w:p w14:paraId="4DE8C544" w14:textId="691D88E7" w:rsidR="00BA5A4C" w:rsidRPr="00E01AFD" w:rsidRDefault="00BA5A4C" w:rsidP="00BA5A4C">
      <w:pPr>
        <w:pStyle w:val="FootnoteText"/>
        <w:rPr>
          <w:rFonts w:asciiTheme="minorHAnsi" w:hAnsiTheme="minorHAnsi" w:cstheme="minorHAnsi"/>
          <w:sz w:val="18"/>
          <w:szCs w:val="18"/>
        </w:rPr>
      </w:pPr>
      <w:r w:rsidRPr="00E01AFD">
        <w:rPr>
          <w:rStyle w:val="FootnoteReference"/>
          <w:rFonts w:asciiTheme="minorHAnsi" w:hAnsiTheme="minorHAnsi" w:cstheme="minorHAnsi"/>
          <w:sz w:val="18"/>
          <w:szCs w:val="18"/>
        </w:rPr>
        <w:footnoteRef/>
      </w:r>
      <w:r w:rsidRPr="00E01AFD">
        <w:rPr>
          <w:rFonts w:asciiTheme="minorHAnsi" w:hAnsiTheme="minorHAnsi" w:cstheme="minorHAnsi"/>
          <w:sz w:val="18"/>
          <w:szCs w:val="18"/>
        </w:rPr>
        <w:t xml:space="preserve"> </w:t>
      </w:r>
      <w:hyperlink r:id="rId4" w:history="1">
        <w:r w:rsidR="006B57FC" w:rsidRPr="00E01AFD">
          <w:rPr>
            <w:rStyle w:val="Hyperlink"/>
            <w:rFonts w:asciiTheme="minorHAnsi" w:hAnsiTheme="minorHAnsi" w:cstheme="minorHAnsi"/>
            <w:sz w:val="18"/>
            <w:szCs w:val="18"/>
          </w:rPr>
          <w:t>www.bia.org.au/news/boating-data-report-card-launched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E398" w14:textId="77777777" w:rsidR="00A27CE5" w:rsidRDefault="00A27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58241"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90744F" w:rsidRDefault="00F02AEC" w:rsidP="00C3408D">
    <w:pPr>
      <w:pStyle w:val="Header"/>
      <w:rPr>
        <w:rFonts w:asciiTheme="minorHAnsi" w:hAnsiTheme="minorHAnsi" w:cstheme="minorHAnsi"/>
      </w:rPr>
    </w:pPr>
    <w:r w:rsidRPr="0090744F">
      <w:rPr>
        <w:rFonts w:asciiTheme="minorHAnsi" w:hAnsiTheme="minorHAnsi" w:cstheme="minorHAnsi"/>
      </w:rP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A77452" w:rsidRPr="00FE501F" w:rsidRDefault="003D3B65"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3D7492D"/>
    <w:multiLevelType w:val="multilevel"/>
    <w:tmpl w:val="40B0EC06"/>
    <w:lvl w:ilvl="0">
      <w:start w:val="2"/>
      <w:numFmt w:val="lowerLetter"/>
      <w:lvlText w:val="%1)"/>
      <w:lvlJc w:val="left"/>
      <w:pPr>
        <w:ind w:left="360" w:hanging="360"/>
      </w:pPr>
      <w:rPr>
        <w:rFonts w:hint="default"/>
        <w:i w:val="0"/>
        <w:iCs/>
        <w:strike/>
        <w:color w:val="FF000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F187C"/>
    <w:multiLevelType w:val="hybridMultilevel"/>
    <w:tmpl w:val="20409048"/>
    <w:lvl w:ilvl="0" w:tplc="669A989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8876AB9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59857D0"/>
    <w:multiLevelType w:val="hybridMultilevel"/>
    <w:tmpl w:val="74764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0A6A8C"/>
    <w:multiLevelType w:val="hybridMultilevel"/>
    <w:tmpl w:val="4A0617C6"/>
    <w:lvl w:ilvl="0" w:tplc="5ACCB550">
      <w:start w:val="1"/>
      <w:numFmt w:val="lowerLetter"/>
      <w:pStyle w:val="Numberbullet2aitalicised"/>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7B372D"/>
    <w:multiLevelType w:val="hybridMultilevel"/>
    <w:tmpl w:val="DEFAD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AC428D"/>
    <w:multiLevelType w:val="multilevel"/>
    <w:tmpl w:val="D3948020"/>
    <w:lvl w:ilvl="0">
      <w:start w:val="1"/>
      <w:numFmt w:val="lowerLetter"/>
      <w:lvlText w:val="%1)"/>
      <w:lvlJc w:val="left"/>
      <w:pPr>
        <w:ind w:left="360" w:hanging="360"/>
      </w:pPr>
      <w:rPr>
        <w:rFonts w:hint="default"/>
        <w:i w:val="0"/>
        <w:iCs/>
        <w:strike/>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4E0344"/>
    <w:multiLevelType w:val="hybridMultilevel"/>
    <w:tmpl w:val="73D6611C"/>
    <w:lvl w:ilvl="0" w:tplc="23EEBC9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9D3D1E"/>
    <w:multiLevelType w:val="hybridMultilevel"/>
    <w:tmpl w:val="D664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B63E4E"/>
    <w:multiLevelType w:val="multilevel"/>
    <w:tmpl w:val="555C241E"/>
    <w:lvl w:ilvl="0">
      <w:start w:val="1"/>
      <w:numFmt w:val="lowerLetter"/>
      <w:lvlText w:val="%1)"/>
      <w:lvlJc w:val="left"/>
      <w:pPr>
        <w:ind w:left="360" w:hanging="360"/>
      </w:pPr>
      <w:rPr>
        <w:rFonts w:hint="default"/>
        <w:i w:val="0"/>
        <w:iCs/>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11BA6"/>
    <w:multiLevelType w:val="multilevel"/>
    <w:tmpl w:val="555C241E"/>
    <w:lvl w:ilvl="0">
      <w:start w:val="1"/>
      <w:numFmt w:val="lowerLetter"/>
      <w:lvlText w:val="%1)"/>
      <w:lvlJc w:val="left"/>
      <w:pPr>
        <w:ind w:left="360" w:hanging="360"/>
      </w:pPr>
      <w:rPr>
        <w:rFonts w:hint="default"/>
        <w:i w:val="0"/>
        <w:iCs/>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590297">
    <w:abstractNumId w:val="5"/>
  </w:num>
  <w:num w:numId="2" w16cid:durableId="32703834">
    <w:abstractNumId w:val="1"/>
  </w:num>
  <w:num w:numId="3" w16cid:durableId="1051879914">
    <w:abstractNumId w:val="4"/>
  </w:num>
  <w:num w:numId="4" w16cid:durableId="1502155458">
    <w:abstractNumId w:val="14"/>
  </w:num>
  <w:num w:numId="5" w16cid:durableId="1057125927">
    <w:abstractNumId w:val="6"/>
  </w:num>
  <w:num w:numId="6" w16cid:durableId="2077703934">
    <w:abstractNumId w:val="13"/>
  </w:num>
  <w:num w:numId="7" w16cid:durableId="743066589">
    <w:abstractNumId w:val="1"/>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911429288">
    <w:abstractNumId w:val="16"/>
  </w:num>
  <w:num w:numId="9" w16cid:durableId="376857747">
    <w:abstractNumId w:val="11"/>
  </w:num>
  <w:num w:numId="10" w16cid:durableId="1688628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202296">
    <w:abstractNumId w:val="2"/>
  </w:num>
  <w:num w:numId="12" w16cid:durableId="466364515">
    <w:abstractNumId w:val="20"/>
  </w:num>
  <w:num w:numId="13" w16cid:durableId="251790398">
    <w:abstractNumId w:val="22"/>
  </w:num>
  <w:num w:numId="14" w16cid:durableId="910232368">
    <w:abstractNumId w:val="21"/>
  </w:num>
  <w:num w:numId="15" w16cid:durableId="279261970">
    <w:abstractNumId w:val="17"/>
  </w:num>
  <w:num w:numId="16" w16cid:durableId="1649359646">
    <w:abstractNumId w:val="10"/>
  </w:num>
  <w:num w:numId="17" w16cid:durableId="1562059358">
    <w:abstractNumId w:val="0"/>
  </w:num>
  <w:num w:numId="18" w16cid:durableId="1992785122">
    <w:abstractNumId w:val="9"/>
  </w:num>
  <w:num w:numId="19" w16cid:durableId="1924870655">
    <w:abstractNumId w:val="8"/>
  </w:num>
  <w:num w:numId="20" w16cid:durableId="954562062">
    <w:abstractNumId w:val="5"/>
  </w:num>
  <w:num w:numId="21" w16cid:durableId="1943878433">
    <w:abstractNumId w:val="15"/>
  </w:num>
  <w:num w:numId="22" w16cid:durableId="1151285626">
    <w:abstractNumId w:val="8"/>
    <w:lvlOverride w:ilvl="0">
      <w:startOverride w:val="1"/>
    </w:lvlOverride>
  </w:num>
  <w:num w:numId="23" w16cid:durableId="417365460">
    <w:abstractNumId w:val="12"/>
  </w:num>
  <w:num w:numId="24" w16cid:durableId="29575956">
    <w:abstractNumId w:val="19"/>
  </w:num>
  <w:num w:numId="25" w16cid:durableId="1572882901">
    <w:abstractNumId w:val="3"/>
  </w:num>
  <w:num w:numId="26" w16cid:durableId="859319048">
    <w:abstractNumId w:val="7"/>
  </w:num>
  <w:num w:numId="27" w16cid:durableId="1203135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4ACB"/>
    <w:rsid w:val="00007F9E"/>
    <w:rsid w:val="00023EFB"/>
    <w:rsid w:val="00025F93"/>
    <w:rsid w:val="0003404E"/>
    <w:rsid w:val="0003420F"/>
    <w:rsid w:val="00043026"/>
    <w:rsid w:val="00043E6F"/>
    <w:rsid w:val="00053DAF"/>
    <w:rsid w:val="0005664A"/>
    <w:rsid w:val="0007071A"/>
    <w:rsid w:val="0008159A"/>
    <w:rsid w:val="00083723"/>
    <w:rsid w:val="00090ABF"/>
    <w:rsid w:val="00092398"/>
    <w:rsid w:val="00094B81"/>
    <w:rsid w:val="000B2D4B"/>
    <w:rsid w:val="000B5D3E"/>
    <w:rsid w:val="000D2FE7"/>
    <w:rsid w:val="000E4EAE"/>
    <w:rsid w:val="000E5936"/>
    <w:rsid w:val="00101757"/>
    <w:rsid w:val="001117F3"/>
    <w:rsid w:val="00115E79"/>
    <w:rsid w:val="0012303C"/>
    <w:rsid w:val="0012473C"/>
    <w:rsid w:val="001314F7"/>
    <w:rsid w:val="00135876"/>
    <w:rsid w:val="0014752C"/>
    <w:rsid w:val="00165845"/>
    <w:rsid w:val="00173817"/>
    <w:rsid w:val="00173F6F"/>
    <w:rsid w:val="00175CD8"/>
    <w:rsid w:val="00180C59"/>
    <w:rsid w:val="0018303F"/>
    <w:rsid w:val="001833B3"/>
    <w:rsid w:val="0019645A"/>
    <w:rsid w:val="001A1CE7"/>
    <w:rsid w:val="001A5C54"/>
    <w:rsid w:val="001B719E"/>
    <w:rsid w:val="001C56D9"/>
    <w:rsid w:val="001D2284"/>
    <w:rsid w:val="001E0514"/>
    <w:rsid w:val="001E0897"/>
    <w:rsid w:val="001F0B9B"/>
    <w:rsid w:val="002008D8"/>
    <w:rsid w:val="00205945"/>
    <w:rsid w:val="002076C2"/>
    <w:rsid w:val="00217A33"/>
    <w:rsid w:val="00217C60"/>
    <w:rsid w:val="00222A19"/>
    <w:rsid w:val="00225119"/>
    <w:rsid w:val="002263C9"/>
    <w:rsid w:val="0024252C"/>
    <w:rsid w:val="002455AA"/>
    <w:rsid w:val="002470CF"/>
    <w:rsid w:val="0024762D"/>
    <w:rsid w:val="00270CFA"/>
    <w:rsid w:val="00270F21"/>
    <w:rsid w:val="002717DC"/>
    <w:rsid w:val="00271C38"/>
    <w:rsid w:val="0027409B"/>
    <w:rsid w:val="0028073D"/>
    <w:rsid w:val="00290FA6"/>
    <w:rsid w:val="002935AB"/>
    <w:rsid w:val="0029615D"/>
    <w:rsid w:val="002A1469"/>
    <w:rsid w:val="002A5AA0"/>
    <w:rsid w:val="002C1528"/>
    <w:rsid w:val="002D0115"/>
    <w:rsid w:val="002D2E91"/>
    <w:rsid w:val="002E05DE"/>
    <w:rsid w:val="002E4391"/>
    <w:rsid w:val="002F121A"/>
    <w:rsid w:val="002F36F0"/>
    <w:rsid w:val="003008D8"/>
    <w:rsid w:val="003165C2"/>
    <w:rsid w:val="003247AA"/>
    <w:rsid w:val="00326C50"/>
    <w:rsid w:val="003450AC"/>
    <w:rsid w:val="00350BD5"/>
    <w:rsid w:val="00351AE2"/>
    <w:rsid w:val="0035444D"/>
    <w:rsid w:val="003555D3"/>
    <w:rsid w:val="00356E75"/>
    <w:rsid w:val="00382964"/>
    <w:rsid w:val="00382BC0"/>
    <w:rsid w:val="00397A94"/>
    <w:rsid w:val="003A4036"/>
    <w:rsid w:val="003A4373"/>
    <w:rsid w:val="003C67CE"/>
    <w:rsid w:val="003D246D"/>
    <w:rsid w:val="003D3B65"/>
    <w:rsid w:val="003E0027"/>
    <w:rsid w:val="003E052B"/>
    <w:rsid w:val="003F07DC"/>
    <w:rsid w:val="004017E2"/>
    <w:rsid w:val="00403EB7"/>
    <w:rsid w:val="0041118F"/>
    <w:rsid w:val="00422017"/>
    <w:rsid w:val="004246B8"/>
    <w:rsid w:val="00424716"/>
    <w:rsid w:val="00431377"/>
    <w:rsid w:val="004341B4"/>
    <w:rsid w:val="00435597"/>
    <w:rsid w:val="004405BD"/>
    <w:rsid w:val="0044206A"/>
    <w:rsid w:val="00455D86"/>
    <w:rsid w:val="00461AAD"/>
    <w:rsid w:val="00465CDE"/>
    <w:rsid w:val="00477DCD"/>
    <w:rsid w:val="004801D7"/>
    <w:rsid w:val="00484A6D"/>
    <w:rsid w:val="00486F32"/>
    <w:rsid w:val="00494632"/>
    <w:rsid w:val="004A0D3F"/>
    <w:rsid w:val="004B1684"/>
    <w:rsid w:val="004B3DB0"/>
    <w:rsid w:val="004B7ACE"/>
    <w:rsid w:val="004B7B0B"/>
    <w:rsid w:val="004C5357"/>
    <w:rsid w:val="004C5A7F"/>
    <w:rsid w:val="004E5998"/>
    <w:rsid w:val="004E5D93"/>
    <w:rsid w:val="004F0476"/>
    <w:rsid w:val="004F11D2"/>
    <w:rsid w:val="0050599F"/>
    <w:rsid w:val="0051298A"/>
    <w:rsid w:val="00522B11"/>
    <w:rsid w:val="0053559E"/>
    <w:rsid w:val="005362F7"/>
    <w:rsid w:val="00551FBE"/>
    <w:rsid w:val="005528AC"/>
    <w:rsid w:val="00572A1A"/>
    <w:rsid w:val="005779F1"/>
    <w:rsid w:val="00584209"/>
    <w:rsid w:val="00584816"/>
    <w:rsid w:val="0058575E"/>
    <w:rsid w:val="005A29E1"/>
    <w:rsid w:val="005A34E2"/>
    <w:rsid w:val="005B3A96"/>
    <w:rsid w:val="005C3AE5"/>
    <w:rsid w:val="005D14F4"/>
    <w:rsid w:val="005E300F"/>
    <w:rsid w:val="005E7376"/>
    <w:rsid w:val="005E7A33"/>
    <w:rsid w:val="005F2B7D"/>
    <w:rsid w:val="006145AF"/>
    <w:rsid w:val="006277E8"/>
    <w:rsid w:val="0063045E"/>
    <w:rsid w:val="00630F95"/>
    <w:rsid w:val="00642268"/>
    <w:rsid w:val="0065747E"/>
    <w:rsid w:val="00662603"/>
    <w:rsid w:val="00675C56"/>
    <w:rsid w:val="00690D14"/>
    <w:rsid w:val="00691ABB"/>
    <w:rsid w:val="00694C6A"/>
    <w:rsid w:val="006A1F0B"/>
    <w:rsid w:val="006B57FC"/>
    <w:rsid w:val="006C32CE"/>
    <w:rsid w:val="006C7074"/>
    <w:rsid w:val="006D2A90"/>
    <w:rsid w:val="006D6FDF"/>
    <w:rsid w:val="006E63B5"/>
    <w:rsid w:val="006F1547"/>
    <w:rsid w:val="00701044"/>
    <w:rsid w:val="007069E8"/>
    <w:rsid w:val="007201F2"/>
    <w:rsid w:val="007216E2"/>
    <w:rsid w:val="007237CC"/>
    <w:rsid w:val="007259BF"/>
    <w:rsid w:val="00730B47"/>
    <w:rsid w:val="00744714"/>
    <w:rsid w:val="00746990"/>
    <w:rsid w:val="007508E3"/>
    <w:rsid w:val="007555C6"/>
    <w:rsid w:val="00761FFB"/>
    <w:rsid w:val="00772045"/>
    <w:rsid w:val="00785C74"/>
    <w:rsid w:val="007A4A66"/>
    <w:rsid w:val="007B5FF9"/>
    <w:rsid w:val="007C4FB3"/>
    <w:rsid w:val="007C56D1"/>
    <w:rsid w:val="007C6A82"/>
    <w:rsid w:val="007D1EC5"/>
    <w:rsid w:val="007D46EC"/>
    <w:rsid w:val="007D733F"/>
    <w:rsid w:val="007E1413"/>
    <w:rsid w:val="007F0A77"/>
    <w:rsid w:val="00825F24"/>
    <w:rsid w:val="008329DB"/>
    <w:rsid w:val="00836435"/>
    <w:rsid w:val="00841984"/>
    <w:rsid w:val="008425D8"/>
    <w:rsid w:val="00851D0B"/>
    <w:rsid w:val="0086555A"/>
    <w:rsid w:val="00865F11"/>
    <w:rsid w:val="00887CC7"/>
    <w:rsid w:val="008A5731"/>
    <w:rsid w:val="008C4A66"/>
    <w:rsid w:val="008F5D53"/>
    <w:rsid w:val="009031DD"/>
    <w:rsid w:val="0090744F"/>
    <w:rsid w:val="00912BA2"/>
    <w:rsid w:val="00915A60"/>
    <w:rsid w:val="00924E25"/>
    <w:rsid w:val="00925DD1"/>
    <w:rsid w:val="00930D58"/>
    <w:rsid w:val="009421DD"/>
    <w:rsid w:val="0095231F"/>
    <w:rsid w:val="0096228F"/>
    <w:rsid w:val="00963783"/>
    <w:rsid w:val="009751C5"/>
    <w:rsid w:val="009D3785"/>
    <w:rsid w:val="00A216BD"/>
    <w:rsid w:val="00A27CE5"/>
    <w:rsid w:val="00A370CB"/>
    <w:rsid w:val="00A4167A"/>
    <w:rsid w:val="00A42F27"/>
    <w:rsid w:val="00A55103"/>
    <w:rsid w:val="00A63929"/>
    <w:rsid w:val="00A75936"/>
    <w:rsid w:val="00A80EE0"/>
    <w:rsid w:val="00A878E9"/>
    <w:rsid w:val="00A90E98"/>
    <w:rsid w:val="00A93007"/>
    <w:rsid w:val="00AA71C2"/>
    <w:rsid w:val="00AA79CC"/>
    <w:rsid w:val="00AB690E"/>
    <w:rsid w:val="00AB7CBF"/>
    <w:rsid w:val="00AE01F4"/>
    <w:rsid w:val="00AE091A"/>
    <w:rsid w:val="00AE1E55"/>
    <w:rsid w:val="00AE25C5"/>
    <w:rsid w:val="00B01D1A"/>
    <w:rsid w:val="00B061B5"/>
    <w:rsid w:val="00B2693C"/>
    <w:rsid w:val="00B30A42"/>
    <w:rsid w:val="00B46BC0"/>
    <w:rsid w:val="00B525A2"/>
    <w:rsid w:val="00B95EC2"/>
    <w:rsid w:val="00BA48A5"/>
    <w:rsid w:val="00BA5A4C"/>
    <w:rsid w:val="00BA7750"/>
    <w:rsid w:val="00BD20F3"/>
    <w:rsid w:val="00BD34BF"/>
    <w:rsid w:val="00BD5253"/>
    <w:rsid w:val="00BD59A2"/>
    <w:rsid w:val="00BE168B"/>
    <w:rsid w:val="00BE1B32"/>
    <w:rsid w:val="00BF5EE2"/>
    <w:rsid w:val="00BF6B60"/>
    <w:rsid w:val="00C01E05"/>
    <w:rsid w:val="00C22B99"/>
    <w:rsid w:val="00C3016F"/>
    <w:rsid w:val="00C56EA8"/>
    <w:rsid w:val="00C6167F"/>
    <w:rsid w:val="00C6688A"/>
    <w:rsid w:val="00C67A2C"/>
    <w:rsid w:val="00C828A4"/>
    <w:rsid w:val="00C902CA"/>
    <w:rsid w:val="00C93E95"/>
    <w:rsid w:val="00CA2D3E"/>
    <w:rsid w:val="00CA5B4B"/>
    <w:rsid w:val="00CA70CE"/>
    <w:rsid w:val="00CB0550"/>
    <w:rsid w:val="00CC383F"/>
    <w:rsid w:val="00CC47C9"/>
    <w:rsid w:val="00CD0901"/>
    <w:rsid w:val="00CF3718"/>
    <w:rsid w:val="00CF5271"/>
    <w:rsid w:val="00D078BE"/>
    <w:rsid w:val="00D13465"/>
    <w:rsid w:val="00D13F8A"/>
    <w:rsid w:val="00D21113"/>
    <w:rsid w:val="00D33E21"/>
    <w:rsid w:val="00D45D42"/>
    <w:rsid w:val="00D51193"/>
    <w:rsid w:val="00D60EC1"/>
    <w:rsid w:val="00D671B2"/>
    <w:rsid w:val="00D83A7D"/>
    <w:rsid w:val="00D918D5"/>
    <w:rsid w:val="00DC04FE"/>
    <w:rsid w:val="00DD1D16"/>
    <w:rsid w:val="00DF0AE6"/>
    <w:rsid w:val="00DF222A"/>
    <w:rsid w:val="00E01AFD"/>
    <w:rsid w:val="00E06E73"/>
    <w:rsid w:val="00E10C37"/>
    <w:rsid w:val="00E12C47"/>
    <w:rsid w:val="00E24E20"/>
    <w:rsid w:val="00E30CE8"/>
    <w:rsid w:val="00E53D3F"/>
    <w:rsid w:val="00E54EB7"/>
    <w:rsid w:val="00E56B67"/>
    <w:rsid w:val="00E629C8"/>
    <w:rsid w:val="00E837D3"/>
    <w:rsid w:val="00E87309"/>
    <w:rsid w:val="00E87C97"/>
    <w:rsid w:val="00EA292F"/>
    <w:rsid w:val="00EC632A"/>
    <w:rsid w:val="00ED395F"/>
    <w:rsid w:val="00F01A3B"/>
    <w:rsid w:val="00F02AEC"/>
    <w:rsid w:val="00F1313D"/>
    <w:rsid w:val="00F323B5"/>
    <w:rsid w:val="00F4053D"/>
    <w:rsid w:val="00F40C78"/>
    <w:rsid w:val="00F43069"/>
    <w:rsid w:val="00F801B5"/>
    <w:rsid w:val="00F8026B"/>
    <w:rsid w:val="00F81FD1"/>
    <w:rsid w:val="00F91B7E"/>
    <w:rsid w:val="00FA072F"/>
    <w:rsid w:val="00FA20C6"/>
    <w:rsid w:val="00FA49C3"/>
    <w:rsid w:val="00FB66B8"/>
    <w:rsid w:val="00FC00F6"/>
    <w:rsid w:val="00FD5C5A"/>
    <w:rsid w:val="00FD780A"/>
    <w:rsid w:val="00FE436B"/>
    <w:rsid w:val="00FE7489"/>
    <w:rsid w:val="00FF00D5"/>
    <w:rsid w:val="0137972D"/>
    <w:rsid w:val="0142295C"/>
    <w:rsid w:val="0165B985"/>
    <w:rsid w:val="02C4D160"/>
    <w:rsid w:val="032BC973"/>
    <w:rsid w:val="03DB9840"/>
    <w:rsid w:val="06159A7F"/>
    <w:rsid w:val="068A9D7F"/>
    <w:rsid w:val="07984283"/>
    <w:rsid w:val="093412E4"/>
    <w:rsid w:val="09BC4F0B"/>
    <w:rsid w:val="0CF6B6CA"/>
    <w:rsid w:val="0FAE99DE"/>
    <w:rsid w:val="12DAF52A"/>
    <w:rsid w:val="1589F564"/>
    <w:rsid w:val="188900E3"/>
    <w:rsid w:val="1A24D144"/>
    <w:rsid w:val="1D5C7206"/>
    <w:rsid w:val="1DAC963B"/>
    <w:rsid w:val="234DF742"/>
    <w:rsid w:val="25212C36"/>
    <w:rsid w:val="270B41D2"/>
    <w:rsid w:val="2A42E294"/>
    <w:rsid w:val="2DA5F1A8"/>
    <w:rsid w:val="2EEABBE4"/>
    <w:rsid w:val="2F5A1BB6"/>
    <w:rsid w:val="363782CB"/>
    <w:rsid w:val="3AB34549"/>
    <w:rsid w:val="3BF4D6BF"/>
    <w:rsid w:val="3C19E70D"/>
    <w:rsid w:val="3D90A720"/>
    <w:rsid w:val="3F544ECC"/>
    <w:rsid w:val="42B9C33F"/>
    <w:rsid w:val="43BA7824"/>
    <w:rsid w:val="4CAD2629"/>
    <w:rsid w:val="50040D84"/>
    <w:rsid w:val="5097659E"/>
    <w:rsid w:val="50984CFC"/>
    <w:rsid w:val="517E003D"/>
    <w:rsid w:val="51B90642"/>
    <w:rsid w:val="52D71A5B"/>
    <w:rsid w:val="5A113ED7"/>
    <w:rsid w:val="5AC903E3"/>
    <w:rsid w:val="5C45CD1C"/>
    <w:rsid w:val="5F07B109"/>
    <w:rsid w:val="6001DC33"/>
    <w:rsid w:val="6D6EBB01"/>
    <w:rsid w:val="6F010C76"/>
    <w:rsid w:val="7557BC49"/>
    <w:rsid w:val="77477234"/>
    <w:rsid w:val="7AD2E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3C"/>
    <w:rPr>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4B3DB0"/>
    <w:pPr>
      <w:numPr>
        <w:ilvl w:val="1"/>
        <w:numId w:val="1"/>
      </w:numPr>
      <w:spacing w:before="120" w:after="180" w:line="240" w:lineRule="atLeast"/>
      <w:ind w:left="1276"/>
    </w:pPr>
  </w:style>
  <w:style w:type="paragraph" w:styleId="ListBullet3">
    <w:name w:val="List Bullet 3"/>
    <w:basedOn w:val="Normal"/>
    <w:uiPriority w:val="2"/>
    <w:qFormat/>
    <w:rsid w:val="004B3DB0"/>
    <w:pPr>
      <w:numPr>
        <w:ilvl w:val="2"/>
        <w:numId w:val="1"/>
      </w:numPr>
      <w:spacing w:before="120" w:after="180" w:line="240" w:lineRule="atLeast"/>
      <w:ind w:left="1560"/>
    </w:p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numbering" w:customStyle="1" w:styleId="NumberBullet1">
    <w:name w:val="NumberBullet1"/>
    <w:uiPriority w:val="99"/>
    <w:locked/>
    <w:rsid w:val="002008D8"/>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A60"/>
    <w:rPr>
      <w:color w:val="808080"/>
    </w:rPr>
  </w:style>
  <w:style w:type="character" w:customStyle="1" w:styleId="normaltextrun">
    <w:name w:val="normaltextrun"/>
    <w:basedOn w:val="DefaultParagraphFont"/>
    <w:rsid w:val="00963783"/>
  </w:style>
  <w:style w:type="character" w:customStyle="1" w:styleId="eop">
    <w:name w:val="eop"/>
    <w:basedOn w:val="DefaultParagraphFont"/>
    <w:rsid w:val="00963783"/>
  </w:style>
  <w:style w:type="paragraph" w:styleId="CommentSubject">
    <w:name w:val="annotation subject"/>
    <w:basedOn w:val="CommentText"/>
    <w:next w:val="CommentText"/>
    <w:link w:val="CommentSubjectChar"/>
    <w:uiPriority w:val="99"/>
    <w:semiHidden/>
    <w:unhideWhenUsed/>
    <w:rsid w:val="00C93E95"/>
    <w:pPr>
      <w:spacing w:before="0" w:after="12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93E95"/>
    <w:rPr>
      <w:rFonts w:ascii="Cambria" w:eastAsia="Cambria" w:hAnsi="Cambria" w:cs="Times New Roman"/>
      <w:b/>
      <w:bCs/>
    </w:rPr>
  </w:style>
  <w:style w:type="character" w:styleId="UnresolvedMention">
    <w:name w:val="Unresolved Mention"/>
    <w:basedOn w:val="DefaultParagraphFont"/>
    <w:uiPriority w:val="99"/>
    <w:semiHidden/>
    <w:unhideWhenUsed/>
    <w:rsid w:val="00382BC0"/>
    <w:rPr>
      <w:color w:val="605E5C"/>
      <w:shd w:val="clear" w:color="auto" w:fill="E1DFDD"/>
    </w:rPr>
  </w:style>
  <w:style w:type="character" w:styleId="FollowedHyperlink">
    <w:name w:val="FollowedHyperlink"/>
    <w:basedOn w:val="DefaultParagraphFont"/>
    <w:uiPriority w:val="99"/>
    <w:semiHidden/>
    <w:unhideWhenUsed/>
    <w:rsid w:val="005362F7"/>
    <w:rPr>
      <w:color w:val="954F72" w:themeColor="followedHyperlink"/>
      <w:u w:val="single"/>
    </w:rPr>
  </w:style>
  <w:style w:type="table" w:customStyle="1" w:styleId="TableTGAblue">
    <w:name w:val="Table TGA blue"/>
    <w:basedOn w:val="TableNormal"/>
    <w:uiPriority w:val="99"/>
    <w:qFormat/>
    <w:rsid w:val="00173817"/>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34"/>
    <w:qFormat/>
    <w:rsid w:val="00173817"/>
    <w:pPr>
      <w:spacing w:before="120" w:after="180" w:line="240" w:lineRule="atLeast"/>
      <w:ind w:left="720"/>
      <w:contextualSpacing/>
    </w:pPr>
    <w:rPr>
      <w:rFonts w:ascii="Cambria" w:eastAsia="Cambria" w:hAnsi="Cambria" w:cs="Times New Roman"/>
    </w:rPr>
  </w:style>
  <w:style w:type="paragraph" w:customStyle="1" w:styleId="Numberbullet2aitalicised">
    <w:name w:val="Number bullet 2 a) italicised"/>
    <w:basedOn w:val="Normal"/>
    <w:uiPriority w:val="1"/>
    <w:qFormat/>
    <w:rsid w:val="00173817"/>
    <w:pPr>
      <w:numPr>
        <w:numId w:val="19"/>
      </w:numPr>
      <w:spacing w:before="120" w:line="240" w:lineRule="atLeast"/>
      <w:ind w:left="426" w:hanging="426"/>
    </w:pPr>
    <w:rPr>
      <w:rFonts w:ascii="Cambria" w:eastAsia="Cambria" w:hAnsi="Cambria" w:cs="Times New Roman"/>
      <w:i/>
    </w:rPr>
  </w:style>
  <w:style w:type="paragraph" w:styleId="Revision">
    <w:name w:val="Revision"/>
    <w:hidden/>
    <w:uiPriority w:val="99"/>
    <w:semiHidden/>
    <w:rsid w:val="0065747E"/>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sites/default/files/notice-final-decisions-amend-or-not-amend-the-current-poisons-standard.pdf" TargetMode="External"/><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consultations.tga.gov.au/tga/scheduling-pre-meeting-june-2023/user_uploads/june-pre-meeting-public-notice-acms--42-acms-accs--34-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0" Type="http://schemas.openxmlformats.org/officeDocument/2006/relationships/hyperlink" Target="https://consultations.tga.gov.au/tga/scheduling-pre-meeting-june-2023/user_uploads/june-pre-meeting-public-notice-acms--42-acms-accs--34-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onsultations.tga.gov.au/tga/scheduling-interim-decision-lead-2023"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consultations.tga.gov.au/tga/scheduling-pre-meeting-june-2023/user_uploads/june-pre-meeting-public-notice-acms--42-acms-accs--34-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sites/default/files/notice-final-decisions-amend-or-not-amend-the-current-poisons-standard.pdf"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23L00864" TargetMode="External"/><Relationship Id="rId2" Type="http://schemas.openxmlformats.org/officeDocument/2006/relationships/hyperlink" Target="https://consultations.tga.gov.au/tga/scheduling-pre-meeting-june-2023/user_uploads/june-pre-meeting-public-notice-acms--42-acms-accs--34-1.pdf" TargetMode="External"/><Relationship Id="rId1" Type="http://schemas.openxmlformats.org/officeDocument/2006/relationships/hyperlink" Target="https://www.tga.gov.au/sites/default/files/notice-final-decisions-amend-or-not-amend-the-current-poisons-standard.pdf" TargetMode="External"/><Relationship Id="rId4" Type="http://schemas.openxmlformats.org/officeDocument/2006/relationships/hyperlink" Target="https://www.bia.org.au/news/boating-data-report-card-launche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89722D4444529AC4AADD62F3A95DC"/>
        <w:category>
          <w:name w:val="General"/>
          <w:gallery w:val="placeholder"/>
        </w:category>
        <w:types>
          <w:type w:val="bbPlcHdr"/>
        </w:types>
        <w:behaviors>
          <w:behavior w:val="content"/>
        </w:behaviors>
        <w:guid w:val="{2970CEB0-40D4-472A-936C-92C9808C643B}"/>
      </w:docPartPr>
      <w:docPartBody>
        <w:p w:rsidR="00847102" w:rsidRDefault="004002D6" w:rsidP="004002D6">
          <w:pPr>
            <w:pStyle w:val="28889722D4444529AC4AADD62F3A95DC"/>
          </w:pPr>
          <w:r w:rsidRPr="0077627B">
            <w:rPr>
              <w:rStyle w:val="PlaceholderText"/>
            </w:rPr>
            <w:t>Click or tap here to enter text.</w:t>
          </w:r>
        </w:p>
      </w:docPartBody>
    </w:docPart>
    <w:docPart>
      <w:docPartPr>
        <w:name w:val="C87787EBC80E4E4CB69F99D9DB1DFD52"/>
        <w:category>
          <w:name w:val="General"/>
          <w:gallery w:val="placeholder"/>
        </w:category>
        <w:types>
          <w:type w:val="bbPlcHdr"/>
        </w:types>
        <w:behaviors>
          <w:behavior w:val="content"/>
        </w:behaviors>
        <w:guid w:val="{1BEF7BEE-4D37-4D0F-A1BA-2BBDF33C9C8C}"/>
      </w:docPartPr>
      <w:docPartBody>
        <w:p w:rsidR="00D21ACD" w:rsidRDefault="004002D6">
          <w:pPr>
            <w:pStyle w:val="C87787EBC80E4E4CB69F99D9DB1DFD52"/>
          </w:pPr>
          <w:r w:rsidRPr="0077627B">
            <w:rPr>
              <w:rStyle w:val="PlaceholderText"/>
            </w:rPr>
            <w:t>Click or tap here to enter text.</w:t>
          </w:r>
        </w:p>
      </w:docPartBody>
    </w:docPart>
    <w:docPart>
      <w:docPartPr>
        <w:name w:val="B5BD697038864A619950F3F2903766ED"/>
        <w:category>
          <w:name w:val="General"/>
          <w:gallery w:val="placeholder"/>
        </w:category>
        <w:types>
          <w:type w:val="bbPlcHdr"/>
        </w:types>
        <w:behaviors>
          <w:behavior w:val="content"/>
        </w:behaviors>
        <w:guid w:val="{31912BA7-C7BE-4C4E-90DE-056361096CC1}"/>
      </w:docPartPr>
      <w:docPartBody>
        <w:p w:rsidR="00D21ACD" w:rsidRDefault="004002D6">
          <w:pPr>
            <w:pStyle w:val="B5BD697038864A619950F3F2903766ED"/>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30565"/>
    <w:rsid w:val="00051B88"/>
    <w:rsid w:val="00112AC5"/>
    <w:rsid w:val="001B5F87"/>
    <w:rsid w:val="0020770B"/>
    <w:rsid w:val="0021712A"/>
    <w:rsid w:val="00237711"/>
    <w:rsid w:val="002400D6"/>
    <w:rsid w:val="002A7779"/>
    <w:rsid w:val="002B368B"/>
    <w:rsid w:val="003F0B4F"/>
    <w:rsid w:val="004002D6"/>
    <w:rsid w:val="00403341"/>
    <w:rsid w:val="00425584"/>
    <w:rsid w:val="004544BE"/>
    <w:rsid w:val="00504774"/>
    <w:rsid w:val="00596E7A"/>
    <w:rsid w:val="00631DC8"/>
    <w:rsid w:val="00847102"/>
    <w:rsid w:val="009A636A"/>
    <w:rsid w:val="009F1742"/>
    <w:rsid w:val="00A170B8"/>
    <w:rsid w:val="00AF7FF4"/>
    <w:rsid w:val="00B3658E"/>
    <w:rsid w:val="00C040E6"/>
    <w:rsid w:val="00C90BE1"/>
    <w:rsid w:val="00D21ACD"/>
    <w:rsid w:val="00DA2685"/>
    <w:rsid w:val="00E17827"/>
    <w:rsid w:val="00E21178"/>
    <w:rsid w:val="00E642F1"/>
    <w:rsid w:val="00E64D21"/>
    <w:rsid w:val="00FC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2D6"/>
    <w:rPr>
      <w:color w:val="808080"/>
    </w:rPr>
  </w:style>
  <w:style w:type="paragraph" w:customStyle="1" w:styleId="28889722D4444529AC4AADD62F3A95DC">
    <w:name w:val="28889722D4444529AC4AADD62F3A95DC"/>
    <w:rsid w:val="004002D6"/>
  </w:style>
  <w:style w:type="paragraph" w:customStyle="1" w:styleId="C87787EBC80E4E4CB69F99D9DB1DFD52">
    <w:name w:val="C87787EBC80E4E4CB69F99D9DB1DFD52"/>
  </w:style>
  <w:style w:type="paragraph" w:customStyle="1" w:styleId="B5BD697038864A619950F3F2903766ED">
    <w:name w:val="B5BD697038864A619950F3F290376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11</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 with regards to lead</vt:lpstr>
    </vt:vector>
  </TitlesOfParts>
  <Company>Department of Health and Aged Care</Company>
  <LinksUpToDate>false</LinksUpToDate>
  <CharactersWithSpaces>22716</CharactersWithSpaces>
  <SharedDoc>false</SharedDoc>
  <HLinks>
    <vt:vector size="102" baseType="variant">
      <vt:variant>
        <vt:i4>3473445</vt:i4>
      </vt:variant>
      <vt:variant>
        <vt:i4>54</vt:i4>
      </vt:variant>
      <vt:variant>
        <vt:i4>0</vt:i4>
      </vt:variant>
      <vt:variant>
        <vt:i4>5</vt:i4>
      </vt:variant>
      <vt:variant>
        <vt:lpwstr>https://www.tga.gov.au/</vt:lpwstr>
      </vt:variant>
      <vt:variant>
        <vt:lpwstr/>
      </vt:variant>
      <vt:variant>
        <vt:i4>5242926</vt:i4>
      </vt:variant>
      <vt:variant>
        <vt:i4>51</vt:i4>
      </vt:variant>
      <vt:variant>
        <vt:i4>0</vt:i4>
      </vt:variant>
      <vt:variant>
        <vt:i4>5</vt:i4>
      </vt:variant>
      <vt:variant>
        <vt:lpwstr>mailto:info@tga.gov.au</vt:lpwstr>
      </vt:variant>
      <vt:variant>
        <vt:lpwstr/>
      </vt:variant>
      <vt:variant>
        <vt:i4>1048669</vt:i4>
      </vt:variant>
      <vt:variant>
        <vt:i4>48</vt:i4>
      </vt:variant>
      <vt:variant>
        <vt:i4>0</vt:i4>
      </vt:variant>
      <vt:variant>
        <vt:i4>5</vt:i4>
      </vt:variant>
      <vt:variant>
        <vt:lpwstr>https://www.tga.gov.au/sites/default/files/notice-final-decisions-amend-or-not-amend-the-current-poisons-standard.pdf</vt:lpwstr>
      </vt:variant>
      <vt:variant>
        <vt:lpwstr/>
      </vt:variant>
      <vt:variant>
        <vt:i4>2293788</vt:i4>
      </vt:variant>
      <vt:variant>
        <vt:i4>45</vt:i4>
      </vt:variant>
      <vt:variant>
        <vt:i4>0</vt:i4>
      </vt:variant>
      <vt:variant>
        <vt:i4>5</vt:i4>
      </vt:variant>
      <vt:variant>
        <vt:lpwstr>https://consultations.tga.gov.au/tga/scheduling-pre-meeting-june-2023/user_uploads/june-pre-meeting-public-notice-acms--42-acms-accs--34-1.pdf</vt:lpwstr>
      </vt:variant>
      <vt:variant>
        <vt:lpwstr/>
      </vt:variant>
      <vt:variant>
        <vt:i4>2293788</vt:i4>
      </vt:variant>
      <vt:variant>
        <vt:i4>42</vt:i4>
      </vt:variant>
      <vt:variant>
        <vt:i4>0</vt:i4>
      </vt:variant>
      <vt:variant>
        <vt:i4>5</vt:i4>
      </vt:variant>
      <vt:variant>
        <vt:lpwstr>https://consultations.tga.gov.au/tga/scheduling-pre-meeting-june-2023/user_uploads/june-pre-meeting-public-notice-acms--42-acms-accs--34-1.pdf</vt:lpwstr>
      </vt:variant>
      <vt:variant>
        <vt:lpwstr/>
      </vt:variant>
      <vt:variant>
        <vt:i4>2293788</vt:i4>
      </vt:variant>
      <vt:variant>
        <vt:i4>39</vt:i4>
      </vt:variant>
      <vt:variant>
        <vt:i4>0</vt:i4>
      </vt:variant>
      <vt:variant>
        <vt:i4>5</vt:i4>
      </vt:variant>
      <vt:variant>
        <vt:lpwstr>https://consultations.tga.gov.au/tga/scheduling-pre-meeting-june-2023/user_uploads/june-pre-meeting-public-notice-acms--42-acms-accs--34-1.pdf</vt:lpwstr>
      </vt:variant>
      <vt:variant>
        <vt:lpwstr/>
      </vt:variant>
      <vt:variant>
        <vt:i4>1048669</vt:i4>
      </vt:variant>
      <vt:variant>
        <vt:i4>33</vt:i4>
      </vt:variant>
      <vt:variant>
        <vt:i4>0</vt:i4>
      </vt:variant>
      <vt:variant>
        <vt:i4>5</vt:i4>
      </vt:variant>
      <vt:variant>
        <vt:lpwstr>https://www.tga.gov.au/sites/default/files/notice-final-decisions-amend-or-not-amend-the-current-poisons-standard.pdf</vt:lpwstr>
      </vt:variant>
      <vt:variant>
        <vt:lpwstr/>
      </vt:variant>
      <vt:variant>
        <vt:i4>5505026</vt:i4>
      </vt:variant>
      <vt:variant>
        <vt:i4>30</vt:i4>
      </vt:variant>
      <vt:variant>
        <vt:i4>0</vt:i4>
      </vt:variant>
      <vt:variant>
        <vt:i4>5</vt:i4>
      </vt:variant>
      <vt:variant>
        <vt:lpwstr>https://www.tga.gov.au/publication/scheduling-handbook-guidance-amending-poisons-standard</vt:lpwstr>
      </vt:variant>
      <vt:variant>
        <vt:lpwstr/>
      </vt:variant>
      <vt:variant>
        <vt:i4>65564</vt:i4>
      </vt:variant>
      <vt:variant>
        <vt:i4>27</vt:i4>
      </vt:variant>
      <vt:variant>
        <vt:i4>0</vt:i4>
      </vt:variant>
      <vt:variant>
        <vt:i4>5</vt:i4>
      </vt:variant>
      <vt:variant>
        <vt:lpwstr>https://www.tga.gov.au/publication/ahmac-scheduling-policy-framework-medicines-and-chemicals</vt:lpwstr>
      </vt:variant>
      <vt:variant>
        <vt:lpwstr/>
      </vt:variant>
      <vt:variant>
        <vt:i4>7733358</vt:i4>
      </vt:variant>
      <vt:variant>
        <vt:i4>24</vt:i4>
      </vt:variant>
      <vt:variant>
        <vt:i4>0</vt:i4>
      </vt:variant>
      <vt:variant>
        <vt:i4>5</vt:i4>
      </vt:variant>
      <vt:variant>
        <vt:lpwstr>https://consultations.tga.gov.au/tga/scheduling-interim-decision-lead-2023</vt:lpwstr>
      </vt:variant>
      <vt:variant>
        <vt:lpwstr/>
      </vt:variant>
      <vt:variant>
        <vt:i4>1048629</vt:i4>
      </vt:variant>
      <vt:variant>
        <vt:i4>17</vt:i4>
      </vt:variant>
      <vt:variant>
        <vt:i4>0</vt:i4>
      </vt:variant>
      <vt:variant>
        <vt:i4>5</vt:i4>
      </vt:variant>
      <vt:variant>
        <vt:lpwstr/>
      </vt:variant>
      <vt:variant>
        <vt:lpwstr>_Toc140130722</vt:lpwstr>
      </vt:variant>
      <vt:variant>
        <vt:i4>1048629</vt:i4>
      </vt:variant>
      <vt:variant>
        <vt:i4>11</vt:i4>
      </vt:variant>
      <vt:variant>
        <vt:i4>0</vt:i4>
      </vt:variant>
      <vt:variant>
        <vt:i4>5</vt:i4>
      </vt:variant>
      <vt:variant>
        <vt:lpwstr/>
      </vt:variant>
      <vt:variant>
        <vt:lpwstr>_Toc140130721</vt:lpwstr>
      </vt:variant>
      <vt:variant>
        <vt:i4>1048629</vt:i4>
      </vt:variant>
      <vt:variant>
        <vt:i4>5</vt:i4>
      </vt:variant>
      <vt:variant>
        <vt:i4>0</vt:i4>
      </vt:variant>
      <vt:variant>
        <vt:i4>5</vt:i4>
      </vt:variant>
      <vt:variant>
        <vt:lpwstr/>
      </vt:variant>
      <vt:variant>
        <vt:lpwstr>_Toc140130720</vt:lpwstr>
      </vt:variant>
      <vt:variant>
        <vt:i4>6291548</vt:i4>
      </vt:variant>
      <vt:variant>
        <vt:i4>0</vt:i4>
      </vt:variant>
      <vt:variant>
        <vt:i4>0</vt:i4>
      </vt:variant>
      <vt:variant>
        <vt:i4>5</vt:i4>
      </vt:variant>
      <vt:variant>
        <vt:lpwstr>mailto:tga.copyright@tga.gov.au</vt:lpwstr>
      </vt:variant>
      <vt:variant>
        <vt:lpwstr/>
      </vt:variant>
      <vt:variant>
        <vt:i4>983046</vt:i4>
      </vt:variant>
      <vt:variant>
        <vt:i4>9</vt:i4>
      </vt:variant>
      <vt:variant>
        <vt:i4>0</vt:i4>
      </vt:variant>
      <vt:variant>
        <vt:i4>5</vt:i4>
      </vt:variant>
      <vt:variant>
        <vt:lpwstr>https://www.bia.org.au/news/boating-data-report-card-launched</vt:lpwstr>
      </vt:variant>
      <vt:variant>
        <vt:lpwstr/>
      </vt:variant>
      <vt:variant>
        <vt:i4>7995436</vt:i4>
      </vt:variant>
      <vt:variant>
        <vt:i4>6</vt:i4>
      </vt:variant>
      <vt:variant>
        <vt:i4>0</vt:i4>
      </vt:variant>
      <vt:variant>
        <vt:i4>5</vt:i4>
      </vt:variant>
      <vt:variant>
        <vt:lpwstr>https://www.legislation.gov.au/Details/F2023L00864</vt:lpwstr>
      </vt:variant>
      <vt:variant>
        <vt:lpwstr/>
      </vt:variant>
      <vt:variant>
        <vt:i4>1048669</vt:i4>
      </vt:variant>
      <vt:variant>
        <vt:i4>0</vt:i4>
      </vt:variant>
      <vt:variant>
        <vt:i4>0</vt:i4>
      </vt:variant>
      <vt:variant>
        <vt:i4>5</vt:i4>
      </vt:variant>
      <vt:variant>
        <vt:lpwstr>https://www.tga.gov.au/sites/default/files/notice-final-decisions-amend-or-not-amend-the-current-poisons-standard.pdf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 with regards to lead</dc:title>
  <dc:subject/>
  <dc:creator>Therapeutic Goods Administration</dc:creator>
  <cp:keywords/>
  <dc:description/>
  <cp:lastModifiedBy>LACK, Janet</cp:lastModifiedBy>
  <cp:revision>2</cp:revision>
  <dcterms:created xsi:type="dcterms:W3CDTF">2023-08-02T22:38:00Z</dcterms:created>
  <dcterms:modified xsi:type="dcterms:W3CDTF">2023-08-02T22:38:00Z</dcterms:modified>
</cp:coreProperties>
</file>