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8784DEB" w14:textId="77777777" w:rsidTr="002B29B2">
        <w:tc>
          <w:tcPr>
            <w:tcW w:w="8720" w:type="dxa"/>
          </w:tcPr>
          <w:p w14:paraId="150769F3" w14:textId="369FE136" w:rsidR="00F02AEC" w:rsidRPr="00215D48" w:rsidRDefault="005034F3" w:rsidP="002B29B2">
            <w:pPr>
              <w:pStyle w:val="Title"/>
            </w:pPr>
            <w:bookmarkStart w:id="0" w:name="_Hlk141866522"/>
            <w:r>
              <w:t>COVID-19</w:t>
            </w:r>
            <w:r w:rsidR="001449E8">
              <w:t xml:space="preserve"> </w:t>
            </w:r>
            <w:r w:rsidR="001449E8" w:rsidRPr="009E5138">
              <w:rPr>
                <w:i/>
                <w:iCs/>
              </w:rPr>
              <w:t>in vitro</w:t>
            </w:r>
            <w:r w:rsidR="001449E8">
              <w:t xml:space="preserve"> diagnostics</w:t>
            </w:r>
            <w:bookmarkEnd w:id="0"/>
          </w:p>
        </w:tc>
      </w:tr>
      <w:tr w:rsidR="00F02AEC" w:rsidRPr="00215D48" w14:paraId="5784151E" w14:textId="77777777" w:rsidTr="002B29B2">
        <w:trPr>
          <w:trHeight w:val="1916"/>
        </w:trPr>
        <w:tc>
          <w:tcPr>
            <w:tcW w:w="8720" w:type="dxa"/>
          </w:tcPr>
          <w:p w14:paraId="1A520485" w14:textId="2E8FAE75" w:rsidR="00F02AEC" w:rsidRPr="00215D48" w:rsidRDefault="001449E8" w:rsidP="002B29B2">
            <w:pPr>
              <w:pStyle w:val="Subtitle"/>
              <w:ind w:left="0"/>
            </w:pPr>
            <w:bookmarkStart w:id="1" w:name="_Hlk141866534"/>
            <w:r>
              <w:t>Guidance on o</w:t>
            </w:r>
            <w:r w:rsidR="005034F3">
              <w:t>ngoing requirements for sponsors</w:t>
            </w:r>
            <w:r>
              <w:t xml:space="preserve"> and manufacturers</w:t>
            </w:r>
            <w:bookmarkEnd w:id="1"/>
          </w:p>
        </w:tc>
      </w:tr>
      <w:tr w:rsidR="00F02AEC" w:rsidRPr="00215D48" w14:paraId="699BCF3E" w14:textId="77777777" w:rsidTr="002B29B2">
        <w:tc>
          <w:tcPr>
            <w:tcW w:w="8720" w:type="dxa"/>
          </w:tcPr>
          <w:p w14:paraId="012AFF96" w14:textId="2D4C70A2" w:rsidR="00F02AEC" w:rsidRPr="00215D48" w:rsidRDefault="00F02AEC" w:rsidP="00F54CA9">
            <w:pPr>
              <w:pStyle w:val="Date"/>
            </w:pPr>
            <w:r w:rsidRPr="00215D48">
              <w:t xml:space="preserve">Version 1.0, </w:t>
            </w:r>
            <w:r w:rsidR="00EE1A24">
              <w:t>August</w:t>
            </w:r>
            <w:r w:rsidRPr="004435D8">
              <w:t xml:space="preserve"> </w:t>
            </w:r>
            <w:r w:rsidR="004435D8">
              <w:t>2023</w:t>
            </w:r>
          </w:p>
        </w:tc>
      </w:tr>
    </w:tbl>
    <w:p w14:paraId="196A6EBE" w14:textId="77777777" w:rsidR="00F02AEC" w:rsidRPr="00215D48" w:rsidRDefault="00F02AEC" w:rsidP="00B24FF5">
      <w:pPr>
        <w:pStyle w:val="ListBullet"/>
        <w:numPr>
          <w:ilvl w:val="0"/>
          <w:numId w:val="0"/>
        </w:numPr>
        <w:sectPr w:rsidR="00F02AEC" w:rsidRPr="00215D48" w:rsidSect="00CB0550">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23273F93" w14:textId="77777777" w:rsidR="00F02AEC" w:rsidRPr="00E1198B" w:rsidRDefault="00F02AEC" w:rsidP="00BA0DFC">
      <w:pPr>
        <w:pStyle w:val="LegalSubheading"/>
      </w:pPr>
      <w:r w:rsidRPr="00BA0DFC">
        <w:lastRenderedPageBreak/>
        <w:t>Copyright</w:t>
      </w:r>
    </w:p>
    <w:p w14:paraId="33BEA7FF" w14:textId="6681F253" w:rsidR="00930D58" w:rsidRDefault="00F02AEC" w:rsidP="00FA49C3">
      <w:pPr>
        <w:pStyle w:val="LegalCopy"/>
        <w:rPr>
          <w:rFonts w:cs="Arial"/>
        </w:rPr>
      </w:pPr>
      <w:r w:rsidRPr="00215D48">
        <w:rPr>
          <w:rFonts w:cs="Arial"/>
        </w:rPr>
        <w:t>© Commonwealth of Australia 20</w:t>
      </w:r>
      <w:r>
        <w:rPr>
          <w:rFonts w:cs="Arial"/>
        </w:rPr>
        <w:t>2</w:t>
      </w:r>
      <w:r w:rsidR="004435D8">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215D48">
          <w:rPr>
            <w:rStyle w:val="Hyperlink"/>
            <w:rFonts w:cs="Arial"/>
          </w:rPr>
          <w:t>tga.copyright@tga.gov.au</w:t>
        </w:r>
      </w:hyperlink>
      <w:r w:rsidRPr="00215D48">
        <w:rPr>
          <w:rFonts w:cs="Arial"/>
        </w:rPr>
        <w:t>&gt;.</w:t>
      </w:r>
    </w:p>
    <w:p w14:paraId="343FA0F4" w14:textId="77777777" w:rsidR="00175CD8" w:rsidRPr="00FA49C3" w:rsidRDefault="00175CD8" w:rsidP="00175CD8"/>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Theme="minorHAnsi" w:hAnsiTheme="minorHAnsi"/>
          <w:sz w:val="20"/>
          <w:szCs w:val="20"/>
        </w:rPr>
      </w:sdtEndPr>
      <w:sdtContent>
        <w:p w14:paraId="080E76C7" w14:textId="77777777" w:rsidR="00F02AEC" w:rsidRPr="00215D48" w:rsidRDefault="00F02AEC" w:rsidP="00035110">
          <w:pPr>
            <w:pStyle w:val="NonTOCheading2"/>
          </w:pPr>
          <w:r w:rsidRPr="00215D48">
            <w:t>Contents</w:t>
          </w:r>
        </w:p>
        <w:p w14:paraId="478B966B" w14:textId="4D894CE8" w:rsidR="004435D8" w:rsidRDefault="00F02AEC">
          <w:pPr>
            <w:pStyle w:val="TOC1"/>
            <w:rPr>
              <w:rFonts w:asciiTheme="minorHAnsi" w:eastAsiaTheme="minorEastAsia" w:hAnsiTheme="minorHAnsi" w:cstheme="minorBidi"/>
              <w:b w:val="0"/>
              <w:noProof/>
              <w:color w:val="auto"/>
              <w:sz w:val="22"/>
              <w:szCs w:val="22"/>
              <w:lang w:eastAsia="en-AU"/>
            </w:rPr>
          </w:pPr>
          <w:r w:rsidRPr="00215D48">
            <w:fldChar w:fldCharType="begin"/>
          </w:r>
          <w:r w:rsidRPr="00215D48">
            <w:instrText xml:space="preserve"> TOC \h \z \u \t "Heading 2,1,Heading 3,2,Heading 4,3" </w:instrText>
          </w:r>
          <w:r w:rsidRPr="00215D48">
            <w:fldChar w:fldCharType="separate"/>
          </w:r>
          <w:hyperlink w:anchor="_Toc140776948" w:history="1">
            <w:r w:rsidR="004435D8" w:rsidRPr="00DF2D2E">
              <w:rPr>
                <w:rStyle w:val="Hyperlink"/>
                <w:noProof/>
              </w:rPr>
              <w:t>Purpose</w:t>
            </w:r>
            <w:r w:rsidR="004435D8">
              <w:rPr>
                <w:noProof/>
                <w:webHidden/>
              </w:rPr>
              <w:tab/>
            </w:r>
            <w:r w:rsidR="004435D8">
              <w:rPr>
                <w:noProof/>
                <w:webHidden/>
              </w:rPr>
              <w:fldChar w:fldCharType="begin"/>
            </w:r>
            <w:r w:rsidR="004435D8">
              <w:rPr>
                <w:noProof/>
                <w:webHidden/>
              </w:rPr>
              <w:instrText xml:space="preserve"> PAGEREF _Toc140776948 \h </w:instrText>
            </w:r>
            <w:r w:rsidR="004435D8">
              <w:rPr>
                <w:noProof/>
                <w:webHidden/>
              </w:rPr>
            </w:r>
            <w:r w:rsidR="004435D8">
              <w:rPr>
                <w:noProof/>
                <w:webHidden/>
              </w:rPr>
              <w:fldChar w:fldCharType="separate"/>
            </w:r>
            <w:r w:rsidR="004435D8">
              <w:rPr>
                <w:noProof/>
                <w:webHidden/>
              </w:rPr>
              <w:t>4</w:t>
            </w:r>
            <w:r w:rsidR="004435D8">
              <w:rPr>
                <w:noProof/>
                <w:webHidden/>
              </w:rPr>
              <w:fldChar w:fldCharType="end"/>
            </w:r>
          </w:hyperlink>
        </w:p>
        <w:p w14:paraId="51165D1D" w14:textId="7960A4D5"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49" w:history="1">
            <w:r w:rsidR="004435D8" w:rsidRPr="00DF2D2E">
              <w:rPr>
                <w:rStyle w:val="Hyperlink"/>
                <w:noProof/>
              </w:rPr>
              <w:t>Post market review of IVDs</w:t>
            </w:r>
            <w:r w:rsidR="004435D8">
              <w:rPr>
                <w:noProof/>
                <w:webHidden/>
              </w:rPr>
              <w:tab/>
            </w:r>
            <w:r w:rsidR="004435D8">
              <w:rPr>
                <w:noProof/>
                <w:webHidden/>
              </w:rPr>
              <w:fldChar w:fldCharType="begin"/>
            </w:r>
            <w:r w:rsidR="004435D8">
              <w:rPr>
                <w:noProof/>
                <w:webHidden/>
              </w:rPr>
              <w:instrText xml:space="preserve"> PAGEREF _Toc140776949 \h </w:instrText>
            </w:r>
            <w:r w:rsidR="004435D8">
              <w:rPr>
                <w:noProof/>
                <w:webHidden/>
              </w:rPr>
            </w:r>
            <w:r w:rsidR="004435D8">
              <w:rPr>
                <w:noProof/>
                <w:webHidden/>
              </w:rPr>
              <w:fldChar w:fldCharType="separate"/>
            </w:r>
            <w:r w:rsidR="004435D8">
              <w:rPr>
                <w:noProof/>
                <w:webHidden/>
              </w:rPr>
              <w:t>4</w:t>
            </w:r>
            <w:r w:rsidR="004435D8">
              <w:rPr>
                <w:noProof/>
                <w:webHidden/>
              </w:rPr>
              <w:fldChar w:fldCharType="end"/>
            </w:r>
          </w:hyperlink>
        </w:p>
        <w:p w14:paraId="61FEFDFF" w14:textId="29826879"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0" w:history="1">
            <w:r w:rsidR="004435D8" w:rsidRPr="00DF2D2E">
              <w:rPr>
                <w:rStyle w:val="Hyperlink"/>
                <w:i/>
                <w:iCs/>
                <w:noProof/>
              </w:rPr>
              <w:t>In vitro</w:t>
            </w:r>
            <w:r w:rsidR="004435D8" w:rsidRPr="00DF2D2E">
              <w:rPr>
                <w:rStyle w:val="Hyperlink"/>
                <w:noProof/>
              </w:rPr>
              <w:t xml:space="preserve"> diagnostics (IVDs)</w:t>
            </w:r>
            <w:r w:rsidR="004435D8">
              <w:rPr>
                <w:noProof/>
                <w:webHidden/>
              </w:rPr>
              <w:tab/>
            </w:r>
            <w:r w:rsidR="004435D8">
              <w:rPr>
                <w:noProof/>
                <w:webHidden/>
              </w:rPr>
              <w:fldChar w:fldCharType="begin"/>
            </w:r>
            <w:r w:rsidR="004435D8">
              <w:rPr>
                <w:noProof/>
                <w:webHidden/>
              </w:rPr>
              <w:instrText xml:space="preserve"> PAGEREF _Toc140776950 \h </w:instrText>
            </w:r>
            <w:r w:rsidR="004435D8">
              <w:rPr>
                <w:noProof/>
                <w:webHidden/>
              </w:rPr>
            </w:r>
            <w:r w:rsidR="004435D8">
              <w:rPr>
                <w:noProof/>
                <w:webHidden/>
              </w:rPr>
              <w:fldChar w:fldCharType="separate"/>
            </w:r>
            <w:r w:rsidR="004435D8">
              <w:rPr>
                <w:noProof/>
                <w:webHidden/>
              </w:rPr>
              <w:t>4</w:t>
            </w:r>
            <w:r w:rsidR="004435D8">
              <w:rPr>
                <w:noProof/>
                <w:webHidden/>
              </w:rPr>
              <w:fldChar w:fldCharType="end"/>
            </w:r>
          </w:hyperlink>
        </w:p>
        <w:p w14:paraId="0E62FF06" w14:textId="12A47EE2"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1" w:history="1">
            <w:r w:rsidR="004435D8" w:rsidRPr="00DF2D2E">
              <w:rPr>
                <w:rStyle w:val="Hyperlink"/>
                <w:noProof/>
              </w:rPr>
              <w:t>Post market reviews</w:t>
            </w:r>
            <w:r w:rsidR="004435D8">
              <w:rPr>
                <w:noProof/>
                <w:webHidden/>
              </w:rPr>
              <w:tab/>
            </w:r>
            <w:r w:rsidR="004435D8">
              <w:rPr>
                <w:noProof/>
                <w:webHidden/>
              </w:rPr>
              <w:fldChar w:fldCharType="begin"/>
            </w:r>
            <w:r w:rsidR="004435D8">
              <w:rPr>
                <w:noProof/>
                <w:webHidden/>
              </w:rPr>
              <w:instrText xml:space="preserve"> PAGEREF _Toc140776951 \h </w:instrText>
            </w:r>
            <w:r w:rsidR="004435D8">
              <w:rPr>
                <w:noProof/>
                <w:webHidden/>
              </w:rPr>
            </w:r>
            <w:r w:rsidR="004435D8">
              <w:rPr>
                <w:noProof/>
                <w:webHidden/>
              </w:rPr>
              <w:fldChar w:fldCharType="separate"/>
            </w:r>
            <w:r w:rsidR="004435D8">
              <w:rPr>
                <w:noProof/>
                <w:webHidden/>
              </w:rPr>
              <w:t>4</w:t>
            </w:r>
            <w:r w:rsidR="004435D8">
              <w:rPr>
                <w:noProof/>
                <w:webHidden/>
              </w:rPr>
              <w:fldChar w:fldCharType="end"/>
            </w:r>
          </w:hyperlink>
        </w:p>
        <w:p w14:paraId="06DE456D" w14:textId="30D4EA1F"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52" w:history="1">
            <w:r w:rsidR="004435D8" w:rsidRPr="00DF2D2E">
              <w:rPr>
                <w:rStyle w:val="Hyperlink"/>
                <w:noProof/>
              </w:rPr>
              <w:t>Ongoing responsibilities</w:t>
            </w:r>
            <w:r w:rsidR="004435D8">
              <w:rPr>
                <w:noProof/>
                <w:webHidden/>
              </w:rPr>
              <w:tab/>
            </w:r>
            <w:r w:rsidR="004435D8">
              <w:rPr>
                <w:noProof/>
                <w:webHidden/>
              </w:rPr>
              <w:fldChar w:fldCharType="begin"/>
            </w:r>
            <w:r w:rsidR="004435D8">
              <w:rPr>
                <w:noProof/>
                <w:webHidden/>
              </w:rPr>
              <w:instrText xml:space="preserve"> PAGEREF _Toc140776952 \h </w:instrText>
            </w:r>
            <w:r w:rsidR="004435D8">
              <w:rPr>
                <w:noProof/>
                <w:webHidden/>
              </w:rPr>
            </w:r>
            <w:r w:rsidR="004435D8">
              <w:rPr>
                <w:noProof/>
                <w:webHidden/>
              </w:rPr>
              <w:fldChar w:fldCharType="separate"/>
            </w:r>
            <w:r w:rsidR="004435D8">
              <w:rPr>
                <w:noProof/>
                <w:webHidden/>
              </w:rPr>
              <w:t>4</w:t>
            </w:r>
            <w:r w:rsidR="004435D8">
              <w:rPr>
                <w:noProof/>
                <w:webHidden/>
              </w:rPr>
              <w:fldChar w:fldCharType="end"/>
            </w:r>
          </w:hyperlink>
        </w:p>
        <w:p w14:paraId="181A1B93" w14:textId="26E298DA"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3" w:history="1">
            <w:r w:rsidR="004435D8" w:rsidRPr="00DF2D2E">
              <w:rPr>
                <w:rStyle w:val="Hyperlink"/>
                <w:noProof/>
              </w:rPr>
              <w:t>Responsibilities of the manufacturer</w:t>
            </w:r>
            <w:r w:rsidR="004435D8">
              <w:rPr>
                <w:noProof/>
                <w:webHidden/>
              </w:rPr>
              <w:tab/>
            </w:r>
            <w:r w:rsidR="004435D8">
              <w:rPr>
                <w:noProof/>
                <w:webHidden/>
              </w:rPr>
              <w:fldChar w:fldCharType="begin"/>
            </w:r>
            <w:r w:rsidR="004435D8">
              <w:rPr>
                <w:noProof/>
                <w:webHidden/>
              </w:rPr>
              <w:instrText xml:space="preserve"> PAGEREF _Toc140776953 \h </w:instrText>
            </w:r>
            <w:r w:rsidR="004435D8">
              <w:rPr>
                <w:noProof/>
                <w:webHidden/>
              </w:rPr>
            </w:r>
            <w:r w:rsidR="004435D8">
              <w:rPr>
                <w:noProof/>
                <w:webHidden/>
              </w:rPr>
              <w:fldChar w:fldCharType="separate"/>
            </w:r>
            <w:r w:rsidR="004435D8">
              <w:rPr>
                <w:noProof/>
                <w:webHidden/>
              </w:rPr>
              <w:t>4</w:t>
            </w:r>
            <w:r w:rsidR="004435D8">
              <w:rPr>
                <w:noProof/>
                <w:webHidden/>
              </w:rPr>
              <w:fldChar w:fldCharType="end"/>
            </w:r>
          </w:hyperlink>
        </w:p>
        <w:p w14:paraId="3CA099FD" w14:textId="0531A749"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4" w:history="1">
            <w:r w:rsidR="004435D8" w:rsidRPr="00DF2D2E">
              <w:rPr>
                <w:rStyle w:val="Hyperlink"/>
                <w:noProof/>
              </w:rPr>
              <w:t>Responsibilities of the sponsor</w:t>
            </w:r>
            <w:r w:rsidR="004435D8">
              <w:rPr>
                <w:noProof/>
                <w:webHidden/>
              </w:rPr>
              <w:tab/>
            </w:r>
            <w:r w:rsidR="004435D8">
              <w:rPr>
                <w:noProof/>
                <w:webHidden/>
              </w:rPr>
              <w:fldChar w:fldCharType="begin"/>
            </w:r>
            <w:r w:rsidR="004435D8">
              <w:rPr>
                <w:noProof/>
                <w:webHidden/>
              </w:rPr>
              <w:instrText xml:space="preserve"> PAGEREF _Toc140776954 \h </w:instrText>
            </w:r>
            <w:r w:rsidR="004435D8">
              <w:rPr>
                <w:noProof/>
                <w:webHidden/>
              </w:rPr>
            </w:r>
            <w:r w:rsidR="004435D8">
              <w:rPr>
                <w:noProof/>
                <w:webHidden/>
              </w:rPr>
              <w:fldChar w:fldCharType="separate"/>
            </w:r>
            <w:r w:rsidR="004435D8">
              <w:rPr>
                <w:noProof/>
                <w:webHidden/>
              </w:rPr>
              <w:t>5</w:t>
            </w:r>
            <w:r w:rsidR="004435D8">
              <w:rPr>
                <w:noProof/>
                <w:webHidden/>
              </w:rPr>
              <w:fldChar w:fldCharType="end"/>
            </w:r>
          </w:hyperlink>
        </w:p>
        <w:p w14:paraId="7840529A" w14:textId="301329CD"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55" w:history="1">
            <w:r w:rsidR="004435D8" w:rsidRPr="00DF2D2E">
              <w:rPr>
                <w:rStyle w:val="Hyperlink"/>
                <w:noProof/>
              </w:rPr>
              <w:t>Ongoing monitoring of device performance</w:t>
            </w:r>
            <w:r w:rsidR="004435D8">
              <w:rPr>
                <w:noProof/>
                <w:webHidden/>
              </w:rPr>
              <w:tab/>
            </w:r>
            <w:r w:rsidR="004435D8">
              <w:rPr>
                <w:noProof/>
                <w:webHidden/>
              </w:rPr>
              <w:fldChar w:fldCharType="begin"/>
            </w:r>
            <w:r w:rsidR="004435D8">
              <w:rPr>
                <w:noProof/>
                <w:webHidden/>
              </w:rPr>
              <w:instrText xml:space="preserve"> PAGEREF _Toc140776955 \h </w:instrText>
            </w:r>
            <w:r w:rsidR="004435D8">
              <w:rPr>
                <w:noProof/>
                <w:webHidden/>
              </w:rPr>
            </w:r>
            <w:r w:rsidR="004435D8">
              <w:rPr>
                <w:noProof/>
                <w:webHidden/>
              </w:rPr>
              <w:fldChar w:fldCharType="separate"/>
            </w:r>
            <w:r w:rsidR="004435D8">
              <w:rPr>
                <w:noProof/>
                <w:webHidden/>
              </w:rPr>
              <w:t>5</w:t>
            </w:r>
            <w:r w:rsidR="004435D8">
              <w:rPr>
                <w:noProof/>
                <w:webHidden/>
              </w:rPr>
              <w:fldChar w:fldCharType="end"/>
            </w:r>
          </w:hyperlink>
        </w:p>
        <w:p w14:paraId="56ADDA07" w14:textId="47BBA0BA"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6" w:history="1">
            <w:r w:rsidR="004435D8" w:rsidRPr="00DF2D2E">
              <w:rPr>
                <w:rStyle w:val="Hyperlink"/>
                <w:noProof/>
              </w:rPr>
              <w:t>Clinical studies</w:t>
            </w:r>
            <w:r w:rsidR="004435D8">
              <w:rPr>
                <w:noProof/>
                <w:webHidden/>
              </w:rPr>
              <w:tab/>
            </w:r>
            <w:r w:rsidR="004435D8">
              <w:rPr>
                <w:noProof/>
                <w:webHidden/>
              </w:rPr>
              <w:fldChar w:fldCharType="begin"/>
            </w:r>
            <w:r w:rsidR="004435D8">
              <w:rPr>
                <w:noProof/>
                <w:webHidden/>
              </w:rPr>
              <w:instrText xml:space="preserve"> PAGEREF _Toc140776956 \h </w:instrText>
            </w:r>
            <w:r w:rsidR="004435D8">
              <w:rPr>
                <w:noProof/>
                <w:webHidden/>
              </w:rPr>
            </w:r>
            <w:r w:rsidR="004435D8">
              <w:rPr>
                <w:noProof/>
                <w:webHidden/>
              </w:rPr>
              <w:fldChar w:fldCharType="separate"/>
            </w:r>
            <w:r w:rsidR="004435D8">
              <w:rPr>
                <w:noProof/>
                <w:webHidden/>
              </w:rPr>
              <w:t>6</w:t>
            </w:r>
            <w:r w:rsidR="004435D8">
              <w:rPr>
                <w:noProof/>
                <w:webHidden/>
              </w:rPr>
              <w:fldChar w:fldCharType="end"/>
            </w:r>
          </w:hyperlink>
        </w:p>
        <w:p w14:paraId="66921096" w14:textId="65E4E0C9"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7" w:history="1">
            <w:r w:rsidR="004435D8" w:rsidRPr="00DF2D2E">
              <w:rPr>
                <w:rStyle w:val="Hyperlink"/>
                <w:noProof/>
              </w:rPr>
              <w:t>Analytical studies</w:t>
            </w:r>
            <w:r w:rsidR="004435D8">
              <w:rPr>
                <w:noProof/>
                <w:webHidden/>
              </w:rPr>
              <w:tab/>
            </w:r>
            <w:r w:rsidR="004435D8">
              <w:rPr>
                <w:noProof/>
                <w:webHidden/>
              </w:rPr>
              <w:fldChar w:fldCharType="begin"/>
            </w:r>
            <w:r w:rsidR="004435D8">
              <w:rPr>
                <w:noProof/>
                <w:webHidden/>
              </w:rPr>
              <w:instrText xml:space="preserve"> PAGEREF _Toc140776957 \h </w:instrText>
            </w:r>
            <w:r w:rsidR="004435D8">
              <w:rPr>
                <w:noProof/>
                <w:webHidden/>
              </w:rPr>
            </w:r>
            <w:r w:rsidR="004435D8">
              <w:rPr>
                <w:noProof/>
                <w:webHidden/>
              </w:rPr>
              <w:fldChar w:fldCharType="separate"/>
            </w:r>
            <w:r w:rsidR="004435D8">
              <w:rPr>
                <w:noProof/>
                <w:webHidden/>
              </w:rPr>
              <w:t>6</w:t>
            </w:r>
            <w:r w:rsidR="004435D8">
              <w:rPr>
                <w:noProof/>
                <w:webHidden/>
              </w:rPr>
              <w:fldChar w:fldCharType="end"/>
            </w:r>
          </w:hyperlink>
        </w:p>
        <w:p w14:paraId="0C9346BA" w14:textId="2B5BCD80" w:rsidR="004435D8" w:rsidRDefault="00EE1A24">
          <w:pPr>
            <w:pStyle w:val="TOC3"/>
            <w:rPr>
              <w:rFonts w:asciiTheme="minorHAnsi" w:eastAsiaTheme="minorEastAsia" w:hAnsiTheme="minorHAnsi" w:cstheme="minorBidi"/>
              <w:b w:val="0"/>
              <w:noProof/>
              <w:color w:val="auto"/>
              <w:sz w:val="22"/>
              <w:szCs w:val="22"/>
              <w:lang w:eastAsia="en-AU"/>
            </w:rPr>
          </w:pPr>
          <w:hyperlink w:anchor="_Toc140776958" w:history="1">
            <w:r w:rsidR="004435D8" w:rsidRPr="00DF2D2E">
              <w:rPr>
                <w:rStyle w:val="Hyperlink"/>
                <w:noProof/>
              </w:rPr>
              <w:t>Recommended details to include in clinical and analytical studies</w:t>
            </w:r>
            <w:r w:rsidR="004435D8">
              <w:rPr>
                <w:noProof/>
                <w:webHidden/>
              </w:rPr>
              <w:tab/>
            </w:r>
            <w:r w:rsidR="004435D8">
              <w:rPr>
                <w:noProof/>
                <w:webHidden/>
              </w:rPr>
              <w:fldChar w:fldCharType="begin"/>
            </w:r>
            <w:r w:rsidR="004435D8">
              <w:rPr>
                <w:noProof/>
                <w:webHidden/>
              </w:rPr>
              <w:instrText xml:space="preserve"> PAGEREF _Toc140776958 \h </w:instrText>
            </w:r>
            <w:r w:rsidR="004435D8">
              <w:rPr>
                <w:noProof/>
                <w:webHidden/>
              </w:rPr>
            </w:r>
            <w:r w:rsidR="004435D8">
              <w:rPr>
                <w:noProof/>
                <w:webHidden/>
              </w:rPr>
              <w:fldChar w:fldCharType="separate"/>
            </w:r>
            <w:r w:rsidR="004435D8">
              <w:rPr>
                <w:noProof/>
                <w:webHidden/>
              </w:rPr>
              <w:t>6</w:t>
            </w:r>
            <w:r w:rsidR="004435D8">
              <w:rPr>
                <w:noProof/>
                <w:webHidden/>
              </w:rPr>
              <w:fldChar w:fldCharType="end"/>
            </w:r>
          </w:hyperlink>
        </w:p>
        <w:p w14:paraId="090D0732" w14:textId="63DC7104"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59" w:history="1">
            <w:r w:rsidR="004435D8" w:rsidRPr="00DF2D2E">
              <w:rPr>
                <w:rStyle w:val="Hyperlink"/>
                <w:noProof/>
              </w:rPr>
              <w:t>Epidemiological evidence</w:t>
            </w:r>
            <w:r w:rsidR="004435D8">
              <w:rPr>
                <w:noProof/>
                <w:webHidden/>
              </w:rPr>
              <w:tab/>
            </w:r>
            <w:r w:rsidR="004435D8">
              <w:rPr>
                <w:noProof/>
                <w:webHidden/>
              </w:rPr>
              <w:fldChar w:fldCharType="begin"/>
            </w:r>
            <w:r w:rsidR="004435D8">
              <w:rPr>
                <w:noProof/>
                <w:webHidden/>
              </w:rPr>
              <w:instrText xml:space="preserve"> PAGEREF _Toc140776959 \h </w:instrText>
            </w:r>
            <w:r w:rsidR="004435D8">
              <w:rPr>
                <w:noProof/>
                <w:webHidden/>
              </w:rPr>
            </w:r>
            <w:r w:rsidR="004435D8">
              <w:rPr>
                <w:noProof/>
                <w:webHidden/>
              </w:rPr>
              <w:fldChar w:fldCharType="separate"/>
            </w:r>
            <w:r w:rsidR="004435D8">
              <w:rPr>
                <w:noProof/>
                <w:webHidden/>
              </w:rPr>
              <w:t>7</w:t>
            </w:r>
            <w:r w:rsidR="004435D8">
              <w:rPr>
                <w:noProof/>
                <w:webHidden/>
              </w:rPr>
              <w:fldChar w:fldCharType="end"/>
            </w:r>
          </w:hyperlink>
        </w:p>
        <w:p w14:paraId="53D9B06D" w14:textId="015DCCFB"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60" w:history="1">
            <w:r w:rsidR="004435D8" w:rsidRPr="00DF2D2E">
              <w:rPr>
                <w:rStyle w:val="Hyperlink"/>
                <w:noProof/>
              </w:rPr>
              <w:t>Additional monitoring requirements for self-tests</w:t>
            </w:r>
            <w:r w:rsidR="004435D8">
              <w:rPr>
                <w:noProof/>
                <w:webHidden/>
              </w:rPr>
              <w:tab/>
            </w:r>
            <w:r w:rsidR="004435D8">
              <w:rPr>
                <w:noProof/>
                <w:webHidden/>
              </w:rPr>
              <w:fldChar w:fldCharType="begin"/>
            </w:r>
            <w:r w:rsidR="004435D8">
              <w:rPr>
                <w:noProof/>
                <w:webHidden/>
              </w:rPr>
              <w:instrText xml:space="preserve"> PAGEREF _Toc140776960 \h </w:instrText>
            </w:r>
            <w:r w:rsidR="004435D8">
              <w:rPr>
                <w:noProof/>
                <w:webHidden/>
              </w:rPr>
            </w:r>
            <w:r w:rsidR="004435D8">
              <w:rPr>
                <w:noProof/>
                <w:webHidden/>
              </w:rPr>
              <w:fldChar w:fldCharType="separate"/>
            </w:r>
            <w:r w:rsidR="004435D8">
              <w:rPr>
                <w:noProof/>
                <w:webHidden/>
              </w:rPr>
              <w:t>7</w:t>
            </w:r>
            <w:r w:rsidR="004435D8">
              <w:rPr>
                <w:noProof/>
                <w:webHidden/>
              </w:rPr>
              <w:fldChar w:fldCharType="end"/>
            </w:r>
          </w:hyperlink>
        </w:p>
        <w:p w14:paraId="61522654" w14:textId="6CFCECCA"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61" w:history="1">
            <w:r w:rsidR="004435D8" w:rsidRPr="00DF2D2E">
              <w:rPr>
                <w:rStyle w:val="Hyperlink"/>
                <w:noProof/>
              </w:rPr>
              <w:t>Additional monitoring requirements for combination tests</w:t>
            </w:r>
            <w:r w:rsidR="004435D8">
              <w:rPr>
                <w:noProof/>
                <w:webHidden/>
              </w:rPr>
              <w:tab/>
            </w:r>
            <w:r w:rsidR="004435D8">
              <w:rPr>
                <w:noProof/>
                <w:webHidden/>
              </w:rPr>
              <w:fldChar w:fldCharType="begin"/>
            </w:r>
            <w:r w:rsidR="004435D8">
              <w:rPr>
                <w:noProof/>
                <w:webHidden/>
              </w:rPr>
              <w:instrText xml:space="preserve"> PAGEREF _Toc140776961 \h </w:instrText>
            </w:r>
            <w:r w:rsidR="004435D8">
              <w:rPr>
                <w:noProof/>
                <w:webHidden/>
              </w:rPr>
            </w:r>
            <w:r w:rsidR="004435D8">
              <w:rPr>
                <w:noProof/>
                <w:webHidden/>
              </w:rPr>
              <w:fldChar w:fldCharType="separate"/>
            </w:r>
            <w:r w:rsidR="004435D8">
              <w:rPr>
                <w:noProof/>
                <w:webHidden/>
              </w:rPr>
              <w:t>8</w:t>
            </w:r>
            <w:r w:rsidR="004435D8">
              <w:rPr>
                <w:noProof/>
                <w:webHidden/>
              </w:rPr>
              <w:fldChar w:fldCharType="end"/>
            </w:r>
          </w:hyperlink>
        </w:p>
        <w:p w14:paraId="27955177" w14:textId="1C0DF99A" w:rsidR="004435D8" w:rsidRDefault="00EE1A24">
          <w:pPr>
            <w:pStyle w:val="TOC2"/>
            <w:rPr>
              <w:rFonts w:asciiTheme="minorHAnsi" w:eastAsiaTheme="minorEastAsia" w:hAnsiTheme="minorHAnsi" w:cstheme="minorBidi"/>
              <w:b w:val="0"/>
              <w:noProof/>
              <w:color w:val="auto"/>
              <w:sz w:val="22"/>
              <w:szCs w:val="22"/>
              <w:lang w:eastAsia="en-AU"/>
            </w:rPr>
          </w:pPr>
          <w:hyperlink w:anchor="_Toc140776962" w:history="1">
            <w:r w:rsidR="004435D8" w:rsidRPr="00DF2D2E">
              <w:rPr>
                <w:rStyle w:val="Hyperlink"/>
                <w:noProof/>
              </w:rPr>
              <w:t>Sequence alignment for molecular tests</w:t>
            </w:r>
            <w:r w:rsidR="004435D8">
              <w:rPr>
                <w:noProof/>
                <w:webHidden/>
              </w:rPr>
              <w:tab/>
            </w:r>
            <w:r w:rsidR="004435D8">
              <w:rPr>
                <w:noProof/>
                <w:webHidden/>
              </w:rPr>
              <w:fldChar w:fldCharType="begin"/>
            </w:r>
            <w:r w:rsidR="004435D8">
              <w:rPr>
                <w:noProof/>
                <w:webHidden/>
              </w:rPr>
              <w:instrText xml:space="preserve"> PAGEREF _Toc140776962 \h </w:instrText>
            </w:r>
            <w:r w:rsidR="004435D8">
              <w:rPr>
                <w:noProof/>
                <w:webHidden/>
              </w:rPr>
            </w:r>
            <w:r w:rsidR="004435D8">
              <w:rPr>
                <w:noProof/>
                <w:webHidden/>
              </w:rPr>
              <w:fldChar w:fldCharType="separate"/>
            </w:r>
            <w:r w:rsidR="004435D8">
              <w:rPr>
                <w:noProof/>
                <w:webHidden/>
              </w:rPr>
              <w:t>8</w:t>
            </w:r>
            <w:r w:rsidR="004435D8">
              <w:rPr>
                <w:noProof/>
                <w:webHidden/>
              </w:rPr>
              <w:fldChar w:fldCharType="end"/>
            </w:r>
          </w:hyperlink>
        </w:p>
        <w:p w14:paraId="2662F9C1" w14:textId="3A2B63E6"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3" w:history="1">
            <w:r w:rsidR="004435D8" w:rsidRPr="00DF2D2E">
              <w:rPr>
                <w:rStyle w:val="Hyperlink"/>
                <w:noProof/>
              </w:rPr>
              <w:t>Ensuring compliance with Essential Principles</w:t>
            </w:r>
            <w:r w:rsidR="004435D8">
              <w:rPr>
                <w:noProof/>
                <w:webHidden/>
              </w:rPr>
              <w:tab/>
            </w:r>
            <w:r w:rsidR="004435D8">
              <w:rPr>
                <w:noProof/>
                <w:webHidden/>
              </w:rPr>
              <w:fldChar w:fldCharType="begin"/>
            </w:r>
            <w:r w:rsidR="004435D8">
              <w:rPr>
                <w:noProof/>
                <w:webHidden/>
              </w:rPr>
              <w:instrText xml:space="preserve"> PAGEREF _Toc140776963 \h </w:instrText>
            </w:r>
            <w:r w:rsidR="004435D8">
              <w:rPr>
                <w:noProof/>
                <w:webHidden/>
              </w:rPr>
            </w:r>
            <w:r w:rsidR="004435D8">
              <w:rPr>
                <w:noProof/>
                <w:webHidden/>
              </w:rPr>
              <w:fldChar w:fldCharType="separate"/>
            </w:r>
            <w:r w:rsidR="004435D8">
              <w:rPr>
                <w:noProof/>
                <w:webHidden/>
              </w:rPr>
              <w:t>8</w:t>
            </w:r>
            <w:r w:rsidR="004435D8">
              <w:rPr>
                <w:noProof/>
                <w:webHidden/>
              </w:rPr>
              <w:fldChar w:fldCharType="end"/>
            </w:r>
          </w:hyperlink>
        </w:p>
        <w:p w14:paraId="3E142B71" w14:textId="073A378C"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4" w:history="1">
            <w:r w:rsidR="004435D8" w:rsidRPr="00DF2D2E">
              <w:rPr>
                <w:rStyle w:val="Hyperlink"/>
                <w:noProof/>
              </w:rPr>
              <w:t>Consent to Supply</w:t>
            </w:r>
            <w:r w:rsidR="004435D8">
              <w:rPr>
                <w:noProof/>
                <w:webHidden/>
              </w:rPr>
              <w:tab/>
            </w:r>
            <w:r w:rsidR="004435D8">
              <w:rPr>
                <w:noProof/>
                <w:webHidden/>
              </w:rPr>
              <w:fldChar w:fldCharType="begin"/>
            </w:r>
            <w:r w:rsidR="004435D8">
              <w:rPr>
                <w:noProof/>
                <w:webHidden/>
              </w:rPr>
              <w:instrText xml:space="preserve"> PAGEREF _Toc140776964 \h </w:instrText>
            </w:r>
            <w:r w:rsidR="004435D8">
              <w:rPr>
                <w:noProof/>
                <w:webHidden/>
              </w:rPr>
            </w:r>
            <w:r w:rsidR="004435D8">
              <w:rPr>
                <w:noProof/>
                <w:webHidden/>
              </w:rPr>
              <w:fldChar w:fldCharType="separate"/>
            </w:r>
            <w:r w:rsidR="004435D8">
              <w:rPr>
                <w:noProof/>
                <w:webHidden/>
              </w:rPr>
              <w:t>8</w:t>
            </w:r>
            <w:r w:rsidR="004435D8">
              <w:rPr>
                <w:noProof/>
                <w:webHidden/>
              </w:rPr>
              <w:fldChar w:fldCharType="end"/>
            </w:r>
          </w:hyperlink>
        </w:p>
        <w:p w14:paraId="26D36F16" w14:textId="7AC812BA"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5" w:history="1">
            <w:r w:rsidR="004435D8" w:rsidRPr="00DF2D2E">
              <w:rPr>
                <w:rStyle w:val="Hyperlink"/>
                <w:noProof/>
              </w:rPr>
              <w:t>Conformity Assessment Certification</w:t>
            </w:r>
            <w:r w:rsidR="004435D8">
              <w:rPr>
                <w:noProof/>
                <w:webHidden/>
              </w:rPr>
              <w:tab/>
            </w:r>
            <w:r w:rsidR="004435D8">
              <w:rPr>
                <w:noProof/>
                <w:webHidden/>
              </w:rPr>
              <w:fldChar w:fldCharType="begin"/>
            </w:r>
            <w:r w:rsidR="004435D8">
              <w:rPr>
                <w:noProof/>
                <w:webHidden/>
              </w:rPr>
              <w:instrText xml:space="preserve"> PAGEREF _Toc140776965 \h </w:instrText>
            </w:r>
            <w:r w:rsidR="004435D8">
              <w:rPr>
                <w:noProof/>
                <w:webHidden/>
              </w:rPr>
            </w:r>
            <w:r w:rsidR="004435D8">
              <w:rPr>
                <w:noProof/>
                <w:webHidden/>
              </w:rPr>
              <w:fldChar w:fldCharType="separate"/>
            </w:r>
            <w:r w:rsidR="004435D8">
              <w:rPr>
                <w:noProof/>
                <w:webHidden/>
              </w:rPr>
              <w:t>9</w:t>
            </w:r>
            <w:r w:rsidR="004435D8">
              <w:rPr>
                <w:noProof/>
                <w:webHidden/>
              </w:rPr>
              <w:fldChar w:fldCharType="end"/>
            </w:r>
          </w:hyperlink>
        </w:p>
        <w:p w14:paraId="18595B16" w14:textId="680FFB7B"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6" w:history="1">
            <w:r w:rsidR="004435D8" w:rsidRPr="00DF2D2E">
              <w:rPr>
                <w:rStyle w:val="Hyperlink"/>
                <w:noProof/>
              </w:rPr>
              <w:t>Record keeping</w:t>
            </w:r>
            <w:r w:rsidR="004435D8">
              <w:rPr>
                <w:noProof/>
                <w:webHidden/>
              </w:rPr>
              <w:tab/>
            </w:r>
            <w:r w:rsidR="004435D8">
              <w:rPr>
                <w:noProof/>
                <w:webHidden/>
              </w:rPr>
              <w:fldChar w:fldCharType="begin"/>
            </w:r>
            <w:r w:rsidR="004435D8">
              <w:rPr>
                <w:noProof/>
                <w:webHidden/>
              </w:rPr>
              <w:instrText xml:space="preserve"> PAGEREF _Toc140776966 \h </w:instrText>
            </w:r>
            <w:r w:rsidR="004435D8">
              <w:rPr>
                <w:noProof/>
                <w:webHidden/>
              </w:rPr>
            </w:r>
            <w:r w:rsidR="004435D8">
              <w:rPr>
                <w:noProof/>
                <w:webHidden/>
              </w:rPr>
              <w:fldChar w:fldCharType="separate"/>
            </w:r>
            <w:r w:rsidR="004435D8">
              <w:rPr>
                <w:noProof/>
                <w:webHidden/>
              </w:rPr>
              <w:t>9</w:t>
            </w:r>
            <w:r w:rsidR="004435D8">
              <w:rPr>
                <w:noProof/>
                <w:webHidden/>
              </w:rPr>
              <w:fldChar w:fldCharType="end"/>
            </w:r>
          </w:hyperlink>
        </w:p>
        <w:p w14:paraId="37082865" w14:textId="3E1AA9EF"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7" w:history="1">
            <w:r w:rsidR="004435D8" w:rsidRPr="00DF2D2E">
              <w:rPr>
                <w:rStyle w:val="Hyperlink"/>
                <w:noProof/>
              </w:rPr>
              <w:t>Reporting adverse events and complaints</w:t>
            </w:r>
            <w:r w:rsidR="004435D8">
              <w:rPr>
                <w:noProof/>
                <w:webHidden/>
              </w:rPr>
              <w:tab/>
            </w:r>
            <w:r w:rsidR="004435D8">
              <w:rPr>
                <w:noProof/>
                <w:webHidden/>
              </w:rPr>
              <w:fldChar w:fldCharType="begin"/>
            </w:r>
            <w:r w:rsidR="004435D8">
              <w:rPr>
                <w:noProof/>
                <w:webHidden/>
              </w:rPr>
              <w:instrText xml:space="preserve"> PAGEREF _Toc140776967 \h </w:instrText>
            </w:r>
            <w:r w:rsidR="004435D8">
              <w:rPr>
                <w:noProof/>
                <w:webHidden/>
              </w:rPr>
            </w:r>
            <w:r w:rsidR="004435D8">
              <w:rPr>
                <w:noProof/>
                <w:webHidden/>
              </w:rPr>
              <w:fldChar w:fldCharType="separate"/>
            </w:r>
            <w:r w:rsidR="004435D8">
              <w:rPr>
                <w:noProof/>
                <w:webHidden/>
              </w:rPr>
              <w:t>10</w:t>
            </w:r>
            <w:r w:rsidR="004435D8">
              <w:rPr>
                <w:noProof/>
                <w:webHidden/>
              </w:rPr>
              <w:fldChar w:fldCharType="end"/>
            </w:r>
          </w:hyperlink>
        </w:p>
        <w:p w14:paraId="4F027685" w14:textId="269CCC41"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8" w:history="1">
            <w:r w:rsidR="004435D8" w:rsidRPr="00DF2D2E">
              <w:rPr>
                <w:rStyle w:val="Hyperlink"/>
                <w:noProof/>
              </w:rPr>
              <w:t>Advertising COVID-19 IVDs</w:t>
            </w:r>
            <w:r w:rsidR="004435D8">
              <w:rPr>
                <w:noProof/>
                <w:webHidden/>
              </w:rPr>
              <w:tab/>
            </w:r>
            <w:r w:rsidR="004435D8">
              <w:rPr>
                <w:noProof/>
                <w:webHidden/>
              </w:rPr>
              <w:fldChar w:fldCharType="begin"/>
            </w:r>
            <w:r w:rsidR="004435D8">
              <w:rPr>
                <w:noProof/>
                <w:webHidden/>
              </w:rPr>
              <w:instrText xml:space="preserve"> PAGEREF _Toc140776968 \h </w:instrText>
            </w:r>
            <w:r w:rsidR="004435D8">
              <w:rPr>
                <w:noProof/>
                <w:webHidden/>
              </w:rPr>
            </w:r>
            <w:r w:rsidR="004435D8">
              <w:rPr>
                <w:noProof/>
                <w:webHidden/>
              </w:rPr>
              <w:fldChar w:fldCharType="separate"/>
            </w:r>
            <w:r w:rsidR="004435D8">
              <w:rPr>
                <w:noProof/>
                <w:webHidden/>
              </w:rPr>
              <w:t>10</w:t>
            </w:r>
            <w:r w:rsidR="004435D8">
              <w:rPr>
                <w:noProof/>
                <w:webHidden/>
              </w:rPr>
              <w:fldChar w:fldCharType="end"/>
            </w:r>
          </w:hyperlink>
        </w:p>
        <w:p w14:paraId="2C899F43" w14:textId="3D67D168"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69" w:history="1">
            <w:r w:rsidR="004435D8" w:rsidRPr="00DF2D2E">
              <w:rPr>
                <w:rStyle w:val="Hyperlink"/>
                <w:noProof/>
              </w:rPr>
              <w:t>Regulatory action due to non-compliance</w:t>
            </w:r>
            <w:r w:rsidR="004435D8">
              <w:rPr>
                <w:noProof/>
                <w:webHidden/>
              </w:rPr>
              <w:tab/>
            </w:r>
            <w:r w:rsidR="004435D8">
              <w:rPr>
                <w:noProof/>
                <w:webHidden/>
              </w:rPr>
              <w:fldChar w:fldCharType="begin"/>
            </w:r>
            <w:r w:rsidR="004435D8">
              <w:rPr>
                <w:noProof/>
                <w:webHidden/>
              </w:rPr>
              <w:instrText xml:space="preserve"> PAGEREF _Toc140776969 \h </w:instrText>
            </w:r>
            <w:r w:rsidR="004435D8">
              <w:rPr>
                <w:noProof/>
                <w:webHidden/>
              </w:rPr>
            </w:r>
            <w:r w:rsidR="004435D8">
              <w:rPr>
                <w:noProof/>
                <w:webHidden/>
              </w:rPr>
              <w:fldChar w:fldCharType="separate"/>
            </w:r>
            <w:r w:rsidR="004435D8">
              <w:rPr>
                <w:noProof/>
                <w:webHidden/>
              </w:rPr>
              <w:t>11</w:t>
            </w:r>
            <w:r w:rsidR="004435D8">
              <w:rPr>
                <w:noProof/>
                <w:webHidden/>
              </w:rPr>
              <w:fldChar w:fldCharType="end"/>
            </w:r>
          </w:hyperlink>
        </w:p>
        <w:p w14:paraId="36AFAA1A" w14:textId="46E3BC62" w:rsidR="004435D8" w:rsidRDefault="00EE1A24">
          <w:pPr>
            <w:pStyle w:val="TOC1"/>
            <w:rPr>
              <w:rFonts w:asciiTheme="minorHAnsi" w:eastAsiaTheme="minorEastAsia" w:hAnsiTheme="minorHAnsi" w:cstheme="minorBidi"/>
              <w:b w:val="0"/>
              <w:noProof/>
              <w:color w:val="auto"/>
              <w:sz w:val="22"/>
              <w:szCs w:val="22"/>
              <w:lang w:eastAsia="en-AU"/>
            </w:rPr>
          </w:pPr>
          <w:hyperlink w:anchor="_Toc140776970" w:history="1">
            <w:r w:rsidR="004435D8" w:rsidRPr="00DF2D2E">
              <w:rPr>
                <w:rStyle w:val="Hyperlink"/>
                <w:noProof/>
              </w:rPr>
              <w:t>Have more questions?</w:t>
            </w:r>
            <w:r w:rsidR="004435D8">
              <w:rPr>
                <w:noProof/>
                <w:webHidden/>
              </w:rPr>
              <w:tab/>
            </w:r>
            <w:r w:rsidR="004435D8">
              <w:rPr>
                <w:noProof/>
                <w:webHidden/>
              </w:rPr>
              <w:fldChar w:fldCharType="begin"/>
            </w:r>
            <w:r w:rsidR="004435D8">
              <w:rPr>
                <w:noProof/>
                <w:webHidden/>
              </w:rPr>
              <w:instrText xml:space="preserve"> PAGEREF _Toc140776970 \h </w:instrText>
            </w:r>
            <w:r w:rsidR="004435D8">
              <w:rPr>
                <w:noProof/>
                <w:webHidden/>
              </w:rPr>
            </w:r>
            <w:r w:rsidR="004435D8">
              <w:rPr>
                <w:noProof/>
                <w:webHidden/>
              </w:rPr>
              <w:fldChar w:fldCharType="separate"/>
            </w:r>
            <w:r w:rsidR="004435D8">
              <w:rPr>
                <w:noProof/>
                <w:webHidden/>
              </w:rPr>
              <w:t>11</w:t>
            </w:r>
            <w:r w:rsidR="004435D8">
              <w:rPr>
                <w:noProof/>
                <w:webHidden/>
              </w:rPr>
              <w:fldChar w:fldCharType="end"/>
            </w:r>
          </w:hyperlink>
        </w:p>
        <w:p w14:paraId="25421D73" w14:textId="0C1D7C58" w:rsidR="0010265E" w:rsidRDefault="00F02AEC" w:rsidP="00F401EF">
          <w:r w:rsidRPr="00215D48">
            <w:fldChar w:fldCharType="end"/>
          </w:r>
        </w:p>
      </w:sdtContent>
    </w:sdt>
    <w:p w14:paraId="2BC7CB88" w14:textId="18084D8B" w:rsidR="004435D8" w:rsidRDefault="004435D8">
      <w:r>
        <w:br w:type="page"/>
      </w:r>
    </w:p>
    <w:p w14:paraId="6A9015DB" w14:textId="43ADE7A1" w:rsidR="005034F3" w:rsidRDefault="005034F3" w:rsidP="005034F3">
      <w:pPr>
        <w:pStyle w:val="Heading2"/>
      </w:pPr>
      <w:bookmarkStart w:id="2" w:name="_Toc140776948"/>
      <w:r>
        <w:lastRenderedPageBreak/>
        <w:t>Purpose</w:t>
      </w:r>
      <w:bookmarkEnd w:id="2"/>
    </w:p>
    <w:p w14:paraId="3390803C" w14:textId="12EE9669" w:rsidR="005034F3" w:rsidRPr="00593C75" w:rsidRDefault="005034F3" w:rsidP="00792CAD">
      <w:pPr>
        <w:spacing w:before="240"/>
        <w:rPr>
          <w:rFonts w:ascii="Arial" w:hAnsi="Arial" w:cs="Arial"/>
          <w:color w:val="333F48"/>
        </w:rPr>
      </w:pPr>
      <w:r w:rsidRPr="00593C75">
        <w:rPr>
          <w:rFonts w:ascii="Arial" w:hAnsi="Arial" w:cs="Arial"/>
          <w:color w:val="333F48"/>
        </w:rPr>
        <w:t xml:space="preserve">This guidance document provides sponsors and manufacturers of COVID-19 </w:t>
      </w:r>
      <w:r w:rsidRPr="00593C75">
        <w:rPr>
          <w:rFonts w:ascii="Arial" w:hAnsi="Arial" w:cs="Arial"/>
          <w:i/>
          <w:iCs/>
          <w:color w:val="333F48"/>
        </w:rPr>
        <w:t>in vitro</w:t>
      </w:r>
      <w:r w:rsidRPr="00593C75">
        <w:rPr>
          <w:rFonts w:ascii="Arial" w:hAnsi="Arial" w:cs="Arial"/>
          <w:color w:val="333F48"/>
        </w:rPr>
        <w:t xml:space="preserve"> diagnostic devices, including nucleic acid tests</w:t>
      </w:r>
      <w:r w:rsidR="00A20AC0">
        <w:rPr>
          <w:rFonts w:ascii="Arial" w:hAnsi="Arial" w:cs="Arial"/>
          <w:color w:val="333F48"/>
        </w:rPr>
        <w:t xml:space="preserve"> (NATs)</w:t>
      </w:r>
      <w:r w:rsidRPr="00593C75">
        <w:rPr>
          <w:rFonts w:ascii="Arial" w:hAnsi="Arial" w:cs="Arial"/>
          <w:color w:val="333F48"/>
        </w:rPr>
        <w:t>, rapid antigen tests</w:t>
      </w:r>
      <w:r w:rsidR="00A20AC0">
        <w:rPr>
          <w:rFonts w:ascii="Arial" w:hAnsi="Arial" w:cs="Arial"/>
          <w:color w:val="333F48"/>
        </w:rPr>
        <w:t xml:space="preserve"> (RATs)</w:t>
      </w:r>
      <w:r w:rsidRPr="00593C75">
        <w:rPr>
          <w:rFonts w:ascii="Arial" w:hAnsi="Arial" w:cs="Arial"/>
          <w:color w:val="333F48"/>
        </w:rPr>
        <w:t>, and combination tests that detect SARS-CoV-2 in combination with other viruses, detailed information regarding their ongoing obligations to ensure that their products continue to perform as intended and are safe to use.</w:t>
      </w:r>
    </w:p>
    <w:p w14:paraId="25292C51" w14:textId="3318C92D" w:rsidR="005034F3" w:rsidRPr="00593C75" w:rsidRDefault="005034F3" w:rsidP="00792CAD">
      <w:pPr>
        <w:rPr>
          <w:rFonts w:ascii="Arial" w:hAnsi="Arial" w:cs="Arial"/>
          <w:color w:val="333F48"/>
        </w:rPr>
      </w:pPr>
      <w:r w:rsidRPr="00593C75">
        <w:rPr>
          <w:rFonts w:ascii="Arial" w:hAnsi="Arial" w:cs="Arial"/>
          <w:color w:val="333F48"/>
        </w:rPr>
        <w:t>Sponsors and manufacturers must notify the Therapeutic Goods Administration (</w:t>
      </w:r>
      <w:r w:rsidR="00866068">
        <w:rPr>
          <w:rFonts w:ascii="Arial" w:hAnsi="Arial" w:cs="Arial"/>
          <w:color w:val="333F48"/>
        </w:rPr>
        <w:t>us</w:t>
      </w:r>
      <w:r w:rsidRPr="00593C75">
        <w:rPr>
          <w:rFonts w:ascii="Arial" w:hAnsi="Arial" w:cs="Arial"/>
          <w:color w:val="333F48"/>
        </w:rPr>
        <w:t xml:space="preserve">) of any significant changes or updates to their devices, meet all conditions of inclusions (COI), and continue to monitor device performance and safety, to ensure compliance with conformity assessment procedures and the essential principles. As part of ongoing monitoring, sponsors and manufacturers should continue to take steps to screen for and mitigate risks brought on by sub-variants of SARS-CoV-2 as they emerge. In response to signals and potential risks, </w:t>
      </w:r>
      <w:r w:rsidR="00866068">
        <w:rPr>
          <w:rFonts w:ascii="Arial" w:hAnsi="Arial" w:cs="Arial"/>
          <w:color w:val="333F48"/>
        </w:rPr>
        <w:t>we</w:t>
      </w:r>
      <w:r w:rsidRPr="00593C75">
        <w:rPr>
          <w:rFonts w:ascii="Arial" w:hAnsi="Arial" w:cs="Arial"/>
          <w:color w:val="333F48"/>
        </w:rPr>
        <w:t xml:space="preserve"> can request sponsors to provide evidence of the manufacturers’ ongoing monitoring, to demonstrate continued safety and performance.</w:t>
      </w:r>
    </w:p>
    <w:p w14:paraId="5668D7E5" w14:textId="6A8730C9" w:rsidR="005034F3" w:rsidRPr="00215D48" w:rsidRDefault="005034F3" w:rsidP="005034F3">
      <w:pPr>
        <w:pStyle w:val="Heading2"/>
      </w:pPr>
      <w:bookmarkStart w:id="3" w:name="_Toc140776949"/>
      <w:r>
        <w:t>Post market review of IVDs</w:t>
      </w:r>
      <w:bookmarkEnd w:id="3"/>
    </w:p>
    <w:p w14:paraId="0F2F5FF5" w14:textId="3A65BECB" w:rsidR="005034F3" w:rsidRPr="00215D48" w:rsidRDefault="005034F3" w:rsidP="00792CAD">
      <w:pPr>
        <w:pStyle w:val="Heading3"/>
      </w:pPr>
      <w:bookmarkStart w:id="4" w:name="_Toc140776950"/>
      <w:r w:rsidRPr="005034F3">
        <w:rPr>
          <w:i/>
          <w:iCs/>
        </w:rPr>
        <w:t>In vitro</w:t>
      </w:r>
      <w:r>
        <w:t xml:space="preserve"> diagnostics (IVDs)</w:t>
      </w:r>
      <w:bookmarkEnd w:id="4"/>
    </w:p>
    <w:p w14:paraId="0F95D682" w14:textId="2E95E130" w:rsidR="005034F3" w:rsidRPr="005034F3" w:rsidRDefault="005034F3" w:rsidP="00792CAD">
      <w:pPr>
        <w:shd w:val="clear" w:color="auto" w:fill="FFFFFF"/>
        <w:spacing w:before="240"/>
        <w:rPr>
          <w:rFonts w:ascii="Arial" w:eastAsia="Times New Roman" w:hAnsi="Arial" w:cs="Arial"/>
          <w:color w:val="313131"/>
          <w:lang w:eastAsia="en-AU"/>
        </w:rPr>
      </w:pPr>
      <w:r w:rsidRPr="005034F3">
        <w:rPr>
          <w:rFonts w:ascii="Arial" w:eastAsia="Times New Roman" w:hAnsi="Arial" w:cs="Arial"/>
          <w:i/>
          <w:iCs/>
          <w:color w:val="333F48"/>
          <w:lang w:eastAsia="en-AU"/>
        </w:rPr>
        <w:t>In vitro</w:t>
      </w:r>
      <w:r w:rsidRPr="005034F3">
        <w:rPr>
          <w:rFonts w:ascii="Arial" w:eastAsia="Times New Roman" w:hAnsi="Arial" w:cs="Arial"/>
          <w:color w:val="333F48"/>
          <w:lang w:eastAsia="en-AU"/>
        </w:rPr>
        <w:t xml:space="preserve"> diagnostics (</w:t>
      </w:r>
      <w:hyperlink r:id="rId12" w:history="1">
        <w:r w:rsidRPr="005034F3">
          <w:rPr>
            <w:rFonts w:ascii="Arial" w:eastAsia="Times New Roman" w:hAnsi="Arial" w:cs="Arial"/>
            <w:color w:val="0000FF"/>
            <w:u w:val="single"/>
            <w:lang w:eastAsia="en-AU"/>
          </w:rPr>
          <w:t>IVDs</w:t>
        </w:r>
      </w:hyperlink>
      <w:r w:rsidRPr="005034F3">
        <w:rPr>
          <w:rFonts w:ascii="Arial" w:eastAsia="Times New Roman" w:hAnsi="Arial" w:cs="Arial"/>
          <w:color w:val="333F48"/>
          <w:lang w:eastAsia="en-AU"/>
        </w:rPr>
        <w:t xml:space="preserve">) refer to any devices or reagents used to detect, identify, or quantify a particular marker or substance in a sample. IVDs are typically tests that are used to examine human samples to assist with diagnosing and managing a patient’s </w:t>
      </w:r>
      <w:r w:rsidR="004435D8" w:rsidRPr="005034F3">
        <w:rPr>
          <w:rFonts w:ascii="Arial" w:eastAsia="Times New Roman" w:hAnsi="Arial" w:cs="Arial"/>
          <w:color w:val="333F48"/>
          <w:lang w:eastAsia="en-AU"/>
        </w:rPr>
        <w:t>health and</w:t>
      </w:r>
      <w:r w:rsidRPr="005034F3">
        <w:rPr>
          <w:rFonts w:ascii="Arial" w:eastAsia="Times New Roman" w:hAnsi="Arial" w:cs="Arial"/>
          <w:color w:val="333F48"/>
          <w:lang w:eastAsia="en-AU"/>
        </w:rPr>
        <w:t xml:space="preserve"> are regulated as </w:t>
      </w:r>
      <w:hyperlink r:id="rId13" w:history="1">
        <w:r w:rsidRPr="005034F3">
          <w:rPr>
            <w:rFonts w:ascii="Arial" w:eastAsia="Times New Roman" w:hAnsi="Arial" w:cs="Arial"/>
            <w:color w:val="0000FF"/>
            <w:u w:val="single"/>
            <w:lang w:eastAsia="en-AU"/>
          </w:rPr>
          <w:t>medical devices</w:t>
        </w:r>
      </w:hyperlink>
      <w:r w:rsidRPr="005034F3">
        <w:rPr>
          <w:rFonts w:ascii="Arial" w:eastAsia="Times New Roman" w:hAnsi="Arial" w:cs="Arial"/>
          <w:color w:val="333F48"/>
          <w:lang w:eastAsia="en-AU"/>
        </w:rPr>
        <w:t>. They include reagents, kits, calibrators, controls, laboratory analysers and software, as well as tests used at the point of care, or in the home, such as COVID-19 rapid antigen self-tests and glucose monitoring tests for diabetics.</w:t>
      </w:r>
    </w:p>
    <w:p w14:paraId="41F3D409" w14:textId="577AA9F4" w:rsidR="005034F3" w:rsidRPr="005034F3" w:rsidRDefault="005034F3" w:rsidP="00792CAD">
      <w:pPr>
        <w:pStyle w:val="Heading3"/>
      </w:pPr>
      <w:bookmarkStart w:id="5" w:name="_Toc140776951"/>
      <w:r w:rsidRPr="005034F3">
        <w:t>Post market reviews</w:t>
      </w:r>
      <w:bookmarkEnd w:id="5"/>
    </w:p>
    <w:p w14:paraId="72D65683" w14:textId="578271D5" w:rsidR="005034F3" w:rsidRPr="00593C75" w:rsidRDefault="00866068" w:rsidP="00792CAD">
      <w:pPr>
        <w:spacing w:before="240"/>
        <w:rPr>
          <w:rFonts w:ascii="Arial" w:eastAsia="Cambria" w:hAnsi="Arial" w:cs="Arial"/>
          <w:color w:val="333F48"/>
        </w:rPr>
      </w:pPr>
      <w:r>
        <w:rPr>
          <w:rFonts w:ascii="Arial" w:eastAsia="Cambria" w:hAnsi="Arial" w:cs="Arial"/>
          <w:color w:val="333F48"/>
        </w:rPr>
        <w:t>We</w:t>
      </w:r>
      <w:r w:rsidR="005034F3" w:rsidRPr="00593C75">
        <w:rPr>
          <w:rFonts w:ascii="Arial" w:eastAsia="Times New Roman" w:hAnsi="Arial" w:cs="Arial"/>
          <w:color w:val="333F48"/>
          <w:lang w:eastAsia="en-AU"/>
        </w:rPr>
        <w:t xml:space="preserve"> conduct </w:t>
      </w:r>
      <w:hyperlink r:id="rId14" w:history="1">
        <w:r w:rsidR="005034F3" w:rsidRPr="005034F3">
          <w:rPr>
            <w:rFonts w:ascii="Arial" w:eastAsia="Cambria" w:hAnsi="Arial" w:cs="Arial"/>
            <w:color w:val="0000FF"/>
            <w:u w:val="single"/>
          </w:rPr>
          <w:t>post-market reviews</w:t>
        </w:r>
      </w:hyperlink>
      <w:r w:rsidR="005034F3" w:rsidRPr="005034F3">
        <w:rPr>
          <w:rFonts w:ascii="Arial" w:eastAsia="Cambria" w:hAnsi="Arial" w:cs="Arial"/>
          <w:color w:val="313131"/>
        </w:rPr>
        <w:t xml:space="preserve"> </w:t>
      </w:r>
      <w:r w:rsidR="005034F3" w:rsidRPr="00593C75">
        <w:rPr>
          <w:rFonts w:ascii="Arial" w:eastAsia="Cambria" w:hAnsi="Arial" w:cs="Arial"/>
          <w:color w:val="333F48"/>
        </w:rPr>
        <w:t xml:space="preserve">to </w:t>
      </w:r>
      <w:r w:rsidR="005034F3" w:rsidRPr="00593C75">
        <w:rPr>
          <w:rFonts w:ascii="Arial" w:eastAsia="Times New Roman" w:hAnsi="Arial" w:cs="Arial"/>
          <w:color w:val="333F48"/>
          <w:lang w:eastAsia="en-AU"/>
        </w:rPr>
        <w:t xml:space="preserve">ensure that </w:t>
      </w:r>
      <w:r w:rsidR="00883E98">
        <w:rPr>
          <w:rFonts w:ascii="Arial" w:eastAsia="Times New Roman" w:hAnsi="Arial" w:cs="Arial"/>
          <w:color w:val="333F48"/>
          <w:lang w:eastAsia="en-AU"/>
        </w:rPr>
        <w:t xml:space="preserve">IVD </w:t>
      </w:r>
      <w:r w:rsidR="005034F3" w:rsidRPr="00593C75">
        <w:rPr>
          <w:rFonts w:ascii="Arial" w:eastAsia="Times New Roman" w:hAnsi="Arial" w:cs="Arial"/>
          <w:color w:val="333F48"/>
          <w:lang w:eastAsia="en-AU"/>
        </w:rPr>
        <w:t>medical devices remain compliant with safety, performance, and quality standards, and that sponsors meet their regulatory obligations and the conditions of their inclusion or exemption in the</w:t>
      </w:r>
      <w:r w:rsidR="00DF58FD">
        <w:rPr>
          <w:rFonts w:ascii="Arial" w:eastAsia="Times New Roman" w:hAnsi="Arial" w:cs="Arial"/>
          <w:color w:val="333F48"/>
          <w:lang w:eastAsia="en-AU"/>
        </w:rPr>
        <w:t xml:space="preserve"> Australian Register of Therapeutic Goods (</w:t>
      </w:r>
      <w:r w:rsidR="005034F3" w:rsidRPr="00593C75">
        <w:rPr>
          <w:rFonts w:ascii="Arial" w:eastAsia="Times New Roman" w:hAnsi="Arial" w:cs="Arial"/>
          <w:color w:val="333F48"/>
          <w:lang w:eastAsia="en-AU"/>
        </w:rPr>
        <w:t>ARTG</w:t>
      </w:r>
      <w:r w:rsidR="00DF58FD">
        <w:rPr>
          <w:rFonts w:ascii="Arial" w:eastAsia="Times New Roman" w:hAnsi="Arial" w:cs="Arial"/>
          <w:color w:val="333F48"/>
          <w:lang w:eastAsia="en-AU"/>
        </w:rPr>
        <w:t>)</w:t>
      </w:r>
      <w:r w:rsidR="005034F3" w:rsidRPr="00593C75">
        <w:rPr>
          <w:rFonts w:ascii="Arial" w:eastAsia="Times New Roman" w:hAnsi="Arial" w:cs="Arial"/>
          <w:color w:val="333F48"/>
          <w:lang w:eastAsia="en-AU"/>
        </w:rPr>
        <w:t xml:space="preserve">. Post-market reviews of </w:t>
      </w:r>
      <w:r w:rsidR="00883E98">
        <w:rPr>
          <w:rFonts w:ascii="Arial" w:eastAsia="Times New Roman" w:hAnsi="Arial" w:cs="Arial"/>
          <w:color w:val="333F48"/>
          <w:lang w:eastAsia="en-AU"/>
        </w:rPr>
        <w:t xml:space="preserve">IVD medical </w:t>
      </w:r>
      <w:r w:rsidR="005034F3" w:rsidRPr="00593C75">
        <w:rPr>
          <w:rFonts w:ascii="Arial" w:eastAsia="Times New Roman" w:hAnsi="Arial" w:cs="Arial"/>
          <w:color w:val="333F48"/>
          <w:lang w:eastAsia="en-AU"/>
        </w:rPr>
        <w:t>devices can be initiated due to, but not limited to, the detection of a trend or signal, or identification of a safety or performance issue, related to the type of</w:t>
      </w:r>
      <w:r w:rsidR="00883E98">
        <w:rPr>
          <w:rFonts w:ascii="Arial" w:eastAsia="Times New Roman" w:hAnsi="Arial" w:cs="Arial"/>
          <w:color w:val="333F48"/>
          <w:lang w:eastAsia="en-AU"/>
        </w:rPr>
        <w:t xml:space="preserve"> IVD </w:t>
      </w:r>
      <w:r w:rsidR="005034F3" w:rsidRPr="00593C75">
        <w:rPr>
          <w:rFonts w:ascii="Arial" w:eastAsia="Times New Roman" w:hAnsi="Arial" w:cs="Arial"/>
          <w:color w:val="333F48"/>
          <w:lang w:eastAsia="en-AU"/>
        </w:rPr>
        <w:t xml:space="preserve">medical device. </w:t>
      </w:r>
    </w:p>
    <w:p w14:paraId="048352B4" w14:textId="0E14CF9C" w:rsidR="005034F3" w:rsidRPr="00593C75" w:rsidRDefault="005034F3" w:rsidP="00593C75">
      <w:pPr>
        <w:shd w:val="clear" w:color="auto" w:fill="FFFFFF"/>
        <w:rPr>
          <w:rFonts w:ascii="Arial" w:eastAsia="Times New Roman" w:hAnsi="Arial" w:cs="Arial"/>
          <w:color w:val="333F48"/>
          <w:lang w:eastAsia="en-AU"/>
        </w:rPr>
      </w:pPr>
      <w:r w:rsidRPr="005034F3">
        <w:rPr>
          <w:rFonts w:ascii="Arial" w:eastAsia="Times New Roman" w:hAnsi="Arial" w:cs="Arial"/>
          <w:color w:val="333F48"/>
          <w:lang w:eastAsia="en-AU"/>
        </w:rPr>
        <w:t>It is expected that sponsors and manufacturers will continue monitoring the safety and performance of their</w:t>
      </w:r>
      <w:r w:rsidR="00883E98">
        <w:rPr>
          <w:rFonts w:ascii="Arial" w:eastAsia="Times New Roman" w:hAnsi="Arial" w:cs="Arial"/>
          <w:color w:val="333F48"/>
          <w:lang w:eastAsia="en-AU"/>
        </w:rPr>
        <w:t xml:space="preserve"> IVD medical</w:t>
      </w:r>
      <w:r w:rsidRPr="005034F3">
        <w:rPr>
          <w:rFonts w:ascii="Arial" w:eastAsia="Times New Roman" w:hAnsi="Arial" w:cs="Arial"/>
          <w:color w:val="333F48"/>
          <w:lang w:eastAsia="en-AU"/>
        </w:rPr>
        <w:t xml:space="preserve"> devices, as part of their ongoing quality management and risk assessment procedures, throughout the lifecycle of the device during ARTG inclusion.</w:t>
      </w:r>
    </w:p>
    <w:p w14:paraId="30633DCC" w14:textId="65B419C2" w:rsidR="005034F3" w:rsidRDefault="005034F3" w:rsidP="00792CAD">
      <w:pPr>
        <w:pStyle w:val="Heading2"/>
      </w:pPr>
      <w:bookmarkStart w:id="6" w:name="_Toc140776952"/>
      <w:r>
        <w:t>Ongoing responsibilities</w:t>
      </w:r>
      <w:bookmarkEnd w:id="6"/>
    </w:p>
    <w:p w14:paraId="7E70953E" w14:textId="6CFDDD5D" w:rsidR="005034F3" w:rsidRPr="005034F3" w:rsidRDefault="005034F3" w:rsidP="00792CAD">
      <w:pPr>
        <w:shd w:val="clear" w:color="auto" w:fill="FFFFFF"/>
        <w:spacing w:before="240"/>
        <w:rPr>
          <w:rFonts w:ascii="Arial" w:eastAsia="Times New Roman" w:hAnsi="Arial" w:cs="Arial"/>
          <w:color w:val="313131"/>
          <w:lang w:eastAsia="en-AU"/>
        </w:rPr>
      </w:pPr>
      <w:r w:rsidRPr="005034F3">
        <w:rPr>
          <w:rFonts w:ascii="Arial" w:eastAsia="Times New Roman" w:hAnsi="Arial" w:cs="Arial"/>
          <w:color w:val="333F48"/>
          <w:lang w:eastAsia="en-AU"/>
        </w:rPr>
        <w:t xml:space="preserve">Sponsors and manufacturers of IVDs have a responsibility to ensure that their product complies with the </w:t>
      </w:r>
      <w:hyperlink r:id="rId15" w:history="1">
        <w:r w:rsidRPr="005034F3">
          <w:rPr>
            <w:rFonts w:ascii="Arial" w:eastAsia="Times New Roman" w:hAnsi="Arial" w:cs="Arial"/>
            <w:i/>
            <w:iCs/>
            <w:color w:val="0000FF"/>
            <w:u w:val="single"/>
            <w:lang w:eastAsia="en-AU"/>
          </w:rPr>
          <w:t>Therapeutic Goods Act 1989</w:t>
        </w:r>
      </w:hyperlink>
      <w:r w:rsidRPr="005034F3">
        <w:rPr>
          <w:rFonts w:ascii="Arial" w:eastAsia="Times New Roman" w:hAnsi="Arial" w:cs="Arial"/>
          <w:color w:val="333F48"/>
          <w:lang w:eastAsia="en-AU"/>
        </w:rPr>
        <w:t>, and continues to be safe and reliable to use.</w:t>
      </w:r>
    </w:p>
    <w:p w14:paraId="6A467999" w14:textId="5AECAF23" w:rsidR="005034F3" w:rsidRPr="005034F3" w:rsidRDefault="005034F3" w:rsidP="00792CAD">
      <w:pPr>
        <w:pStyle w:val="Heading3"/>
      </w:pPr>
      <w:bookmarkStart w:id="7" w:name="_Toc140776953"/>
      <w:r>
        <w:t>Responsibilities of the manufacturer</w:t>
      </w:r>
      <w:bookmarkEnd w:id="7"/>
    </w:p>
    <w:p w14:paraId="1480D072" w14:textId="2BB048E8" w:rsidR="005034F3" w:rsidRPr="005034F3" w:rsidRDefault="005034F3" w:rsidP="00593C75">
      <w:pPr>
        <w:shd w:val="clear" w:color="auto" w:fill="FFFFFF"/>
        <w:spacing w:before="240"/>
        <w:rPr>
          <w:rFonts w:ascii="Arial" w:eastAsia="Times New Roman" w:hAnsi="Arial" w:cs="Arial"/>
          <w:lang w:eastAsia="en-AU"/>
        </w:rPr>
      </w:pPr>
      <w:hyperlink r:id="rId16" w:anchor="manufacturers-ongoing-responsibilities" w:history="1">
        <w:r w:rsidRPr="005034F3">
          <w:rPr>
            <w:rFonts w:ascii="Arial" w:eastAsia="Times New Roman" w:hAnsi="Arial" w:cs="Arial"/>
            <w:color w:val="0000FF"/>
            <w:u w:val="single"/>
            <w:lang w:eastAsia="en-AU"/>
          </w:rPr>
          <w:t>Manufacturers</w:t>
        </w:r>
      </w:hyperlink>
      <w:r w:rsidRPr="005034F3">
        <w:rPr>
          <w:rFonts w:ascii="Arial" w:eastAsia="Times New Roman" w:hAnsi="Arial" w:cs="Arial"/>
          <w:color w:val="313131"/>
          <w:lang w:eastAsia="en-AU"/>
        </w:rPr>
        <w:t xml:space="preserve"> </w:t>
      </w:r>
      <w:r w:rsidRPr="005034F3">
        <w:rPr>
          <w:rFonts w:ascii="Arial" w:eastAsia="Times New Roman" w:hAnsi="Arial" w:cs="Arial"/>
          <w:color w:val="333F48"/>
          <w:lang w:eastAsia="en-AU"/>
        </w:rPr>
        <w:t xml:space="preserve">have ongoing legal obligations for </w:t>
      </w:r>
      <w:r w:rsidR="00883E98">
        <w:rPr>
          <w:rFonts w:ascii="Arial" w:eastAsia="Times New Roman" w:hAnsi="Arial" w:cs="Arial"/>
          <w:color w:val="333F48"/>
          <w:lang w:eastAsia="en-AU"/>
        </w:rPr>
        <w:t xml:space="preserve">IVD </w:t>
      </w:r>
      <w:r w:rsidRPr="005034F3">
        <w:rPr>
          <w:rFonts w:ascii="Arial" w:eastAsia="Times New Roman" w:hAnsi="Arial" w:cs="Arial"/>
          <w:color w:val="333F48"/>
          <w:lang w:eastAsia="en-AU"/>
        </w:rPr>
        <w:t>medical devices they manufacture that are being supplied in Australia, including:</w:t>
      </w:r>
    </w:p>
    <w:p w14:paraId="2CC95299" w14:textId="7930A087" w:rsidR="005034F3" w:rsidRPr="00792CAD" w:rsidRDefault="005034F3" w:rsidP="00593C75">
      <w:pPr>
        <w:pStyle w:val="ListBullet"/>
      </w:pPr>
      <w:r w:rsidRPr="00792CAD">
        <w:rPr>
          <w:rFonts w:eastAsia="Times New Roman" w:cs="Arial"/>
          <w:lang w:eastAsia="en-AU"/>
        </w:rPr>
        <w:t xml:space="preserve">Maintaining compliance with conformity assessment procedures (CAPs) including ongoing compliance with the manufacturer’s </w:t>
      </w:r>
      <w:hyperlink r:id="rId17" w:history="1">
        <w:r w:rsidRPr="00792CAD">
          <w:rPr>
            <w:rFonts w:eastAsia="Times New Roman" w:cs="Arial"/>
            <w:color w:val="0000FF"/>
            <w:u w:val="single"/>
            <w:lang w:eastAsia="en-AU"/>
          </w:rPr>
          <w:t>nominated standard</w:t>
        </w:r>
      </w:hyperlink>
      <w:r w:rsidR="004435D8">
        <w:rPr>
          <w:color w:val="0000FF"/>
          <w:u w:val="single"/>
        </w:rPr>
        <w:t>.</w:t>
      </w:r>
    </w:p>
    <w:p w14:paraId="42727F5D" w14:textId="2DF8A2E4" w:rsidR="005034F3" w:rsidRPr="00792CAD" w:rsidRDefault="005034F3" w:rsidP="00593C75">
      <w:pPr>
        <w:pStyle w:val="ListBullet2"/>
      </w:pPr>
      <w:bookmarkStart w:id="8" w:name="_Hlk138937072"/>
      <w:r w:rsidRPr="00792CAD">
        <w:rPr>
          <w:rFonts w:eastAsia="Times New Roman" w:cs="Arial"/>
          <w:lang w:eastAsia="en-AU"/>
        </w:rPr>
        <w:lastRenderedPageBreak/>
        <w:t xml:space="preserve">The TGA is transitioning to </w:t>
      </w:r>
      <w:hyperlink r:id="rId18" w:history="1">
        <w:r w:rsidRPr="00792CAD">
          <w:rPr>
            <w:rFonts w:eastAsia="Times New Roman" w:cs="Arial"/>
            <w:color w:val="0000FF"/>
            <w:u w:val="single"/>
            <w:lang w:eastAsia="en-AU"/>
          </w:rPr>
          <w:t>new manufacturer evidence requirements</w:t>
        </w:r>
      </w:hyperlink>
      <w:r w:rsidRPr="00792CAD">
        <w:rPr>
          <w:rFonts w:eastAsia="Times New Roman" w:cs="Arial"/>
          <w:lang w:eastAsia="en-AU"/>
        </w:rPr>
        <w:t xml:space="preserve">, including the use of </w:t>
      </w:r>
      <w:bookmarkEnd w:id="8"/>
      <w:r w:rsidRPr="00792CAD">
        <w:rPr>
          <w:rFonts w:eastAsia="Times New Roman" w:cs="Arial"/>
          <w:lang w:eastAsia="en-AU"/>
        </w:rPr>
        <w:t xml:space="preserve">market authorisation evidence from </w:t>
      </w:r>
      <w:hyperlink r:id="rId19" w:history="1">
        <w:r w:rsidRPr="00792CAD">
          <w:rPr>
            <w:rFonts w:eastAsia="Times New Roman" w:cs="Arial"/>
            <w:color w:val="0000FF"/>
            <w:u w:val="single"/>
            <w:lang w:eastAsia="en-AU"/>
          </w:rPr>
          <w:t>comparable overseas regulators or assessment bodies</w:t>
        </w:r>
      </w:hyperlink>
      <w:r w:rsidR="004435D8">
        <w:rPr>
          <w:rFonts w:eastAsia="Times New Roman" w:cs="Arial"/>
          <w:color w:val="313131"/>
          <w:lang w:eastAsia="en-AU"/>
        </w:rPr>
        <w:t>.</w:t>
      </w:r>
    </w:p>
    <w:p w14:paraId="4EEF3CEA" w14:textId="3997DAAB" w:rsidR="00792CAD" w:rsidRPr="00792CAD" w:rsidRDefault="00792CAD" w:rsidP="00593C75">
      <w:pPr>
        <w:pStyle w:val="ListBullet"/>
        <w:rPr>
          <w:lang w:eastAsia="en-AU"/>
        </w:rPr>
      </w:pPr>
      <w:r w:rsidRPr="00792CAD">
        <w:rPr>
          <w:lang w:eastAsia="en-AU"/>
        </w:rPr>
        <w:t>Holding evidence to demonstrate compliance with Essential Principles (EPs)</w:t>
      </w:r>
      <w:r w:rsidR="004435D8">
        <w:rPr>
          <w:lang w:eastAsia="en-AU"/>
        </w:rPr>
        <w:t>.</w:t>
      </w:r>
    </w:p>
    <w:p w14:paraId="67DB833B" w14:textId="39A77FAD" w:rsidR="00792CAD" w:rsidRPr="00792CAD" w:rsidRDefault="00792CAD" w:rsidP="00593C75">
      <w:pPr>
        <w:pStyle w:val="ListBullet"/>
        <w:rPr>
          <w:lang w:eastAsia="en-AU"/>
        </w:rPr>
      </w:pPr>
      <w:r w:rsidRPr="00792CAD">
        <w:rPr>
          <w:lang w:eastAsia="en-AU"/>
        </w:rPr>
        <w:t xml:space="preserve">Notifying </w:t>
      </w:r>
      <w:r w:rsidR="00866068">
        <w:rPr>
          <w:lang w:eastAsia="en-AU"/>
        </w:rPr>
        <w:t>us</w:t>
      </w:r>
      <w:r w:rsidRPr="00792CAD">
        <w:rPr>
          <w:lang w:eastAsia="en-AU"/>
        </w:rPr>
        <w:t xml:space="preserve"> or </w:t>
      </w:r>
      <w:r w:rsidR="00866068">
        <w:rPr>
          <w:lang w:eastAsia="en-AU"/>
        </w:rPr>
        <w:t xml:space="preserve">the </w:t>
      </w:r>
      <w:r w:rsidRPr="00792CAD">
        <w:rPr>
          <w:lang w:eastAsia="en-AU"/>
        </w:rPr>
        <w:t>sponsor of revisions and changes to the device</w:t>
      </w:r>
      <w:r w:rsidR="004435D8">
        <w:rPr>
          <w:lang w:eastAsia="en-AU"/>
        </w:rPr>
        <w:t>.</w:t>
      </w:r>
    </w:p>
    <w:p w14:paraId="091EEC94" w14:textId="509018E2" w:rsidR="005034F3" w:rsidRPr="005034F3" w:rsidRDefault="005034F3" w:rsidP="00792CAD">
      <w:pPr>
        <w:pStyle w:val="Heading3"/>
      </w:pPr>
      <w:bookmarkStart w:id="9" w:name="_Toc140776954"/>
      <w:r>
        <w:t>Responsibilities of the sponsor</w:t>
      </w:r>
      <w:bookmarkEnd w:id="9"/>
    </w:p>
    <w:p w14:paraId="4BCE1128" w14:textId="42E5800E" w:rsidR="005034F3" w:rsidRDefault="005034F3" w:rsidP="00792CAD">
      <w:pPr>
        <w:shd w:val="clear" w:color="auto" w:fill="FFFFFF"/>
        <w:spacing w:before="240"/>
        <w:rPr>
          <w:rFonts w:ascii="Arial" w:eastAsia="Times New Roman" w:hAnsi="Arial" w:cs="Arial"/>
          <w:color w:val="313131"/>
          <w:lang w:eastAsia="en-AU"/>
        </w:rPr>
      </w:pPr>
      <w:r w:rsidRPr="005034F3">
        <w:rPr>
          <w:rFonts w:ascii="Arial" w:eastAsia="Times New Roman" w:hAnsi="Arial" w:cs="Arial"/>
          <w:color w:val="333F48"/>
          <w:lang w:eastAsia="en-AU"/>
        </w:rPr>
        <w:t xml:space="preserve">The main </w:t>
      </w:r>
      <w:hyperlink r:id="rId20" w:anchor="sponsors-ongoing-responsibilities" w:history="1">
        <w:r w:rsidRPr="005034F3">
          <w:rPr>
            <w:rFonts w:ascii="Arial" w:eastAsia="Times New Roman" w:hAnsi="Arial" w:cs="Arial"/>
            <w:color w:val="0000FF"/>
            <w:u w:val="single"/>
            <w:lang w:eastAsia="en-AU"/>
          </w:rPr>
          <w:t>requirements for ongoing responsibilities for sponsors</w:t>
        </w:r>
      </w:hyperlink>
      <w:r w:rsidRPr="005034F3">
        <w:rPr>
          <w:rFonts w:ascii="Arial" w:eastAsia="Times New Roman" w:hAnsi="Arial" w:cs="Arial"/>
          <w:color w:val="313131"/>
          <w:lang w:eastAsia="en-AU"/>
        </w:rPr>
        <w:t xml:space="preserve"> </w:t>
      </w:r>
      <w:r w:rsidRPr="005034F3">
        <w:rPr>
          <w:rFonts w:ascii="Arial" w:eastAsia="Times New Roman" w:hAnsi="Arial" w:cs="Arial"/>
          <w:color w:val="333F48"/>
          <w:lang w:eastAsia="en-AU"/>
        </w:rPr>
        <w:t>are:</w:t>
      </w:r>
    </w:p>
    <w:p w14:paraId="65B5AF40" w14:textId="77777777" w:rsidR="00792CAD" w:rsidRPr="00792CAD" w:rsidRDefault="00792CAD" w:rsidP="005052FD">
      <w:pPr>
        <w:pStyle w:val="ListBullet"/>
        <w:ind w:left="357" w:hanging="357"/>
        <w:rPr>
          <w:lang w:eastAsia="en-AU"/>
        </w:rPr>
      </w:pPr>
      <w:r w:rsidRPr="00792CAD">
        <w:rPr>
          <w:lang w:eastAsia="en-AU"/>
        </w:rPr>
        <w:t>Compliance with any automatic conditions of inclusion</w:t>
      </w:r>
    </w:p>
    <w:p w14:paraId="30081174" w14:textId="77777777" w:rsidR="00792CAD" w:rsidRPr="00792CAD" w:rsidRDefault="00792CAD" w:rsidP="005052FD">
      <w:pPr>
        <w:pStyle w:val="ListBullet"/>
        <w:ind w:left="357" w:hanging="357"/>
        <w:rPr>
          <w:lang w:eastAsia="en-AU"/>
        </w:rPr>
      </w:pPr>
      <w:r w:rsidRPr="00792CAD">
        <w:rPr>
          <w:lang w:eastAsia="en-AU"/>
        </w:rPr>
        <w:t>Compliance with any additional conditions of inclusion</w:t>
      </w:r>
    </w:p>
    <w:p w14:paraId="722040E1" w14:textId="77777777" w:rsidR="00792CAD" w:rsidRPr="00792CAD" w:rsidRDefault="00792CAD" w:rsidP="005052FD">
      <w:pPr>
        <w:pStyle w:val="ListBullet"/>
        <w:ind w:left="357" w:hanging="357"/>
        <w:rPr>
          <w:lang w:eastAsia="en-AU"/>
        </w:rPr>
      </w:pPr>
      <w:r w:rsidRPr="00792CAD">
        <w:rPr>
          <w:lang w:eastAsia="en-AU"/>
        </w:rPr>
        <w:t>Reporting of adverse events</w:t>
      </w:r>
    </w:p>
    <w:p w14:paraId="233A5D0C" w14:textId="77777777" w:rsidR="00792CAD" w:rsidRPr="005034F3" w:rsidRDefault="00792CAD" w:rsidP="005052FD">
      <w:pPr>
        <w:pStyle w:val="ListBullet"/>
        <w:ind w:left="357" w:hanging="357"/>
        <w:rPr>
          <w:color w:val="313131"/>
          <w:lang w:eastAsia="en-AU"/>
        </w:rPr>
      </w:pPr>
      <w:r w:rsidRPr="00792CAD">
        <w:rPr>
          <w:lang w:eastAsia="en-AU"/>
        </w:rPr>
        <w:t>Undertaking</w:t>
      </w:r>
      <w:r w:rsidRPr="005034F3">
        <w:rPr>
          <w:color w:val="313131"/>
          <w:lang w:eastAsia="en-AU"/>
        </w:rPr>
        <w:t xml:space="preserve"> </w:t>
      </w:r>
      <w:hyperlink r:id="rId21" w:history="1">
        <w:r w:rsidRPr="005034F3">
          <w:rPr>
            <w:color w:val="0000FF"/>
            <w:u w:val="single"/>
            <w:lang w:eastAsia="en-AU"/>
          </w:rPr>
          <w:t>recall and non-recall actions of therapeutic goods</w:t>
        </w:r>
      </w:hyperlink>
    </w:p>
    <w:p w14:paraId="73A25CB8" w14:textId="77777777" w:rsidR="00792CAD" w:rsidRPr="005034F3" w:rsidRDefault="00EE1A24" w:rsidP="005052FD">
      <w:pPr>
        <w:pStyle w:val="ListBullet"/>
        <w:ind w:left="357" w:hanging="357"/>
        <w:rPr>
          <w:color w:val="313131"/>
          <w:lang w:eastAsia="en-AU"/>
        </w:rPr>
      </w:pPr>
      <w:hyperlink r:id="rId22" w:history="1">
        <w:r w:rsidR="00792CAD" w:rsidRPr="005034F3">
          <w:rPr>
            <w:color w:val="0000FF"/>
            <w:u w:val="single"/>
            <w:lang w:eastAsia="en-AU"/>
          </w:rPr>
          <w:t>Applying for consent</w:t>
        </w:r>
      </w:hyperlink>
      <w:r w:rsidR="00792CAD" w:rsidRPr="005034F3">
        <w:rPr>
          <w:color w:val="313131"/>
          <w:lang w:eastAsia="en-AU"/>
        </w:rPr>
        <w:t xml:space="preserve"> </w:t>
      </w:r>
      <w:r w:rsidR="00792CAD" w:rsidRPr="00792CAD">
        <w:rPr>
          <w:lang w:eastAsia="en-AU"/>
        </w:rPr>
        <w:t xml:space="preserve">for circumstance preventing compliance to Essential Principles for a limited </w:t>
      </w:r>
      <w:proofErr w:type="gramStart"/>
      <w:r w:rsidR="00792CAD" w:rsidRPr="00792CAD">
        <w:rPr>
          <w:lang w:eastAsia="en-AU"/>
        </w:rPr>
        <w:t>period of time</w:t>
      </w:r>
      <w:proofErr w:type="gramEnd"/>
    </w:p>
    <w:p w14:paraId="6F744DF7" w14:textId="77777777" w:rsidR="00792CAD" w:rsidRPr="005034F3" w:rsidRDefault="00EE1A24" w:rsidP="005052FD">
      <w:pPr>
        <w:pStyle w:val="ListBullet"/>
        <w:ind w:left="357" w:hanging="357"/>
        <w:rPr>
          <w:color w:val="313131"/>
          <w:lang w:eastAsia="en-AU"/>
        </w:rPr>
      </w:pPr>
      <w:hyperlink r:id="rId23" w:history="1">
        <w:r w:rsidR="00792CAD" w:rsidRPr="005034F3">
          <w:rPr>
            <w:color w:val="0000FF"/>
            <w:u w:val="single"/>
            <w:lang w:eastAsia="en-AU"/>
          </w:rPr>
          <w:t>Notifying the TGA</w:t>
        </w:r>
      </w:hyperlink>
      <w:r w:rsidR="00792CAD" w:rsidRPr="005034F3">
        <w:rPr>
          <w:color w:val="313131"/>
          <w:lang w:eastAsia="en-AU"/>
        </w:rPr>
        <w:t xml:space="preserve"> </w:t>
      </w:r>
      <w:r w:rsidR="00792CAD" w:rsidRPr="00792CAD">
        <w:rPr>
          <w:lang w:eastAsia="en-AU"/>
        </w:rPr>
        <w:t>for lapsing or lapsed manufacturer’s conformity assessment certificate</w:t>
      </w:r>
    </w:p>
    <w:p w14:paraId="3C2F2FAF" w14:textId="77777777" w:rsidR="00792CAD" w:rsidRPr="005034F3" w:rsidRDefault="00792CAD" w:rsidP="005052FD">
      <w:pPr>
        <w:pStyle w:val="ListBullet"/>
        <w:ind w:left="357" w:hanging="357"/>
        <w:rPr>
          <w:color w:val="313131"/>
          <w:lang w:eastAsia="en-AU"/>
        </w:rPr>
      </w:pPr>
      <w:r w:rsidRPr="00792CAD">
        <w:rPr>
          <w:lang w:eastAsia="en-AU"/>
        </w:rPr>
        <w:t xml:space="preserve">Compliance with the </w:t>
      </w:r>
      <w:hyperlink r:id="rId24" w:history="1">
        <w:r w:rsidRPr="005034F3">
          <w:rPr>
            <w:color w:val="0000FF"/>
            <w:u w:val="single"/>
            <w:lang w:eastAsia="en-AU"/>
          </w:rPr>
          <w:t>Therapeutic Goods Advertising Code</w:t>
        </w:r>
      </w:hyperlink>
    </w:p>
    <w:p w14:paraId="5CF1CA3A" w14:textId="31FC4067" w:rsidR="00792CAD" w:rsidRPr="00792CAD" w:rsidRDefault="00792CAD" w:rsidP="005052FD">
      <w:pPr>
        <w:pStyle w:val="ListBullet"/>
        <w:ind w:left="357" w:hanging="357"/>
        <w:rPr>
          <w:color w:val="313131"/>
          <w:lang w:eastAsia="en-AU"/>
        </w:rPr>
      </w:pPr>
      <w:r w:rsidRPr="00792CAD">
        <w:rPr>
          <w:lang w:eastAsia="en-AU"/>
        </w:rPr>
        <w:t xml:space="preserve">Report of any </w:t>
      </w:r>
      <w:hyperlink r:id="rId25" w:history="1">
        <w:r w:rsidRPr="005034F3">
          <w:rPr>
            <w:color w:val="0000FF"/>
            <w:u w:val="single"/>
            <w:lang w:eastAsia="en-AU"/>
          </w:rPr>
          <w:t>suspected counterfeit or tampering of devices</w:t>
        </w:r>
      </w:hyperlink>
    </w:p>
    <w:p w14:paraId="5EE96DC0" w14:textId="77777777" w:rsidR="00792CAD" w:rsidRPr="005034F3" w:rsidRDefault="00792CAD" w:rsidP="005052FD">
      <w:pPr>
        <w:pStyle w:val="ListBullet"/>
        <w:ind w:left="357" w:hanging="357"/>
        <w:rPr>
          <w:color w:val="313131"/>
          <w:lang w:eastAsia="en-AU"/>
        </w:rPr>
      </w:pPr>
      <w:r w:rsidRPr="00792CAD">
        <w:rPr>
          <w:lang w:eastAsia="en-AU"/>
        </w:rPr>
        <w:t xml:space="preserve">Payment of </w:t>
      </w:r>
      <w:hyperlink r:id="rId26" w:history="1">
        <w:r w:rsidRPr="005034F3">
          <w:rPr>
            <w:color w:val="0000FF"/>
            <w:u w:val="single"/>
            <w:lang w:eastAsia="en-AU"/>
          </w:rPr>
          <w:t>annual charges</w:t>
        </w:r>
      </w:hyperlink>
    </w:p>
    <w:p w14:paraId="796E7BD7" w14:textId="541213E2" w:rsidR="00792CAD" w:rsidRPr="00792CAD" w:rsidRDefault="00792CAD" w:rsidP="005052FD">
      <w:pPr>
        <w:pStyle w:val="ListBullet"/>
        <w:ind w:left="357" w:hanging="357"/>
        <w:rPr>
          <w:lang w:eastAsia="en-AU"/>
        </w:rPr>
      </w:pPr>
      <w:r w:rsidRPr="00792CAD">
        <w:rPr>
          <w:lang w:eastAsia="en-AU"/>
        </w:rPr>
        <w:t>Ensuring TGA contacts are up to date on eBusiness Portal</w:t>
      </w:r>
      <w:r w:rsidR="00B01AFB">
        <w:rPr>
          <w:lang w:eastAsia="en-AU"/>
        </w:rPr>
        <w:t>.</w:t>
      </w:r>
    </w:p>
    <w:p w14:paraId="6C1D3DC2" w14:textId="61E0D803" w:rsidR="005034F3" w:rsidRDefault="00792CAD" w:rsidP="005034F3">
      <w:pPr>
        <w:pStyle w:val="Heading2"/>
      </w:pPr>
      <w:bookmarkStart w:id="10" w:name="_Toc140776955"/>
      <w:r>
        <w:t>Ongoing monitoring of device performance</w:t>
      </w:r>
      <w:bookmarkEnd w:id="10"/>
    </w:p>
    <w:p w14:paraId="37D86566" w14:textId="3931846C" w:rsidR="00792CAD" w:rsidRPr="00792CAD" w:rsidRDefault="00792CAD" w:rsidP="00593C75">
      <w:pPr>
        <w:rPr>
          <w:rFonts w:ascii="Arial" w:eastAsia="Cambria" w:hAnsi="Arial" w:cs="Arial"/>
          <w:color w:val="333F48"/>
        </w:rPr>
      </w:pPr>
      <w:r w:rsidRPr="00792CAD">
        <w:rPr>
          <w:rFonts w:ascii="Arial" w:eastAsia="Cambria" w:hAnsi="Arial" w:cs="Arial"/>
          <w:color w:val="333F48"/>
        </w:rPr>
        <w:t>It is the manufacturer’s obligation to undertake ongoing monitoring as part of their Quality Management System (QMS) processes. The manufacturer is expected to monitor new variants of concern of SARS-CoV-2, as defined and tracked by the World Health Organisation (WHO</w:t>
      </w:r>
      <w:proofErr w:type="gramStart"/>
      <w:r w:rsidRPr="00792CAD">
        <w:rPr>
          <w:rFonts w:ascii="Arial" w:eastAsia="Cambria" w:hAnsi="Arial" w:cs="Arial"/>
          <w:color w:val="333F48"/>
        </w:rPr>
        <w:t>), and</w:t>
      </w:r>
      <w:proofErr w:type="gramEnd"/>
      <w:r w:rsidRPr="00792CAD">
        <w:rPr>
          <w:rFonts w:ascii="Arial" w:eastAsia="Cambria" w:hAnsi="Arial" w:cs="Arial"/>
          <w:color w:val="333F48"/>
        </w:rPr>
        <w:t xml:space="preserve"> identify if any variants cause impacts to the performance of their device. Should any impacts be identified, the manufacturer and sponsor have an obligation to inform </w:t>
      </w:r>
      <w:r w:rsidR="00B01AFB">
        <w:rPr>
          <w:rFonts w:ascii="Arial" w:eastAsia="Cambria" w:hAnsi="Arial" w:cs="Arial"/>
          <w:color w:val="333F48"/>
        </w:rPr>
        <w:t>the TGA</w:t>
      </w:r>
      <w:r w:rsidR="00B01AFB" w:rsidRPr="00792CAD">
        <w:rPr>
          <w:rFonts w:ascii="Arial" w:eastAsia="Cambria" w:hAnsi="Arial" w:cs="Arial"/>
          <w:color w:val="333F48"/>
        </w:rPr>
        <w:t xml:space="preserve"> </w:t>
      </w:r>
      <w:r w:rsidRPr="00792CAD">
        <w:rPr>
          <w:rFonts w:ascii="Arial" w:eastAsia="Cambria" w:hAnsi="Arial" w:cs="Arial"/>
          <w:color w:val="333F48"/>
        </w:rPr>
        <w:t>if there is any effect on device safety, quality, or performance.</w:t>
      </w:r>
    </w:p>
    <w:p w14:paraId="03B6DCD0" w14:textId="33F72E95" w:rsidR="00792CAD" w:rsidRPr="00792CAD" w:rsidRDefault="00792CAD" w:rsidP="00593C75">
      <w:pPr>
        <w:rPr>
          <w:rFonts w:ascii="Arial" w:eastAsia="Cambria" w:hAnsi="Arial" w:cs="Arial"/>
          <w:color w:val="333F48"/>
        </w:rPr>
      </w:pPr>
      <w:r w:rsidRPr="00792CAD">
        <w:rPr>
          <w:rFonts w:ascii="Arial" w:eastAsia="Cambria" w:hAnsi="Arial" w:cs="Arial"/>
          <w:color w:val="333F48"/>
        </w:rPr>
        <w:t xml:space="preserve">Manufacturers should ensure they have a proactive monitoring plan in place, to be able to assess the performance of their device in an ongoing manner. This is relevant for all COVID-19 devices, including RATs and NATs. The United States Food and Drug Administration (U.S. FDA) has published </w:t>
      </w:r>
      <w:hyperlink r:id="rId27" w:history="1">
        <w:r w:rsidRPr="00792CAD">
          <w:rPr>
            <w:rFonts w:ascii="Arial" w:eastAsia="Cambria" w:hAnsi="Arial" w:cs="Arial"/>
            <w:color w:val="0000FF"/>
            <w:u w:val="single"/>
          </w:rPr>
          <w:t>guidance</w:t>
        </w:r>
      </w:hyperlink>
      <w:r w:rsidRPr="00792CAD">
        <w:rPr>
          <w:rFonts w:ascii="Arial" w:eastAsia="Cambria" w:hAnsi="Arial" w:cs="Arial"/>
        </w:rPr>
        <w:t xml:space="preserve"> </w:t>
      </w:r>
      <w:r w:rsidRPr="00792CAD">
        <w:rPr>
          <w:rFonts w:ascii="Arial" w:eastAsia="Cambria" w:hAnsi="Arial" w:cs="Arial"/>
          <w:color w:val="333F48"/>
        </w:rPr>
        <w:t>that may assist manufacturers in the development and maintenance of their proactive monitoring plan.</w:t>
      </w:r>
    </w:p>
    <w:p w14:paraId="1941DA7A" w14:textId="5DAAA3D6" w:rsidR="00792CAD" w:rsidRPr="00792CAD" w:rsidRDefault="00792CAD" w:rsidP="00593C75">
      <w:pPr>
        <w:rPr>
          <w:rFonts w:ascii="Arial" w:eastAsia="Cambria" w:hAnsi="Arial" w:cs="Arial"/>
          <w:color w:val="333F48"/>
        </w:rPr>
      </w:pPr>
      <w:r w:rsidRPr="00792CAD">
        <w:rPr>
          <w:rFonts w:ascii="Arial" w:eastAsia="Cambria" w:hAnsi="Arial" w:cs="Arial"/>
          <w:color w:val="333F48"/>
        </w:rPr>
        <w:t>If the sponsor of a</w:t>
      </w:r>
      <w:r w:rsidR="00883E98">
        <w:rPr>
          <w:rFonts w:ascii="Arial" w:eastAsia="Cambria" w:hAnsi="Arial" w:cs="Arial"/>
          <w:color w:val="333F48"/>
        </w:rPr>
        <w:t>n IVD</w:t>
      </w:r>
      <w:r w:rsidRPr="00792CAD">
        <w:rPr>
          <w:rFonts w:ascii="Arial" w:eastAsia="Cambria" w:hAnsi="Arial" w:cs="Arial"/>
          <w:color w:val="333F48"/>
        </w:rPr>
        <w:t xml:space="preserve"> medical device is undertaking their own monitoring, the process must be endorsed by the manufacturer. Endorsement requires the manufacturer to acknowledge that the monitoring being undertaken is part of the manufacturer’s QMS processes and meets the required standards.</w:t>
      </w:r>
    </w:p>
    <w:p w14:paraId="28828F34" w14:textId="673A5E5E" w:rsidR="00792CAD" w:rsidRPr="00593C75" w:rsidRDefault="00866068" w:rsidP="00792CAD">
      <w:pPr>
        <w:rPr>
          <w:rFonts w:ascii="Arial" w:eastAsia="Cambria" w:hAnsi="Arial" w:cs="Arial"/>
          <w:color w:val="333F48"/>
        </w:rPr>
      </w:pPr>
      <w:r>
        <w:rPr>
          <w:rFonts w:ascii="Arial" w:eastAsia="Cambria" w:hAnsi="Arial" w:cs="Arial"/>
          <w:color w:val="333F48"/>
        </w:rPr>
        <w:t>We have</w:t>
      </w:r>
      <w:r w:rsidR="00792CAD" w:rsidRPr="00792CAD">
        <w:rPr>
          <w:rFonts w:ascii="Arial" w:eastAsia="Cambria" w:hAnsi="Arial" w:cs="Arial"/>
          <w:color w:val="333F48"/>
        </w:rPr>
        <w:t xml:space="preserve"> published guidance documents that outline the clinical and analytical requirements for </w:t>
      </w:r>
      <w:r w:rsidR="000F152E">
        <w:rPr>
          <w:rFonts w:ascii="Arial" w:eastAsia="Cambria" w:hAnsi="Arial" w:cs="Arial"/>
          <w:color w:val="333F48"/>
        </w:rPr>
        <w:t xml:space="preserve">COVID-19 </w:t>
      </w:r>
      <w:r w:rsidR="00792CAD" w:rsidRPr="00792CAD">
        <w:rPr>
          <w:rFonts w:ascii="Arial" w:eastAsia="Cambria" w:hAnsi="Arial" w:cs="Arial"/>
          <w:color w:val="333F48"/>
        </w:rPr>
        <w:t>IVDs:</w:t>
      </w:r>
    </w:p>
    <w:p w14:paraId="772CEF3C" w14:textId="62B7966F" w:rsidR="00792CAD" w:rsidRDefault="00792CAD" w:rsidP="00792CAD">
      <w:pPr>
        <w:pStyle w:val="ListBullet"/>
        <w:rPr>
          <w:rFonts w:cs="Arial"/>
        </w:rPr>
      </w:pPr>
      <w:r w:rsidRPr="00792CAD">
        <w:rPr>
          <w:rFonts w:cs="Arial"/>
        </w:rPr>
        <w:t xml:space="preserve">The </w:t>
      </w:r>
      <w:hyperlink r:id="rId28" w:history="1">
        <w:r w:rsidRPr="00792CAD">
          <w:rPr>
            <w:rFonts w:cs="Arial"/>
            <w:color w:val="0000FF"/>
            <w:u w:val="single"/>
          </w:rPr>
          <w:t>COVID-19 self-test guidance</w:t>
        </w:r>
      </w:hyperlink>
    </w:p>
    <w:p w14:paraId="2A644B75" w14:textId="74E5C3D8" w:rsidR="00792CAD" w:rsidRPr="00792CAD" w:rsidRDefault="00792CAD" w:rsidP="00792CAD">
      <w:pPr>
        <w:pStyle w:val="ListBullet"/>
        <w:rPr>
          <w:rFonts w:cs="Arial"/>
        </w:rPr>
      </w:pPr>
      <w:r w:rsidRPr="00792CAD">
        <w:rPr>
          <w:rFonts w:cs="Arial"/>
        </w:rPr>
        <w:t xml:space="preserve">The </w:t>
      </w:r>
      <w:hyperlink r:id="rId29" w:history="1">
        <w:r w:rsidRPr="00792CAD">
          <w:rPr>
            <w:rFonts w:cs="Arial"/>
            <w:color w:val="0000FF"/>
            <w:u w:val="single"/>
          </w:rPr>
          <w:t>seasonal influenza rapid antigen and combination tests guidance</w:t>
        </w:r>
      </w:hyperlink>
    </w:p>
    <w:p w14:paraId="1CB1D394" w14:textId="6A9D5CDE" w:rsidR="000F152E" w:rsidRPr="00593C75" w:rsidRDefault="00792CAD" w:rsidP="00792CAD">
      <w:pPr>
        <w:rPr>
          <w:rFonts w:ascii="Arial" w:hAnsi="Arial" w:cs="Arial"/>
          <w:color w:val="333F48"/>
        </w:rPr>
      </w:pPr>
      <w:r w:rsidRPr="00792CAD">
        <w:rPr>
          <w:rFonts w:ascii="Arial" w:eastAsia="Cambria" w:hAnsi="Arial" w:cs="Arial"/>
          <w:color w:val="333F48"/>
        </w:rPr>
        <w:t xml:space="preserve">The guidance documents listed above detail the expected requirements for analytical and clinical studies, however </w:t>
      </w:r>
      <w:r w:rsidR="00866068">
        <w:rPr>
          <w:rFonts w:ascii="Arial" w:eastAsia="Cambria" w:hAnsi="Arial" w:cs="Arial"/>
          <w:color w:val="333F48"/>
        </w:rPr>
        <w:t>we</w:t>
      </w:r>
      <w:r w:rsidRPr="00792CAD">
        <w:rPr>
          <w:rFonts w:ascii="Arial" w:eastAsia="Cambria" w:hAnsi="Arial" w:cs="Arial"/>
          <w:color w:val="333F48"/>
        </w:rPr>
        <w:t xml:space="preserve"> also accept that manufacturers may be undertaking other types of studies as part of their ongoing monitoring.</w:t>
      </w:r>
      <w:r w:rsidR="00163FFE">
        <w:rPr>
          <w:rFonts w:ascii="Arial" w:eastAsia="Cambria" w:hAnsi="Arial" w:cs="Arial"/>
          <w:color w:val="333F48"/>
        </w:rPr>
        <w:t xml:space="preserve"> </w:t>
      </w:r>
      <w:r w:rsidRPr="00593C75">
        <w:rPr>
          <w:rFonts w:ascii="Arial" w:eastAsia="Cambria" w:hAnsi="Arial" w:cs="Arial"/>
          <w:color w:val="333F48"/>
        </w:rPr>
        <w:t>T</w:t>
      </w:r>
      <w:r w:rsidR="000F152E">
        <w:rPr>
          <w:rFonts w:ascii="Arial" w:eastAsia="Cambria" w:hAnsi="Arial" w:cs="Arial"/>
          <w:color w:val="333F48"/>
        </w:rPr>
        <w:t xml:space="preserve">ypes of testing that </w:t>
      </w:r>
      <w:r w:rsidR="00866068">
        <w:rPr>
          <w:rFonts w:ascii="Arial" w:eastAsia="Cambria" w:hAnsi="Arial" w:cs="Arial"/>
          <w:color w:val="333F48"/>
        </w:rPr>
        <w:t>we</w:t>
      </w:r>
      <w:r w:rsidRPr="00593C75">
        <w:rPr>
          <w:rFonts w:ascii="Arial" w:eastAsia="Cambria" w:hAnsi="Arial" w:cs="Arial"/>
          <w:color w:val="333F48"/>
        </w:rPr>
        <w:t xml:space="preserve"> consider to be acceptable for the purposes of ongoing monitoring</w:t>
      </w:r>
      <w:bookmarkStart w:id="11" w:name="_Hlk140157979"/>
      <w:r w:rsidR="000F152E">
        <w:rPr>
          <w:rFonts w:ascii="Arial" w:hAnsi="Arial" w:cs="Arial"/>
          <w:color w:val="333F48"/>
        </w:rPr>
        <w:t xml:space="preserve"> </w:t>
      </w:r>
      <w:r w:rsidR="000F152E" w:rsidRPr="000F152E">
        <w:rPr>
          <w:rFonts w:ascii="Arial" w:hAnsi="Arial" w:cs="Arial"/>
          <w:color w:val="333F48"/>
        </w:rPr>
        <w:t xml:space="preserve">includes clinical </w:t>
      </w:r>
      <w:r w:rsidR="00D102BD">
        <w:rPr>
          <w:rFonts w:ascii="Arial" w:hAnsi="Arial" w:cs="Arial"/>
          <w:color w:val="333F48"/>
        </w:rPr>
        <w:t>and</w:t>
      </w:r>
      <w:r w:rsidR="000F152E" w:rsidRPr="000F152E">
        <w:rPr>
          <w:rFonts w:ascii="Arial" w:hAnsi="Arial" w:cs="Arial"/>
          <w:color w:val="333F48"/>
        </w:rPr>
        <w:t xml:space="preserve"> analytical studies</w:t>
      </w:r>
      <w:r w:rsidR="00D102BD">
        <w:rPr>
          <w:rFonts w:ascii="Arial" w:hAnsi="Arial" w:cs="Arial"/>
          <w:color w:val="333F48"/>
        </w:rPr>
        <w:t xml:space="preserve">. Epidemiological evidence can also be used </w:t>
      </w:r>
      <w:r w:rsidR="00D102BD">
        <w:rPr>
          <w:rFonts w:ascii="Arial" w:hAnsi="Arial" w:cs="Arial"/>
          <w:color w:val="333F48"/>
        </w:rPr>
        <w:lastRenderedPageBreak/>
        <w:t>to monitor SARS-CoV-2 variant prevalence.</w:t>
      </w:r>
      <w:r w:rsidR="000F152E" w:rsidRPr="000F152E">
        <w:rPr>
          <w:rFonts w:ascii="Arial" w:hAnsi="Arial" w:cs="Arial"/>
          <w:color w:val="333F48"/>
        </w:rPr>
        <w:t xml:space="preserve"> Sponsors should be aware that some types of tests will have additional monitoring requirements, including self-tests, to ensure ongoing usability, combination tests, where monitoring for all viruses detected by the device is required, and NATs, where sequence alignment can be used as a monitoring tool.</w:t>
      </w:r>
      <w:bookmarkEnd w:id="11"/>
    </w:p>
    <w:p w14:paraId="38D73E9A" w14:textId="333A51BD" w:rsidR="005034F3" w:rsidRPr="005034F3" w:rsidRDefault="005052FD" w:rsidP="005034F3">
      <w:pPr>
        <w:pStyle w:val="Heading3"/>
      </w:pPr>
      <w:bookmarkStart w:id="12" w:name="_Toc140776956"/>
      <w:r>
        <w:t>Clinical studies</w:t>
      </w:r>
      <w:bookmarkEnd w:id="12"/>
    </w:p>
    <w:p w14:paraId="0EBE2EF2" w14:textId="79F286B0" w:rsidR="009676FD" w:rsidRPr="009676FD" w:rsidRDefault="009676FD" w:rsidP="009676FD">
      <w:pPr>
        <w:shd w:val="clear" w:color="auto" w:fill="FFFFFF"/>
        <w:rPr>
          <w:rFonts w:ascii="Arial" w:eastAsia="Times New Roman" w:hAnsi="Arial" w:cs="Arial"/>
          <w:color w:val="333F48"/>
          <w:lang w:eastAsia="en-AU"/>
        </w:rPr>
      </w:pPr>
      <w:r w:rsidRPr="009676FD">
        <w:rPr>
          <w:rFonts w:ascii="Arial" w:eastAsia="Times New Roman" w:hAnsi="Arial" w:cs="Arial"/>
          <w:color w:val="333F48"/>
          <w:lang w:eastAsia="en-AU"/>
        </w:rPr>
        <w:t>Clinical studies should be completed using a cohort relevant to the testing landscape in Australia, to establish the clinical performance of the device for SARS-CoV-2 variants relevant in Australia. If required, clinical studies can be organised by the sponsor and undertaken in Australia, if the study has been endorsed by the manufacturer.</w:t>
      </w:r>
    </w:p>
    <w:p w14:paraId="311BBD20" w14:textId="1783469F" w:rsidR="009676FD" w:rsidRDefault="009676FD" w:rsidP="009676FD">
      <w:pPr>
        <w:shd w:val="clear" w:color="auto" w:fill="FFFFFF"/>
        <w:rPr>
          <w:rFonts w:ascii="Arial" w:eastAsia="Times New Roman" w:hAnsi="Arial" w:cs="Arial"/>
          <w:color w:val="333F48"/>
          <w:lang w:eastAsia="en-AU"/>
        </w:rPr>
      </w:pPr>
      <w:r w:rsidRPr="009676FD">
        <w:rPr>
          <w:rFonts w:ascii="Arial" w:eastAsia="Times New Roman" w:hAnsi="Arial" w:cs="Arial"/>
          <w:color w:val="333F48"/>
          <w:lang w:eastAsia="en-AU"/>
        </w:rPr>
        <w:t>Clinical studies are required to meet the same thresholds as required of submissions made during application for inclusion, specifically, for each claimed specimen type:</w:t>
      </w:r>
    </w:p>
    <w:p w14:paraId="19CA39CE" w14:textId="2D9733CD" w:rsidR="009676FD" w:rsidRPr="009676FD" w:rsidRDefault="009676FD" w:rsidP="009676FD">
      <w:pPr>
        <w:pStyle w:val="ListBullet"/>
        <w:rPr>
          <w:lang w:eastAsia="en-AU"/>
        </w:rPr>
      </w:pPr>
      <w:r w:rsidRPr="009676FD">
        <w:rPr>
          <w:lang w:eastAsia="en-AU"/>
        </w:rPr>
        <w:t>Clinical sensitivity of at least 80% (for specimens collected within 7 days of symptom onset)</w:t>
      </w:r>
    </w:p>
    <w:p w14:paraId="6F0B0800" w14:textId="1CAAFC8B" w:rsidR="009676FD" w:rsidRPr="009676FD" w:rsidRDefault="009676FD" w:rsidP="009676FD">
      <w:pPr>
        <w:pStyle w:val="ListBullet"/>
        <w:rPr>
          <w:lang w:eastAsia="en-AU"/>
        </w:rPr>
      </w:pPr>
      <w:r w:rsidRPr="009676FD">
        <w:rPr>
          <w:lang w:eastAsia="en-AU"/>
        </w:rPr>
        <w:t>Clinical specificity of at least 98%</w:t>
      </w:r>
    </w:p>
    <w:p w14:paraId="39338923" w14:textId="1EE2279B" w:rsidR="009676FD" w:rsidRDefault="00163FFE" w:rsidP="009676FD">
      <w:pPr>
        <w:shd w:val="clear" w:color="auto" w:fill="FFFFFF"/>
        <w:rPr>
          <w:rFonts w:ascii="Arial" w:eastAsia="Times New Roman" w:hAnsi="Arial" w:cs="Arial"/>
          <w:color w:val="333F48"/>
          <w:lang w:eastAsia="en-AU"/>
        </w:rPr>
      </w:pPr>
      <w:r>
        <w:rPr>
          <w:rFonts w:ascii="Arial" w:eastAsia="Times New Roman" w:hAnsi="Arial" w:cs="Arial"/>
          <w:color w:val="333F48"/>
          <w:lang w:eastAsia="en-AU"/>
        </w:rPr>
        <w:t>M</w:t>
      </w:r>
      <w:r w:rsidR="009676FD" w:rsidRPr="009676FD">
        <w:rPr>
          <w:rFonts w:ascii="Arial" w:eastAsia="Times New Roman" w:hAnsi="Arial" w:cs="Arial"/>
          <w:color w:val="333F48"/>
          <w:lang w:eastAsia="en-AU"/>
        </w:rPr>
        <w:t xml:space="preserve">anufacturers should determine what is an adequate number of samples to be able to confidently demonstrate the required thresholds of 80% sensitivity and 95% </w:t>
      </w:r>
      <w:r w:rsidR="00866068" w:rsidRPr="009676FD">
        <w:rPr>
          <w:rFonts w:ascii="Arial" w:eastAsia="Times New Roman" w:hAnsi="Arial" w:cs="Arial"/>
          <w:color w:val="333F48"/>
          <w:lang w:eastAsia="en-AU"/>
        </w:rPr>
        <w:t>specificity</w:t>
      </w:r>
      <w:r w:rsidR="00866068">
        <w:rPr>
          <w:rFonts w:ascii="Arial" w:eastAsia="Times New Roman" w:hAnsi="Arial" w:cs="Arial"/>
          <w:color w:val="333F48"/>
          <w:lang w:eastAsia="en-AU"/>
        </w:rPr>
        <w:t xml:space="preserve"> and</w:t>
      </w:r>
      <w:r>
        <w:rPr>
          <w:rFonts w:ascii="Arial" w:eastAsia="Times New Roman" w:hAnsi="Arial" w:cs="Arial"/>
          <w:color w:val="333F48"/>
          <w:lang w:eastAsia="en-AU"/>
        </w:rPr>
        <w:t xml:space="preserve"> </w:t>
      </w:r>
      <w:r w:rsidR="009676FD" w:rsidRPr="009676FD">
        <w:rPr>
          <w:rFonts w:ascii="Arial" w:eastAsia="Times New Roman" w:hAnsi="Arial" w:cs="Arial"/>
          <w:color w:val="333F48"/>
          <w:lang w:eastAsia="en-AU"/>
        </w:rPr>
        <w:t>are expected to be able to justify their reasoning for the number of samples tested.</w:t>
      </w:r>
    </w:p>
    <w:p w14:paraId="08ACFF17" w14:textId="35B0401D" w:rsidR="00163FFE" w:rsidRDefault="00866068" w:rsidP="009676FD">
      <w:pPr>
        <w:shd w:val="clear" w:color="auto" w:fill="FFFFFF"/>
        <w:rPr>
          <w:rFonts w:ascii="Arial" w:eastAsia="Times New Roman" w:hAnsi="Arial" w:cs="Arial"/>
          <w:color w:val="333F48"/>
          <w:lang w:eastAsia="en-AU"/>
        </w:rPr>
      </w:pPr>
      <w:r>
        <w:rPr>
          <w:rFonts w:ascii="Arial" w:eastAsia="Times New Roman" w:hAnsi="Arial" w:cs="Arial"/>
          <w:color w:val="333F48"/>
          <w:lang w:eastAsia="en-AU"/>
        </w:rPr>
        <w:t>We have</w:t>
      </w:r>
      <w:r w:rsidR="00163FFE">
        <w:rPr>
          <w:rFonts w:ascii="Arial" w:eastAsia="Times New Roman" w:hAnsi="Arial" w:cs="Arial"/>
          <w:color w:val="333F48"/>
          <w:lang w:eastAsia="en-AU"/>
        </w:rPr>
        <w:t xml:space="preserve"> published guidance documents that outline the clinical evidence requirements for IVDs:</w:t>
      </w:r>
    </w:p>
    <w:p w14:paraId="0F63EA6A" w14:textId="4348F7F0" w:rsidR="00163FFE" w:rsidRPr="00163FFE" w:rsidRDefault="00163FFE" w:rsidP="00163FFE">
      <w:pPr>
        <w:numPr>
          <w:ilvl w:val="0"/>
          <w:numId w:val="9"/>
        </w:numPr>
        <w:shd w:val="clear" w:color="auto" w:fill="FFFFFF"/>
        <w:rPr>
          <w:rFonts w:ascii="Arial" w:eastAsia="Times New Roman" w:hAnsi="Arial" w:cs="Arial"/>
          <w:color w:val="333F48"/>
          <w:lang w:eastAsia="en-AU"/>
        </w:rPr>
      </w:pPr>
      <w:r w:rsidRPr="00163FFE">
        <w:rPr>
          <w:rFonts w:ascii="Arial" w:eastAsia="Times New Roman" w:hAnsi="Arial" w:cs="Arial"/>
          <w:color w:val="333F48"/>
          <w:lang w:eastAsia="en-AU"/>
        </w:rPr>
        <w:t xml:space="preserve">The </w:t>
      </w:r>
      <w:hyperlink r:id="rId30" w:history="1">
        <w:r w:rsidRPr="00163FFE">
          <w:rPr>
            <w:rStyle w:val="Hyperlink"/>
            <w:rFonts w:eastAsia="Times New Roman" w:cs="Arial"/>
            <w:lang w:eastAsia="en-AU"/>
          </w:rPr>
          <w:t>clinical evidence guidelines for medical devices</w:t>
        </w:r>
      </w:hyperlink>
    </w:p>
    <w:p w14:paraId="072493DE" w14:textId="615C92EB" w:rsidR="00163FFE" w:rsidRPr="00163FFE" w:rsidRDefault="00163FFE" w:rsidP="00163FFE">
      <w:pPr>
        <w:numPr>
          <w:ilvl w:val="0"/>
          <w:numId w:val="9"/>
        </w:numPr>
        <w:shd w:val="clear" w:color="auto" w:fill="FFFFFF"/>
        <w:rPr>
          <w:rFonts w:ascii="Arial" w:eastAsia="Times New Roman" w:hAnsi="Arial" w:cs="Arial"/>
          <w:color w:val="333F48"/>
          <w:lang w:eastAsia="en-AU"/>
        </w:rPr>
      </w:pPr>
      <w:r w:rsidRPr="00163FFE">
        <w:rPr>
          <w:rFonts w:ascii="Arial" w:eastAsia="Times New Roman" w:hAnsi="Arial" w:cs="Arial"/>
          <w:color w:val="333F48"/>
          <w:lang w:eastAsia="en-AU"/>
        </w:rPr>
        <w:t xml:space="preserve">The </w:t>
      </w:r>
      <w:hyperlink r:id="rId31" w:history="1">
        <w:r w:rsidRPr="00163FFE">
          <w:rPr>
            <w:rStyle w:val="Hyperlink"/>
            <w:rFonts w:eastAsia="Times New Roman" w:cs="Arial"/>
            <w:lang w:eastAsia="en-AU"/>
          </w:rPr>
          <w:t>clinical evidence guidelines supplement for IVD medical devices</w:t>
        </w:r>
      </w:hyperlink>
    </w:p>
    <w:p w14:paraId="51585B69" w14:textId="0399A7DD" w:rsidR="000F152E" w:rsidRPr="005034F3" w:rsidRDefault="00163FFE" w:rsidP="00163FFE">
      <w:pPr>
        <w:shd w:val="clear" w:color="auto" w:fill="FFFFFF"/>
        <w:rPr>
          <w:rFonts w:ascii="Arial" w:eastAsia="Times New Roman" w:hAnsi="Arial" w:cs="Arial"/>
          <w:color w:val="333F48"/>
          <w:lang w:eastAsia="en-AU"/>
        </w:rPr>
      </w:pPr>
      <w:r w:rsidRPr="00163FFE">
        <w:rPr>
          <w:rFonts w:ascii="Arial" w:eastAsia="Times New Roman" w:hAnsi="Arial" w:cs="Arial"/>
          <w:color w:val="333F48"/>
          <w:lang w:eastAsia="en-AU"/>
        </w:rPr>
        <w:t xml:space="preserve">These guidance documents include examples of the IVD medical device standards that </w:t>
      </w:r>
      <w:r w:rsidR="00866068">
        <w:rPr>
          <w:rFonts w:ascii="Arial" w:eastAsia="Times New Roman" w:hAnsi="Arial" w:cs="Arial"/>
          <w:color w:val="333F48"/>
          <w:lang w:eastAsia="en-AU"/>
        </w:rPr>
        <w:t>we</w:t>
      </w:r>
      <w:r w:rsidRPr="00163FFE">
        <w:rPr>
          <w:rFonts w:ascii="Arial" w:eastAsia="Times New Roman" w:hAnsi="Arial" w:cs="Arial"/>
          <w:color w:val="333F48"/>
          <w:lang w:eastAsia="en-AU"/>
        </w:rPr>
        <w:t xml:space="preserve"> consider relevant to clinical evidence. If the manufacturer chooses to complete their obligations to a different standard than referenced in the </w:t>
      </w:r>
      <w:r w:rsidR="00866068" w:rsidRPr="00163FFE">
        <w:rPr>
          <w:rFonts w:ascii="Arial" w:eastAsia="Times New Roman" w:hAnsi="Arial" w:cs="Arial"/>
          <w:color w:val="333F48"/>
          <w:lang w:eastAsia="en-AU"/>
        </w:rPr>
        <w:t>guidance or</w:t>
      </w:r>
      <w:r w:rsidRPr="00163FFE">
        <w:rPr>
          <w:rFonts w:ascii="Arial" w:eastAsia="Times New Roman" w:hAnsi="Arial" w:cs="Arial"/>
          <w:color w:val="333F48"/>
          <w:lang w:eastAsia="en-AU"/>
        </w:rPr>
        <w:t xml:space="preserve"> chooses not to follow the specifications of a recognised standard, a strong justification for the approach must be provided.</w:t>
      </w:r>
      <w:r w:rsidRPr="009676FD" w:rsidDel="00163FFE">
        <w:rPr>
          <w:rFonts w:ascii="Arial" w:eastAsia="Times New Roman" w:hAnsi="Arial" w:cs="Arial"/>
          <w:color w:val="333F48"/>
          <w:lang w:eastAsia="en-AU"/>
        </w:rPr>
        <w:t xml:space="preserve"> </w:t>
      </w:r>
    </w:p>
    <w:p w14:paraId="4E9861B0" w14:textId="4B84D0EA" w:rsidR="005034F3" w:rsidRPr="005034F3" w:rsidRDefault="005052FD" w:rsidP="005034F3">
      <w:pPr>
        <w:pStyle w:val="Heading3"/>
      </w:pPr>
      <w:bookmarkStart w:id="13" w:name="_Toc140776957"/>
      <w:r>
        <w:t>Analytical studies</w:t>
      </w:r>
      <w:bookmarkEnd w:id="13"/>
    </w:p>
    <w:p w14:paraId="2B80FF52" w14:textId="77777777" w:rsidR="009676FD" w:rsidRPr="009676FD" w:rsidRDefault="009676FD" w:rsidP="009676FD">
      <w:pPr>
        <w:rPr>
          <w:rFonts w:ascii="Arial" w:eastAsia="Times New Roman" w:hAnsi="Arial" w:cs="Arial"/>
          <w:color w:val="333F48"/>
          <w:lang w:eastAsia="en-AU"/>
        </w:rPr>
      </w:pPr>
      <w:r w:rsidRPr="009676FD">
        <w:rPr>
          <w:rFonts w:ascii="Arial" w:eastAsia="Times New Roman" w:hAnsi="Arial" w:cs="Arial"/>
          <w:color w:val="333F48"/>
          <w:lang w:eastAsia="en-AU"/>
        </w:rPr>
        <w:t>Analytical studies can be undertaken to determine if there has been any change in the analytical sensitivity cited in the instructions for use (IFU) of the device against emerging variants of concern.</w:t>
      </w:r>
    </w:p>
    <w:p w14:paraId="7A088FD9" w14:textId="5E48F4B8" w:rsidR="00272278" w:rsidRDefault="009676FD" w:rsidP="00792CAD">
      <w:pPr>
        <w:rPr>
          <w:rFonts w:ascii="Arial" w:eastAsia="Times New Roman" w:hAnsi="Arial" w:cs="Arial"/>
          <w:color w:val="333F48"/>
          <w:lang w:eastAsia="en-AU"/>
        </w:rPr>
      </w:pPr>
      <w:r w:rsidRPr="009676FD">
        <w:rPr>
          <w:rFonts w:ascii="Arial" w:eastAsia="Times New Roman" w:hAnsi="Arial" w:cs="Arial"/>
          <w:color w:val="333F48"/>
          <w:lang w:eastAsia="en-AU"/>
        </w:rPr>
        <w:t>An analytical sensitivity study is expected to demonstrate the limit of detection (</w:t>
      </w:r>
      <w:proofErr w:type="spellStart"/>
      <w:r w:rsidRPr="009676FD">
        <w:rPr>
          <w:rFonts w:ascii="Arial" w:eastAsia="Times New Roman" w:hAnsi="Arial" w:cs="Arial"/>
          <w:color w:val="333F48"/>
          <w:lang w:eastAsia="en-AU"/>
        </w:rPr>
        <w:t>LoD</w:t>
      </w:r>
      <w:proofErr w:type="spellEnd"/>
      <w:r w:rsidRPr="009676FD">
        <w:rPr>
          <w:rFonts w:ascii="Arial" w:eastAsia="Times New Roman" w:hAnsi="Arial" w:cs="Arial"/>
          <w:color w:val="333F48"/>
          <w:lang w:eastAsia="en-AU"/>
        </w:rPr>
        <w:t xml:space="preserve">), the lowest concentration at which the virus is consistently detected 95% of the time. Measurement of the </w:t>
      </w:r>
      <w:proofErr w:type="spellStart"/>
      <w:r w:rsidRPr="009676FD">
        <w:rPr>
          <w:rFonts w:ascii="Arial" w:eastAsia="Times New Roman" w:hAnsi="Arial" w:cs="Arial"/>
          <w:color w:val="333F48"/>
          <w:lang w:eastAsia="en-AU"/>
        </w:rPr>
        <w:t>LoD</w:t>
      </w:r>
      <w:proofErr w:type="spellEnd"/>
      <w:r w:rsidRPr="009676FD">
        <w:rPr>
          <w:rFonts w:ascii="Arial" w:eastAsia="Times New Roman" w:hAnsi="Arial" w:cs="Arial"/>
          <w:color w:val="333F48"/>
          <w:lang w:eastAsia="en-AU"/>
        </w:rPr>
        <w:t xml:space="preserve"> requires 20 replicates at each relevant dilution, to be able to demonstrate that sensitivity meets the 19/20 (95%) threshold.</w:t>
      </w:r>
    </w:p>
    <w:p w14:paraId="421CC910" w14:textId="77777777" w:rsidR="00876825" w:rsidRPr="005034F3" w:rsidRDefault="00876825" w:rsidP="00876825">
      <w:pPr>
        <w:pStyle w:val="Heading4"/>
      </w:pPr>
      <w:bookmarkStart w:id="14" w:name="_Toc140776958"/>
      <w:r>
        <w:t>Recommended details to include in clinical and analytical studies</w:t>
      </w:r>
      <w:bookmarkEnd w:id="14"/>
    </w:p>
    <w:p w14:paraId="655A3956" w14:textId="77777777" w:rsidR="00876825" w:rsidRPr="005B1AE0" w:rsidRDefault="00876825" w:rsidP="00876825">
      <w:pPr>
        <w:shd w:val="clear" w:color="auto" w:fill="FFFFFF"/>
        <w:rPr>
          <w:rFonts w:ascii="Arial" w:eastAsia="Times New Roman" w:hAnsi="Arial" w:cs="Arial"/>
          <w:color w:val="333F48"/>
          <w:lang w:eastAsia="en-AU"/>
        </w:rPr>
      </w:pPr>
      <w:r w:rsidRPr="005B1AE0">
        <w:rPr>
          <w:rFonts w:ascii="Arial" w:eastAsia="Times New Roman" w:hAnsi="Arial" w:cs="Arial"/>
          <w:color w:val="333F48"/>
          <w:lang w:eastAsia="en-AU"/>
        </w:rPr>
        <w:t>When the manufacturer is undertaking studies as part of their ongoing monitoring requirements, they are encouraged to record the following details:</w:t>
      </w:r>
    </w:p>
    <w:p w14:paraId="51567FDE" w14:textId="10D6AD5A" w:rsidR="00876825" w:rsidRPr="005B1AE0" w:rsidRDefault="00876825" w:rsidP="00876825">
      <w:pPr>
        <w:pStyle w:val="ListBullet"/>
        <w:rPr>
          <w:rFonts w:cs="Arial"/>
        </w:rPr>
      </w:pPr>
      <w:r w:rsidRPr="005B1AE0">
        <w:rPr>
          <w:rFonts w:cs="Arial"/>
        </w:rPr>
        <w:t>Test kit details including batch number and expiry date</w:t>
      </w:r>
    </w:p>
    <w:p w14:paraId="7E744980" w14:textId="16C510BE" w:rsidR="00876825" w:rsidRPr="005B1AE0" w:rsidRDefault="00876825" w:rsidP="00876825">
      <w:pPr>
        <w:pStyle w:val="ListBullet"/>
        <w:rPr>
          <w:rFonts w:cs="Arial"/>
        </w:rPr>
      </w:pPr>
      <w:r w:rsidRPr="005B1AE0">
        <w:rPr>
          <w:rFonts w:cs="Arial"/>
        </w:rPr>
        <w:t>Protocol used</w:t>
      </w:r>
    </w:p>
    <w:p w14:paraId="4E34BC3E" w14:textId="77777777" w:rsidR="00876825" w:rsidRPr="005B1AE0" w:rsidRDefault="00876825" w:rsidP="00876825">
      <w:pPr>
        <w:pStyle w:val="ListBullet"/>
        <w:rPr>
          <w:rFonts w:cs="Arial"/>
        </w:rPr>
      </w:pPr>
      <w:r w:rsidRPr="005B1AE0">
        <w:rPr>
          <w:rFonts w:cs="Arial"/>
        </w:rPr>
        <w:t>For analytical studies:</w:t>
      </w:r>
    </w:p>
    <w:p w14:paraId="58268365" w14:textId="21200199" w:rsidR="00876825" w:rsidRPr="00674C45" w:rsidRDefault="00876825" w:rsidP="00876825">
      <w:pPr>
        <w:pStyle w:val="ListBullet2"/>
      </w:pPr>
      <w:r w:rsidRPr="00674C45">
        <w:t>Characteristics of virus used, such as source, isolate name</w:t>
      </w:r>
      <w:r>
        <w:t xml:space="preserve">, </w:t>
      </w:r>
      <w:r w:rsidRPr="00674C45">
        <w:t xml:space="preserve">variant identity, </w:t>
      </w:r>
      <w:r>
        <w:t xml:space="preserve">and </w:t>
      </w:r>
      <w:r w:rsidRPr="00674C45">
        <w:t>stock concentration</w:t>
      </w:r>
    </w:p>
    <w:p w14:paraId="588B909B" w14:textId="63EA0360" w:rsidR="00876825" w:rsidRPr="00674C45" w:rsidRDefault="00876825" w:rsidP="00876825">
      <w:pPr>
        <w:pStyle w:val="ListBullet2"/>
      </w:pPr>
      <w:r w:rsidRPr="00674C45">
        <w:t>Number of replicates and dilutions used</w:t>
      </w:r>
    </w:p>
    <w:p w14:paraId="7D377F1E" w14:textId="23906DF1" w:rsidR="00876825" w:rsidRPr="00674C45" w:rsidRDefault="00876825" w:rsidP="00876825">
      <w:pPr>
        <w:pStyle w:val="ListBullet2"/>
      </w:pPr>
      <w:r w:rsidRPr="00674C45">
        <w:t>Result measured in TCID</w:t>
      </w:r>
      <w:r w:rsidRPr="00674C45">
        <w:rPr>
          <w:vertAlign w:val="subscript"/>
        </w:rPr>
        <w:t>50</w:t>
      </w:r>
      <w:r w:rsidRPr="00674C45">
        <w:t>/mL, Ct-value, and/or RNA copies/mL</w:t>
      </w:r>
    </w:p>
    <w:p w14:paraId="5514A8EB" w14:textId="77777777" w:rsidR="00876825" w:rsidRDefault="00876825" w:rsidP="00876825">
      <w:pPr>
        <w:pStyle w:val="ListBullet"/>
        <w:rPr>
          <w:rFonts w:cs="Arial"/>
        </w:rPr>
      </w:pPr>
      <w:r>
        <w:rPr>
          <w:rFonts w:cs="Arial"/>
        </w:rPr>
        <w:lastRenderedPageBreak/>
        <w:t>For clinical studies:</w:t>
      </w:r>
    </w:p>
    <w:p w14:paraId="14A12580" w14:textId="76D677E3" w:rsidR="00876825" w:rsidRPr="00674C45" w:rsidRDefault="00876825" w:rsidP="00876825">
      <w:pPr>
        <w:pStyle w:val="ListBullet2"/>
      </w:pPr>
      <w:r w:rsidRPr="00674C45">
        <w:t>Study location and dates completed</w:t>
      </w:r>
    </w:p>
    <w:p w14:paraId="05286915" w14:textId="1CC2284B" w:rsidR="00876825" w:rsidRPr="00674C45" w:rsidRDefault="00876825" w:rsidP="00876825">
      <w:pPr>
        <w:pStyle w:val="ListBullet2"/>
      </w:pPr>
      <w:r w:rsidRPr="00674C45">
        <w:t>Number of participants</w:t>
      </w:r>
    </w:p>
    <w:p w14:paraId="7A540C56" w14:textId="5ABB6382" w:rsidR="00876825" w:rsidRDefault="00876825" w:rsidP="00876825">
      <w:pPr>
        <w:pStyle w:val="ListBullet2"/>
      </w:pPr>
      <w:r>
        <w:t>Infection charact</w:t>
      </w:r>
      <w:r w:rsidRPr="00C64CFF">
        <w:t>e</w:t>
      </w:r>
      <w:r>
        <w:t>ristics for each p</w:t>
      </w:r>
      <w:r w:rsidRPr="00C64CFF">
        <w:t>articipant</w:t>
      </w:r>
      <w:r>
        <w:t xml:space="preserve">, including days-post-onset, identification of SARS-CoV-2 variant, and viral load (Ct-value); ensure clinically sensitive or identifying information is </w:t>
      </w:r>
      <w:r w:rsidRPr="00674C45">
        <w:rPr>
          <w:u w:val="single"/>
        </w:rPr>
        <w:t>not</w:t>
      </w:r>
      <w:r>
        <w:t xml:space="preserve"> included</w:t>
      </w:r>
      <w:r w:rsidR="004435D8">
        <w:t>.</w:t>
      </w:r>
    </w:p>
    <w:p w14:paraId="79D934D7" w14:textId="61E55C40" w:rsidR="00272278" w:rsidRPr="00674C45" w:rsidRDefault="00876825" w:rsidP="00272278">
      <w:pPr>
        <w:pStyle w:val="ListBullet2"/>
      </w:pPr>
      <w:r>
        <w:t>Samples should be collected from participants across 0-7 days-post-onset and a range of Ct</w:t>
      </w:r>
      <w:r w:rsidR="00A51ECF">
        <w:noBreakHyphen/>
      </w:r>
      <w:r>
        <w:t>values, including at least 20% of samples having Ct-value &gt;30</w:t>
      </w:r>
      <w:r w:rsidR="004435D8">
        <w:t>.</w:t>
      </w:r>
    </w:p>
    <w:tbl>
      <w:tblPr>
        <w:tblpPr w:leftFromText="180" w:rightFromText="180" w:vertAnchor="text" w:horzAnchor="margin" w:tblpY="-34"/>
        <w:tblW w:w="9038" w:type="dxa"/>
        <w:tblLayout w:type="fixed"/>
        <w:tblCellMar>
          <w:left w:w="0" w:type="dxa"/>
          <w:right w:w="0" w:type="dxa"/>
        </w:tblCellMar>
        <w:tblLook w:val="04A0" w:firstRow="1" w:lastRow="0" w:firstColumn="1" w:lastColumn="0" w:noHBand="0" w:noVBand="1"/>
      </w:tblPr>
      <w:tblGrid>
        <w:gridCol w:w="1276"/>
        <w:gridCol w:w="7762"/>
      </w:tblGrid>
      <w:tr w:rsidR="00272278" w:rsidRPr="00215D48" w14:paraId="6FBD06F0" w14:textId="77777777" w:rsidTr="00272278">
        <w:tc>
          <w:tcPr>
            <w:tcW w:w="1276" w:type="dxa"/>
            <w:vAlign w:val="center"/>
          </w:tcPr>
          <w:p w14:paraId="246B165B" w14:textId="44FADDC1" w:rsidR="00272278" w:rsidRPr="00215D48" w:rsidRDefault="00272278" w:rsidP="00272278">
            <w:r w:rsidRPr="00215D48">
              <w:rPr>
                <w:noProof/>
              </w:rPr>
              <w:drawing>
                <wp:inline distT="0" distB="0" distL="0" distR="0" wp14:anchorId="41C00A6A" wp14:editId="7F5C6DA1">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77FE186" w14:textId="107CA506" w:rsidR="00F423F8" w:rsidRPr="004435D8" w:rsidRDefault="00272278" w:rsidP="00272278">
            <w:pPr>
              <w:rPr>
                <w:rFonts w:ascii="Arial" w:hAnsi="Arial" w:cs="Arial"/>
              </w:rPr>
            </w:pPr>
            <w:r w:rsidRPr="004435D8">
              <w:rPr>
                <w:rFonts w:ascii="Arial" w:hAnsi="Arial" w:cs="Arial"/>
              </w:rPr>
              <w:t xml:space="preserve">If, </w:t>
            </w:r>
            <w:r w:rsidR="004435D8" w:rsidRPr="004435D8">
              <w:rPr>
                <w:rFonts w:ascii="Arial" w:hAnsi="Arial" w:cs="Arial"/>
              </w:rPr>
              <w:t>later</w:t>
            </w:r>
            <w:r w:rsidRPr="004435D8">
              <w:rPr>
                <w:rFonts w:ascii="Arial" w:hAnsi="Arial" w:cs="Arial"/>
              </w:rPr>
              <w:t>, evidence is required to be submitted to</w:t>
            </w:r>
            <w:r w:rsidR="00CA5120">
              <w:rPr>
                <w:rFonts w:ascii="Arial" w:hAnsi="Arial" w:cs="Arial"/>
              </w:rPr>
              <w:t xml:space="preserve"> the</w:t>
            </w:r>
            <w:r w:rsidRPr="004435D8">
              <w:rPr>
                <w:rFonts w:ascii="Arial" w:hAnsi="Arial" w:cs="Arial"/>
              </w:rPr>
              <w:t xml:space="preserve"> </w:t>
            </w:r>
            <w:r w:rsidR="00B01AFB">
              <w:rPr>
                <w:rFonts w:ascii="Arial" w:hAnsi="Arial" w:cs="Arial"/>
              </w:rPr>
              <w:t>TGA</w:t>
            </w:r>
            <w:r w:rsidR="00B01AFB" w:rsidRPr="004435D8">
              <w:rPr>
                <w:rFonts w:ascii="Arial" w:hAnsi="Arial" w:cs="Arial"/>
              </w:rPr>
              <w:t xml:space="preserve"> </w:t>
            </w:r>
            <w:r w:rsidRPr="004435D8">
              <w:rPr>
                <w:rFonts w:ascii="Arial" w:hAnsi="Arial" w:cs="Arial"/>
              </w:rPr>
              <w:t xml:space="preserve">as evidence of continued performance, or as evidence of a change in safety or performance identified by the manufacturer, </w:t>
            </w:r>
            <w:r w:rsidR="00866068">
              <w:rPr>
                <w:rFonts w:ascii="Arial" w:hAnsi="Arial" w:cs="Arial"/>
              </w:rPr>
              <w:t>we</w:t>
            </w:r>
            <w:r w:rsidRPr="004435D8">
              <w:rPr>
                <w:rFonts w:ascii="Arial" w:hAnsi="Arial" w:cs="Arial"/>
              </w:rPr>
              <w:t xml:space="preserve"> expect the evidence to be submitted as a complete report.</w:t>
            </w:r>
          </w:p>
          <w:p w14:paraId="3B456193" w14:textId="281061AD" w:rsidR="00272278" w:rsidRPr="00215D48" w:rsidRDefault="00272278" w:rsidP="00272278">
            <w:r w:rsidRPr="004435D8">
              <w:rPr>
                <w:rFonts w:ascii="Arial" w:hAnsi="Arial" w:cs="Arial"/>
              </w:rPr>
              <w:t>This would require the evidence to be presented as a comprehensive report with a summary of methods and results, and a conclusion. Raw data, with no explanation or conclusion of results, would not be acceptable. If manufacturers have completed and submitted evidence for specific variants of concern and not for others, they are expected to provide a justification for their monitoring processes.</w:t>
            </w:r>
          </w:p>
        </w:tc>
      </w:tr>
    </w:tbl>
    <w:p w14:paraId="7CBA120E" w14:textId="28005924" w:rsidR="005052FD" w:rsidRPr="005034F3" w:rsidRDefault="005052FD" w:rsidP="005052FD">
      <w:pPr>
        <w:pStyle w:val="Heading3"/>
      </w:pPr>
      <w:bookmarkStart w:id="15" w:name="_Toc140776959"/>
      <w:r>
        <w:t>Epidemiological evidence</w:t>
      </w:r>
      <w:bookmarkEnd w:id="15"/>
    </w:p>
    <w:p w14:paraId="429A2CF0" w14:textId="336C3F0B" w:rsidR="009676FD" w:rsidRPr="009676FD" w:rsidRDefault="009676FD" w:rsidP="009676FD">
      <w:pPr>
        <w:shd w:val="clear" w:color="auto" w:fill="FFFFFF"/>
        <w:rPr>
          <w:rFonts w:ascii="Arial" w:eastAsia="Times New Roman" w:hAnsi="Arial" w:cs="Arial"/>
          <w:color w:val="333F48"/>
          <w:lang w:eastAsia="en-AU"/>
        </w:rPr>
      </w:pPr>
      <w:r w:rsidRPr="009676FD">
        <w:rPr>
          <w:rFonts w:ascii="Arial" w:eastAsia="Times New Roman" w:hAnsi="Arial" w:cs="Arial"/>
          <w:color w:val="333F48"/>
          <w:lang w:eastAsia="en-AU"/>
        </w:rPr>
        <w:t xml:space="preserve">Manufacturers can monitor the relative prevalence of different SARS-CoV-2 variants and sub-variants in regions and populations of </w:t>
      </w:r>
      <w:r w:rsidR="004435D8" w:rsidRPr="009676FD">
        <w:rPr>
          <w:rFonts w:ascii="Arial" w:eastAsia="Times New Roman" w:hAnsi="Arial" w:cs="Arial"/>
          <w:color w:val="333F48"/>
          <w:lang w:eastAsia="en-AU"/>
        </w:rPr>
        <w:t>interest and</w:t>
      </w:r>
      <w:r w:rsidRPr="009676FD">
        <w:rPr>
          <w:rFonts w:ascii="Arial" w:eastAsia="Times New Roman" w:hAnsi="Arial" w:cs="Arial"/>
          <w:color w:val="333F48"/>
          <w:lang w:eastAsia="en-AU"/>
        </w:rPr>
        <w:t xml:space="preserve"> identify from the WHO identification and tracking if </w:t>
      </w:r>
      <w:proofErr w:type="gramStart"/>
      <w:r w:rsidRPr="009676FD">
        <w:rPr>
          <w:rFonts w:ascii="Arial" w:eastAsia="Times New Roman" w:hAnsi="Arial" w:cs="Arial"/>
          <w:color w:val="333F48"/>
          <w:lang w:eastAsia="en-AU"/>
        </w:rPr>
        <w:t>particular variants</w:t>
      </w:r>
      <w:proofErr w:type="gramEnd"/>
      <w:r w:rsidRPr="009676FD">
        <w:rPr>
          <w:rFonts w:ascii="Arial" w:eastAsia="Times New Roman" w:hAnsi="Arial" w:cs="Arial"/>
          <w:color w:val="333F48"/>
          <w:lang w:eastAsia="en-AU"/>
        </w:rPr>
        <w:t xml:space="preserve"> require additional monitoring.</w:t>
      </w:r>
    </w:p>
    <w:p w14:paraId="4087BF17" w14:textId="262357BE" w:rsidR="009676FD" w:rsidRPr="005034F3" w:rsidRDefault="009676FD" w:rsidP="005052FD">
      <w:pPr>
        <w:shd w:val="clear" w:color="auto" w:fill="FFFFFF"/>
        <w:rPr>
          <w:rFonts w:ascii="Arial" w:eastAsia="Times New Roman" w:hAnsi="Arial" w:cs="Arial"/>
          <w:color w:val="333F48"/>
          <w:lang w:eastAsia="en-AU"/>
        </w:rPr>
      </w:pPr>
      <w:r w:rsidRPr="009676FD">
        <w:rPr>
          <w:rFonts w:ascii="Arial" w:eastAsia="Times New Roman" w:hAnsi="Arial" w:cs="Arial"/>
          <w:color w:val="333F48"/>
          <w:lang w:eastAsia="en-AU"/>
        </w:rPr>
        <w:t>If this evidence is required to be submitted, it is expected that an explanation is provided from the manufacturer as to how the evidence is relevant to circumstances in Australia.</w:t>
      </w:r>
    </w:p>
    <w:p w14:paraId="683EE48B" w14:textId="2DA97BE0" w:rsidR="005052FD" w:rsidRPr="005034F3" w:rsidRDefault="00163FFE" w:rsidP="005052FD">
      <w:pPr>
        <w:pStyle w:val="Heading3"/>
      </w:pPr>
      <w:bookmarkStart w:id="16" w:name="_Toc140776960"/>
      <w:r>
        <w:t xml:space="preserve">Additional monitoring requirements </w:t>
      </w:r>
      <w:r w:rsidR="005052FD">
        <w:t>for self-tests</w:t>
      </w:r>
      <w:bookmarkEnd w:id="16"/>
    </w:p>
    <w:p w14:paraId="1F8DA759" w14:textId="3710DDEA" w:rsidR="0063203F" w:rsidRDefault="0063203F" w:rsidP="005B1AE0">
      <w:pPr>
        <w:rPr>
          <w:rFonts w:ascii="Arial" w:eastAsia="Cambria" w:hAnsi="Arial" w:cs="Arial"/>
          <w:color w:val="333F48"/>
        </w:rPr>
      </w:pPr>
      <w:r>
        <w:rPr>
          <w:rFonts w:ascii="Arial" w:eastAsia="Cambria" w:hAnsi="Arial" w:cs="Arial"/>
          <w:color w:val="333F48"/>
        </w:rPr>
        <w:t>Ongoing surveillance of performance of COVID-19 IVDs for self-test use should include monitoring of the usability of the device.</w:t>
      </w:r>
    </w:p>
    <w:p w14:paraId="3A0D54DA" w14:textId="7C122869" w:rsidR="005B1AE0" w:rsidRPr="005B1AE0" w:rsidRDefault="005B1AE0" w:rsidP="005B1AE0">
      <w:pPr>
        <w:rPr>
          <w:rFonts w:ascii="Arial" w:eastAsia="Cambria" w:hAnsi="Arial" w:cs="Arial"/>
          <w:color w:val="333F48"/>
        </w:rPr>
      </w:pPr>
      <w:r w:rsidRPr="005B1AE0">
        <w:rPr>
          <w:rFonts w:ascii="Arial" w:eastAsia="Cambria" w:hAnsi="Arial" w:cs="Arial"/>
          <w:color w:val="333F48"/>
        </w:rPr>
        <w:t>COVID-19 IVDs for self-test use are required to submit usability studies at the time of application for inclusion, to demonstrate the performance of the device by the intended end-user. The requirements for usability studies are detailed in the</w:t>
      </w:r>
      <w:r w:rsidR="0057797F">
        <w:rPr>
          <w:rFonts w:ascii="Arial" w:eastAsia="Cambria" w:hAnsi="Arial" w:cs="Arial"/>
          <w:color w:val="333F48"/>
        </w:rPr>
        <w:t xml:space="preserve"> </w:t>
      </w:r>
      <w:hyperlink r:id="rId33" w:history="1">
        <w:r w:rsidR="0057797F" w:rsidRPr="0057797F">
          <w:rPr>
            <w:rStyle w:val="Hyperlink"/>
            <w:rFonts w:eastAsia="Cambria" w:cs="Arial"/>
          </w:rPr>
          <w:t>COVID-19 test kit guidance</w:t>
        </w:r>
      </w:hyperlink>
      <w:r w:rsidR="0057797F">
        <w:rPr>
          <w:rFonts w:ascii="Arial" w:eastAsia="Cambria" w:hAnsi="Arial" w:cs="Arial"/>
          <w:color w:val="333F48"/>
        </w:rPr>
        <w:t>.</w:t>
      </w:r>
    </w:p>
    <w:p w14:paraId="2C7D085D" w14:textId="22AE2880" w:rsidR="005B1AE0" w:rsidRPr="005B1AE0" w:rsidRDefault="005B1AE0" w:rsidP="005B1AE0">
      <w:pPr>
        <w:rPr>
          <w:rFonts w:ascii="Arial" w:eastAsia="Cambria" w:hAnsi="Arial" w:cs="Arial"/>
          <w:color w:val="333F48"/>
        </w:rPr>
      </w:pPr>
      <w:r w:rsidRPr="005B1AE0">
        <w:rPr>
          <w:rFonts w:ascii="Arial" w:eastAsia="Cambria" w:hAnsi="Arial" w:cs="Arial"/>
          <w:color w:val="333F48"/>
        </w:rPr>
        <w:t xml:space="preserve">If </w:t>
      </w:r>
      <w:r w:rsidR="009865A6" w:rsidRPr="005B1AE0">
        <w:rPr>
          <w:rFonts w:ascii="Arial" w:eastAsia="Cambria" w:hAnsi="Arial" w:cs="Arial"/>
          <w:color w:val="333F48"/>
        </w:rPr>
        <w:t>during</w:t>
      </w:r>
      <w:r w:rsidRPr="005B1AE0">
        <w:rPr>
          <w:rFonts w:ascii="Arial" w:eastAsia="Cambria" w:hAnsi="Arial" w:cs="Arial"/>
          <w:color w:val="333F48"/>
        </w:rPr>
        <w:t xml:space="preserve"> surveillance of device performance, the manufacturer identifies signals related to the performance of self-tests that could be a usability issue, such as increased complaints about invalid results or other user issues such as difficulty using the device or interpreting results, the manufacturer would be expected to</w:t>
      </w:r>
      <w:r w:rsidR="0063203F">
        <w:rPr>
          <w:rFonts w:ascii="Arial" w:eastAsia="Cambria" w:hAnsi="Arial" w:cs="Arial"/>
          <w:color w:val="333F48"/>
        </w:rPr>
        <w:t xml:space="preserve"> evaluate those issues, and</w:t>
      </w:r>
      <w:r w:rsidRPr="005B1AE0">
        <w:rPr>
          <w:rFonts w:ascii="Arial" w:eastAsia="Cambria" w:hAnsi="Arial" w:cs="Arial"/>
          <w:color w:val="333F48"/>
        </w:rPr>
        <w:t xml:space="preserve"> complete additional usability studies</w:t>
      </w:r>
      <w:r w:rsidR="0063203F">
        <w:rPr>
          <w:rFonts w:ascii="Arial" w:eastAsia="Cambria" w:hAnsi="Arial" w:cs="Arial"/>
          <w:color w:val="333F48"/>
        </w:rPr>
        <w:t xml:space="preserve"> if the issue is deemed to be significant</w:t>
      </w:r>
      <w:r w:rsidRPr="005B1AE0">
        <w:rPr>
          <w:rFonts w:ascii="Arial" w:eastAsia="Cambria" w:hAnsi="Arial" w:cs="Arial"/>
          <w:color w:val="333F48"/>
        </w:rPr>
        <w:t>.</w:t>
      </w:r>
    </w:p>
    <w:p w14:paraId="4FD28C00" w14:textId="29B5C22E" w:rsidR="005052FD" w:rsidRPr="005B1AE0" w:rsidRDefault="0063203F" w:rsidP="005052FD">
      <w:pPr>
        <w:rPr>
          <w:rFonts w:ascii="Arial" w:eastAsia="Cambria" w:hAnsi="Arial" w:cs="Arial"/>
          <w:color w:val="333F48"/>
        </w:rPr>
      </w:pPr>
      <w:r>
        <w:rPr>
          <w:rFonts w:ascii="Arial" w:eastAsia="Cambria" w:hAnsi="Arial" w:cs="Arial"/>
          <w:color w:val="333F48"/>
        </w:rPr>
        <w:t>If additional studies are required, u</w:t>
      </w:r>
      <w:r w:rsidRPr="005B1AE0">
        <w:rPr>
          <w:rFonts w:ascii="Arial" w:eastAsia="Cambria" w:hAnsi="Arial" w:cs="Arial"/>
          <w:color w:val="333F48"/>
        </w:rPr>
        <w:t xml:space="preserve">sability </w:t>
      </w:r>
      <w:r w:rsidR="005B1AE0" w:rsidRPr="005B1AE0">
        <w:rPr>
          <w:rFonts w:ascii="Arial" w:eastAsia="Cambria" w:hAnsi="Arial" w:cs="Arial"/>
          <w:color w:val="333F48"/>
        </w:rPr>
        <w:t>studies for the purpose of ongoing monitoring should meet the requirements for testing sensitivity and specificity, as defined in the guidance:</w:t>
      </w:r>
    </w:p>
    <w:p w14:paraId="20B4F903" w14:textId="0EEBBC92" w:rsidR="005B1AE0" w:rsidRPr="005B1AE0" w:rsidRDefault="005B1AE0" w:rsidP="005B1AE0">
      <w:pPr>
        <w:pStyle w:val="ListBullet"/>
      </w:pPr>
      <w:r w:rsidRPr="005B1AE0">
        <w:t>Diagnostic sensitivity, non-supervised – at least 30 lay users that are known antigen positive</w:t>
      </w:r>
    </w:p>
    <w:p w14:paraId="13471F4C" w14:textId="04ADEB62" w:rsidR="00876825" w:rsidRPr="005B1AE0" w:rsidRDefault="005B1AE0" w:rsidP="00876825">
      <w:pPr>
        <w:pStyle w:val="ListBullet"/>
      </w:pPr>
      <w:r w:rsidRPr="005B1AE0">
        <w:t>Diagnostic specificity, non-supervised – at least 60 lay users that do not know their status</w:t>
      </w:r>
    </w:p>
    <w:p w14:paraId="272CCDF6" w14:textId="3CE72991" w:rsidR="005052FD" w:rsidRPr="005034F3" w:rsidRDefault="00163FFE" w:rsidP="005052FD">
      <w:pPr>
        <w:pStyle w:val="Heading3"/>
      </w:pPr>
      <w:bookmarkStart w:id="17" w:name="_Toc140776961"/>
      <w:r>
        <w:lastRenderedPageBreak/>
        <w:t>Additional monitoring requirements</w:t>
      </w:r>
      <w:r w:rsidR="005052FD">
        <w:t xml:space="preserve"> for combination tests</w:t>
      </w:r>
      <w:bookmarkEnd w:id="17"/>
    </w:p>
    <w:p w14:paraId="2820E61A" w14:textId="2344DBEE" w:rsidR="00E76A84" w:rsidRPr="005B1AE0" w:rsidRDefault="00E76A84" w:rsidP="00E76A84">
      <w:pPr>
        <w:shd w:val="clear" w:color="auto" w:fill="FFFFFF"/>
        <w:rPr>
          <w:rFonts w:ascii="Arial" w:eastAsia="Times New Roman" w:hAnsi="Arial" w:cs="Arial"/>
          <w:color w:val="333F48"/>
          <w:lang w:eastAsia="en-AU"/>
        </w:rPr>
      </w:pPr>
      <w:r>
        <w:rPr>
          <w:rFonts w:ascii="Arial" w:eastAsia="Times New Roman" w:hAnsi="Arial" w:cs="Arial"/>
          <w:color w:val="333F48"/>
          <w:lang w:eastAsia="en-AU"/>
        </w:rPr>
        <w:t>S</w:t>
      </w:r>
      <w:r w:rsidRPr="005B1AE0">
        <w:rPr>
          <w:rFonts w:ascii="Arial" w:eastAsia="Times New Roman" w:hAnsi="Arial" w:cs="Arial"/>
          <w:color w:val="333F48"/>
          <w:lang w:eastAsia="en-AU"/>
        </w:rPr>
        <w:t>ponsors and manufacturers of combination tests have an obligation to undertake ongoing monitoring of device performance against all claimed specimen types, such as COVID-19, influenza A, influenza B, and</w:t>
      </w:r>
      <w:r w:rsidR="00F17EB6">
        <w:rPr>
          <w:rFonts w:ascii="Arial" w:eastAsia="Times New Roman" w:hAnsi="Arial" w:cs="Arial"/>
          <w:color w:val="333F48"/>
          <w:lang w:eastAsia="en-AU"/>
        </w:rPr>
        <w:t xml:space="preserve"> respiratory syncytial virus</w:t>
      </w:r>
      <w:r w:rsidRPr="005B1AE0">
        <w:rPr>
          <w:rFonts w:ascii="Arial" w:eastAsia="Times New Roman" w:hAnsi="Arial" w:cs="Arial"/>
          <w:color w:val="333F48"/>
          <w:lang w:eastAsia="en-AU"/>
        </w:rPr>
        <w:t xml:space="preserve"> </w:t>
      </w:r>
      <w:r w:rsidR="00F17EB6">
        <w:rPr>
          <w:rFonts w:ascii="Arial" w:eastAsia="Times New Roman" w:hAnsi="Arial" w:cs="Arial"/>
          <w:color w:val="333F48"/>
          <w:lang w:eastAsia="en-AU"/>
        </w:rPr>
        <w:t>(</w:t>
      </w:r>
      <w:r w:rsidRPr="005B1AE0">
        <w:rPr>
          <w:rFonts w:ascii="Arial" w:eastAsia="Times New Roman" w:hAnsi="Arial" w:cs="Arial"/>
          <w:color w:val="333F48"/>
          <w:lang w:eastAsia="en-AU"/>
        </w:rPr>
        <w:t>RSV</w:t>
      </w:r>
      <w:r w:rsidR="00F17EB6">
        <w:rPr>
          <w:rFonts w:ascii="Arial" w:eastAsia="Times New Roman" w:hAnsi="Arial" w:cs="Arial"/>
          <w:color w:val="333F48"/>
          <w:lang w:eastAsia="en-AU"/>
        </w:rPr>
        <w:t>)</w:t>
      </w:r>
      <w:r w:rsidRPr="005B1AE0">
        <w:rPr>
          <w:rFonts w:ascii="Arial" w:eastAsia="Times New Roman" w:hAnsi="Arial" w:cs="Arial"/>
          <w:color w:val="333F48"/>
          <w:lang w:eastAsia="en-AU"/>
        </w:rPr>
        <w:t>.</w:t>
      </w:r>
    </w:p>
    <w:p w14:paraId="2DD5B945" w14:textId="28367F8D" w:rsidR="005B1AE0" w:rsidRDefault="005B1AE0" w:rsidP="005B1AE0">
      <w:pPr>
        <w:shd w:val="clear" w:color="auto" w:fill="FFFFFF"/>
        <w:rPr>
          <w:rFonts w:ascii="Arial" w:eastAsia="Times New Roman" w:hAnsi="Arial" w:cs="Arial"/>
          <w:color w:val="333F48"/>
          <w:lang w:eastAsia="en-AU"/>
        </w:rPr>
      </w:pPr>
      <w:r w:rsidRPr="005B1AE0">
        <w:rPr>
          <w:rFonts w:ascii="Arial" w:eastAsia="Times New Roman" w:hAnsi="Arial" w:cs="Arial"/>
          <w:color w:val="333F48"/>
          <w:lang w:eastAsia="en-AU"/>
        </w:rPr>
        <w:t xml:space="preserve">Combination tests are expected to </w:t>
      </w:r>
      <w:r w:rsidR="004369A7" w:rsidRPr="004369A7">
        <w:rPr>
          <w:rFonts w:ascii="Arial" w:eastAsia="Times New Roman" w:hAnsi="Arial" w:cs="Arial"/>
          <w:lang w:eastAsia="en-AU"/>
        </w:rPr>
        <w:t>demonstrate ongoing performance</w:t>
      </w:r>
      <w:r w:rsidRPr="005B1AE0">
        <w:rPr>
          <w:rFonts w:ascii="Arial" w:eastAsia="Times New Roman" w:hAnsi="Arial" w:cs="Arial"/>
          <w:color w:val="333F48"/>
          <w:lang w:eastAsia="en-AU"/>
        </w:rPr>
        <w:t xml:space="preserve"> in the same manner as other COVID-19 IVDs, such as demonstrations of clinical performance or analytical sensitivity.</w:t>
      </w:r>
    </w:p>
    <w:p w14:paraId="4DC7FC58" w14:textId="7D3A8D45" w:rsidR="004369A7" w:rsidRDefault="004369A7" w:rsidP="005B1AE0">
      <w:pPr>
        <w:shd w:val="clear" w:color="auto" w:fill="FFFFFF"/>
        <w:rPr>
          <w:rFonts w:ascii="Arial" w:eastAsia="Times New Roman" w:hAnsi="Arial" w:cs="Arial"/>
          <w:color w:val="333F48"/>
          <w:lang w:eastAsia="en-AU"/>
        </w:rPr>
      </w:pPr>
      <w:r w:rsidRPr="004369A7">
        <w:rPr>
          <w:rFonts w:ascii="Arial" w:eastAsia="Times New Roman" w:hAnsi="Arial" w:cs="Arial"/>
          <w:color w:val="333F48"/>
          <w:lang w:eastAsia="en-AU"/>
        </w:rPr>
        <w:t xml:space="preserve">Combination tests are required to submit cross-reactivity studies at the time of application for inclusion, to demonstrate the performance of the device for each specimen type. The requirements for cross-reactivity studies are detailed in the </w:t>
      </w:r>
      <w:hyperlink r:id="rId34" w:history="1">
        <w:r w:rsidRPr="004369A7">
          <w:rPr>
            <w:rStyle w:val="Hyperlink"/>
            <w:rFonts w:eastAsia="Times New Roman" w:cs="Arial"/>
            <w:lang w:eastAsia="en-AU"/>
          </w:rPr>
          <w:t>seasonal influenza rapid antigen and combination tests guidance</w:t>
        </w:r>
      </w:hyperlink>
      <w:r w:rsidRPr="004369A7">
        <w:rPr>
          <w:rFonts w:ascii="Arial" w:eastAsia="Times New Roman" w:hAnsi="Arial" w:cs="Arial"/>
          <w:color w:val="333F48"/>
          <w:lang w:eastAsia="en-AU"/>
        </w:rPr>
        <w:t>.</w:t>
      </w:r>
    </w:p>
    <w:p w14:paraId="4A4A88B3" w14:textId="0503AB5F" w:rsidR="00272278" w:rsidRPr="005B1AE0" w:rsidRDefault="00272278" w:rsidP="005B1AE0">
      <w:pPr>
        <w:shd w:val="clear" w:color="auto" w:fill="FFFFFF"/>
        <w:rPr>
          <w:rFonts w:ascii="Arial" w:eastAsia="Times New Roman" w:hAnsi="Arial" w:cs="Arial"/>
          <w:color w:val="333F48"/>
          <w:lang w:eastAsia="en-AU"/>
        </w:rPr>
      </w:pPr>
      <w:r w:rsidRPr="00272278">
        <w:rPr>
          <w:rFonts w:ascii="Arial" w:eastAsia="Times New Roman" w:hAnsi="Arial" w:cs="Arial"/>
          <w:color w:val="333F48"/>
          <w:lang w:eastAsia="en-AU"/>
        </w:rPr>
        <w:t>If during the course of surveillance of device performance, the manufacturer identifies signals related to the performance of combination tests that could be related to the emergence of new variants or subtypes of the viruses detected by the device, or potential cross-reactivity between the viruses detected, the manufacturer would be expected to evaluate those issues, and complete additional studies – for analytical or clinical sensitivity, or cross-reactivity – if the issue is deemed to be significant.</w:t>
      </w:r>
    </w:p>
    <w:p w14:paraId="22815935" w14:textId="6DAFEA70" w:rsidR="005052FD" w:rsidRPr="005034F3" w:rsidRDefault="005052FD" w:rsidP="005052FD">
      <w:pPr>
        <w:pStyle w:val="Heading3"/>
      </w:pPr>
      <w:bookmarkStart w:id="18" w:name="_Toc140776962"/>
      <w:r>
        <w:t>Sequence alignment for molecular tests</w:t>
      </w:r>
      <w:bookmarkEnd w:id="18"/>
    </w:p>
    <w:p w14:paraId="4CD961D2" w14:textId="24B5392A" w:rsidR="005B1AE0" w:rsidRPr="005B1AE0" w:rsidRDefault="005B1AE0" w:rsidP="005B1AE0">
      <w:pPr>
        <w:rPr>
          <w:rFonts w:ascii="Arial" w:eastAsia="Cambria" w:hAnsi="Arial" w:cs="Arial"/>
          <w:color w:val="333F48"/>
        </w:rPr>
      </w:pPr>
      <w:r w:rsidRPr="005B1AE0">
        <w:rPr>
          <w:rFonts w:ascii="Arial" w:eastAsia="Times New Roman" w:hAnsi="Arial" w:cs="Arial"/>
          <w:color w:val="333F48"/>
          <w:lang w:eastAsia="en-AU"/>
        </w:rPr>
        <w:t xml:space="preserve">Molecular tests, including polymerase chain reaction (PCR) assays and other </w:t>
      </w:r>
      <w:r w:rsidR="00DF58FD">
        <w:rPr>
          <w:rFonts w:ascii="Arial" w:eastAsia="Times New Roman" w:hAnsi="Arial" w:cs="Arial"/>
          <w:color w:val="333F48"/>
          <w:lang w:eastAsia="en-AU"/>
        </w:rPr>
        <w:t>NATs</w:t>
      </w:r>
      <w:r w:rsidRPr="005B1AE0">
        <w:rPr>
          <w:rFonts w:ascii="Arial" w:eastAsia="Times New Roman" w:hAnsi="Arial" w:cs="Arial"/>
          <w:color w:val="333F48"/>
          <w:lang w:eastAsia="en-AU"/>
        </w:rPr>
        <w:t>, require ongoing monitoring to evaluate the impact of SARS-CoV-2 mutations on device performance. As molecular test performance depends on the fidelity of primers and probes used, they are highly susceptible to virus mutations if those mutations occur in the sequences recognised by the test.</w:t>
      </w:r>
    </w:p>
    <w:p w14:paraId="4A8AA0E3" w14:textId="77777777" w:rsidR="005B1AE0" w:rsidRPr="005B1AE0" w:rsidRDefault="005B1AE0" w:rsidP="005B1AE0">
      <w:pPr>
        <w:rPr>
          <w:rFonts w:ascii="Arial" w:eastAsia="Times New Roman" w:hAnsi="Arial" w:cs="Arial"/>
          <w:color w:val="333F48"/>
          <w:lang w:eastAsia="en-AU"/>
        </w:rPr>
      </w:pPr>
      <w:r w:rsidRPr="005B1AE0">
        <w:rPr>
          <w:rFonts w:ascii="Arial" w:eastAsia="Times New Roman" w:hAnsi="Arial" w:cs="Arial"/>
          <w:color w:val="333F48"/>
          <w:lang w:eastAsia="en-AU"/>
        </w:rPr>
        <w:t>Manufacturers are expected to monitor device performance as new variants of SARS-CoV-2 emerge, such as use of sequence alignment to identify if mutations present in new variants overlap with the primers and probes used in the test.</w:t>
      </w:r>
    </w:p>
    <w:p w14:paraId="12013441" w14:textId="44AF669E" w:rsidR="005B1AE0" w:rsidRDefault="005B1AE0" w:rsidP="005034F3">
      <w:pPr>
        <w:rPr>
          <w:rFonts w:ascii="Arial" w:eastAsia="Times New Roman" w:hAnsi="Arial" w:cs="Arial"/>
          <w:color w:val="313131"/>
          <w:lang w:eastAsia="en-AU"/>
        </w:rPr>
      </w:pPr>
      <w:r w:rsidRPr="005B1AE0">
        <w:rPr>
          <w:rFonts w:ascii="Arial" w:eastAsia="Times New Roman" w:hAnsi="Arial" w:cs="Arial"/>
          <w:color w:val="333F48"/>
          <w:lang w:eastAsia="en-AU"/>
        </w:rPr>
        <w:t xml:space="preserve">The U.S. FDA has published </w:t>
      </w:r>
      <w:hyperlink r:id="rId35" w:history="1">
        <w:r w:rsidRPr="005B1AE0">
          <w:rPr>
            <w:rStyle w:val="Hyperlink"/>
            <w:rFonts w:eastAsia="Times New Roman" w:cs="Arial"/>
            <w:lang w:eastAsia="en-AU"/>
          </w:rPr>
          <w:t>guidance</w:t>
        </w:r>
      </w:hyperlink>
      <w:r w:rsidRPr="005B1AE0">
        <w:rPr>
          <w:rFonts w:ascii="Arial" w:eastAsia="Times New Roman" w:hAnsi="Arial" w:cs="Arial"/>
          <w:color w:val="333F48"/>
          <w:lang w:eastAsia="en-AU"/>
        </w:rPr>
        <w:t xml:space="preserve"> that provides further information for manufacturers on proactive monitoring of molecular test performance. This guidance includes details of the steps that manufacturers are encouraged to take if a mutation is found, including </w:t>
      </w:r>
      <w:r w:rsidRPr="005B1AE0">
        <w:rPr>
          <w:rFonts w:ascii="Arial" w:eastAsia="Times New Roman" w:hAnsi="Arial" w:cs="Arial"/>
          <w:i/>
          <w:iCs/>
          <w:color w:val="333F48"/>
          <w:lang w:eastAsia="en-AU"/>
        </w:rPr>
        <w:t xml:space="preserve">in silico </w:t>
      </w:r>
      <w:r w:rsidRPr="005B1AE0">
        <w:rPr>
          <w:rFonts w:ascii="Arial" w:eastAsia="Times New Roman" w:hAnsi="Arial" w:cs="Arial"/>
          <w:color w:val="333F48"/>
          <w:lang w:eastAsia="en-AU"/>
        </w:rPr>
        <w:t>calculation of hybridisation temperature, wet laboratory testing of isolated genetic material, and wet laboratory testing of virus isolates or clinical samples.</w:t>
      </w:r>
    </w:p>
    <w:p w14:paraId="050AA247" w14:textId="35CFA2C1" w:rsidR="005052FD" w:rsidRDefault="005052FD" w:rsidP="005052FD">
      <w:pPr>
        <w:pStyle w:val="Heading2"/>
      </w:pPr>
      <w:bookmarkStart w:id="19" w:name="_Toc140776963"/>
      <w:r>
        <w:t>Ensuring compliance with Essential Principles</w:t>
      </w:r>
      <w:bookmarkEnd w:id="19"/>
    </w:p>
    <w:p w14:paraId="595C4308" w14:textId="735928D7" w:rsidR="005B1AE0" w:rsidRPr="005B1AE0" w:rsidRDefault="00FE4EE3" w:rsidP="005B1AE0">
      <w:pPr>
        <w:rPr>
          <w:rFonts w:ascii="Arial" w:hAnsi="Arial" w:cs="Arial"/>
          <w:color w:val="333F48"/>
        </w:rPr>
      </w:pPr>
      <w:r>
        <w:rPr>
          <w:rFonts w:ascii="Arial" w:hAnsi="Arial" w:cs="Arial"/>
          <w:color w:val="333F48"/>
        </w:rPr>
        <w:t>M</w:t>
      </w:r>
      <w:r w:rsidR="005B1AE0" w:rsidRPr="005B1AE0">
        <w:rPr>
          <w:rFonts w:ascii="Arial" w:hAnsi="Arial" w:cs="Arial"/>
          <w:color w:val="333F48"/>
        </w:rPr>
        <w:t xml:space="preserve">edical devices </w:t>
      </w:r>
      <w:r>
        <w:rPr>
          <w:rFonts w:ascii="Arial" w:hAnsi="Arial" w:cs="Arial"/>
          <w:color w:val="333F48"/>
        </w:rPr>
        <w:t xml:space="preserve">including IVDs </w:t>
      </w:r>
      <w:r w:rsidR="005B1AE0" w:rsidRPr="005B1AE0">
        <w:rPr>
          <w:rFonts w:ascii="Arial" w:hAnsi="Arial" w:cs="Arial"/>
          <w:color w:val="333F48"/>
        </w:rPr>
        <w:t xml:space="preserve">must comply with the </w:t>
      </w:r>
      <w:hyperlink r:id="rId36" w:history="1">
        <w:r w:rsidR="005B1AE0" w:rsidRPr="005B1AE0">
          <w:rPr>
            <w:rStyle w:val="Hyperlink"/>
            <w:rFonts w:cs="Arial"/>
          </w:rPr>
          <w:t>Essential Principles (EPs)</w:t>
        </w:r>
      </w:hyperlink>
      <w:r w:rsidR="005B1AE0" w:rsidRPr="005B1AE0">
        <w:rPr>
          <w:rFonts w:ascii="Arial" w:hAnsi="Arial" w:cs="Arial"/>
          <w:color w:val="333F48"/>
        </w:rPr>
        <w:t xml:space="preserve">, which set out fundamental safety and performance requirements. The EPs are detailed in Schedule 1 of the </w:t>
      </w:r>
      <w:hyperlink r:id="rId37" w:history="1">
        <w:r w:rsidR="005B1AE0" w:rsidRPr="005B1AE0">
          <w:rPr>
            <w:rStyle w:val="Hyperlink"/>
            <w:rFonts w:cs="Arial"/>
          </w:rPr>
          <w:t>Therapeutic Goods (Medical Devices) Regulations 2002</w:t>
        </w:r>
      </w:hyperlink>
      <w:r w:rsidR="005B1AE0" w:rsidRPr="005B1AE0">
        <w:rPr>
          <w:rFonts w:ascii="Arial" w:hAnsi="Arial" w:cs="Arial"/>
          <w:color w:val="333F48"/>
        </w:rPr>
        <w:t xml:space="preserve">. </w:t>
      </w:r>
    </w:p>
    <w:p w14:paraId="7A47A795" w14:textId="63945B1E" w:rsidR="005052FD" w:rsidRDefault="005B1AE0" w:rsidP="005052FD">
      <w:pPr>
        <w:rPr>
          <w:rFonts w:ascii="Arial" w:hAnsi="Arial" w:cs="Arial"/>
          <w:color w:val="333F48"/>
        </w:rPr>
      </w:pPr>
      <w:r w:rsidRPr="005B1AE0">
        <w:rPr>
          <w:rFonts w:ascii="Arial" w:hAnsi="Arial" w:cs="Arial"/>
          <w:color w:val="333F48"/>
        </w:rPr>
        <w:t xml:space="preserve">The </w:t>
      </w:r>
      <w:hyperlink r:id="rId38" w:history="1">
        <w:r w:rsidRPr="005B1AE0">
          <w:rPr>
            <w:rStyle w:val="Hyperlink"/>
            <w:rFonts w:cs="Arial"/>
          </w:rPr>
          <w:t>Essential Principles checklist</w:t>
        </w:r>
      </w:hyperlink>
      <w:r w:rsidRPr="005B1AE0">
        <w:rPr>
          <w:rFonts w:ascii="Arial" w:hAnsi="Arial" w:cs="Arial"/>
          <w:color w:val="333F48"/>
        </w:rPr>
        <w:t xml:space="preserve"> may help you identify the Principles that apply to your device, give a rationale for each of the Principles that aren’t relevant, and summarise the evidence you hold in support of each of the relevant Principles.</w:t>
      </w:r>
    </w:p>
    <w:p w14:paraId="1BE95BBF" w14:textId="24A751C4" w:rsidR="000E0F7B" w:rsidRDefault="000E0F7B" w:rsidP="000E0F7B">
      <w:pPr>
        <w:pStyle w:val="Heading2"/>
      </w:pPr>
      <w:bookmarkStart w:id="20" w:name="_Toc140776964"/>
      <w:r>
        <w:t>Consent to Supply</w:t>
      </w:r>
      <w:bookmarkEnd w:id="20"/>
    </w:p>
    <w:p w14:paraId="76CDF64B" w14:textId="3F851145" w:rsidR="000E0F7B" w:rsidRDefault="000E0F7B" w:rsidP="000E0F7B">
      <w:pPr>
        <w:rPr>
          <w:rFonts w:ascii="Arial" w:hAnsi="Arial" w:cs="Arial"/>
          <w:color w:val="333F48"/>
        </w:rPr>
      </w:pPr>
      <w:r>
        <w:rPr>
          <w:rFonts w:ascii="Arial" w:hAnsi="Arial" w:cs="Arial"/>
          <w:color w:val="333F48"/>
        </w:rPr>
        <w:t>There may be extenuating circumstances preventing compliance to one or more EP</w:t>
      </w:r>
      <w:r w:rsidR="00883E98">
        <w:rPr>
          <w:rFonts w:ascii="Arial" w:hAnsi="Arial" w:cs="Arial"/>
          <w:color w:val="333F48"/>
        </w:rPr>
        <w:t>s</w:t>
      </w:r>
      <w:r>
        <w:rPr>
          <w:rFonts w:ascii="Arial" w:hAnsi="Arial" w:cs="Arial"/>
          <w:color w:val="333F48"/>
        </w:rPr>
        <w:t xml:space="preserve"> for a limited </w:t>
      </w:r>
      <w:proofErr w:type="gramStart"/>
      <w:r>
        <w:rPr>
          <w:rFonts w:ascii="Arial" w:hAnsi="Arial" w:cs="Arial"/>
          <w:color w:val="333F48"/>
        </w:rPr>
        <w:t>period of time</w:t>
      </w:r>
      <w:proofErr w:type="gramEnd"/>
      <w:r>
        <w:rPr>
          <w:rFonts w:ascii="Arial" w:hAnsi="Arial" w:cs="Arial"/>
          <w:color w:val="333F48"/>
        </w:rPr>
        <w:t xml:space="preserve">. In such circumstances, sponsors may </w:t>
      </w:r>
      <w:hyperlink r:id="rId39" w:history="1">
        <w:r w:rsidRPr="00277B71">
          <w:rPr>
            <w:rStyle w:val="Hyperlink"/>
            <w:rFonts w:cs="Arial"/>
          </w:rPr>
          <w:t>req</w:t>
        </w:r>
        <w:r w:rsidRPr="000E0F7B">
          <w:rPr>
            <w:rStyle w:val="Hyperlink"/>
            <w:rFonts w:cs="Arial"/>
          </w:rPr>
          <w:t>uest consent</w:t>
        </w:r>
      </w:hyperlink>
      <w:r>
        <w:rPr>
          <w:rFonts w:ascii="Arial" w:hAnsi="Arial" w:cs="Arial"/>
          <w:color w:val="333F48"/>
        </w:rPr>
        <w:t xml:space="preserve"> to import, supply or export </w:t>
      </w:r>
      <w:r w:rsidR="00BA465F">
        <w:rPr>
          <w:rFonts w:ascii="Arial" w:hAnsi="Arial" w:cs="Arial"/>
          <w:color w:val="333F48"/>
        </w:rPr>
        <w:t xml:space="preserve">IVD </w:t>
      </w:r>
      <w:r>
        <w:rPr>
          <w:rFonts w:ascii="Arial" w:hAnsi="Arial" w:cs="Arial"/>
          <w:color w:val="333F48"/>
        </w:rPr>
        <w:t xml:space="preserve">medical devices that </w:t>
      </w:r>
      <w:r w:rsidR="00883E98">
        <w:rPr>
          <w:rFonts w:ascii="Arial" w:hAnsi="Arial" w:cs="Arial"/>
          <w:color w:val="333F48"/>
        </w:rPr>
        <w:t>are not compliant with</w:t>
      </w:r>
      <w:r>
        <w:rPr>
          <w:rFonts w:ascii="Arial" w:hAnsi="Arial" w:cs="Arial"/>
          <w:color w:val="333F48"/>
        </w:rPr>
        <w:t xml:space="preserve"> an EP.</w:t>
      </w:r>
    </w:p>
    <w:p w14:paraId="2620BB2E" w14:textId="69CBC158" w:rsidR="000E0F7B" w:rsidRDefault="000E0F7B" w:rsidP="000E0F7B">
      <w:pPr>
        <w:rPr>
          <w:rFonts w:ascii="Arial" w:hAnsi="Arial" w:cs="Arial"/>
          <w:color w:val="333F48"/>
        </w:rPr>
      </w:pPr>
      <w:r>
        <w:rPr>
          <w:rFonts w:ascii="Arial" w:hAnsi="Arial" w:cs="Arial"/>
          <w:color w:val="333F48"/>
        </w:rPr>
        <w:t xml:space="preserve">When </w:t>
      </w:r>
      <w:hyperlink r:id="rId40" w:history="1">
        <w:r w:rsidRPr="000E0F7B">
          <w:rPr>
            <w:rStyle w:val="Hyperlink"/>
            <w:rFonts w:cs="Arial"/>
          </w:rPr>
          <w:t>consent to supply</w:t>
        </w:r>
      </w:hyperlink>
      <w:r>
        <w:rPr>
          <w:rFonts w:ascii="Arial" w:hAnsi="Arial" w:cs="Arial"/>
          <w:color w:val="333F48"/>
        </w:rPr>
        <w:t xml:space="preserve"> (CTS) is granted for a </w:t>
      </w:r>
      <w:r w:rsidRPr="00A51ECF">
        <w:rPr>
          <w:rFonts w:ascii="Arial" w:hAnsi="Arial" w:cs="Arial"/>
          <w:color w:val="333F48"/>
        </w:rPr>
        <w:t>medical device</w:t>
      </w:r>
      <w:r w:rsidR="00883E98" w:rsidRPr="00A51ECF">
        <w:rPr>
          <w:rFonts w:ascii="Arial" w:hAnsi="Arial" w:cs="Arial"/>
          <w:color w:val="333F48"/>
        </w:rPr>
        <w:t xml:space="preserve"> or IVD</w:t>
      </w:r>
      <w:r>
        <w:rPr>
          <w:rFonts w:ascii="Arial" w:hAnsi="Arial" w:cs="Arial"/>
          <w:color w:val="333F48"/>
        </w:rPr>
        <w:t xml:space="preserve"> that is non-compliant with the EPs, the ongoing regulatory responsibilities of the sponsor remain.</w:t>
      </w:r>
    </w:p>
    <w:p w14:paraId="40B514B3" w14:textId="70FEA5EF" w:rsidR="000E0F7B" w:rsidRDefault="00277B71" w:rsidP="000E0F7B">
      <w:pPr>
        <w:rPr>
          <w:rFonts w:ascii="Arial" w:hAnsi="Arial" w:cs="Arial"/>
          <w:color w:val="333F48"/>
        </w:rPr>
      </w:pPr>
      <w:r w:rsidRPr="00277B71">
        <w:rPr>
          <w:rFonts w:ascii="Arial" w:hAnsi="Arial" w:cs="Arial"/>
          <w:color w:val="333F48"/>
        </w:rPr>
        <w:lastRenderedPageBreak/>
        <w:t xml:space="preserve">There are criminal offences under section 41MA and civil penalties under section 41MAA of the </w:t>
      </w:r>
      <w:r w:rsidRPr="00F17EB6">
        <w:rPr>
          <w:rFonts w:ascii="Arial" w:hAnsi="Arial" w:cs="Arial"/>
          <w:i/>
          <w:iCs/>
          <w:color w:val="333F48"/>
        </w:rPr>
        <w:t>Therapeutic Goods Act 1989</w:t>
      </w:r>
      <w:r w:rsidRPr="00277B71">
        <w:rPr>
          <w:rFonts w:ascii="Arial" w:hAnsi="Arial" w:cs="Arial"/>
          <w:color w:val="333F48"/>
        </w:rPr>
        <w:t xml:space="preserve"> (the Act), for importing, supplying, or exporting medical devices that do not meet the </w:t>
      </w:r>
      <w:r>
        <w:rPr>
          <w:rFonts w:ascii="Arial" w:hAnsi="Arial" w:cs="Arial"/>
          <w:color w:val="333F48"/>
        </w:rPr>
        <w:t>EPs</w:t>
      </w:r>
      <w:r w:rsidRPr="00277B71">
        <w:rPr>
          <w:rFonts w:ascii="Arial" w:hAnsi="Arial" w:cs="Arial"/>
          <w:color w:val="333F48"/>
        </w:rPr>
        <w:t xml:space="preserve"> for safety and performance, unless consent has been granted by the Secretary of the Department of Health and Aged Care.</w:t>
      </w:r>
    </w:p>
    <w:p w14:paraId="0AB63924" w14:textId="18E0CCA8" w:rsidR="00277B71" w:rsidRDefault="00277B71" w:rsidP="00A51ECF">
      <w:pPr>
        <w:pStyle w:val="Heading2"/>
      </w:pPr>
      <w:bookmarkStart w:id="21" w:name="_Toc140776965"/>
      <w:r>
        <w:t>Conformity Assessment Certification</w:t>
      </w:r>
      <w:bookmarkEnd w:id="21"/>
    </w:p>
    <w:p w14:paraId="17A67829" w14:textId="6C0EFA28" w:rsidR="00277B71" w:rsidRDefault="00277B71" w:rsidP="00277B71">
      <w:pPr>
        <w:rPr>
          <w:rFonts w:ascii="Arial" w:hAnsi="Arial" w:cs="Arial"/>
          <w:color w:val="333F48"/>
        </w:rPr>
      </w:pPr>
      <w:r>
        <w:rPr>
          <w:rFonts w:ascii="Arial" w:hAnsi="Arial" w:cs="Arial"/>
          <w:color w:val="333F48"/>
        </w:rPr>
        <w:t xml:space="preserve">The sponsor and manufacturer are responsible for ensuring that the </w:t>
      </w:r>
      <w:r w:rsidR="00F85EED">
        <w:rPr>
          <w:rFonts w:ascii="Arial" w:hAnsi="Arial" w:cs="Arial"/>
          <w:color w:val="333F48"/>
        </w:rPr>
        <w:t>manufacturer’s</w:t>
      </w:r>
      <w:r>
        <w:rPr>
          <w:rFonts w:ascii="Arial" w:hAnsi="Arial" w:cs="Arial"/>
          <w:color w:val="333F48"/>
        </w:rPr>
        <w:t xml:space="preserve"> </w:t>
      </w:r>
      <w:hyperlink r:id="rId41" w:history="1">
        <w:r w:rsidRPr="00D866F0">
          <w:rPr>
            <w:rStyle w:val="Hyperlink"/>
            <w:rFonts w:cs="Arial"/>
          </w:rPr>
          <w:t>conformity assessment certification</w:t>
        </w:r>
      </w:hyperlink>
      <w:r>
        <w:rPr>
          <w:rFonts w:ascii="Arial" w:hAnsi="Arial" w:cs="Arial"/>
          <w:color w:val="333F48"/>
        </w:rPr>
        <w:t xml:space="preserve"> for the Device is current and valid</w:t>
      </w:r>
      <w:r w:rsidRPr="00F85EED">
        <w:rPr>
          <w:rFonts w:ascii="Arial" w:hAnsi="Arial" w:cs="Arial"/>
          <w:color w:val="333F48"/>
        </w:rPr>
        <w:t>. Certification may no longer be valid due to the certification expiring, or if it has been suspended or revoked.</w:t>
      </w:r>
      <w:r w:rsidR="00F85EED" w:rsidRPr="00F85EED">
        <w:rPr>
          <w:rFonts w:ascii="Arial" w:hAnsi="Arial" w:cs="Arial"/>
          <w:color w:val="333F48"/>
        </w:rPr>
        <w:t xml:space="preserve"> </w:t>
      </w:r>
    </w:p>
    <w:p w14:paraId="5D7B1D0D" w14:textId="22969BF9" w:rsidR="00883E98" w:rsidRDefault="00883E98" w:rsidP="00277B71">
      <w:pPr>
        <w:rPr>
          <w:rFonts w:ascii="Arial" w:hAnsi="Arial" w:cs="Arial"/>
          <w:color w:val="333F48"/>
        </w:rPr>
      </w:pPr>
      <w:r w:rsidRPr="00883E98">
        <w:rPr>
          <w:rFonts w:ascii="Arial" w:hAnsi="Arial" w:cs="Arial"/>
          <w:color w:val="333F48"/>
        </w:rPr>
        <w:t xml:space="preserve">There are criminal and civil penalty sanctions if a sponsor fails to </w:t>
      </w:r>
      <w:hyperlink r:id="rId42" w:history="1">
        <w:r w:rsidR="00866068">
          <w:rPr>
            <w:rFonts w:ascii="Arial" w:hAnsi="Arial" w:cs="Arial"/>
            <w:color w:val="0000FF"/>
            <w:u w:val="single"/>
            <w:lang w:eastAsia="en-AU"/>
          </w:rPr>
          <w:t>notify us</w:t>
        </w:r>
      </w:hyperlink>
      <w:r w:rsidRPr="00883E98">
        <w:rPr>
          <w:rFonts w:ascii="Arial" w:hAnsi="Arial" w:cs="Arial"/>
          <w:color w:val="333F48"/>
        </w:rPr>
        <w:t xml:space="preserve"> within 60 days of becoming aware that their conformity assessment certificate used to support the application for inclusion in the ARTG (other than a conformity assessment certificate issued by the TGA) has been restricted, suspended, revoked, or is no longer in effect.</w:t>
      </w:r>
    </w:p>
    <w:p w14:paraId="17CF06DF" w14:textId="68A52F75" w:rsidR="00113F87" w:rsidRDefault="009B45F8" w:rsidP="00113F87">
      <w:pPr>
        <w:rPr>
          <w:rFonts w:ascii="Arial" w:hAnsi="Arial" w:cs="Arial"/>
          <w:color w:val="333F48"/>
        </w:rPr>
      </w:pPr>
      <w:bookmarkStart w:id="22" w:name="_Hlk139377898"/>
      <w:r>
        <w:rPr>
          <w:rFonts w:ascii="Arial" w:hAnsi="Arial" w:cs="Arial"/>
          <w:color w:val="333F48"/>
        </w:rPr>
        <w:t>Forms of a</w:t>
      </w:r>
      <w:r w:rsidR="00113F87">
        <w:rPr>
          <w:rFonts w:ascii="Arial" w:hAnsi="Arial" w:cs="Arial"/>
          <w:color w:val="333F48"/>
        </w:rPr>
        <w:t xml:space="preserve">cceptable certification </w:t>
      </w:r>
      <w:r>
        <w:rPr>
          <w:rFonts w:ascii="Arial" w:hAnsi="Arial" w:cs="Arial"/>
          <w:color w:val="333F48"/>
        </w:rPr>
        <w:t>include</w:t>
      </w:r>
      <w:r w:rsidR="00113F87">
        <w:rPr>
          <w:rFonts w:ascii="Arial" w:hAnsi="Arial" w:cs="Arial"/>
          <w:color w:val="333F48"/>
        </w:rPr>
        <w:t xml:space="preserve"> </w:t>
      </w:r>
      <w:hyperlink r:id="rId43" w:history="1">
        <w:r w:rsidR="00113F87" w:rsidRPr="009B45F8">
          <w:rPr>
            <w:rStyle w:val="Hyperlink"/>
            <w:rFonts w:cs="Arial"/>
          </w:rPr>
          <w:t>TGA Conformity Assessment Certificate</w:t>
        </w:r>
        <w:r w:rsidRPr="009B45F8">
          <w:rPr>
            <w:rStyle w:val="Hyperlink"/>
            <w:rFonts w:cs="Arial"/>
          </w:rPr>
          <w:t>s</w:t>
        </w:r>
      </w:hyperlink>
      <w:r>
        <w:rPr>
          <w:rFonts w:ascii="Arial" w:hAnsi="Arial" w:cs="Arial"/>
          <w:color w:val="333F48"/>
        </w:rPr>
        <w:t xml:space="preserve">, </w:t>
      </w:r>
      <w:r w:rsidR="00113F87">
        <w:rPr>
          <w:rFonts w:ascii="Arial" w:hAnsi="Arial" w:cs="Arial"/>
          <w:color w:val="333F48"/>
        </w:rPr>
        <w:t>overseas market authorisation evidence</w:t>
      </w:r>
      <w:r>
        <w:rPr>
          <w:rFonts w:ascii="Arial" w:hAnsi="Arial" w:cs="Arial"/>
          <w:color w:val="333F48"/>
        </w:rPr>
        <w:t>,</w:t>
      </w:r>
      <w:r w:rsidR="00113F87">
        <w:rPr>
          <w:rFonts w:ascii="Arial" w:hAnsi="Arial" w:cs="Arial"/>
          <w:color w:val="333F48"/>
        </w:rPr>
        <w:t xml:space="preserve"> or conformity assessment documents relating to the manufacturer’s quality management system from a </w:t>
      </w:r>
      <w:hyperlink r:id="rId44" w:history="1">
        <w:r w:rsidR="00113F87" w:rsidRPr="009B45F8">
          <w:rPr>
            <w:rStyle w:val="Hyperlink"/>
            <w:rFonts w:cs="Arial"/>
          </w:rPr>
          <w:t>comparable overseas national regulatory authority</w:t>
        </w:r>
      </w:hyperlink>
      <w:r>
        <w:rPr>
          <w:rFonts w:ascii="Arial" w:hAnsi="Arial" w:cs="Arial"/>
          <w:color w:val="333F48"/>
        </w:rPr>
        <w:t>, such as the Medical Device Single Audit Program (</w:t>
      </w:r>
      <w:hyperlink r:id="rId45" w:history="1">
        <w:r w:rsidRPr="009B45F8">
          <w:rPr>
            <w:rStyle w:val="Hyperlink"/>
            <w:rFonts w:cs="Arial"/>
          </w:rPr>
          <w:t>MDSAP</w:t>
        </w:r>
      </w:hyperlink>
      <w:r>
        <w:rPr>
          <w:rFonts w:ascii="Arial" w:hAnsi="Arial" w:cs="Arial"/>
          <w:color w:val="333F48"/>
        </w:rPr>
        <w:t>)</w:t>
      </w:r>
      <w:r w:rsidR="00113F87">
        <w:rPr>
          <w:rFonts w:ascii="Arial" w:hAnsi="Arial" w:cs="Arial"/>
          <w:color w:val="333F48"/>
        </w:rPr>
        <w:t>.</w:t>
      </w:r>
    </w:p>
    <w:p w14:paraId="53783F48" w14:textId="15356DB2" w:rsidR="00840FE0" w:rsidRDefault="00840FE0" w:rsidP="00277B71">
      <w:pPr>
        <w:rPr>
          <w:rFonts w:ascii="Arial" w:hAnsi="Arial" w:cs="Arial"/>
          <w:color w:val="333F48"/>
        </w:rPr>
      </w:pPr>
      <w:bookmarkStart w:id="23" w:name="_Hlk139377923"/>
      <w:bookmarkEnd w:id="22"/>
      <w:r>
        <w:rPr>
          <w:rFonts w:ascii="Arial" w:hAnsi="Arial" w:cs="Arial"/>
          <w:color w:val="333F48"/>
        </w:rPr>
        <w:t xml:space="preserve">Many sponsors and manufacturers of IVD medical devices will need to </w:t>
      </w:r>
      <w:hyperlink r:id="rId46" w:history="1">
        <w:r w:rsidRPr="00113F87">
          <w:rPr>
            <w:rStyle w:val="Hyperlink"/>
            <w:rFonts w:cs="Arial"/>
          </w:rPr>
          <w:t>transition to new manufacturer evidence</w:t>
        </w:r>
      </w:hyperlink>
      <w:r>
        <w:rPr>
          <w:rFonts w:ascii="Arial" w:hAnsi="Arial" w:cs="Arial"/>
          <w:color w:val="333F48"/>
        </w:rPr>
        <w:t xml:space="preserve"> due to:</w:t>
      </w:r>
    </w:p>
    <w:p w14:paraId="5781C7A8" w14:textId="6B6C98F9" w:rsidR="00840FE0" w:rsidRDefault="00840FE0" w:rsidP="008C5A9F">
      <w:pPr>
        <w:pStyle w:val="ListParagraph"/>
        <w:numPr>
          <w:ilvl w:val="0"/>
          <w:numId w:val="16"/>
        </w:numPr>
        <w:rPr>
          <w:rFonts w:ascii="Arial" w:hAnsi="Arial" w:cs="Arial"/>
          <w:color w:val="333F48"/>
        </w:rPr>
      </w:pPr>
      <w:r w:rsidRPr="00A51ECF">
        <w:rPr>
          <w:rFonts w:ascii="Arial" w:hAnsi="Arial" w:cs="Arial"/>
          <w:color w:val="333F48"/>
        </w:rPr>
        <w:t xml:space="preserve">The new </w:t>
      </w:r>
      <w:hyperlink r:id="rId47" w:history="1">
        <w:r w:rsidRPr="00A51ECF">
          <w:rPr>
            <w:rStyle w:val="Hyperlink"/>
            <w:rFonts w:cs="Arial"/>
          </w:rPr>
          <w:t>European Union IVD Regulation 2017/746</w:t>
        </w:r>
      </w:hyperlink>
      <w:r w:rsidRPr="00A51ECF">
        <w:rPr>
          <w:rFonts w:ascii="Arial" w:hAnsi="Arial" w:cs="Arial"/>
          <w:color w:val="333F48"/>
        </w:rPr>
        <w:t xml:space="preserve"> (EU IVDR) that replaces the EU IVD Directive 98/79/EC (EU IVDD)</w:t>
      </w:r>
    </w:p>
    <w:p w14:paraId="39A99DF2" w14:textId="06EA73C1" w:rsidR="008C5A9F" w:rsidRDefault="008C5A9F" w:rsidP="008C5A9F">
      <w:pPr>
        <w:pStyle w:val="ListParagraph"/>
        <w:numPr>
          <w:ilvl w:val="0"/>
          <w:numId w:val="16"/>
        </w:numPr>
        <w:rPr>
          <w:rFonts w:ascii="Arial" w:hAnsi="Arial" w:cs="Arial"/>
          <w:color w:val="333F48"/>
        </w:rPr>
      </w:pPr>
      <w:r>
        <w:rPr>
          <w:rFonts w:ascii="Arial" w:hAnsi="Arial" w:cs="Arial"/>
          <w:color w:val="333F48"/>
        </w:rPr>
        <w:t xml:space="preserve">The </w:t>
      </w:r>
      <w:hyperlink r:id="rId48" w:history="1">
        <w:r w:rsidRPr="009B45F8">
          <w:rPr>
            <w:rStyle w:val="Hyperlink"/>
            <w:rFonts w:cs="Arial"/>
          </w:rPr>
          <w:t>end of the transition period</w:t>
        </w:r>
      </w:hyperlink>
      <w:r>
        <w:rPr>
          <w:rFonts w:ascii="Arial" w:hAnsi="Arial" w:cs="Arial"/>
          <w:color w:val="333F48"/>
        </w:rPr>
        <w:t xml:space="preserve"> for </w:t>
      </w:r>
      <w:r w:rsidR="00866068">
        <w:rPr>
          <w:rFonts w:ascii="Arial" w:hAnsi="Arial" w:cs="Arial"/>
          <w:color w:val="333F48"/>
        </w:rPr>
        <w:t>us</w:t>
      </w:r>
      <w:r>
        <w:rPr>
          <w:rFonts w:ascii="Arial" w:hAnsi="Arial" w:cs="Arial"/>
          <w:color w:val="333F48"/>
        </w:rPr>
        <w:t xml:space="preserve"> to accept many ISO</w:t>
      </w:r>
      <w:r w:rsidR="0017515E">
        <w:rPr>
          <w:rFonts w:ascii="Arial" w:hAnsi="Arial" w:cs="Arial"/>
          <w:color w:val="333F48"/>
        </w:rPr>
        <w:t xml:space="preserve"> </w:t>
      </w:r>
      <w:r>
        <w:rPr>
          <w:rFonts w:ascii="Arial" w:hAnsi="Arial" w:cs="Arial"/>
          <w:color w:val="333F48"/>
        </w:rPr>
        <w:t>13485 certificates as manufacturer evidence.</w:t>
      </w:r>
    </w:p>
    <w:bookmarkEnd w:id="23"/>
    <w:p w14:paraId="20832D4D" w14:textId="164D5BAA" w:rsidR="008C5A9F" w:rsidRPr="00A51ECF" w:rsidRDefault="008C5A9F" w:rsidP="008C5A9F">
      <w:pPr>
        <w:rPr>
          <w:rFonts w:ascii="Arial" w:hAnsi="Arial" w:cs="Arial"/>
          <w:color w:val="333F48"/>
        </w:rPr>
      </w:pPr>
      <w:r w:rsidRPr="00A51ECF">
        <w:rPr>
          <w:rFonts w:ascii="Arial" w:hAnsi="Arial" w:cs="Arial"/>
          <w:color w:val="333F48"/>
        </w:rPr>
        <w:t xml:space="preserve">Sponsors who are supplying IVD medical devices from a manufacturer that </w:t>
      </w:r>
      <w:r>
        <w:rPr>
          <w:rFonts w:ascii="Arial" w:hAnsi="Arial" w:cs="Arial"/>
          <w:color w:val="333F48"/>
        </w:rPr>
        <w:t xml:space="preserve">is transitioning to new evidence </w:t>
      </w:r>
      <w:r w:rsidRPr="00A51ECF">
        <w:rPr>
          <w:rFonts w:ascii="Arial" w:hAnsi="Arial" w:cs="Arial"/>
          <w:color w:val="333F48"/>
        </w:rPr>
        <w:t xml:space="preserve">may find that they hold stock that was manufactured under </w:t>
      </w:r>
      <w:r w:rsidR="0017515E">
        <w:rPr>
          <w:rFonts w:ascii="Arial" w:hAnsi="Arial" w:cs="Arial"/>
          <w:color w:val="333F48"/>
        </w:rPr>
        <w:t xml:space="preserve">a </w:t>
      </w:r>
      <w:r w:rsidRPr="00A51ECF">
        <w:rPr>
          <w:rFonts w:ascii="Arial" w:hAnsi="Arial" w:cs="Arial"/>
          <w:color w:val="333F48"/>
        </w:rPr>
        <w:t xml:space="preserve">valid IVDD </w:t>
      </w:r>
      <w:r w:rsidR="00113F87" w:rsidRPr="00113F87">
        <w:rPr>
          <w:rFonts w:ascii="Arial" w:hAnsi="Arial" w:cs="Arial"/>
          <w:color w:val="333F48"/>
        </w:rPr>
        <w:t>certificat</w:t>
      </w:r>
      <w:r w:rsidR="0017515E">
        <w:rPr>
          <w:rFonts w:ascii="Arial" w:hAnsi="Arial" w:cs="Arial"/>
          <w:color w:val="333F48"/>
        </w:rPr>
        <w:t>e</w:t>
      </w:r>
      <w:r w:rsidRPr="00A51ECF">
        <w:rPr>
          <w:rFonts w:ascii="Arial" w:hAnsi="Arial" w:cs="Arial"/>
          <w:color w:val="333F48"/>
        </w:rPr>
        <w:t>, but the certificate has since expired.</w:t>
      </w:r>
      <w:r w:rsidR="00F17EB6">
        <w:rPr>
          <w:rFonts w:ascii="Arial" w:hAnsi="Arial" w:cs="Arial"/>
          <w:color w:val="333F48"/>
        </w:rPr>
        <w:t xml:space="preserve"> Sponsors may be able to continue supply of this stock if their ARTG entry remains active.</w:t>
      </w:r>
    </w:p>
    <w:p w14:paraId="7430AEFE" w14:textId="43ACC275" w:rsidR="00277B71" w:rsidRDefault="00277B71" w:rsidP="000E0F7B">
      <w:pPr>
        <w:rPr>
          <w:rFonts w:ascii="Arial" w:hAnsi="Arial" w:cs="Arial"/>
          <w:color w:val="333F48"/>
        </w:rPr>
      </w:pPr>
      <w:r w:rsidRPr="00277B71">
        <w:rPr>
          <w:rFonts w:ascii="Arial" w:hAnsi="Arial" w:cs="Arial"/>
          <w:color w:val="333F48"/>
        </w:rPr>
        <w:t xml:space="preserve">There may be cases where the manufacturer becomes aware, through recertification, that the </w:t>
      </w:r>
      <w:r w:rsidR="00FE4EE3">
        <w:rPr>
          <w:rFonts w:ascii="Arial" w:hAnsi="Arial" w:cs="Arial"/>
          <w:color w:val="333F48"/>
        </w:rPr>
        <w:t xml:space="preserve">IVD </w:t>
      </w:r>
      <w:r w:rsidRPr="00277B71">
        <w:rPr>
          <w:rFonts w:ascii="Arial" w:hAnsi="Arial" w:cs="Arial"/>
          <w:color w:val="333F48"/>
        </w:rPr>
        <w:t xml:space="preserve">medical devices being supplied under the previous conformity assessment certification are </w:t>
      </w:r>
      <w:r w:rsidR="00883E98">
        <w:rPr>
          <w:rFonts w:ascii="Arial" w:hAnsi="Arial" w:cs="Arial"/>
          <w:color w:val="333F48"/>
        </w:rPr>
        <w:t xml:space="preserve">now </w:t>
      </w:r>
      <w:r w:rsidRPr="00277B71">
        <w:rPr>
          <w:rFonts w:ascii="Arial" w:hAnsi="Arial" w:cs="Arial"/>
          <w:color w:val="333F48"/>
        </w:rPr>
        <w:t>non</w:t>
      </w:r>
      <w:r w:rsidR="00A51ECF">
        <w:rPr>
          <w:rFonts w:ascii="Arial" w:hAnsi="Arial" w:cs="Arial"/>
          <w:color w:val="333F48"/>
        </w:rPr>
        <w:noBreakHyphen/>
      </w:r>
      <w:r w:rsidRPr="00277B71">
        <w:rPr>
          <w:rFonts w:ascii="Arial" w:hAnsi="Arial" w:cs="Arial"/>
          <w:color w:val="333F48"/>
        </w:rPr>
        <w:t xml:space="preserve">compliant with the </w:t>
      </w:r>
      <w:r>
        <w:rPr>
          <w:rFonts w:ascii="Arial" w:hAnsi="Arial" w:cs="Arial"/>
          <w:color w:val="333F48"/>
        </w:rPr>
        <w:t>EPs</w:t>
      </w:r>
      <w:r w:rsidRPr="00277B71">
        <w:rPr>
          <w:rFonts w:ascii="Arial" w:hAnsi="Arial" w:cs="Arial"/>
          <w:color w:val="333F48"/>
        </w:rPr>
        <w:t xml:space="preserve">. In those cases, you should apply for consent to supply non-compliant </w:t>
      </w:r>
      <w:r w:rsidR="00FE4EE3">
        <w:rPr>
          <w:rFonts w:ascii="Arial" w:hAnsi="Arial" w:cs="Arial"/>
          <w:color w:val="333F48"/>
        </w:rPr>
        <w:t xml:space="preserve">IVD </w:t>
      </w:r>
      <w:r w:rsidRPr="00277B71">
        <w:rPr>
          <w:rFonts w:ascii="Arial" w:hAnsi="Arial" w:cs="Arial"/>
          <w:color w:val="333F48"/>
        </w:rPr>
        <w:t>medical devices if you wish to continue to supply those devices.</w:t>
      </w:r>
    </w:p>
    <w:p w14:paraId="1854D702" w14:textId="77777777" w:rsidR="000E0F7B" w:rsidRDefault="000E0F7B" w:rsidP="000E0F7B">
      <w:pPr>
        <w:pStyle w:val="Heading2"/>
      </w:pPr>
      <w:bookmarkStart w:id="24" w:name="_Toc140776966"/>
      <w:r>
        <w:t>Record keeping</w:t>
      </w:r>
      <w:bookmarkEnd w:id="24"/>
    </w:p>
    <w:p w14:paraId="09C927B8" w14:textId="0A3F7F57" w:rsidR="000E0F7B" w:rsidRPr="00593C75" w:rsidRDefault="000E0F7B" w:rsidP="000E0F7B">
      <w:pPr>
        <w:rPr>
          <w:rFonts w:ascii="Arial" w:hAnsi="Arial" w:cs="Arial"/>
          <w:color w:val="333F48"/>
        </w:rPr>
      </w:pPr>
      <w:r w:rsidRPr="00593C75">
        <w:rPr>
          <w:rFonts w:ascii="Arial" w:hAnsi="Arial" w:cs="Arial"/>
          <w:color w:val="333F48"/>
        </w:rPr>
        <w:t xml:space="preserve">Under section 41FO of the </w:t>
      </w:r>
      <w:r w:rsidR="001332CB" w:rsidRPr="001332CB">
        <w:rPr>
          <w:rFonts w:ascii="Arial" w:hAnsi="Arial" w:cs="Arial"/>
          <w:color w:val="333F48"/>
        </w:rPr>
        <w:t>Act</w:t>
      </w:r>
      <w:r w:rsidR="001332CB">
        <w:rPr>
          <w:rFonts w:ascii="Arial" w:hAnsi="Arial" w:cs="Arial"/>
          <w:color w:val="333F48"/>
        </w:rPr>
        <w:t>,</w:t>
      </w:r>
      <w:r w:rsidRPr="001332CB">
        <w:rPr>
          <w:rFonts w:ascii="Arial" w:hAnsi="Arial" w:cs="Arial"/>
          <w:color w:val="333F48"/>
        </w:rPr>
        <w:t xml:space="preserve"> </w:t>
      </w:r>
      <w:r w:rsidRPr="00593C75">
        <w:rPr>
          <w:rFonts w:ascii="Arial" w:hAnsi="Arial" w:cs="Arial"/>
          <w:color w:val="333F48"/>
        </w:rPr>
        <w:t xml:space="preserve">sponsors of </w:t>
      </w:r>
      <w:r w:rsidR="00BA465F">
        <w:rPr>
          <w:rFonts w:ascii="Arial" w:hAnsi="Arial" w:cs="Arial"/>
          <w:color w:val="333F48"/>
        </w:rPr>
        <w:t xml:space="preserve">IVD </w:t>
      </w:r>
      <w:r w:rsidRPr="00593C75">
        <w:rPr>
          <w:rFonts w:ascii="Arial" w:hAnsi="Arial" w:cs="Arial"/>
          <w:color w:val="333F48"/>
        </w:rPr>
        <w:t xml:space="preserve">medical devices supplied in, and exported from, Australia are required to keep </w:t>
      </w:r>
      <w:hyperlink r:id="rId49" w:history="1">
        <w:r w:rsidRPr="00593C75">
          <w:rPr>
            <w:rStyle w:val="Hyperlink"/>
            <w:rFonts w:cs="Arial"/>
          </w:rPr>
          <w:t>distribution records</w:t>
        </w:r>
      </w:hyperlink>
      <w:r w:rsidRPr="00593C75">
        <w:rPr>
          <w:rFonts w:ascii="Arial" w:hAnsi="Arial" w:cs="Arial"/>
          <w:color w:val="333F48"/>
        </w:rPr>
        <w:t xml:space="preserve"> to:</w:t>
      </w:r>
    </w:p>
    <w:p w14:paraId="050575F8" w14:textId="77777777" w:rsidR="000E0F7B" w:rsidRPr="00593C75" w:rsidRDefault="000E0F7B" w:rsidP="000E0F7B">
      <w:pPr>
        <w:pStyle w:val="ListBullet"/>
        <w:numPr>
          <w:ilvl w:val="0"/>
          <w:numId w:val="10"/>
        </w:numPr>
        <w:rPr>
          <w:rFonts w:cs="Arial"/>
        </w:rPr>
      </w:pPr>
      <w:r w:rsidRPr="00593C75">
        <w:rPr>
          <w:rFonts w:cs="Arial"/>
        </w:rPr>
        <w:t>Expedite any recalls of batches of the medical devices; and</w:t>
      </w:r>
    </w:p>
    <w:p w14:paraId="3D8B6071" w14:textId="77777777" w:rsidR="000E0F7B" w:rsidRPr="00593C75" w:rsidRDefault="000E0F7B" w:rsidP="000E0F7B">
      <w:pPr>
        <w:pStyle w:val="ListBullet"/>
        <w:numPr>
          <w:ilvl w:val="0"/>
          <w:numId w:val="10"/>
        </w:numPr>
        <w:rPr>
          <w:rFonts w:cs="Arial"/>
        </w:rPr>
      </w:pPr>
      <w:r w:rsidRPr="00593C75">
        <w:rPr>
          <w:rFonts w:cs="Arial"/>
        </w:rPr>
        <w:t>Identify the manufacturer of each batch of devices.</w:t>
      </w:r>
    </w:p>
    <w:p w14:paraId="26FFB57B" w14:textId="76E94D8F" w:rsidR="000E0F7B" w:rsidRPr="00593C75" w:rsidRDefault="000E0F7B" w:rsidP="000E0F7B">
      <w:pPr>
        <w:rPr>
          <w:rFonts w:ascii="Arial" w:hAnsi="Arial" w:cs="Arial"/>
          <w:color w:val="333F48"/>
        </w:rPr>
      </w:pPr>
      <w:r w:rsidRPr="00593C75">
        <w:rPr>
          <w:rFonts w:ascii="Arial" w:hAnsi="Arial" w:cs="Arial"/>
          <w:color w:val="333F48"/>
        </w:rPr>
        <w:t xml:space="preserve">Sponsors are not required to maintain records of the individual users of </w:t>
      </w:r>
      <w:r w:rsidR="00BA465F">
        <w:rPr>
          <w:rFonts w:ascii="Arial" w:hAnsi="Arial" w:cs="Arial"/>
          <w:color w:val="333F48"/>
        </w:rPr>
        <w:t xml:space="preserve">IVD </w:t>
      </w:r>
      <w:r w:rsidRPr="00593C75">
        <w:rPr>
          <w:rFonts w:ascii="Arial" w:hAnsi="Arial" w:cs="Arial"/>
          <w:color w:val="333F48"/>
        </w:rPr>
        <w:t xml:space="preserve">medical devices, but should maintain records of distribution centres, </w:t>
      </w:r>
      <w:proofErr w:type="gramStart"/>
      <w:r w:rsidRPr="00593C75">
        <w:rPr>
          <w:rFonts w:ascii="Arial" w:hAnsi="Arial" w:cs="Arial"/>
          <w:color w:val="333F48"/>
        </w:rPr>
        <w:t>hospitals</w:t>
      </w:r>
      <w:proofErr w:type="gramEnd"/>
      <w:r w:rsidRPr="00593C75">
        <w:rPr>
          <w:rFonts w:ascii="Arial" w:hAnsi="Arial" w:cs="Arial"/>
          <w:color w:val="333F48"/>
        </w:rPr>
        <w:t xml:space="preserve"> and export countries the device has been supplied to.</w:t>
      </w:r>
    </w:p>
    <w:p w14:paraId="3AE1EEC6" w14:textId="6B6773D9" w:rsidR="000E0F7B" w:rsidRDefault="000E0F7B" w:rsidP="000E0F7B">
      <w:pPr>
        <w:rPr>
          <w:rFonts w:ascii="Arial" w:hAnsi="Arial" w:cs="Arial"/>
          <w:color w:val="333F48"/>
        </w:rPr>
      </w:pPr>
      <w:r w:rsidRPr="00593C75">
        <w:rPr>
          <w:rFonts w:ascii="Arial" w:hAnsi="Arial" w:cs="Arial"/>
          <w:color w:val="333F48"/>
        </w:rPr>
        <w:t>Sponsors must retain their records for five or ten years after the last product has been distributed, depending on the classification of the device.</w:t>
      </w:r>
      <w:r>
        <w:rPr>
          <w:rFonts w:ascii="Arial" w:hAnsi="Arial" w:cs="Arial"/>
          <w:color w:val="333F48"/>
        </w:rPr>
        <w:t xml:space="preserve"> </w:t>
      </w:r>
      <w:r w:rsidRPr="00593C75">
        <w:rPr>
          <w:rFonts w:ascii="Arial" w:hAnsi="Arial" w:cs="Arial"/>
          <w:color w:val="333F48"/>
        </w:rPr>
        <w:t xml:space="preserve">These records, or copies of the records, must be provided when requested by </w:t>
      </w:r>
      <w:r w:rsidR="00866068">
        <w:rPr>
          <w:rFonts w:ascii="Arial" w:hAnsi="Arial" w:cs="Arial"/>
          <w:color w:val="333F48"/>
        </w:rPr>
        <w:t>us</w:t>
      </w:r>
      <w:r w:rsidRPr="00593C75">
        <w:rPr>
          <w:rFonts w:ascii="Arial" w:hAnsi="Arial" w:cs="Arial"/>
          <w:color w:val="333F48"/>
        </w:rPr>
        <w:t>.</w:t>
      </w:r>
    </w:p>
    <w:p w14:paraId="467BF76A" w14:textId="77777777" w:rsidR="00A871F6" w:rsidRDefault="00A871F6" w:rsidP="00A871F6">
      <w:pPr>
        <w:pStyle w:val="Heading2"/>
      </w:pPr>
      <w:bookmarkStart w:id="25" w:name="_Toc140776967"/>
      <w:r>
        <w:lastRenderedPageBreak/>
        <w:t>Reporting adverse events and complaints</w:t>
      </w:r>
      <w:bookmarkEnd w:id="25"/>
    </w:p>
    <w:p w14:paraId="1CCF73C1" w14:textId="3D19CB28" w:rsidR="00A871F6" w:rsidRPr="00230516" w:rsidRDefault="001332CB" w:rsidP="00A871F6">
      <w:pPr>
        <w:rPr>
          <w:rFonts w:ascii="Arial" w:hAnsi="Arial" w:cs="Arial"/>
          <w:color w:val="333F48"/>
        </w:rPr>
      </w:pPr>
      <w:r>
        <w:rPr>
          <w:rFonts w:ascii="Arial" w:hAnsi="Arial" w:cs="Arial"/>
          <w:color w:val="333F48"/>
        </w:rPr>
        <w:t>R</w:t>
      </w:r>
      <w:r w:rsidR="00A871F6" w:rsidRPr="00230516">
        <w:rPr>
          <w:rFonts w:ascii="Arial" w:hAnsi="Arial" w:cs="Arial"/>
          <w:color w:val="333F48"/>
        </w:rPr>
        <w:t>eports about complaints, adverse events</w:t>
      </w:r>
      <w:r>
        <w:rPr>
          <w:rFonts w:ascii="Arial" w:hAnsi="Arial" w:cs="Arial"/>
          <w:color w:val="333F48"/>
        </w:rPr>
        <w:t>,</w:t>
      </w:r>
      <w:r w:rsidR="00A871F6" w:rsidRPr="00230516">
        <w:rPr>
          <w:rFonts w:ascii="Arial" w:hAnsi="Arial" w:cs="Arial"/>
          <w:color w:val="333F48"/>
        </w:rPr>
        <w:t xml:space="preserve"> and near adverse events</w:t>
      </w:r>
      <w:r>
        <w:rPr>
          <w:rFonts w:ascii="Arial" w:hAnsi="Arial" w:cs="Arial"/>
          <w:color w:val="333F48"/>
        </w:rPr>
        <w:t xml:space="preserve"> can be submitted</w:t>
      </w:r>
      <w:r w:rsidR="00A871F6" w:rsidRPr="00230516">
        <w:rPr>
          <w:rFonts w:ascii="Arial" w:hAnsi="Arial" w:cs="Arial"/>
          <w:color w:val="333F48"/>
        </w:rPr>
        <w:t xml:space="preserve"> to </w:t>
      </w:r>
      <w:r w:rsidR="00866068">
        <w:rPr>
          <w:rFonts w:ascii="Arial" w:hAnsi="Arial" w:cs="Arial"/>
          <w:color w:val="333F48"/>
        </w:rPr>
        <w:t>us</w:t>
      </w:r>
      <w:r>
        <w:rPr>
          <w:rFonts w:ascii="Arial" w:hAnsi="Arial" w:cs="Arial"/>
          <w:color w:val="333F48"/>
        </w:rPr>
        <w:t xml:space="preserve"> by manufacturers, sponsors, health care professionals, and consumers</w:t>
      </w:r>
      <w:r w:rsidR="00A871F6" w:rsidRPr="00230516">
        <w:rPr>
          <w:rFonts w:ascii="Arial" w:hAnsi="Arial" w:cs="Arial"/>
          <w:color w:val="333F48"/>
        </w:rPr>
        <w:t xml:space="preserve">. This allows </w:t>
      </w:r>
      <w:r w:rsidR="00866068">
        <w:rPr>
          <w:rFonts w:ascii="Arial" w:hAnsi="Arial" w:cs="Arial"/>
          <w:color w:val="333F48"/>
        </w:rPr>
        <w:t>us</w:t>
      </w:r>
      <w:r w:rsidR="00A871F6" w:rsidRPr="00230516">
        <w:rPr>
          <w:rFonts w:ascii="Arial" w:hAnsi="Arial" w:cs="Arial"/>
          <w:color w:val="333F48"/>
        </w:rPr>
        <w:t xml:space="preserve"> to monitor the safety and performance of </w:t>
      </w:r>
      <w:r w:rsidR="00BA465F">
        <w:rPr>
          <w:rFonts w:ascii="Arial" w:hAnsi="Arial" w:cs="Arial"/>
          <w:color w:val="333F48"/>
        </w:rPr>
        <w:t xml:space="preserve">IVD </w:t>
      </w:r>
      <w:r w:rsidR="00A871F6" w:rsidRPr="00230516">
        <w:rPr>
          <w:rFonts w:ascii="Arial" w:hAnsi="Arial" w:cs="Arial"/>
          <w:color w:val="333F48"/>
        </w:rPr>
        <w:t xml:space="preserve">medical devices in the real </w:t>
      </w:r>
      <w:r w:rsidR="00866068" w:rsidRPr="00230516">
        <w:rPr>
          <w:rFonts w:ascii="Arial" w:hAnsi="Arial" w:cs="Arial"/>
          <w:color w:val="333F48"/>
        </w:rPr>
        <w:t>world and</w:t>
      </w:r>
      <w:r w:rsidR="00A871F6" w:rsidRPr="00230516">
        <w:rPr>
          <w:rFonts w:ascii="Arial" w:hAnsi="Arial" w:cs="Arial"/>
          <w:color w:val="333F48"/>
        </w:rPr>
        <w:t xml:space="preserve"> identify trends that may indicate emerging safety or performance issues. The primary function is to improve the health and safety of patients, health care professionals, users, and others by reducing the likelihood of adverse events being repeated. </w:t>
      </w:r>
    </w:p>
    <w:p w14:paraId="5D986936" w14:textId="66431521" w:rsidR="00A871F6" w:rsidRPr="00230516" w:rsidRDefault="00A871F6" w:rsidP="00A871F6">
      <w:pPr>
        <w:rPr>
          <w:rFonts w:ascii="Arial" w:hAnsi="Arial" w:cs="Arial"/>
          <w:color w:val="333F48"/>
        </w:rPr>
      </w:pPr>
      <w:r w:rsidRPr="00230516">
        <w:rPr>
          <w:rFonts w:ascii="Arial" w:hAnsi="Arial" w:cs="Arial"/>
          <w:color w:val="333F48"/>
        </w:rPr>
        <w:t>It is an automatic condition of inclusion under 5.7 of the Therapeutic Goods (Medical Devices) Regulations 2002 that sponsors of a</w:t>
      </w:r>
      <w:r w:rsidR="00FE4EE3">
        <w:rPr>
          <w:rFonts w:ascii="Arial" w:hAnsi="Arial" w:cs="Arial"/>
          <w:color w:val="333F48"/>
        </w:rPr>
        <w:t>n IVD</w:t>
      </w:r>
      <w:r w:rsidRPr="00230516">
        <w:rPr>
          <w:rFonts w:ascii="Arial" w:hAnsi="Arial" w:cs="Arial"/>
          <w:color w:val="333F48"/>
        </w:rPr>
        <w:t xml:space="preserve"> medical device </w:t>
      </w:r>
      <w:r w:rsidR="00EF075B" w:rsidRPr="0057797F">
        <w:rPr>
          <w:color w:val="333F48"/>
        </w:rPr>
        <w:t>report adverse events and near adverse events</w:t>
      </w:r>
      <w:r w:rsidRPr="00230516">
        <w:rPr>
          <w:rFonts w:ascii="Arial" w:hAnsi="Arial" w:cs="Arial"/>
          <w:color w:val="333F48"/>
        </w:rPr>
        <w:t xml:space="preserve"> to </w:t>
      </w:r>
      <w:r w:rsidR="00B01AFB">
        <w:rPr>
          <w:rFonts w:ascii="Arial" w:hAnsi="Arial" w:cs="Arial"/>
          <w:color w:val="333F48"/>
        </w:rPr>
        <w:t>the TGA</w:t>
      </w:r>
      <w:r w:rsidRPr="00230516">
        <w:rPr>
          <w:rFonts w:ascii="Arial" w:hAnsi="Arial" w:cs="Arial"/>
          <w:color w:val="333F48"/>
        </w:rPr>
        <w:t>.</w:t>
      </w:r>
    </w:p>
    <w:p w14:paraId="3B091C00" w14:textId="45599004" w:rsidR="00A871F6" w:rsidRPr="00230516" w:rsidRDefault="00A871F6" w:rsidP="00A871F6">
      <w:pPr>
        <w:rPr>
          <w:rFonts w:ascii="Arial" w:hAnsi="Arial" w:cs="Arial"/>
          <w:color w:val="333F48"/>
        </w:rPr>
      </w:pPr>
      <w:r w:rsidRPr="00230516">
        <w:rPr>
          <w:rFonts w:ascii="Arial" w:hAnsi="Arial" w:cs="Arial"/>
          <w:color w:val="333F48"/>
        </w:rPr>
        <w:t xml:space="preserve">Consumers, health professionals and individuals in the medical device industry can also submit reports </w:t>
      </w:r>
      <w:r w:rsidR="004435D8" w:rsidRPr="00230516">
        <w:rPr>
          <w:rFonts w:ascii="Arial" w:hAnsi="Arial" w:cs="Arial"/>
          <w:color w:val="333F48"/>
        </w:rPr>
        <w:t>voluntarily and</w:t>
      </w:r>
      <w:r w:rsidRPr="00230516">
        <w:rPr>
          <w:rFonts w:ascii="Arial" w:hAnsi="Arial" w:cs="Arial"/>
          <w:color w:val="333F48"/>
        </w:rPr>
        <w:t xml:space="preserve"> are encouraged to do so.</w:t>
      </w:r>
    </w:p>
    <w:p w14:paraId="67840E9B" w14:textId="77777777" w:rsidR="00A871F6" w:rsidRDefault="00A871F6" w:rsidP="00A871F6">
      <w:pPr>
        <w:rPr>
          <w:rFonts w:ascii="Arial" w:hAnsi="Arial" w:cs="Arial"/>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871F6" w:rsidRPr="00215D48" w14:paraId="3E3C090C" w14:textId="77777777" w:rsidTr="00715510">
        <w:tc>
          <w:tcPr>
            <w:tcW w:w="1276" w:type="dxa"/>
            <w:vAlign w:val="center"/>
          </w:tcPr>
          <w:p w14:paraId="50312BA5" w14:textId="77777777" w:rsidR="00A871F6" w:rsidRPr="00215D48" w:rsidRDefault="00A871F6" w:rsidP="00715510">
            <w:r w:rsidRPr="00215D48">
              <w:rPr>
                <w:noProof/>
              </w:rPr>
              <w:drawing>
                <wp:inline distT="0" distB="0" distL="0" distR="0" wp14:anchorId="2033DEFD" wp14:editId="00FE4A49">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2"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96442E5" w14:textId="77777777" w:rsidR="00A871F6" w:rsidRPr="004435D8" w:rsidRDefault="00A871F6" w:rsidP="00715510">
            <w:pPr>
              <w:rPr>
                <w:rFonts w:ascii="Arial" w:hAnsi="Arial" w:cs="Arial"/>
                <w:b/>
              </w:rPr>
            </w:pPr>
            <w:r w:rsidRPr="004435D8">
              <w:rPr>
                <w:rFonts w:ascii="Arial" w:hAnsi="Arial" w:cs="Arial"/>
              </w:rPr>
              <w:t xml:space="preserve">Sponsors and manufacturers can report an event via the </w:t>
            </w:r>
            <w:hyperlink r:id="rId50" w:history="1">
              <w:r w:rsidRPr="004435D8">
                <w:rPr>
                  <w:rStyle w:val="Hyperlink"/>
                  <w:rFonts w:cs="Arial"/>
                </w:rPr>
                <w:t>Medical Device Incident Reporting &amp; Investigation Scheme (IRIS) database</w:t>
              </w:r>
            </w:hyperlink>
            <w:r w:rsidRPr="004435D8">
              <w:rPr>
                <w:rFonts w:ascii="Arial" w:hAnsi="Arial" w:cs="Arial"/>
              </w:rPr>
              <w:t>.</w:t>
            </w:r>
          </w:p>
          <w:p w14:paraId="6666F885" w14:textId="77777777" w:rsidR="00A871F6" w:rsidRPr="004435D8" w:rsidRDefault="00A871F6" w:rsidP="00715510">
            <w:pPr>
              <w:rPr>
                <w:rFonts w:ascii="Arial" w:hAnsi="Arial" w:cs="Arial"/>
                <w:bCs/>
              </w:rPr>
            </w:pPr>
            <w:r w:rsidRPr="004435D8">
              <w:rPr>
                <w:rFonts w:ascii="Arial" w:hAnsi="Arial" w:cs="Arial"/>
                <w:bCs/>
              </w:rPr>
              <w:t>It is expected that the report specifies identifying features of the device, such as ARTG entry, device name and model, manufacturer, supplier, catalogue information such as batch or serial number, and expiry date. Images of the device are also encouraged.</w:t>
            </w:r>
          </w:p>
          <w:p w14:paraId="17590267" w14:textId="236BAC13" w:rsidR="00A871F6" w:rsidRPr="004435D8" w:rsidRDefault="00A871F6" w:rsidP="00715510">
            <w:pPr>
              <w:rPr>
                <w:rFonts w:ascii="Arial" w:hAnsi="Arial" w:cs="Arial"/>
                <w:bCs/>
              </w:rPr>
            </w:pPr>
            <w:r w:rsidRPr="004435D8">
              <w:rPr>
                <w:rFonts w:ascii="Arial" w:hAnsi="Arial" w:cs="Arial"/>
                <w:bCs/>
              </w:rPr>
              <w:t>The report should also include a comprehensive description of the event and the outcome, or in the case of a "near event" the possible outcome, had intervention not taken place. It is often useful to include a clinical history of the patient involved</w:t>
            </w:r>
            <w:r w:rsidR="009A4936">
              <w:rPr>
                <w:rFonts w:ascii="Arial" w:hAnsi="Arial" w:cs="Arial"/>
                <w:bCs/>
              </w:rPr>
              <w:t>.</w:t>
            </w:r>
          </w:p>
          <w:p w14:paraId="4CBDD51A" w14:textId="72107602" w:rsidR="00A871F6" w:rsidRPr="004435D8" w:rsidRDefault="00A871F6" w:rsidP="00715510">
            <w:pPr>
              <w:rPr>
                <w:rFonts w:ascii="Arial" w:hAnsi="Arial" w:cs="Arial"/>
                <w:bCs/>
              </w:rPr>
            </w:pPr>
            <w:r w:rsidRPr="004435D8">
              <w:rPr>
                <w:rFonts w:ascii="Arial" w:hAnsi="Arial" w:cs="Arial"/>
                <w:bCs/>
              </w:rPr>
              <w:t xml:space="preserve">Contact details for both the person writing the report and the person for whom the event happened should always be included. These details can remain </w:t>
            </w:r>
            <w:r w:rsidR="004435D8" w:rsidRPr="004435D8">
              <w:rPr>
                <w:rFonts w:ascii="Arial" w:hAnsi="Arial" w:cs="Arial"/>
                <w:bCs/>
              </w:rPr>
              <w:t>confidential but</w:t>
            </w:r>
            <w:r w:rsidRPr="004435D8">
              <w:rPr>
                <w:rFonts w:ascii="Arial" w:hAnsi="Arial" w:cs="Arial"/>
                <w:bCs/>
              </w:rPr>
              <w:t xml:space="preserve"> are needed by the TGA to be able to progress with the investigation and to provide feedback.</w:t>
            </w:r>
          </w:p>
          <w:p w14:paraId="29A51C51" w14:textId="7CF41DFA" w:rsidR="00A871F6" w:rsidRPr="00593C75" w:rsidRDefault="00A871F6" w:rsidP="00715510">
            <w:pPr>
              <w:rPr>
                <w:bCs/>
              </w:rPr>
            </w:pPr>
            <w:r w:rsidRPr="004435D8">
              <w:rPr>
                <w:rFonts w:ascii="Arial" w:hAnsi="Arial" w:cs="Arial"/>
                <w:bCs/>
              </w:rPr>
              <w:t>Sponsors are expected to notify the TGA of complaints or adverse events</w:t>
            </w:r>
            <w:r w:rsidR="009A4936">
              <w:rPr>
                <w:rFonts w:ascii="Arial" w:hAnsi="Arial" w:cs="Arial"/>
                <w:bCs/>
              </w:rPr>
              <w:t xml:space="preserve"> </w:t>
            </w:r>
            <w:hyperlink r:id="rId51" w:history="1">
              <w:r w:rsidR="009A4936" w:rsidRPr="00EF075B">
                <w:rPr>
                  <w:rStyle w:val="Hyperlink"/>
                  <w:rFonts w:cs="Arial"/>
                  <w:bCs/>
                </w:rPr>
                <w:t>in line with the legislative time frame,</w:t>
              </w:r>
            </w:hyperlink>
            <w:r w:rsidR="009A4936">
              <w:rPr>
                <w:rFonts w:ascii="Arial" w:hAnsi="Arial" w:cs="Arial"/>
                <w:bCs/>
              </w:rPr>
              <w:t xml:space="preserve"> being within forty-eight (48) hours for serious threats to public health, ten (10) days for events that have led to death or serious deterioration in the state of health of the </w:t>
            </w:r>
            <w:r w:rsidR="00EF075B">
              <w:rPr>
                <w:rFonts w:ascii="Arial" w:hAnsi="Arial" w:cs="Arial"/>
                <w:bCs/>
              </w:rPr>
              <w:t>user, and thirty (30) days for events, occurrence or reoccurrence that might lead to death or serious deterioration.</w:t>
            </w:r>
            <w:r w:rsidR="009A4936">
              <w:rPr>
                <w:rFonts w:ascii="Arial" w:hAnsi="Arial" w:cs="Arial"/>
                <w:bCs/>
              </w:rPr>
              <w:t xml:space="preserve"> </w:t>
            </w:r>
            <w:r w:rsidRPr="004435D8">
              <w:rPr>
                <w:rFonts w:ascii="Arial" w:hAnsi="Arial" w:cs="Arial"/>
                <w:bCs/>
              </w:rPr>
              <w:t xml:space="preserve"> Additional information, such as the completed report from the manufacturer’s investigation, can be provided </w:t>
            </w:r>
            <w:r w:rsidR="004435D8" w:rsidRPr="004435D8">
              <w:rPr>
                <w:rFonts w:ascii="Arial" w:hAnsi="Arial" w:cs="Arial"/>
                <w:bCs/>
              </w:rPr>
              <w:t>later</w:t>
            </w:r>
            <w:r w:rsidRPr="004435D8">
              <w:rPr>
                <w:rFonts w:ascii="Arial" w:hAnsi="Arial" w:cs="Arial"/>
                <w:bCs/>
              </w:rPr>
              <w:t>.</w:t>
            </w:r>
          </w:p>
        </w:tc>
      </w:tr>
    </w:tbl>
    <w:p w14:paraId="47762CED" w14:textId="77777777" w:rsidR="00A871F6" w:rsidRDefault="00A871F6" w:rsidP="00A871F6">
      <w:pPr>
        <w:pStyle w:val="Heading2"/>
      </w:pPr>
      <w:bookmarkStart w:id="26" w:name="_Toc140776968"/>
      <w:r>
        <w:t>Advertising COVID-19 IVDs</w:t>
      </w:r>
      <w:bookmarkEnd w:id="26"/>
    </w:p>
    <w:p w14:paraId="1BA66ADF" w14:textId="7E2312BB" w:rsidR="00A871F6" w:rsidRPr="005052FD" w:rsidRDefault="00A871F6" w:rsidP="00A871F6">
      <w:pPr>
        <w:rPr>
          <w:rFonts w:ascii="Arial" w:hAnsi="Arial" w:cs="Arial"/>
        </w:rPr>
      </w:pPr>
      <w:r w:rsidRPr="005052FD">
        <w:rPr>
          <w:rFonts w:ascii="Arial" w:eastAsia="Times New Roman" w:hAnsi="Arial" w:cs="Arial"/>
          <w:color w:val="333F48"/>
          <w:lang w:eastAsia="en-AU"/>
        </w:rPr>
        <w:t xml:space="preserve">Advertisers of rapid antigen tests, including suppliers of COVID-19 rapid antigen tests and testing service providers, must ensure that any advertising is compliant with the </w:t>
      </w:r>
      <w:hyperlink r:id="rId52" w:history="1">
        <w:r w:rsidRPr="005052FD">
          <w:rPr>
            <w:rFonts w:ascii="Arial" w:eastAsia="Times New Roman" w:hAnsi="Arial" w:cs="Arial"/>
            <w:color w:val="0000FF"/>
            <w:u w:val="single"/>
            <w:lang w:eastAsia="en-AU"/>
          </w:rPr>
          <w:t>Therapeutic Goods Advertising Code</w:t>
        </w:r>
      </w:hyperlink>
      <w:r w:rsidRPr="005052FD">
        <w:rPr>
          <w:rFonts w:ascii="Arial" w:eastAsia="Times New Roman" w:hAnsi="Arial" w:cs="Arial"/>
          <w:color w:val="333F48"/>
          <w:lang w:eastAsia="en-AU"/>
        </w:rPr>
        <w:t xml:space="preserve"> and the </w:t>
      </w:r>
      <w:hyperlink r:id="rId53" w:anchor="conditions" w:history="1">
        <w:r w:rsidRPr="005052FD">
          <w:rPr>
            <w:rFonts w:ascii="Arial" w:eastAsia="Times New Roman" w:hAnsi="Arial" w:cs="Arial"/>
            <w:color w:val="0000FF"/>
            <w:u w:val="single"/>
            <w:lang w:eastAsia="en-AU"/>
          </w:rPr>
          <w:t>conditions imposed on the supply and use of rapid antigen tests.</w:t>
        </w:r>
      </w:hyperlink>
    </w:p>
    <w:p w14:paraId="1C0E42D5" w14:textId="33E4030D" w:rsidR="000E0F7B" w:rsidRDefault="00A871F6" w:rsidP="005052FD">
      <w:pPr>
        <w:shd w:val="clear" w:color="auto" w:fill="FFFFFF"/>
        <w:rPr>
          <w:rFonts w:ascii="Arial" w:eastAsia="Times New Roman" w:hAnsi="Arial" w:cs="Arial"/>
          <w:color w:val="333F48"/>
          <w:lang w:eastAsia="en-AU"/>
        </w:rPr>
      </w:pPr>
      <w:r w:rsidRPr="005052FD">
        <w:rPr>
          <w:rFonts w:ascii="Arial" w:eastAsia="Times New Roman" w:hAnsi="Arial" w:cs="Arial"/>
          <w:color w:val="333F48"/>
          <w:lang w:eastAsia="en-AU"/>
        </w:rPr>
        <w:t xml:space="preserve">Advertisement of COVID-19 IVDs is subject to </w:t>
      </w:r>
      <w:hyperlink r:id="rId54" w:history="1">
        <w:r w:rsidRPr="005052FD">
          <w:rPr>
            <w:rFonts w:ascii="Arial" w:eastAsia="Times New Roman" w:hAnsi="Arial" w:cs="Arial"/>
            <w:color w:val="0000FF"/>
            <w:u w:val="single"/>
            <w:lang w:eastAsia="en-AU"/>
          </w:rPr>
          <w:t>Restricted Representations</w:t>
        </w:r>
      </w:hyperlink>
      <w:r w:rsidRPr="005052FD">
        <w:rPr>
          <w:rFonts w:ascii="Arial" w:eastAsia="Times New Roman" w:hAnsi="Arial" w:cs="Arial"/>
          <w:color w:val="333F48"/>
          <w:lang w:eastAsia="en-AU"/>
        </w:rPr>
        <w:t xml:space="preserve">, that limit the permitted advertising due to the severity of the disease. It is an offence to advertise therapeutic goods to consumers using restricted representations unless </w:t>
      </w:r>
      <w:r w:rsidR="00866068">
        <w:rPr>
          <w:rFonts w:ascii="Arial" w:eastAsia="Times New Roman" w:hAnsi="Arial" w:cs="Arial"/>
          <w:color w:val="333F48"/>
          <w:lang w:eastAsia="en-AU"/>
        </w:rPr>
        <w:t>we have</w:t>
      </w:r>
      <w:r w:rsidRPr="005052FD">
        <w:rPr>
          <w:rFonts w:ascii="Arial" w:eastAsia="Times New Roman" w:hAnsi="Arial" w:cs="Arial"/>
          <w:color w:val="333F48"/>
          <w:lang w:eastAsia="en-AU"/>
        </w:rPr>
        <w:t xml:space="preserve"> issued a relevant approval or permission.</w:t>
      </w:r>
    </w:p>
    <w:p w14:paraId="61C0DCD9" w14:textId="4D55CF55" w:rsidR="005052FD" w:rsidRPr="00A871F6" w:rsidRDefault="00866068" w:rsidP="005052FD">
      <w:pPr>
        <w:shd w:val="clear" w:color="auto" w:fill="FFFFFF"/>
        <w:rPr>
          <w:rFonts w:ascii="Arial" w:eastAsia="Times New Roman" w:hAnsi="Arial" w:cs="Arial"/>
          <w:color w:val="333F48"/>
          <w:lang w:eastAsia="en-AU"/>
        </w:rPr>
      </w:pPr>
      <w:r>
        <w:rPr>
          <w:rFonts w:ascii="Arial" w:eastAsia="Times New Roman" w:hAnsi="Arial" w:cs="Arial"/>
          <w:color w:val="333F48"/>
          <w:lang w:eastAsia="en-AU"/>
        </w:rPr>
        <w:t>We have</w:t>
      </w:r>
      <w:r w:rsidR="00A871F6" w:rsidRPr="005052FD">
        <w:rPr>
          <w:rFonts w:ascii="Arial" w:eastAsia="Times New Roman" w:hAnsi="Arial" w:cs="Arial"/>
          <w:color w:val="333F48"/>
          <w:lang w:eastAsia="en-AU"/>
        </w:rPr>
        <w:t xml:space="preserve"> </w:t>
      </w:r>
      <w:hyperlink r:id="rId55" w:history="1">
        <w:r w:rsidR="00A871F6" w:rsidRPr="005052FD">
          <w:rPr>
            <w:rFonts w:ascii="Arial" w:eastAsia="Times New Roman" w:hAnsi="Arial" w:cs="Arial"/>
            <w:color w:val="0000FF"/>
            <w:u w:val="single"/>
            <w:lang w:eastAsia="en-AU"/>
          </w:rPr>
          <w:t>published</w:t>
        </w:r>
      </w:hyperlink>
      <w:r w:rsidR="00A871F6" w:rsidRPr="005052FD">
        <w:rPr>
          <w:rFonts w:ascii="Arial" w:eastAsia="Times New Roman" w:hAnsi="Arial" w:cs="Arial"/>
          <w:color w:val="313131"/>
          <w:lang w:eastAsia="en-AU"/>
        </w:rPr>
        <w:t xml:space="preserve"> </w:t>
      </w:r>
      <w:hyperlink r:id="rId56" w:history="1">
        <w:r w:rsidR="00A871F6" w:rsidRPr="005052FD">
          <w:rPr>
            <w:rFonts w:ascii="Arial" w:eastAsia="Times New Roman" w:hAnsi="Arial" w:cs="Arial"/>
            <w:color w:val="0000FF"/>
            <w:u w:val="single"/>
            <w:lang w:eastAsia="en-AU"/>
          </w:rPr>
          <w:t>guidance</w:t>
        </w:r>
      </w:hyperlink>
      <w:r w:rsidR="00A871F6" w:rsidRPr="005052FD">
        <w:rPr>
          <w:rFonts w:ascii="Arial" w:eastAsia="Times New Roman" w:hAnsi="Arial" w:cs="Arial"/>
          <w:lang w:eastAsia="en-AU"/>
        </w:rPr>
        <w:t xml:space="preserve"> </w:t>
      </w:r>
      <w:r w:rsidR="00A871F6" w:rsidRPr="005052FD">
        <w:rPr>
          <w:rFonts w:ascii="Arial" w:eastAsia="Times New Roman" w:hAnsi="Arial" w:cs="Arial"/>
          <w:color w:val="333F48"/>
          <w:lang w:eastAsia="en-AU"/>
        </w:rPr>
        <w:t>for advertising COVID-19 IVDs, including details of the legally permitted representations.</w:t>
      </w:r>
    </w:p>
    <w:p w14:paraId="6B9716B3" w14:textId="33533D50" w:rsidR="005052FD" w:rsidRDefault="005052FD" w:rsidP="005052FD">
      <w:pPr>
        <w:pStyle w:val="Heading2"/>
      </w:pPr>
      <w:bookmarkStart w:id="27" w:name="_Toc140776969"/>
      <w:r>
        <w:lastRenderedPageBreak/>
        <w:t>Regulatory action due to non-compliance</w:t>
      </w:r>
      <w:bookmarkEnd w:id="27"/>
    </w:p>
    <w:p w14:paraId="3665D74A" w14:textId="6B93A1C1" w:rsidR="00651C9F" w:rsidRPr="00651C9F" w:rsidRDefault="00B01AFB" w:rsidP="00651C9F">
      <w:pPr>
        <w:pStyle w:val="NormalWeb"/>
        <w:shd w:val="clear" w:color="auto" w:fill="FFFFFF"/>
        <w:spacing w:line="22" w:lineRule="atLeast"/>
        <w:rPr>
          <w:rFonts w:ascii="Arial" w:eastAsia="Times New Roman" w:hAnsi="Arial" w:cs="Arial"/>
          <w:color w:val="333F48"/>
          <w:sz w:val="20"/>
          <w:szCs w:val="20"/>
          <w:lang w:eastAsia="en-AU"/>
        </w:rPr>
      </w:pPr>
      <w:r>
        <w:rPr>
          <w:rFonts w:ascii="Arial" w:eastAsia="Times New Roman" w:hAnsi="Arial" w:cs="Arial"/>
          <w:color w:val="333F48"/>
          <w:sz w:val="20"/>
          <w:szCs w:val="20"/>
          <w:lang w:eastAsia="en-AU"/>
        </w:rPr>
        <w:t>The TGA</w:t>
      </w:r>
      <w:r w:rsidRPr="00651C9F">
        <w:rPr>
          <w:rFonts w:ascii="Arial" w:eastAsia="Times New Roman" w:hAnsi="Arial" w:cs="Arial"/>
          <w:color w:val="333F48"/>
          <w:sz w:val="20"/>
          <w:szCs w:val="20"/>
          <w:lang w:eastAsia="en-AU"/>
        </w:rPr>
        <w:t xml:space="preserve"> </w:t>
      </w:r>
      <w:r w:rsidR="00651C9F" w:rsidRPr="00651C9F">
        <w:rPr>
          <w:rFonts w:ascii="Arial" w:eastAsia="Times New Roman" w:hAnsi="Arial" w:cs="Arial"/>
          <w:color w:val="333F48"/>
          <w:sz w:val="20"/>
          <w:szCs w:val="20"/>
          <w:lang w:eastAsia="en-AU"/>
        </w:rPr>
        <w:t xml:space="preserve">can undertake </w:t>
      </w:r>
      <w:hyperlink r:id="rId57" w:history="1">
        <w:r w:rsidR="00651C9F" w:rsidRPr="00651C9F">
          <w:rPr>
            <w:rFonts w:ascii="Arial" w:eastAsia="Times New Roman" w:hAnsi="Arial" w:cs="Arial"/>
            <w:color w:val="0000FF"/>
            <w:sz w:val="20"/>
            <w:szCs w:val="20"/>
            <w:u w:val="single"/>
            <w:lang w:eastAsia="en-AU"/>
          </w:rPr>
          <w:t>regulatory action</w:t>
        </w:r>
      </w:hyperlink>
      <w:r w:rsidR="00651C9F" w:rsidRPr="00651C9F">
        <w:rPr>
          <w:rFonts w:ascii="Arial" w:eastAsia="Times New Roman" w:hAnsi="Arial" w:cs="Arial"/>
          <w:color w:val="0000FF"/>
          <w:sz w:val="20"/>
          <w:szCs w:val="20"/>
          <w:lang w:eastAsia="en-AU"/>
        </w:rPr>
        <w:t xml:space="preserve"> </w:t>
      </w:r>
      <w:r w:rsidR="00651C9F" w:rsidRPr="00651C9F">
        <w:rPr>
          <w:rFonts w:ascii="Arial" w:eastAsia="Times New Roman" w:hAnsi="Arial" w:cs="Arial"/>
          <w:color w:val="333F48"/>
          <w:sz w:val="20"/>
          <w:szCs w:val="20"/>
          <w:lang w:eastAsia="en-AU"/>
        </w:rPr>
        <w:t xml:space="preserve">to ensure that devices that are not compliant with the </w:t>
      </w:r>
      <w:r w:rsidR="001332CB">
        <w:rPr>
          <w:rFonts w:ascii="Arial" w:eastAsia="Times New Roman" w:hAnsi="Arial" w:cs="Arial"/>
          <w:color w:val="333F48"/>
          <w:sz w:val="20"/>
          <w:szCs w:val="20"/>
          <w:lang w:eastAsia="en-AU"/>
        </w:rPr>
        <w:t xml:space="preserve">Act </w:t>
      </w:r>
      <w:r w:rsidR="00651C9F" w:rsidRPr="00651C9F">
        <w:rPr>
          <w:rFonts w:ascii="Arial" w:eastAsia="Times New Roman" w:hAnsi="Arial" w:cs="Arial"/>
          <w:color w:val="333F48"/>
          <w:sz w:val="20"/>
          <w:szCs w:val="20"/>
          <w:lang w:eastAsia="en-AU"/>
        </w:rPr>
        <w:t>are either brought back into compliance, or removed from the ARTG if compliance cannot be achieved.</w:t>
      </w:r>
    </w:p>
    <w:p w14:paraId="59CB4728" w14:textId="77777777" w:rsidR="00651C9F" w:rsidRPr="00651C9F" w:rsidRDefault="00651C9F" w:rsidP="00651C9F">
      <w:pPr>
        <w:shd w:val="clear" w:color="auto" w:fill="FFFFFF"/>
        <w:spacing w:line="22" w:lineRule="atLeast"/>
        <w:rPr>
          <w:rFonts w:ascii="Arial" w:eastAsia="Times New Roman" w:hAnsi="Arial" w:cs="Arial"/>
          <w:color w:val="333F48"/>
          <w:lang w:eastAsia="en-AU"/>
        </w:rPr>
      </w:pPr>
      <w:r w:rsidRPr="00651C9F">
        <w:rPr>
          <w:rFonts w:ascii="Arial" w:eastAsia="Times New Roman" w:hAnsi="Arial" w:cs="Arial"/>
          <w:color w:val="333F48"/>
          <w:lang w:eastAsia="en-AU"/>
        </w:rPr>
        <w:t>Devices with deficiencies in performance, or non-compliance with conditions imposed either during device inclusion or after inclusion in the ARTG, may be subject to</w:t>
      </w:r>
      <w:r w:rsidRPr="00651C9F">
        <w:rPr>
          <w:rFonts w:ascii="Arial" w:eastAsia="Times New Roman" w:hAnsi="Arial" w:cs="Arial"/>
          <w:color w:val="0000FF"/>
          <w:lang w:eastAsia="en-AU"/>
        </w:rPr>
        <w:t xml:space="preserve"> </w:t>
      </w:r>
      <w:hyperlink r:id="rId58" w:history="1">
        <w:r w:rsidRPr="00651C9F">
          <w:rPr>
            <w:rFonts w:ascii="Arial" w:eastAsia="Times New Roman" w:hAnsi="Arial" w:cs="Arial"/>
            <w:color w:val="0000FF"/>
            <w:u w:val="single"/>
            <w:lang w:eastAsia="en-AU"/>
          </w:rPr>
          <w:t>specific regulatory actions</w:t>
        </w:r>
      </w:hyperlink>
      <w:r w:rsidRPr="00651C9F">
        <w:rPr>
          <w:rFonts w:ascii="Arial" w:eastAsia="Times New Roman" w:hAnsi="Arial" w:cs="Arial"/>
          <w:color w:val="0000FF"/>
          <w:lang w:eastAsia="en-AU"/>
        </w:rPr>
        <w:t xml:space="preserve"> </w:t>
      </w:r>
      <w:r w:rsidRPr="00651C9F">
        <w:rPr>
          <w:rFonts w:ascii="Arial" w:eastAsia="Times New Roman" w:hAnsi="Arial" w:cs="Arial"/>
          <w:color w:val="333F48"/>
          <w:lang w:eastAsia="en-AU"/>
        </w:rPr>
        <w:t>where applicable.</w:t>
      </w:r>
    </w:p>
    <w:p w14:paraId="71D86AA4" w14:textId="41C9AC26" w:rsidR="00651C9F" w:rsidRPr="00651C9F" w:rsidRDefault="00B01AFB" w:rsidP="00651C9F">
      <w:pPr>
        <w:shd w:val="clear" w:color="auto" w:fill="FFFFFF"/>
        <w:spacing w:line="22" w:lineRule="atLeast"/>
        <w:rPr>
          <w:rFonts w:ascii="Arial" w:eastAsia="Times New Roman" w:hAnsi="Arial" w:cs="Arial"/>
          <w:color w:val="333F48"/>
          <w:lang w:eastAsia="en-AU"/>
        </w:rPr>
      </w:pPr>
      <w:r>
        <w:rPr>
          <w:rFonts w:ascii="Arial" w:eastAsia="Times New Roman" w:hAnsi="Arial" w:cs="Arial"/>
          <w:color w:val="333F48"/>
          <w:lang w:eastAsia="en-AU"/>
        </w:rPr>
        <w:t>The TGA</w:t>
      </w:r>
      <w:r w:rsidRPr="00651C9F">
        <w:rPr>
          <w:rFonts w:ascii="Arial" w:eastAsia="Times New Roman" w:hAnsi="Arial" w:cs="Arial"/>
          <w:color w:val="333F48"/>
          <w:lang w:eastAsia="en-AU"/>
        </w:rPr>
        <w:t xml:space="preserve"> </w:t>
      </w:r>
      <w:r w:rsidR="00651C9F" w:rsidRPr="00651C9F">
        <w:rPr>
          <w:rFonts w:ascii="Arial" w:eastAsia="Times New Roman" w:hAnsi="Arial" w:cs="Arial"/>
          <w:color w:val="333F48"/>
          <w:lang w:eastAsia="en-AU"/>
        </w:rPr>
        <w:t>recognise that education and guidance are key to encouraging and assisting with compliance with Australian regulation. We regularly</w:t>
      </w:r>
      <w:r w:rsidR="00651C9F" w:rsidRPr="00651C9F">
        <w:rPr>
          <w:rFonts w:ascii="Arial" w:eastAsia="Times New Roman" w:hAnsi="Arial" w:cs="Arial"/>
          <w:color w:val="0000FF"/>
          <w:lang w:eastAsia="en-AU"/>
        </w:rPr>
        <w:t xml:space="preserve"> </w:t>
      </w:r>
      <w:hyperlink r:id="rId59" w:history="1">
        <w:r w:rsidR="00651C9F" w:rsidRPr="00651C9F">
          <w:rPr>
            <w:rFonts w:ascii="Arial" w:eastAsia="Times New Roman" w:hAnsi="Arial" w:cs="Arial"/>
            <w:color w:val="0000FF"/>
            <w:u w:val="single"/>
            <w:lang w:eastAsia="en-AU"/>
          </w:rPr>
          <w:t>publish information</w:t>
        </w:r>
      </w:hyperlink>
      <w:r w:rsidR="00651C9F" w:rsidRPr="00651C9F">
        <w:rPr>
          <w:rFonts w:ascii="Arial" w:eastAsia="Times New Roman" w:hAnsi="Arial" w:cs="Arial"/>
          <w:color w:val="333F48"/>
          <w:lang w:eastAsia="en-AU"/>
        </w:rPr>
        <w:t>, conduct training, and answer enquiries to assist industry in understanding and meeting the regulatory requirements provided for under the Act.</w:t>
      </w:r>
    </w:p>
    <w:p w14:paraId="16801A21" w14:textId="0E61C181" w:rsidR="00651C9F" w:rsidRPr="00651C9F" w:rsidRDefault="00651C9F" w:rsidP="00651C9F">
      <w:pPr>
        <w:shd w:val="clear" w:color="auto" w:fill="FFFFFF"/>
        <w:spacing w:line="22" w:lineRule="atLeast"/>
        <w:rPr>
          <w:rFonts w:ascii="Arial" w:eastAsia="Times New Roman" w:hAnsi="Arial" w:cs="Arial"/>
          <w:color w:val="333F48"/>
          <w:lang w:eastAsia="en-AU"/>
        </w:rPr>
      </w:pPr>
      <w:r w:rsidRPr="00651C9F">
        <w:rPr>
          <w:rFonts w:ascii="Arial" w:eastAsia="Times New Roman" w:hAnsi="Arial" w:cs="Arial"/>
          <w:color w:val="333F48"/>
          <w:lang w:eastAsia="en-AU"/>
        </w:rPr>
        <w:t xml:space="preserve">In the first instance, </w:t>
      </w:r>
      <w:r w:rsidR="00866068">
        <w:rPr>
          <w:rFonts w:ascii="Arial" w:eastAsia="Times New Roman" w:hAnsi="Arial" w:cs="Arial"/>
          <w:color w:val="333F48"/>
          <w:lang w:eastAsia="en-AU"/>
        </w:rPr>
        <w:t>we</w:t>
      </w:r>
      <w:r w:rsidRPr="00651C9F">
        <w:rPr>
          <w:rFonts w:ascii="Arial" w:eastAsia="Times New Roman" w:hAnsi="Arial" w:cs="Arial"/>
          <w:color w:val="333F48"/>
          <w:lang w:eastAsia="en-AU"/>
        </w:rPr>
        <w:t xml:space="preserve"> will often work with the responsible entity to provide education and advice </w:t>
      </w:r>
      <w:proofErr w:type="gramStart"/>
      <w:r w:rsidRPr="00651C9F">
        <w:rPr>
          <w:rFonts w:ascii="Arial" w:eastAsia="Times New Roman" w:hAnsi="Arial" w:cs="Arial"/>
          <w:color w:val="333F48"/>
          <w:lang w:eastAsia="en-AU"/>
        </w:rPr>
        <w:t>in order to</w:t>
      </w:r>
      <w:proofErr w:type="gramEnd"/>
      <w:r w:rsidRPr="00651C9F">
        <w:rPr>
          <w:rFonts w:ascii="Arial" w:eastAsia="Times New Roman" w:hAnsi="Arial" w:cs="Arial"/>
          <w:color w:val="333F48"/>
          <w:lang w:eastAsia="en-AU"/>
        </w:rPr>
        <w:t xml:space="preserve"> achieve compliance. However, escalation of regulatory action will be considered if:</w:t>
      </w:r>
    </w:p>
    <w:p w14:paraId="5A3A55AD" w14:textId="146CE313" w:rsidR="00651C9F" w:rsidRDefault="001332CB" w:rsidP="00651C9F">
      <w:pPr>
        <w:pStyle w:val="ListBullet"/>
        <w:rPr>
          <w:lang w:eastAsia="en-AU"/>
        </w:rPr>
      </w:pPr>
      <w:r>
        <w:rPr>
          <w:lang w:eastAsia="en-AU"/>
        </w:rPr>
        <w:t>There are</w:t>
      </w:r>
      <w:r w:rsidR="00651C9F">
        <w:rPr>
          <w:lang w:eastAsia="en-AU"/>
        </w:rPr>
        <w:t xml:space="preserve"> repeat</w:t>
      </w:r>
      <w:r>
        <w:rPr>
          <w:lang w:eastAsia="en-AU"/>
        </w:rPr>
        <w:t>ed</w:t>
      </w:r>
      <w:r w:rsidR="00651C9F">
        <w:rPr>
          <w:lang w:eastAsia="en-AU"/>
        </w:rPr>
        <w:t xml:space="preserve"> breaches and </w:t>
      </w:r>
      <w:r>
        <w:rPr>
          <w:lang w:eastAsia="en-AU"/>
        </w:rPr>
        <w:t>an un</w:t>
      </w:r>
      <w:r w:rsidR="00651C9F">
        <w:rPr>
          <w:lang w:eastAsia="en-AU"/>
        </w:rPr>
        <w:t>willing</w:t>
      </w:r>
      <w:r>
        <w:rPr>
          <w:lang w:eastAsia="en-AU"/>
        </w:rPr>
        <w:t>ness</w:t>
      </w:r>
      <w:r w:rsidR="00651C9F">
        <w:rPr>
          <w:lang w:eastAsia="en-AU"/>
        </w:rPr>
        <w:t xml:space="preserve"> to comply; and/or</w:t>
      </w:r>
    </w:p>
    <w:p w14:paraId="0AF5B58D" w14:textId="2B7716BF" w:rsidR="00651C9F" w:rsidRDefault="001332CB" w:rsidP="009E5138">
      <w:pPr>
        <w:pStyle w:val="ListBullet"/>
        <w:ind w:left="357" w:hanging="357"/>
        <w:rPr>
          <w:lang w:eastAsia="en-AU"/>
        </w:rPr>
      </w:pPr>
      <w:r>
        <w:rPr>
          <w:lang w:eastAsia="en-AU"/>
        </w:rPr>
        <w:t>T</w:t>
      </w:r>
      <w:r w:rsidR="00651C9F">
        <w:rPr>
          <w:lang w:eastAsia="en-AU"/>
        </w:rPr>
        <w:t>here is a likely impact on the consumers' ability to use</w:t>
      </w:r>
      <w:r>
        <w:rPr>
          <w:lang w:eastAsia="en-AU"/>
        </w:rPr>
        <w:t xml:space="preserve"> the</w:t>
      </w:r>
      <w:r w:rsidR="00651C9F">
        <w:rPr>
          <w:lang w:eastAsia="en-AU"/>
        </w:rPr>
        <w:t xml:space="preserve"> therapeutic goods safely or appropriately.</w:t>
      </w:r>
    </w:p>
    <w:p w14:paraId="17B86C83" w14:textId="57493A78" w:rsidR="00651C9F" w:rsidRDefault="00651C9F" w:rsidP="009E5138">
      <w:pPr>
        <w:pStyle w:val="ListBullet"/>
        <w:numPr>
          <w:ilvl w:val="0"/>
          <w:numId w:val="0"/>
        </w:numPr>
        <w:spacing w:before="0" w:after="120" w:line="22" w:lineRule="atLeast"/>
        <w:ind w:left="357" w:hanging="357"/>
        <w:rPr>
          <w:lang w:eastAsia="en-AU"/>
        </w:rPr>
      </w:pPr>
      <w:r w:rsidRPr="00651C9F">
        <w:rPr>
          <w:lang w:eastAsia="en-AU"/>
        </w:rPr>
        <w:t xml:space="preserve">The compliance and enforcement tools that </w:t>
      </w:r>
      <w:r w:rsidR="00866068">
        <w:rPr>
          <w:lang w:eastAsia="en-AU"/>
        </w:rPr>
        <w:t>we have</w:t>
      </w:r>
      <w:r w:rsidRPr="00651C9F">
        <w:rPr>
          <w:lang w:eastAsia="en-AU"/>
        </w:rPr>
        <w:t xml:space="preserve"> available to ensure compliance includes:</w:t>
      </w:r>
    </w:p>
    <w:p w14:paraId="4EFA39FA" w14:textId="77777777" w:rsidR="00651C9F" w:rsidRDefault="00651C9F" w:rsidP="00651C9F">
      <w:pPr>
        <w:pStyle w:val="ListBullet"/>
        <w:ind w:left="357" w:hanging="357"/>
      </w:pPr>
      <w:r>
        <w:t>Warning letters</w:t>
      </w:r>
    </w:p>
    <w:p w14:paraId="708F1012" w14:textId="7A19383D" w:rsidR="00651C9F" w:rsidRDefault="00651C9F" w:rsidP="00651C9F">
      <w:pPr>
        <w:pStyle w:val="ListBullet"/>
      </w:pPr>
      <w:r>
        <w:t xml:space="preserve">Suspension </w:t>
      </w:r>
      <w:r w:rsidR="00A871F6">
        <w:t xml:space="preserve">or cancellation </w:t>
      </w:r>
      <w:r>
        <w:t>of the device from the ARTG</w:t>
      </w:r>
    </w:p>
    <w:p w14:paraId="33A04272" w14:textId="77777777" w:rsidR="00651C9F" w:rsidRDefault="00651C9F" w:rsidP="00651C9F">
      <w:pPr>
        <w:pStyle w:val="ListBullet"/>
      </w:pPr>
      <w:r>
        <w:t>Recall actions</w:t>
      </w:r>
    </w:p>
    <w:p w14:paraId="2621CBF5" w14:textId="77777777" w:rsidR="00651C9F" w:rsidRDefault="00651C9F" w:rsidP="00651C9F">
      <w:pPr>
        <w:pStyle w:val="ListBullet"/>
      </w:pPr>
      <w:r>
        <w:t>Advertising directions and prevention notices</w:t>
      </w:r>
    </w:p>
    <w:p w14:paraId="799A46D9" w14:textId="77777777" w:rsidR="00651C9F" w:rsidRDefault="00651C9F" w:rsidP="00651C9F">
      <w:pPr>
        <w:pStyle w:val="ListBullet"/>
      </w:pPr>
      <w:r>
        <w:t>Infringement notices</w:t>
      </w:r>
    </w:p>
    <w:p w14:paraId="2E9CF2A9" w14:textId="77777777" w:rsidR="00651C9F" w:rsidRDefault="00651C9F" w:rsidP="00651C9F">
      <w:pPr>
        <w:pStyle w:val="ListBullet"/>
      </w:pPr>
      <w:r>
        <w:t>Enforceable undertakings</w:t>
      </w:r>
    </w:p>
    <w:p w14:paraId="561612BD" w14:textId="77777777" w:rsidR="00651C9F" w:rsidRDefault="00651C9F" w:rsidP="00651C9F">
      <w:pPr>
        <w:pStyle w:val="ListBullet"/>
      </w:pPr>
      <w:r>
        <w:t>Injunctions</w:t>
      </w:r>
    </w:p>
    <w:p w14:paraId="27D9B23B" w14:textId="77777777" w:rsidR="00651C9F" w:rsidRDefault="00651C9F" w:rsidP="00651C9F">
      <w:pPr>
        <w:pStyle w:val="ListBullet"/>
      </w:pPr>
      <w:r>
        <w:t>Civil penalties</w:t>
      </w:r>
    </w:p>
    <w:p w14:paraId="6597458B" w14:textId="4E8024B8" w:rsidR="00651C9F" w:rsidRPr="00E16A84" w:rsidRDefault="00651C9F" w:rsidP="00651C9F">
      <w:pPr>
        <w:pStyle w:val="ListBullet"/>
      </w:pPr>
      <w:r w:rsidRPr="00E16A84">
        <w:t xml:space="preserve">Criminal </w:t>
      </w:r>
      <w:r w:rsidRPr="004B6B98">
        <w:t>prosecutions</w:t>
      </w:r>
      <w:r w:rsidR="00B01AFB">
        <w:t>.</w:t>
      </w:r>
    </w:p>
    <w:p w14:paraId="646C40BF" w14:textId="67EB4C30" w:rsidR="005052FD" w:rsidRDefault="005052FD" w:rsidP="005052FD">
      <w:pPr>
        <w:pStyle w:val="Heading2"/>
      </w:pPr>
      <w:bookmarkStart w:id="28" w:name="_Toc140776970"/>
      <w:r>
        <w:t>Have more questions?</w:t>
      </w:r>
      <w:bookmarkEnd w:id="28"/>
    </w:p>
    <w:p w14:paraId="666315AC" w14:textId="1067826A" w:rsidR="005034F3" w:rsidRPr="005034F3" w:rsidRDefault="005052FD" w:rsidP="005034F3">
      <w:r w:rsidRPr="00230516">
        <w:rPr>
          <w:rFonts w:ascii="Arial" w:hAnsi="Arial" w:cs="Arial"/>
          <w:color w:val="333F48"/>
        </w:rPr>
        <w:t xml:space="preserve">For any additional queries, please contact the post market review team at </w:t>
      </w:r>
      <w:hyperlink r:id="rId60" w:history="1">
        <w:r w:rsidRPr="00572348">
          <w:rPr>
            <w:rStyle w:val="Hyperlink"/>
            <w:rFonts w:cs="Arial"/>
          </w:rPr>
          <w:t>postmarketdevices@health.gov.au</w:t>
        </w:r>
      </w:hyperlink>
      <w:r>
        <w:rPr>
          <w:rFonts w:ascii="Arial" w:hAnsi="Arial" w:cs="Arial"/>
        </w:rPr>
        <w:t>.</w:t>
      </w:r>
    </w:p>
    <w:p w14:paraId="5B69325F" w14:textId="77777777" w:rsidR="00F02AEC" w:rsidRPr="00215D48" w:rsidRDefault="00F02AEC" w:rsidP="00BA0DFC">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215D48" w14:paraId="3C213C61"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DBE55B4" w14:textId="77777777" w:rsidR="00F02AEC" w:rsidRPr="00215D48" w:rsidRDefault="00F02AEC" w:rsidP="00B33C56">
            <w:bookmarkStart w:id="29" w:name="ColumnTitle_4"/>
            <w:r w:rsidRPr="00215D48">
              <w:t>Version</w:t>
            </w:r>
          </w:p>
        </w:tc>
        <w:tc>
          <w:tcPr>
            <w:tcW w:w="3242" w:type="dxa"/>
          </w:tcPr>
          <w:p w14:paraId="39EAC983"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7F416873"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0B50F705" w14:textId="77777777" w:rsidR="00F02AEC" w:rsidRPr="00215D48" w:rsidRDefault="00F02AEC"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29"/>
      <w:tr w:rsidR="00F02AEC" w:rsidRPr="00215D48" w14:paraId="132606DA"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2162C9A" w14:textId="77777777" w:rsidR="00F02AEC" w:rsidRPr="00215D48" w:rsidRDefault="00F02AEC" w:rsidP="00B33C56">
            <w:r w:rsidRPr="00215D48">
              <w:t>V1.0</w:t>
            </w:r>
          </w:p>
        </w:tc>
        <w:tc>
          <w:tcPr>
            <w:tcW w:w="3242" w:type="dxa"/>
          </w:tcPr>
          <w:p w14:paraId="07BA0835" w14:textId="77777777" w:rsidR="00F02AEC" w:rsidRPr="00215D48" w:rsidRDefault="00F02AEC"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06D9A130" w14:textId="55E6B6A8" w:rsidR="00F02AEC" w:rsidRPr="00215D48" w:rsidRDefault="005034F3" w:rsidP="00B33C56">
            <w:pPr>
              <w:cnfStyle w:val="000000000000" w:firstRow="0" w:lastRow="0" w:firstColumn="0" w:lastColumn="0" w:oddVBand="0" w:evenVBand="0" w:oddHBand="0" w:evenHBand="0" w:firstRowFirstColumn="0" w:firstRowLastColumn="0" w:lastRowFirstColumn="0" w:lastRowLastColumn="0"/>
            </w:pPr>
            <w:r>
              <w:t>Medical Devices Surveillance Branch</w:t>
            </w:r>
          </w:p>
        </w:tc>
        <w:tc>
          <w:tcPr>
            <w:tcW w:w="1808" w:type="dxa"/>
          </w:tcPr>
          <w:p w14:paraId="6609704C" w14:textId="36FACEEA" w:rsidR="00F02AEC" w:rsidRPr="00215D48" w:rsidRDefault="00EE1A24" w:rsidP="00926B0E">
            <w:pPr>
              <w:cnfStyle w:val="000000000000" w:firstRow="0" w:lastRow="0" w:firstColumn="0" w:lastColumn="0" w:oddVBand="0" w:evenVBand="0" w:oddHBand="0" w:evenHBand="0" w:firstRowFirstColumn="0" w:firstRowLastColumn="0" w:lastRowFirstColumn="0" w:lastRowLastColumn="0"/>
            </w:pPr>
            <w:r>
              <w:t>August</w:t>
            </w:r>
            <w:r w:rsidR="00402D8B">
              <w:t xml:space="preserve"> 2023</w:t>
            </w:r>
          </w:p>
        </w:tc>
      </w:tr>
    </w:tbl>
    <w:p w14:paraId="34E19A9C" w14:textId="77777777" w:rsidR="00F02AEC" w:rsidRPr="00215D48" w:rsidRDefault="00F02AEC" w:rsidP="00706634">
      <w:pPr>
        <w:spacing w:after="0" w:line="240" w:lineRule="auto"/>
        <w:sectPr w:rsidR="00F02AEC" w:rsidRPr="00215D48" w:rsidSect="00AE7C6A">
          <w:headerReference w:type="default" r:id="rId61"/>
          <w:footerReference w:type="default" r:id="rId62"/>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4F43EB95" w14:textId="77777777" w:rsidTr="00564BBE">
        <w:trPr>
          <w:trHeight w:hRule="exact" w:val="565"/>
          <w:jc w:val="center"/>
        </w:trPr>
        <w:tc>
          <w:tcPr>
            <w:tcW w:w="9145" w:type="dxa"/>
          </w:tcPr>
          <w:p w14:paraId="4DF51C1A" w14:textId="77777777" w:rsidR="00F02AEC" w:rsidRPr="00215D48" w:rsidRDefault="00F02AEC" w:rsidP="00564BBE">
            <w:pPr>
              <w:pStyle w:val="TGASignoff"/>
            </w:pPr>
            <w:r w:rsidRPr="00215D48">
              <w:lastRenderedPageBreak/>
              <w:t>Therapeutic Goods Administration</w:t>
            </w:r>
          </w:p>
        </w:tc>
      </w:tr>
      <w:tr w:rsidR="00F02AEC" w:rsidRPr="00215D48" w14:paraId="2A9801A5" w14:textId="77777777" w:rsidTr="00564BBE">
        <w:trPr>
          <w:trHeight w:val="963"/>
          <w:jc w:val="center"/>
        </w:trPr>
        <w:tc>
          <w:tcPr>
            <w:tcW w:w="9145" w:type="dxa"/>
            <w:tcMar>
              <w:top w:w="28" w:type="dxa"/>
            </w:tcMar>
          </w:tcPr>
          <w:p w14:paraId="7BB1A0AC" w14:textId="77777777" w:rsidR="00F02AEC" w:rsidRPr="00215D48" w:rsidRDefault="00F02AEC" w:rsidP="00EB5622">
            <w:pPr>
              <w:pStyle w:val="Address"/>
              <w:jc w:val="center"/>
            </w:pPr>
            <w:r w:rsidRPr="00215D48">
              <w:t>PO Box 100 Woden ACT 2606 Australia</w:t>
            </w:r>
          </w:p>
          <w:p w14:paraId="686DD5C0" w14:textId="77777777" w:rsidR="00F02AEC" w:rsidRDefault="00F02AEC">
            <w:pPr>
              <w:pStyle w:val="Address"/>
              <w:jc w:val="center"/>
              <w:rPr>
                <w:sz w:val="22"/>
                <w:szCs w:val="22"/>
              </w:rPr>
            </w:pPr>
            <w:r w:rsidRPr="00215D48">
              <w:t xml:space="preserve">Email: </w:t>
            </w:r>
            <w:hyperlink r:id="rId63"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58AE1CE9" w14:textId="77777777" w:rsidR="00F02AEC" w:rsidRPr="00215D48" w:rsidRDefault="00EE1A24">
            <w:pPr>
              <w:pStyle w:val="Address"/>
              <w:jc w:val="center"/>
              <w:rPr>
                <w:rStyle w:val="Hyperlink"/>
                <w:b/>
                <w:color w:val="auto"/>
                <w:sz w:val="22"/>
              </w:rPr>
            </w:pPr>
            <w:hyperlink r:id="rId64" w:history="1">
              <w:r w:rsidR="00F02AEC" w:rsidRPr="00C4721A">
                <w:rPr>
                  <w:rStyle w:val="Hyperlink"/>
                  <w:b/>
                </w:rPr>
                <w:t>https://www.tga.gov.au</w:t>
              </w:r>
            </w:hyperlink>
          </w:p>
        </w:tc>
      </w:tr>
      <w:tr w:rsidR="00F02AEC" w:rsidRPr="00215D48" w14:paraId="712CA331" w14:textId="77777777" w:rsidTr="00564BBE">
        <w:trPr>
          <w:trHeight w:val="251"/>
          <w:jc w:val="center"/>
        </w:trPr>
        <w:tc>
          <w:tcPr>
            <w:tcW w:w="9145" w:type="dxa"/>
            <w:tcMar>
              <w:top w:w="28" w:type="dxa"/>
            </w:tcMar>
          </w:tcPr>
          <w:p w14:paraId="2483D91B" w14:textId="77777777" w:rsidR="00F02AEC" w:rsidRPr="00215D48" w:rsidRDefault="00F02AEC" w:rsidP="00EB5622">
            <w:pPr>
              <w:pStyle w:val="Address"/>
              <w:jc w:val="center"/>
            </w:pPr>
            <w:r w:rsidRPr="00215D48">
              <w:t>Reference/Publication #</w:t>
            </w:r>
          </w:p>
        </w:tc>
      </w:tr>
    </w:tbl>
    <w:p w14:paraId="63822F81" w14:textId="77777777" w:rsidR="002216A7" w:rsidRDefault="00EE1A24"/>
    <w:sectPr w:rsidR="002216A7" w:rsidSect="00AE7C6A">
      <w:headerReference w:type="first" r:id="rId65"/>
      <w:footerReference w:type="first" r:id="rId6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1C13" w14:textId="77777777" w:rsidR="00FE5B87" w:rsidRDefault="00FE5B87" w:rsidP="00F02AEC">
      <w:pPr>
        <w:spacing w:after="0" w:line="240" w:lineRule="auto"/>
      </w:pPr>
      <w:r>
        <w:separator/>
      </w:r>
    </w:p>
  </w:endnote>
  <w:endnote w:type="continuationSeparator" w:id="0">
    <w:p w14:paraId="520E014E" w14:textId="77777777" w:rsidR="00FE5B87" w:rsidRDefault="00FE5B87"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36F6D260" w14:textId="77777777" w:rsidTr="000B30E5">
      <w:trPr>
        <w:trHeight w:val="423"/>
      </w:trPr>
      <w:tc>
        <w:tcPr>
          <w:tcW w:w="4360" w:type="dxa"/>
          <w:tcBorders>
            <w:top w:val="single" w:sz="4" w:space="0" w:color="auto"/>
          </w:tcBorders>
        </w:tcPr>
        <w:p w14:paraId="42A57310" w14:textId="77777777" w:rsidR="00F02AEC" w:rsidRDefault="00F02AEC" w:rsidP="000B30E5">
          <w:pPr>
            <w:pStyle w:val="Footer"/>
          </w:pPr>
        </w:p>
        <w:p w14:paraId="603BF3FE"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770C468A" w14:textId="77777777" w:rsidR="00F02AEC" w:rsidRDefault="00F02AEC" w:rsidP="000B30E5">
              <w:pPr>
                <w:pStyle w:val="Footer"/>
                <w:jc w:val="right"/>
              </w:pPr>
            </w:p>
            <w:p w14:paraId="2CFB1239"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EE1A24">
                <w:fldChar w:fldCharType="begin"/>
              </w:r>
              <w:r w:rsidR="00EE1A24">
                <w:instrText xml:space="preserve"> NUMPAGES  </w:instrText>
              </w:r>
              <w:r w:rsidR="00EE1A24">
                <w:fldChar w:fldCharType="separate"/>
              </w:r>
              <w:r>
                <w:rPr>
                  <w:noProof/>
                </w:rPr>
                <w:t>2</w:t>
              </w:r>
              <w:r w:rsidR="00EE1A24">
                <w:rPr>
                  <w:noProof/>
                </w:rPr>
                <w:fldChar w:fldCharType="end"/>
              </w:r>
            </w:p>
          </w:sdtContent>
        </w:sdt>
      </w:tc>
    </w:tr>
    <w:tr w:rsidR="00F02AEC" w:rsidRPr="00257138" w14:paraId="28AB7819" w14:textId="77777777" w:rsidTr="000B30E5">
      <w:trPr>
        <w:trHeight w:val="263"/>
      </w:trPr>
      <w:tc>
        <w:tcPr>
          <w:tcW w:w="4360" w:type="dxa"/>
        </w:tcPr>
        <w:p w14:paraId="35F17329"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0ADBADE9" w14:textId="77777777" w:rsidR="00F02AEC" w:rsidRPr="00257138" w:rsidRDefault="00F02AEC" w:rsidP="000B30E5">
          <w:pPr>
            <w:pStyle w:val="Footer"/>
            <w:jc w:val="right"/>
          </w:pPr>
        </w:p>
      </w:tc>
    </w:tr>
  </w:tbl>
  <w:p w14:paraId="552B1040"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B327" w14:textId="77777777"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1929BBB4" w14:textId="77777777" w:rsidTr="00030D34">
      <w:trPr>
        <w:trHeight w:val="423"/>
      </w:trPr>
      <w:tc>
        <w:tcPr>
          <w:tcW w:w="7338" w:type="dxa"/>
          <w:tcBorders>
            <w:top w:val="single" w:sz="4" w:space="0" w:color="auto"/>
          </w:tcBorders>
        </w:tcPr>
        <w:p w14:paraId="0568BC2A" w14:textId="10C2B2DA" w:rsidR="00F02AEC" w:rsidRPr="004A3084" w:rsidRDefault="009E5138" w:rsidP="009E5138">
          <w:pPr>
            <w:pStyle w:val="Footer"/>
          </w:pPr>
          <w:r>
            <w:t xml:space="preserve">COVID-19 </w:t>
          </w:r>
          <w:r w:rsidRPr="009E5138">
            <w:rPr>
              <w:i/>
              <w:iCs/>
            </w:rPr>
            <w:t>in vitro</w:t>
          </w:r>
          <w:r>
            <w:t xml:space="preserve"> diagnostics - Guidance on ongoing requirements for sponsors and manufacturers – </w:t>
          </w:r>
          <w:r w:rsidR="00F02AEC">
            <w:t xml:space="preserve">V1.0 </w:t>
          </w:r>
          <w:r w:rsidR="00EE1A24">
            <w:t>August</w:t>
          </w:r>
          <w:r w:rsidR="00F02AEC" w:rsidRPr="004435D8">
            <w:t xml:space="preserve"> </w:t>
          </w:r>
          <w:r w:rsidR="004435D8">
            <w:t>2023</w:t>
          </w:r>
        </w:p>
      </w:tc>
      <w:tc>
        <w:tcPr>
          <w:tcW w:w="1734" w:type="dxa"/>
          <w:tcBorders>
            <w:top w:val="single" w:sz="4" w:space="0" w:color="auto"/>
          </w:tcBorders>
        </w:tcPr>
        <w:sdt>
          <w:sdtPr>
            <w:id w:val="11571659"/>
            <w:docPartObj>
              <w:docPartGallery w:val="Page Numbers (Top of Page)"/>
              <w:docPartUnique/>
            </w:docPartObj>
          </w:sdtPr>
          <w:sdtEndPr/>
          <w:sdtContent>
            <w:p w14:paraId="1E074D35"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EE1A24">
                <w:fldChar w:fldCharType="begin"/>
              </w:r>
              <w:r w:rsidR="00EE1A24">
                <w:instrText xml:space="preserve"> NUMPAGES  </w:instrText>
              </w:r>
              <w:r w:rsidR="00EE1A24">
                <w:fldChar w:fldCharType="separate"/>
              </w:r>
              <w:r>
                <w:rPr>
                  <w:noProof/>
                </w:rPr>
                <w:t>7</w:t>
              </w:r>
              <w:r w:rsidR="00EE1A24">
                <w:rPr>
                  <w:noProof/>
                </w:rPr>
                <w:fldChar w:fldCharType="end"/>
              </w:r>
            </w:p>
          </w:sdtContent>
        </w:sdt>
      </w:tc>
    </w:tr>
  </w:tbl>
  <w:p w14:paraId="7112ACDF"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2376" w14:textId="77777777" w:rsidR="00A77452" w:rsidRPr="008E3C43" w:rsidRDefault="00EE1A24"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A796" w14:textId="77777777" w:rsidR="00FE5B87" w:rsidRDefault="00FE5B87" w:rsidP="00F02AEC">
      <w:pPr>
        <w:spacing w:after="0" w:line="240" w:lineRule="auto"/>
      </w:pPr>
      <w:r>
        <w:separator/>
      </w:r>
    </w:p>
  </w:footnote>
  <w:footnote w:type="continuationSeparator" w:id="0">
    <w:p w14:paraId="62721BA7" w14:textId="77777777" w:rsidR="00FE5B87" w:rsidRDefault="00FE5B87"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3967"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02C8F7E2" w14:textId="77777777" w:rsidTr="00F71E1E">
      <w:trPr>
        <w:trHeight w:hRule="exact" w:val="8845"/>
      </w:trPr>
      <w:tc>
        <w:tcPr>
          <w:tcW w:w="11964" w:type="dxa"/>
          <w:vAlign w:val="center"/>
        </w:tcPr>
        <w:p w14:paraId="6403D9D7" w14:textId="77777777" w:rsidR="00F02AEC" w:rsidRPr="002B29B2" w:rsidRDefault="00EE1A24" w:rsidP="006A2426">
          <w:pPr>
            <w:ind w:left="-57"/>
            <w:rPr>
              <w:noProof/>
            </w:rPr>
          </w:pPr>
          <w:sdt>
            <w:sdtPr>
              <w:rPr>
                <w:noProof/>
              </w:rPr>
              <w:id w:val="1926993388"/>
              <w:showingPlcHdr/>
              <w:picture/>
            </w:sdtPr>
            <w:sdtEndPr/>
            <w:sdtContent>
              <w:r w:rsidR="00F02AEC" w:rsidRPr="00F71E1E">
                <w:rPr>
                  <w:noProof/>
                </w:rPr>
                <w:drawing>
                  <wp:inline distT="0" distB="0" distL="0" distR="0" wp14:anchorId="3980C84F" wp14:editId="1C914C1A">
                    <wp:extent cx="7631430" cy="5523865"/>
                    <wp:effectExtent l="0" t="0" r="762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72DA465B" w14:textId="77777777" w:rsidR="00F02AEC" w:rsidRDefault="00CB0550" w:rsidP="006D03E5">
    <w:pPr>
      <w:rPr>
        <w:noProof/>
      </w:rPr>
    </w:pPr>
    <w:r>
      <w:rPr>
        <w:noProof/>
        <w:lang w:eastAsia="en-AU"/>
      </w:rPr>
      <w:drawing>
        <wp:anchor distT="0" distB="0" distL="114300" distR="114300" simplePos="0" relativeHeight="251661312" behindDoc="0" locked="0" layoutInCell="1" allowOverlap="1" wp14:anchorId="0D214D47" wp14:editId="519E4960">
          <wp:simplePos x="0" y="0"/>
          <wp:positionH relativeFrom="column">
            <wp:posOffset>-400050</wp:posOffset>
          </wp:positionH>
          <wp:positionV relativeFrom="paragraph">
            <wp:posOffset>-116205</wp:posOffset>
          </wp:positionV>
          <wp:extent cx="2676525" cy="621665"/>
          <wp:effectExtent l="0" t="0" r="9525" b="6985"/>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071C4A3" wp14:editId="6791761B">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8856"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B96F" w14:textId="77777777" w:rsidR="00A77452" w:rsidRPr="00FE501F" w:rsidRDefault="00EE1A24"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8A4"/>
    <w:multiLevelType w:val="hybridMultilevel"/>
    <w:tmpl w:val="69F8D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8D1D93"/>
    <w:multiLevelType w:val="hybridMultilevel"/>
    <w:tmpl w:val="88D6F6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700B3"/>
    <w:multiLevelType w:val="hybridMultilevel"/>
    <w:tmpl w:val="E7F09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2972989"/>
    <w:multiLevelType w:val="hybridMultilevel"/>
    <w:tmpl w:val="74C87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F4D4FEE"/>
    <w:multiLevelType w:val="hybridMultilevel"/>
    <w:tmpl w:val="96BE6B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D7549C"/>
    <w:multiLevelType w:val="hybridMultilevel"/>
    <w:tmpl w:val="7B5CE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92195A"/>
    <w:multiLevelType w:val="hybridMultilevel"/>
    <w:tmpl w:val="B0DC7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D83F9D"/>
    <w:multiLevelType w:val="hybridMultilevel"/>
    <w:tmpl w:val="3C08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BB62A8"/>
    <w:multiLevelType w:val="hybridMultilevel"/>
    <w:tmpl w:val="2E54D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7A1D02"/>
    <w:multiLevelType w:val="hybridMultilevel"/>
    <w:tmpl w:val="040A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E977D5"/>
    <w:multiLevelType w:val="hybridMultilevel"/>
    <w:tmpl w:val="FF96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56105271">
    <w:abstractNumId w:val="5"/>
  </w:num>
  <w:num w:numId="2" w16cid:durableId="1411004745">
    <w:abstractNumId w:val="3"/>
  </w:num>
  <w:num w:numId="3" w16cid:durableId="2081630197">
    <w:abstractNumId w:val="4"/>
  </w:num>
  <w:num w:numId="4" w16cid:durableId="19361726">
    <w:abstractNumId w:val="12"/>
  </w:num>
  <w:num w:numId="5" w16cid:durableId="312375729">
    <w:abstractNumId w:val="7"/>
  </w:num>
  <w:num w:numId="6" w16cid:durableId="187186840">
    <w:abstractNumId w:val="11"/>
  </w:num>
  <w:num w:numId="7" w16cid:durableId="1840730035">
    <w:abstractNumId w:val="1"/>
  </w:num>
  <w:num w:numId="8" w16cid:durableId="424421251">
    <w:abstractNumId w:val="13"/>
  </w:num>
  <w:num w:numId="9" w16cid:durableId="147399924">
    <w:abstractNumId w:val="14"/>
  </w:num>
  <w:num w:numId="10" w16cid:durableId="463740494">
    <w:abstractNumId w:val="6"/>
  </w:num>
  <w:num w:numId="11" w16cid:durableId="369306201">
    <w:abstractNumId w:val="15"/>
  </w:num>
  <w:num w:numId="12" w16cid:durableId="1383864693">
    <w:abstractNumId w:val="10"/>
  </w:num>
  <w:num w:numId="13" w16cid:durableId="1168325196">
    <w:abstractNumId w:val="16"/>
  </w:num>
  <w:num w:numId="14" w16cid:durableId="1293907582">
    <w:abstractNumId w:val="0"/>
  </w:num>
  <w:num w:numId="15" w16cid:durableId="1265265380">
    <w:abstractNumId w:val="9"/>
  </w:num>
  <w:num w:numId="16" w16cid:durableId="1393506104">
    <w:abstractNumId w:val="2"/>
  </w:num>
  <w:num w:numId="17" w16cid:durableId="139468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F3"/>
    <w:rsid w:val="00055FB9"/>
    <w:rsid w:val="00071177"/>
    <w:rsid w:val="000762CF"/>
    <w:rsid w:val="00094B81"/>
    <w:rsid w:val="000E0F7B"/>
    <w:rsid w:val="000F1423"/>
    <w:rsid w:val="000F152E"/>
    <w:rsid w:val="0010265E"/>
    <w:rsid w:val="001134F7"/>
    <w:rsid w:val="00113F87"/>
    <w:rsid w:val="0012473C"/>
    <w:rsid w:val="001332CB"/>
    <w:rsid w:val="001449E8"/>
    <w:rsid w:val="00163FFE"/>
    <w:rsid w:val="0017515E"/>
    <w:rsid w:val="00175CD8"/>
    <w:rsid w:val="00177ECA"/>
    <w:rsid w:val="00230516"/>
    <w:rsid w:val="0026659F"/>
    <w:rsid w:val="00272278"/>
    <w:rsid w:val="00277B71"/>
    <w:rsid w:val="0028262C"/>
    <w:rsid w:val="003008D8"/>
    <w:rsid w:val="00351705"/>
    <w:rsid w:val="0035444D"/>
    <w:rsid w:val="003E5EDE"/>
    <w:rsid w:val="00402D8B"/>
    <w:rsid w:val="004246B8"/>
    <w:rsid w:val="004369A7"/>
    <w:rsid w:val="004435D8"/>
    <w:rsid w:val="00466F5C"/>
    <w:rsid w:val="004E65E0"/>
    <w:rsid w:val="005034F3"/>
    <w:rsid w:val="005052FD"/>
    <w:rsid w:val="00506BDC"/>
    <w:rsid w:val="0057797F"/>
    <w:rsid w:val="0058575E"/>
    <w:rsid w:val="00593C75"/>
    <w:rsid w:val="005B1AE0"/>
    <w:rsid w:val="0063203F"/>
    <w:rsid w:val="00651C9F"/>
    <w:rsid w:val="006A1F0B"/>
    <w:rsid w:val="00704BCF"/>
    <w:rsid w:val="00746990"/>
    <w:rsid w:val="00792CAD"/>
    <w:rsid w:val="007F0A77"/>
    <w:rsid w:val="008329DB"/>
    <w:rsid w:val="00840FE0"/>
    <w:rsid w:val="00866068"/>
    <w:rsid w:val="00873FA5"/>
    <w:rsid w:val="00876825"/>
    <w:rsid w:val="00883E98"/>
    <w:rsid w:val="00893C10"/>
    <w:rsid w:val="008C5A9F"/>
    <w:rsid w:val="008E7054"/>
    <w:rsid w:val="00930D58"/>
    <w:rsid w:val="009676FD"/>
    <w:rsid w:val="009865A6"/>
    <w:rsid w:val="00987D98"/>
    <w:rsid w:val="009A4936"/>
    <w:rsid w:val="009B45F8"/>
    <w:rsid w:val="009E5138"/>
    <w:rsid w:val="00A20AC0"/>
    <w:rsid w:val="00A51ECF"/>
    <w:rsid w:val="00A871F6"/>
    <w:rsid w:val="00AB7CBF"/>
    <w:rsid w:val="00B01AFB"/>
    <w:rsid w:val="00B46BC0"/>
    <w:rsid w:val="00BA465F"/>
    <w:rsid w:val="00BE49AB"/>
    <w:rsid w:val="00C00C30"/>
    <w:rsid w:val="00CA5120"/>
    <w:rsid w:val="00CB0550"/>
    <w:rsid w:val="00CE67B0"/>
    <w:rsid w:val="00D06090"/>
    <w:rsid w:val="00D078BE"/>
    <w:rsid w:val="00D102BD"/>
    <w:rsid w:val="00D13F8A"/>
    <w:rsid w:val="00D859DF"/>
    <w:rsid w:val="00D866F0"/>
    <w:rsid w:val="00D918D5"/>
    <w:rsid w:val="00DF58FD"/>
    <w:rsid w:val="00E3688E"/>
    <w:rsid w:val="00E53D3F"/>
    <w:rsid w:val="00E76A84"/>
    <w:rsid w:val="00EC2A75"/>
    <w:rsid w:val="00EE1A24"/>
    <w:rsid w:val="00EF075B"/>
    <w:rsid w:val="00F02AEC"/>
    <w:rsid w:val="00F17EB6"/>
    <w:rsid w:val="00F423F8"/>
    <w:rsid w:val="00F85EED"/>
    <w:rsid w:val="00FA49C3"/>
    <w:rsid w:val="00FC49B2"/>
    <w:rsid w:val="00FE4EE3"/>
    <w:rsid w:val="00FE5B36"/>
    <w:rsid w:val="00FE5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4E0C6"/>
  <w15:chartTrackingRefBased/>
  <w15:docId w15:val="{A4B3F365-C5E7-4506-89E5-7A911F3C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990"/>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F02AEC"/>
    <w:pPr>
      <w:numPr>
        <w:numId w:val="1"/>
      </w:numPr>
      <w:spacing w:before="120" w:after="180" w:line="240" w:lineRule="atLeast"/>
    </w:pPr>
    <w:rPr>
      <w:rFonts w:ascii="Arial" w:eastAsia="Cambria" w:hAnsi="Arial" w:cs="Times New Roman"/>
      <w:color w:val="333F48"/>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CommentReference">
    <w:name w:val="annotation reference"/>
    <w:basedOn w:val="DefaultParagraphFont"/>
    <w:uiPriority w:val="99"/>
    <w:semiHidden/>
    <w:unhideWhenUsed/>
    <w:rsid w:val="005034F3"/>
    <w:rPr>
      <w:sz w:val="16"/>
      <w:szCs w:val="16"/>
    </w:rPr>
  </w:style>
  <w:style w:type="paragraph" w:styleId="CommentText">
    <w:name w:val="annotation text"/>
    <w:basedOn w:val="Normal"/>
    <w:link w:val="CommentTextChar"/>
    <w:uiPriority w:val="99"/>
    <w:unhideWhenUsed/>
    <w:rsid w:val="005034F3"/>
    <w:pPr>
      <w:spacing w:before="180" w:after="180" w:line="240" w:lineRule="auto"/>
    </w:pPr>
    <w:rPr>
      <w:rFonts w:ascii="Cambria" w:eastAsia="Cambria" w:hAnsi="Cambria"/>
    </w:rPr>
  </w:style>
  <w:style w:type="character" w:customStyle="1" w:styleId="CommentTextChar">
    <w:name w:val="Comment Text Char"/>
    <w:basedOn w:val="DefaultParagraphFont"/>
    <w:link w:val="CommentText"/>
    <w:uiPriority w:val="99"/>
    <w:rsid w:val="005034F3"/>
    <w:rPr>
      <w:rFonts w:ascii="Cambria" w:eastAsia="Cambria" w:hAnsi="Cambria"/>
    </w:rPr>
  </w:style>
  <w:style w:type="paragraph" w:styleId="ListParagraph">
    <w:name w:val="List Paragraph"/>
    <w:basedOn w:val="Normal"/>
    <w:uiPriority w:val="34"/>
    <w:qFormat/>
    <w:rsid w:val="00792CAD"/>
    <w:pPr>
      <w:ind w:left="720"/>
      <w:contextualSpacing/>
    </w:pPr>
  </w:style>
  <w:style w:type="character" w:styleId="UnresolvedMention">
    <w:name w:val="Unresolved Mention"/>
    <w:basedOn w:val="DefaultParagraphFont"/>
    <w:uiPriority w:val="99"/>
    <w:semiHidden/>
    <w:unhideWhenUsed/>
    <w:rsid w:val="005052F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3C75"/>
    <w:pPr>
      <w:spacing w:before="0" w:after="12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593C75"/>
    <w:rPr>
      <w:rFonts w:ascii="Cambria" w:eastAsia="Cambria" w:hAnsi="Cambria"/>
      <w:b/>
      <w:bCs/>
    </w:rPr>
  </w:style>
  <w:style w:type="paragraph" w:styleId="NormalWeb">
    <w:name w:val="Normal (Web)"/>
    <w:basedOn w:val="Normal"/>
    <w:uiPriority w:val="99"/>
    <w:unhideWhenUsed/>
    <w:rsid w:val="00651C9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77B71"/>
    <w:rPr>
      <w:color w:val="954F72" w:themeColor="followedHyperlink"/>
      <w:u w:val="single"/>
    </w:rPr>
  </w:style>
  <w:style w:type="paragraph" w:styleId="Revision">
    <w:name w:val="Revision"/>
    <w:hidden/>
    <w:uiPriority w:val="99"/>
    <w:semiHidden/>
    <w:rsid w:val="00BA46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topics/medical-devices" TargetMode="External"/><Relationship Id="rId18" Type="http://schemas.openxmlformats.org/officeDocument/2006/relationships/hyperlink" Target="https://www.tga.gov.au/resources/resource/guidance/transition-new-manufacturer-evidence-ivd-medical-devices" TargetMode="External"/><Relationship Id="rId26" Type="http://schemas.openxmlformats.org/officeDocument/2006/relationships/hyperlink" Target="https://www.tga.gov.au/annual-charges" TargetMode="External"/><Relationship Id="rId39" Type="http://schemas.openxmlformats.org/officeDocument/2006/relationships/hyperlink" Target="https://www.tga.gov.au/resources/resource/guidance/guidance-completing-application-consent-import-supply-or-export-medical-device-does-not-comply-essential-principles" TargetMode="External"/><Relationship Id="rId21" Type="http://schemas.openxmlformats.org/officeDocument/2006/relationships/hyperlink" Target="https://www.tga.gov.au/resources/resource/guidance/uniform-recall-procedure-therapeutic-goods-urptg" TargetMode="External"/><Relationship Id="rId34" Type="http://schemas.openxmlformats.org/officeDocument/2006/relationships/hyperlink" Target="https://www.tga.gov.au/resources/resource/guidance/seasonal-influenza-rapid-antigen-and-combination-tests" TargetMode="External"/><Relationship Id="rId42" Type="http://schemas.openxmlformats.org/officeDocument/2006/relationships/hyperlink" Target="https://www.tga.gov.au/resources/resource/guidance/guidance-completing-notification-form-lapses-medical-device-conformity-assessment-certification" TargetMode="External"/><Relationship Id="rId47" Type="http://schemas.openxmlformats.org/officeDocument/2006/relationships/hyperlink" Target="https://health.ec.europa.eu/medical-devices-sector/new-regulations_en" TargetMode="External"/><Relationship Id="rId50" Type="http://schemas.openxmlformats.org/officeDocument/2006/relationships/hyperlink" Target="https://www.tga.gov.au/resources/resource/guidance/medical-device-incident-reporting-investigation-scheme-iris" TargetMode="External"/><Relationship Id="rId55" Type="http://schemas.openxmlformats.org/officeDocument/2006/relationships/hyperlink" Target="https://www.tga.gov.au/resources/resource/guidance/advertising-covid-19-rapid-antigen-point-care-tests-and-self-tests-home-use-tests" TargetMode="External"/><Relationship Id="rId63" Type="http://schemas.openxmlformats.org/officeDocument/2006/relationships/hyperlink" Target="mailto:info@tga.gov.au" TargetMode="Externa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ga.gov.au/resources/resource/guidance/post-market-responsibilities-manufacturers-and-sponsors-medical-devices" TargetMode="External"/><Relationship Id="rId29" Type="http://schemas.openxmlformats.org/officeDocument/2006/relationships/hyperlink" Target="https://www.tga.gov.au/resources/resource/guidance/seasonal-influenza-rapid-antigen-and-combination-tes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ga.copyright@tga.gov.au" TargetMode="External"/><Relationship Id="rId24" Type="http://schemas.openxmlformats.org/officeDocument/2006/relationships/hyperlink" Target="https://www.tga.gov.au/therapeutic-goods-advertising-code" TargetMode="External"/><Relationship Id="rId32" Type="http://schemas.openxmlformats.org/officeDocument/2006/relationships/image" Target="media/image4.png"/><Relationship Id="rId37" Type="http://schemas.openxmlformats.org/officeDocument/2006/relationships/hyperlink" Target="https://www.legislation.gov.au/Series/F2002B00237" TargetMode="External"/><Relationship Id="rId40" Type="http://schemas.openxmlformats.org/officeDocument/2006/relationships/hyperlink" Target="https://www.tga.gov.au/resources/resource/forms/essential-principles-consent-non-compliance" TargetMode="External"/><Relationship Id="rId45" Type="http://schemas.openxmlformats.org/officeDocument/2006/relationships/hyperlink" Target="https://www.tga.gov.au/medical-device-single-audit-program-mdsap" TargetMode="External"/><Relationship Id="rId53" Type="http://schemas.openxmlformats.org/officeDocument/2006/relationships/hyperlink" Target="https://www.tga.gov.au/applying-tga-assessment-covid-19-test-inclusion-artg" TargetMode="External"/><Relationship Id="rId58" Type="http://schemas.openxmlformats.org/officeDocument/2006/relationships/hyperlink" Target="https://www.tga.gov.au/how-we-regulate/compliance-and-enforcement-hub/compliance-actions-and-outcomes" TargetMode="External"/><Relationship Id="rId66"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legislation.gov.au/Series/C2004A03952" TargetMode="External"/><Relationship Id="rId23" Type="http://schemas.openxmlformats.org/officeDocument/2006/relationships/hyperlink" Target="https://www.tga.gov.au/resources/resource/guidance/guidance-completing-notification-form-lapses-medical-device-conformity-assessment-certification" TargetMode="External"/><Relationship Id="rId28" Type="http://schemas.openxmlformats.org/officeDocument/2006/relationships/hyperlink" Target="https://www.tga.gov.au/resources/resource/guidance/covid-19-rapid-antigen-tests" TargetMode="External"/><Relationship Id="rId36" Type="http://schemas.openxmlformats.org/officeDocument/2006/relationships/hyperlink" Target="https://www.tga.gov.au/how-we-regulate/manufacturing/manufacture-medical-device/meet-safety-performance-and-quality-requirements-medical-device-manufacturers/demonstrating-compliance-essential-principles" TargetMode="External"/><Relationship Id="rId49" Type="http://schemas.openxmlformats.org/officeDocument/2006/relationships/hyperlink" Target="https://www.tga.gov.au/distribution-records" TargetMode="External"/><Relationship Id="rId57" Type="http://schemas.openxmlformats.org/officeDocument/2006/relationships/hyperlink" Target="https://www.tga.gov.au/how-we-regulate/compliance-and-enforcement-hub/compliance-actions-and-outcomes" TargetMode="External"/><Relationship Id="rId61"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tga.gov.au/resources/publication/publications/use-market-authorisation-evidence-comparable-overseas-regulators-assessment-bodies-medical-devices-including-ivds" TargetMode="External"/><Relationship Id="rId31" Type="http://schemas.openxmlformats.org/officeDocument/2006/relationships/hyperlink" Target="https://www.tga.gov.au/resources/publication/publications/clinical-evidence-guidelines-supplement-vitro-diagnostic-ivd-medical-devices" TargetMode="External"/><Relationship Id="rId44" Type="http://schemas.openxmlformats.org/officeDocument/2006/relationships/hyperlink" Target="https://www.tga.gov.au/resources/resource/guidance/use-market-authorisation-evidence-comparable-overseas-regulators-assessment-bodies-medical-devices-including-ivds" TargetMode="External"/><Relationship Id="rId52" Type="http://schemas.openxmlformats.org/officeDocument/2006/relationships/hyperlink" Target="https://www.legislation.gov.au/Series/F2021L01661" TargetMode="External"/><Relationship Id="rId60" Type="http://schemas.openxmlformats.org/officeDocument/2006/relationships/hyperlink" Target="mailto:postmarketdevices@health.gov.au" TargetMode="External"/><Relationship Id="rId65"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tga.gov.au/post-market-reviews" TargetMode="External"/><Relationship Id="rId22" Type="http://schemas.openxmlformats.org/officeDocument/2006/relationships/hyperlink" Target="https://www.tga.gov.au/resources/resource/forms/essential-principles-consent-non-compliance" TargetMode="External"/><Relationship Id="rId27" Type="http://schemas.openxmlformats.org/officeDocument/2006/relationships/hyperlink" Target="https://www.fda.gov/regulatory-information/search-fda-guidance-documents/policy-evaluating-impact-viral-mutations-covid-19-tests-revised" TargetMode="External"/><Relationship Id="rId30" Type="http://schemas.openxmlformats.org/officeDocument/2006/relationships/hyperlink" Target="https://www.tga.gov.au/resources/resource/guidance/clinical-evidence-guidelines-medical-devices" TargetMode="External"/><Relationship Id="rId35" Type="http://schemas.openxmlformats.org/officeDocument/2006/relationships/hyperlink" Target="https://www.fda.gov/regulatory-information/search-fda-guidance-documents/policy-evaluating-impact-viral-mutations-covid-19-tests-revised" TargetMode="External"/><Relationship Id="rId43" Type="http://schemas.openxmlformats.org/officeDocument/2006/relationships/hyperlink" Target="https://www.tga.gov.au/how-we-regulate/manufacturing/manufacture-medical-device/obtain-and-maintain-regulatory-evidence/australian-regulatory-evidence-options-medical-device-application/tga-conformity-assessment-certification" TargetMode="External"/><Relationship Id="rId48" Type="http://schemas.openxmlformats.org/officeDocument/2006/relationships/hyperlink" Target="https://www.tga.gov.au/news/news/phase-out-iso-13485-certificates-ivd-medical-devices" TargetMode="External"/><Relationship Id="rId56" Type="http://schemas.openxmlformats.org/officeDocument/2006/relationships/hyperlink" Target="https://www.tga.gov.au/resources/resource/guidance/advertising-covid-19-rapid-antigen-tests" TargetMode="External"/><Relationship Id="rId64" Type="http://schemas.openxmlformats.org/officeDocument/2006/relationships/hyperlink" Target="https://www.tga.gov.au" TargetMode="External"/><Relationship Id="rId8" Type="http://schemas.openxmlformats.org/officeDocument/2006/relationships/footer" Target="footer1.xml"/><Relationship Id="rId51" Type="http://schemas.openxmlformats.org/officeDocument/2006/relationships/hyperlink" Target="https://www.tga.gov.au/resources/resource/guidance/adverse-event-reporting" TargetMode="External"/><Relationship Id="rId3" Type="http://schemas.openxmlformats.org/officeDocument/2006/relationships/settings" Target="settings.xml"/><Relationship Id="rId12" Type="http://schemas.openxmlformats.org/officeDocument/2006/relationships/hyperlink" Target="https://www.tga.gov.au/resources/resource/guidance/ivd-medical-devices-definitions-links" TargetMode="External"/><Relationship Id="rId17" Type="http://schemas.openxmlformats.org/officeDocument/2006/relationships/hyperlink" Target="https://www.legislation.gov.au/Series/F2019L00426" TargetMode="External"/><Relationship Id="rId25" Type="http://schemas.openxmlformats.org/officeDocument/2006/relationships/hyperlink" Target="https://www.tga.gov.au/safety/buying-health-products-online-has-risks/counterfeit-fake-medicines-and-medical-devices" TargetMode="External"/><Relationship Id="rId33" Type="http://schemas.openxmlformats.org/officeDocument/2006/relationships/hyperlink" Target="https://www.tga.gov.au/resources/resource/guidance/covid-19-rapid-antigen-tests" TargetMode="External"/><Relationship Id="rId38" Type="http://schemas.openxmlformats.org/officeDocument/2006/relationships/hyperlink" Target="https://www.tga.gov.au/resources/resource/forms/essential-principles-checklist-medical-devices" TargetMode="External"/><Relationship Id="rId46" Type="http://schemas.openxmlformats.org/officeDocument/2006/relationships/hyperlink" Target="https://www.tga.gov.au/resources/resource/guidance/transition-new-manufacturer-evidence-ivd-medical-devices" TargetMode="External"/><Relationship Id="rId59" Type="http://schemas.openxmlformats.org/officeDocument/2006/relationships/hyperlink" Target="https://www.tga.gov.au/how-we-regulate/compliance-and-enforcement-hub/compliance-management" TargetMode="External"/><Relationship Id="rId67" Type="http://schemas.openxmlformats.org/officeDocument/2006/relationships/fontTable" Target="fontTable.xml"/><Relationship Id="rId20" Type="http://schemas.openxmlformats.org/officeDocument/2006/relationships/hyperlink" Target="https://www.tga.gov.au/resources/resource/guidance/post-market-responsibilities-manufacturers-and-sponsors-medical-devices" TargetMode="External"/><Relationship Id="rId41" Type="http://schemas.openxmlformats.org/officeDocument/2006/relationships/hyperlink" Target="https://www.tga.gov.au/how-we-regulate/manufacturing/manufacture-medical-device/obtain-and-maintain-regulatory-evidence/australian-regulatory-evidence-options-medical-device-application/tga-conformity-assessment-certification" TargetMode="External"/><Relationship Id="rId54" Type="http://schemas.openxmlformats.org/officeDocument/2006/relationships/hyperlink" Target="https://www.tga.gov.au/restricted-representations" TargetMode="External"/><Relationship Id="rId6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External publication.dotx</Template>
  <TotalTime>4</TotalTime>
  <Pages>13</Pages>
  <Words>4802</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COVID-19 in vitro diagnostics </vt:lpstr>
    </vt:vector>
  </TitlesOfParts>
  <Company>Department of Health and Aged Care</Company>
  <LinksUpToDate>false</LinksUpToDate>
  <CharactersWithSpaces>32110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in vitro diagnostics </dc:title>
  <dc:subject>Guidance on ongoing requirements for sponsors and manufacturers </dc:subject>
  <dc:creator>Therapeutic Goods Administration</dc:creator>
  <cp:keywords/>
  <dc:description/>
  <cp:lastModifiedBy>LACK, Janet</cp:lastModifiedBy>
  <cp:revision>3</cp:revision>
  <dcterms:created xsi:type="dcterms:W3CDTF">2023-08-02T01:03:00Z</dcterms:created>
  <dcterms:modified xsi:type="dcterms:W3CDTF">2023-08-02T01:06:00Z</dcterms:modified>
</cp:coreProperties>
</file>