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07E5" w14:textId="77777777" w:rsidR="00757CB1" w:rsidRPr="00513188" w:rsidRDefault="00B616A7">
      <w:pPr>
        <w:rPr>
          <w:color w:val="000000" w:themeColor="text1"/>
          <w:sz w:val="24"/>
          <w:szCs w:val="24"/>
          <w:lang w:val="en-AU"/>
        </w:rPr>
      </w:pPr>
      <w:r w:rsidRPr="00513188">
        <w:rPr>
          <w:noProof/>
          <w:color w:val="000000" w:themeColor="text1"/>
          <w:sz w:val="24"/>
          <w:szCs w:val="24"/>
          <w:lang w:val="en-AU"/>
        </w:rPr>
        <mc:AlternateContent>
          <mc:Choice Requires="wps">
            <w:drawing>
              <wp:inline distT="0" distB="0" distL="0" distR="0" wp14:anchorId="127D28F1" wp14:editId="66987067">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A764" w14:textId="77777777" w:rsidR="00757CB1" w:rsidRDefault="00B616A7">
                            <w:pPr>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27D28F1"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3FF0A764" w14:textId="77777777" w:rsidR="00757CB1" w:rsidRDefault="00B616A7">
                      <w:pPr>
                        <w:rPr>
                          <w:rFonts w:ascii="Wingdings 3" w:hAnsi="Wingdings 3"/>
                          <w:sz w:val="24"/>
                        </w:rPr>
                      </w:pPr>
                      <w:r>
                        <w:rPr>
                          <w:rFonts w:ascii="SimSun" w:eastAsia="SimSun" w:hAnsi="SimSun" w:cs="Arial" w:hint="eastAsia"/>
                          <w:sz w:val="40"/>
                        </w:rPr>
                        <w:t>▼</w:t>
                      </w:r>
                    </w:p>
                  </w:txbxContent>
                </v:textbox>
                <w10:anchorlock/>
              </v:shape>
            </w:pict>
          </mc:Fallback>
        </mc:AlternateContent>
      </w:r>
      <w:r w:rsidRPr="00513188">
        <w:rPr>
          <w:color w:val="000000" w:themeColor="text1"/>
          <w:sz w:val="24"/>
          <w:szCs w:val="24"/>
          <w:lang w:val="en-AU"/>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513188">
          <w:rPr>
            <w:rStyle w:val="Hyperlink"/>
            <w:sz w:val="24"/>
            <w:szCs w:val="24"/>
            <w:lang w:val="en-AU"/>
          </w:rPr>
          <w:t>https://www.tga.gov.au/reporting-problems</w:t>
        </w:r>
      </w:hyperlink>
      <w:r w:rsidRPr="00513188">
        <w:rPr>
          <w:color w:val="000000" w:themeColor="text1"/>
          <w:sz w:val="24"/>
          <w:szCs w:val="24"/>
          <w:lang w:val="en-AU"/>
        </w:rPr>
        <w:t>.</w:t>
      </w:r>
    </w:p>
    <w:p w14:paraId="6E12E11D" w14:textId="77777777" w:rsidR="00757CB1" w:rsidRPr="00513188" w:rsidRDefault="00757CB1">
      <w:pPr>
        <w:rPr>
          <w:color w:val="000000" w:themeColor="text1"/>
          <w:sz w:val="24"/>
          <w:szCs w:val="24"/>
          <w:lang w:val="en-AU"/>
        </w:rPr>
      </w:pPr>
    </w:p>
    <w:p w14:paraId="6552F85D" w14:textId="77777777" w:rsidR="00757CB1" w:rsidRPr="00513188" w:rsidRDefault="00B616A7">
      <w:pPr>
        <w:jc w:val="center"/>
        <w:rPr>
          <w:b/>
          <w:bCs/>
          <w:color w:val="000000" w:themeColor="text1"/>
          <w:sz w:val="24"/>
          <w:szCs w:val="24"/>
        </w:rPr>
      </w:pPr>
      <w:r w:rsidRPr="00513188">
        <w:rPr>
          <w:rStyle w:val="Heading1Char"/>
          <w:rFonts w:ascii="Times New Roman" w:hAnsi="Times New Roman"/>
          <w:sz w:val="28"/>
          <w:szCs w:val="28"/>
        </w:rPr>
        <w:t>AUSTRALIAN PRODUCT INFORMATION – ONPATTRO</w:t>
      </w:r>
      <w:r w:rsidRPr="00513188">
        <w:rPr>
          <w:rStyle w:val="Heading1Char"/>
          <w:rFonts w:ascii="Times New Roman" w:hAnsi="Times New Roman"/>
          <w:sz w:val="28"/>
          <w:szCs w:val="28"/>
          <w:vertAlign w:val="superscript"/>
        </w:rPr>
        <w:t>®</w:t>
      </w:r>
      <w:r w:rsidRPr="00513188">
        <w:rPr>
          <w:rStyle w:val="Heading1Char"/>
          <w:rFonts w:ascii="Times New Roman" w:hAnsi="Times New Roman"/>
          <w:sz w:val="28"/>
          <w:szCs w:val="28"/>
        </w:rPr>
        <w:t xml:space="preserve"> (patisiran)</w:t>
      </w:r>
    </w:p>
    <w:p w14:paraId="3B0EF81A" w14:textId="77777777" w:rsidR="00757CB1" w:rsidRPr="00513188" w:rsidRDefault="00757CB1">
      <w:pPr>
        <w:rPr>
          <w:color w:val="000000" w:themeColor="text1"/>
          <w:sz w:val="24"/>
          <w:szCs w:val="24"/>
          <w:lang w:val="en-AU"/>
        </w:rPr>
      </w:pPr>
    </w:p>
    <w:p w14:paraId="4850E200"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t>1.</w:t>
      </w:r>
      <w:r w:rsidRPr="00513188">
        <w:rPr>
          <w:rFonts w:ascii="Times New Roman" w:hAnsi="Times New Roman"/>
          <w:color w:val="000000" w:themeColor="text1"/>
          <w:sz w:val="24"/>
          <w:szCs w:val="24"/>
        </w:rPr>
        <w:tab/>
        <w:t>NAME OF THE MEDICINE</w:t>
      </w:r>
    </w:p>
    <w:p w14:paraId="61FAEAB2" w14:textId="77777777" w:rsidR="00757CB1" w:rsidRPr="00513188" w:rsidRDefault="00757CB1">
      <w:pPr>
        <w:rPr>
          <w:color w:val="000000" w:themeColor="text1"/>
          <w:sz w:val="24"/>
          <w:szCs w:val="24"/>
        </w:rPr>
      </w:pPr>
    </w:p>
    <w:p w14:paraId="720AA08D" w14:textId="77777777" w:rsidR="00757CB1" w:rsidRPr="00513188" w:rsidRDefault="00B616A7">
      <w:pPr>
        <w:rPr>
          <w:color w:val="000000" w:themeColor="text1"/>
          <w:sz w:val="24"/>
          <w:szCs w:val="24"/>
        </w:rPr>
      </w:pPr>
      <w:r w:rsidRPr="00513188">
        <w:rPr>
          <w:color w:val="000000" w:themeColor="text1"/>
          <w:sz w:val="24"/>
          <w:szCs w:val="24"/>
        </w:rPr>
        <w:t>Patisiran</w:t>
      </w:r>
    </w:p>
    <w:p w14:paraId="1CBE4506" w14:textId="77777777" w:rsidR="00757CB1" w:rsidRPr="00513188" w:rsidRDefault="00757CB1">
      <w:pPr>
        <w:rPr>
          <w:color w:val="000000" w:themeColor="text1"/>
          <w:sz w:val="24"/>
          <w:szCs w:val="24"/>
        </w:rPr>
      </w:pPr>
    </w:p>
    <w:p w14:paraId="4A6ABE23"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t>2.</w:t>
      </w:r>
      <w:r w:rsidRPr="00513188">
        <w:rPr>
          <w:rFonts w:ascii="Times New Roman" w:hAnsi="Times New Roman"/>
          <w:color w:val="000000" w:themeColor="text1"/>
          <w:sz w:val="24"/>
          <w:szCs w:val="24"/>
        </w:rPr>
        <w:tab/>
        <w:t>QUALITATIVE AND QUANTITATIVE COMPOSITION</w:t>
      </w:r>
    </w:p>
    <w:p w14:paraId="7C0D1F13" w14:textId="77777777" w:rsidR="00757CB1" w:rsidRPr="00513188" w:rsidRDefault="00757CB1">
      <w:pPr>
        <w:rPr>
          <w:color w:val="000000" w:themeColor="text1"/>
          <w:sz w:val="24"/>
          <w:szCs w:val="24"/>
        </w:rPr>
      </w:pPr>
    </w:p>
    <w:p w14:paraId="1E6E1E5B" w14:textId="77777777" w:rsidR="00757CB1" w:rsidRPr="00513188" w:rsidRDefault="00B616A7">
      <w:pPr>
        <w:rPr>
          <w:color w:val="000000" w:themeColor="text1"/>
          <w:sz w:val="24"/>
          <w:szCs w:val="24"/>
        </w:rPr>
      </w:pPr>
      <w:r w:rsidRPr="00513188">
        <w:rPr>
          <w:color w:val="000000" w:themeColor="text1"/>
          <w:sz w:val="24"/>
          <w:szCs w:val="24"/>
        </w:rPr>
        <w:t>Each mL contains patisiran sodium equivalent to 2 mg patisiran.</w:t>
      </w:r>
    </w:p>
    <w:p w14:paraId="018F45AE" w14:textId="77777777" w:rsidR="00757CB1" w:rsidRPr="00513188" w:rsidRDefault="00757CB1">
      <w:pPr>
        <w:rPr>
          <w:color w:val="000000" w:themeColor="text1"/>
          <w:sz w:val="24"/>
          <w:szCs w:val="24"/>
        </w:rPr>
      </w:pPr>
    </w:p>
    <w:p w14:paraId="7070D5A9" w14:textId="77777777" w:rsidR="00757CB1" w:rsidRPr="00513188" w:rsidRDefault="00B616A7">
      <w:pPr>
        <w:rPr>
          <w:color w:val="000000" w:themeColor="text1"/>
          <w:sz w:val="24"/>
          <w:szCs w:val="24"/>
        </w:rPr>
      </w:pPr>
      <w:r w:rsidRPr="00513188">
        <w:rPr>
          <w:color w:val="000000" w:themeColor="text1"/>
          <w:sz w:val="24"/>
          <w:szCs w:val="24"/>
        </w:rPr>
        <w:t>Each vial contains patisiran sodium equivalent to 10 mg patisiran formulated as lipid nanoparticles.</w:t>
      </w:r>
    </w:p>
    <w:p w14:paraId="33C1B01A" w14:textId="77777777" w:rsidR="00757CB1" w:rsidRPr="00513188" w:rsidRDefault="00757CB1">
      <w:pPr>
        <w:rPr>
          <w:color w:val="000000" w:themeColor="text1"/>
          <w:sz w:val="24"/>
          <w:szCs w:val="24"/>
        </w:rPr>
      </w:pPr>
    </w:p>
    <w:p w14:paraId="288DB6A1" w14:textId="77777777" w:rsidR="00757CB1" w:rsidRPr="00513188" w:rsidRDefault="00B616A7">
      <w:pPr>
        <w:rPr>
          <w:color w:val="000000" w:themeColor="text1"/>
          <w:sz w:val="24"/>
          <w:szCs w:val="24"/>
          <w:u w:val="single"/>
        </w:rPr>
      </w:pPr>
      <w:r w:rsidRPr="00513188">
        <w:rPr>
          <w:color w:val="000000" w:themeColor="text1"/>
          <w:sz w:val="24"/>
          <w:szCs w:val="24"/>
          <w:u w:val="single"/>
        </w:rPr>
        <w:t>Excipients with known effect</w:t>
      </w:r>
    </w:p>
    <w:p w14:paraId="5FA40884" w14:textId="77777777" w:rsidR="00757CB1" w:rsidRPr="00513188" w:rsidRDefault="00757CB1">
      <w:pPr>
        <w:rPr>
          <w:color w:val="000000" w:themeColor="text1"/>
          <w:sz w:val="24"/>
          <w:szCs w:val="24"/>
        </w:rPr>
      </w:pPr>
    </w:p>
    <w:p w14:paraId="32E79B7A" w14:textId="77777777" w:rsidR="00757CB1" w:rsidRPr="00513188" w:rsidRDefault="00B616A7">
      <w:pPr>
        <w:rPr>
          <w:color w:val="000000" w:themeColor="text1"/>
          <w:sz w:val="24"/>
          <w:szCs w:val="24"/>
        </w:rPr>
      </w:pPr>
      <w:r w:rsidRPr="00513188">
        <w:rPr>
          <w:color w:val="000000" w:themeColor="text1"/>
          <w:sz w:val="24"/>
          <w:szCs w:val="24"/>
        </w:rPr>
        <w:t>Each mL of concentrate contains 3.99 mg sodium.</w:t>
      </w:r>
    </w:p>
    <w:p w14:paraId="7A4463E5" w14:textId="77777777" w:rsidR="00757CB1" w:rsidRPr="00513188" w:rsidRDefault="00757CB1">
      <w:pPr>
        <w:rPr>
          <w:color w:val="000000" w:themeColor="text1"/>
          <w:sz w:val="24"/>
          <w:szCs w:val="24"/>
        </w:rPr>
      </w:pPr>
    </w:p>
    <w:p w14:paraId="2CB93A75" w14:textId="07C847C4" w:rsidR="00757CB1" w:rsidRPr="00513188" w:rsidRDefault="00B616A7">
      <w:pPr>
        <w:rPr>
          <w:color w:val="000000" w:themeColor="text1"/>
          <w:sz w:val="24"/>
          <w:szCs w:val="24"/>
        </w:rPr>
      </w:pPr>
      <w:r w:rsidRPr="00513188">
        <w:rPr>
          <w:color w:val="000000"/>
          <w:sz w:val="24"/>
          <w:szCs w:val="24"/>
        </w:rPr>
        <w:t>For the full list of excipients, see section 6.1 List of Excipients.</w:t>
      </w:r>
    </w:p>
    <w:p w14:paraId="5904747E" w14:textId="77777777" w:rsidR="00757CB1" w:rsidRPr="00513188" w:rsidRDefault="00757CB1">
      <w:pPr>
        <w:rPr>
          <w:color w:val="000000" w:themeColor="text1"/>
          <w:sz w:val="24"/>
          <w:szCs w:val="24"/>
        </w:rPr>
      </w:pPr>
    </w:p>
    <w:p w14:paraId="1AF5E562"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t>3.</w:t>
      </w:r>
      <w:r w:rsidRPr="00513188">
        <w:rPr>
          <w:rFonts w:ascii="Times New Roman" w:hAnsi="Times New Roman"/>
          <w:color w:val="000000" w:themeColor="text1"/>
          <w:sz w:val="24"/>
          <w:szCs w:val="24"/>
        </w:rPr>
        <w:tab/>
        <w:t>PHARMACEUTICAL FORM</w:t>
      </w:r>
    </w:p>
    <w:p w14:paraId="666DB1BF" w14:textId="77777777" w:rsidR="00757CB1" w:rsidRPr="00513188" w:rsidRDefault="00757CB1">
      <w:pPr>
        <w:rPr>
          <w:color w:val="000000" w:themeColor="text1"/>
          <w:sz w:val="24"/>
          <w:szCs w:val="24"/>
        </w:rPr>
      </w:pPr>
    </w:p>
    <w:p w14:paraId="1948E1BA" w14:textId="39A6B146" w:rsidR="00757CB1" w:rsidRPr="00513188" w:rsidRDefault="00B616A7">
      <w:pPr>
        <w:rPr>
          <w:color w:val="000000" w:themeColor="text1"/>
          <w:sz w:val="24"/>
          <w:szCs w:val="24"/>
        </w:rPr>
      </w:pPr>
      <w:r w:rsidRPr="00513188">
        <w:rPr>
          <w:color w:val="000000" w:themeColor="text1"/>
          <w:sz w:val="24"/>
          <w:szCs w:val="24"/>
        </w:rPr>
        <w:t>Concentrated injection for infusion (sterile concentrate).</w:t>
      </w:r>
    </w:p>
    <w:p w14:paraId="1C086148" w14:textId="77777777" w:rsidR="00757CB1" w:rsidRPr="00513188" w:rsidRDefault="00757CB1">
      <w:pPr>
        <w:rPr>
          <w:color w:val="000000" w:themeColor="text1"/>
          <w:sz w:val="24"/>
          <w:szCs w:val="24"/>
        </w:rPr>
      </w:pPr>
    </w:p>
    <w:p w14:paraId="0888D04A" w14:textId="77777777" w:rsidR="00757CB1" w:rsidRPr="00513188" w:rsidRDefault="00B616A7">
      <w:pPr>
        <w:rPr>
          <w:color w:val="000000" w:themeColor="text1"/>
          <w:sz w:val="24"/>
          <w:szCs w:val="24"/>
        </w:rPr>
      </w:pPr>
      <w:r w:rsidRPr="00513188">
        <w:rPr>
          <w:color w:val="000000" w:themeColor="text1"/>
          <w:sz w:val="24"/>
          <w:szCs w:val="24"/>
        </w:rPr>
        <w:t>White to off-white, opalescent, homogeneous solution.</w:t>
      </w:r>
    </w:p>
    <w:p w14:paraId="03AB6527" w14:textId="77777777" w:rsidR="00757CB1" w:rsidRPr="00513188" w:rsidRDefault="00757CB1">
      <w:pPr>
        <w:rPr>
          <w:color w:val="000000" w:themeColor="text1"/>
          <w:sz w:val="24"/>
          <w:szCs w:val="24"/>
        </w:rPr>
      </w:pPr>
    </w:p>
    <w:p w14:paraId="61543A78"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t>4.</w:t>
      </w:r>
      <w:r w:rsidRPr="00513188">
        <w:rPr>
          <w:rFonts w:ascii="Times New Roman" w:hAnsi="Times New Roman"/>
          <w:color w:val="000000" w:themeColor="text1"/>
          <w:sz w:val="24"/>
          <w:szCs w:val="24"/>
        </w:rPr>
        <w:tab/>
        <w:t>CLINICAL PARTICULARS</w:t>
      </w:r>
    </w:p>
    <w:p w14:paraId="7753FB5C" w14:textId="77777777" w:rsidR="00757CB1" w:rsidRPr="00513188" w:rsidRDefault="00757CB1">
      <w:pPr>
        <w:rPr>
          <w:color w:val="000000" w:themeColor="text1"/>
          <w:sz w:val="24"/>
          <w:szCs w:val="24"/>
        </w:rPr>
      </w:pPr>
    </w:p>
    <w:p w14:paraId="6BDEFC98" w14:textId="77777777" w:rsidR="00757CB1" w:rsidRPr="00513188" w:rsidRDefault="00B616A7" w:rsidP="00084EA1">
      <w:pPr>
        <w:pStyle w:val="Heading2"/>
      </w:pPr>
      <w:r w:rsidRPr="00513188">
        <w:t>4.1</w:t>
      </w:r>
      <w:r w:rsidRPr="00513188">
        <w:tab/>
        <w:t>THERAPEUTIC INDICATIONS</w:t>
      </w:r>
    </w:p>
    <w:p w14:paraId="648D3CF1" w14:textId="77777777" w:rsidR="00757CB1" w:rsidRPr="00513188" w:rsidRDefault="00757CB1">
      <w:pPr>
        <w:rPr>
          <w:color w:val="000000" w:themeColor="text1"/>
          <w:sz w:val="24"/>
          <w:szCs w:val="24"/>
        </w:rPr>
      </w:pPr>
    </w:p>
    <w:p w14:paraId="1967CEC8" w14:textId="77777777" w:rsidR="00757CB1" w:rsidRPr="00513188" w:rsidRDefault="00B616A7">
      <w:pPr>
        <w:rPr>
          <w:color w:val="000000" w:themeColor="text1"/>
          <w:sz w:val="24"/>
          <w:szCs w:val="24"/>
        </w:rPr>
      </w:pPr>
      <w:bookmarkStart w:id="0" w:name="_Hlk518326204"/>
      <w:r w:rsidRPr="00513188">
        <w:rPr>
          <w:color w:val="000000" w:themeColor="text1"/>
          <w:sz w:val="24"/>
          <w:szCs w:val="24"/>
        </w:rPr>
        <w:t>Onpattro is indicated for the treatment of hereditary transthyretin-mediated amyloidosis (</w:t>
      </w:r>
      <w:proofErr w:type="spellStart"/>
      <w:r w:rsidRPr="00513188">
        <w:rPr>
          <w:color w:val="000000" w:themeColor="text1"/>
          <w:sz w:val="24"/>
          <w:szCs w:val="24"/>
        </w:rPr>
        <w:t>hATTR</w:t>
      </w:r>
      <w:proofErr w:type="spellEnd"/>
      <w:r w:rsidRPr="00513188">
        <w:rPr>
          <w:color w:val="000000" w:themeColor="text1"/>
          <w:sz w:val="24"/>
          <w:szCs w:val="24"/>
        </w:rPr>
        <w:t xml:space="preserve"> amyloidosis) in adult patients with stage 1 or stage 2 polyneuropathy.</w:t>
      </w:r>
    </w:p>
    <w:bookmarkEnd w:id="0"/>
    <w:p w14:paraId="3E749158" w14:textId="77777777" w:rsidR="00757CB1" w:rsidRPr="00513188" w:rsidRDefault="00757CB1">
      <w:pPr>
        <w:rPr>
          <w:color w:val="000000" w:themeColor="text1"/>
          <w:sz w:val="24"/>
          <w:szCs w:val="24"/>
        </w:rPr>
      </w:pPr>
    </w:p>
    <w:p w14:paraId="18F8A9C6" w14:textId="77777777" w:rsidR="00757CB1" w:rsidRPr="00513188" w:rsidRDefault="00B616A7" w:rsidP="00084EA1">
      <w:pPr>
        <w:pStyle w:val="Heading2"/>
      </w:pPr>
      <w:r w:rsidRPr="00513188">
        <w:t>4.2</w:t>
      </w:r>
      <w:r w:rsidRPr="00513188">
        <w:tab/>
        <w:t>DOSE AND METHOD OF ADMINISTRATION</w:t>
      </w:r>
    </w:p>
    <w:p w14:paraId="1695CB60" w14:textId="77777777" w:rsidR="00757CB1" w:rsidRPr="00513188" w:rsidRDefault="00757CB1">
      <w:pPr>
        <w:rPr>
          <w:color w:val="000000" w:themeColor="text1"/>
          <w:sz w:val="24"/>
          <w:szCs w:val="24"/>
        </w:rPr>
      </w:pPr>
    </w:p>
    <w:p w14:paraId="0BA7EF6E" w14:textId="77777777" w:rsidR="00757CB1" w:rsidRPr="00513188" w:rsidRDefault="00B616A7">
      <w:pPr>
        <w:rPr>
          <w:color w:val="000000" w:themeColor="text1"/>
          <w:sz w:val="24"/>
          <w:szCs w:val="24"/>
        </w:rPr>
      </w:pPr>
      <w:r w:rsidRPr="00513188">
        <w:rPr>
          <w:color w:val="000000" w:themeColor="text1"/>
          <w:sz w:val="24"/>
          <w:szCs w:val="24"/>
        </w:rPr>
        <w:t>Therapy should be initiated under the supervision of a physician knowledgeable in the management of amyloidosis.</w:t>
      </w:r>
    </w:p>
    <w:p w14:paraId="4499025D" w14:textId="77777777" w:rsidR="00757CB1" w:rsidRPr="00513188" w:rsidRDefault="00757CB1">
      <w:pPr>
        <w:rPr>
          <w:color w:val="000000" w:themeColor="text1"/>
          <w:sz w:val="24"/>
          <w:szCs w:val="24"/>
        </w:rPr>
      </w:pPr>
    </w:p>
    <w:p w14:paraId="3CFC747D" w14:textId="77777777" w:rsidR="00757CB1" w:rsidRPr="00513188" w:rsidRDefault="00B616A7">
      <w:pPr>
        <w:rPr>
          <w:color w:val="000000" w:themeColor="text1"/>
          <w:sz w:val="24"/>
          <w:szCs w:val="24"/>
        </w:rPr>
      </w:pPr>
      <w:r w:rsidRPr="00513188">
        <w:rPr>
          <w:b/>
          <w:bCs/>
          <w:color w:val="000000" w:themeColor="text1"/>
          <w:sz w:val="24"/>
          <w:szCs w:val="24"/>
        </w:rPr>
        <w:t>Dosage</w:t>
      </w:r>
    </w:p>
    <w:p w14:paraId="3C0DBCEC" w14:textId="77777777" w:rsidR="00757CB1" w:rsidRPr="00513188" w:rsidRDefault="00B616A7">
      <w:pPr>
        <w:rPr>
          <w:color w:val="000000" w:themeColor="text1"/>
          <w:sz w:val="24"/>
          <w:szCs w:val="24"/>
        </w:rPr>
      </w:pPr>
      <w:r w:rsidRPr="00513188">
        <w:rPr>
          <w:color w:val="000000" w:themeColor="text1"/>
          <w:sz w:val="24"/>
          <w:szCs w:val="24"/>
        </w:rPr>
        <w:t>The recommended dose of Onpattro is 300 micrograms per kg body weight administered via intravenous (IV) infusion once every 3 weeks.</w:t>
      </w:r>
    </w:p>
    <w:p w14:paraId="76157795" w14:textId="77777777" w:rsidR="00757CB1" w:rsidRPr="00513188" w:rsidRDefault="00757CB1">
      <w:pPr>
        <w:rPr>
          <w:color w:val="000000" w:themeColor="text1"/>
          <w:sz w:val="24"/>
          <w:szCs w:val="24"/>
        </w:rPr>
      </w:pPr>
    </w:p>
    <w:p w14:paraId="309984C5" w14:textId="77777777" w:rsidR="00757CB1" w:rsidRPr="00513188" w:rsidRDefault="00B616A7">
      <w:pPr>
        <w:rPr>
          <w:color w:val="000000" w:themeColor="text1"/>
          <w:sz w:val="24"/>
          <w:szCs w:val="24"/>
        </w:rPr>
      </w:pPr>
      <w:r w:rsidRPr="00513188">
        <w:rPr>
          <w:color w:val="000000" w:themeColor="text1"/>
          <w:sz w:val="24"/>
          <w:szCs w:val="24"/>
        </w:rPr>
        <w:t>Dosing is based on actual body weight. For patients weighing ≥ 100 kg, the maximum recommended dose is 30 mg.</w:t>
      </w:r>
    </w:p>
    <w:p w14:paraId="39E044C5" w14:textId="13A01339" w:rsidR="00757CB1" w:rsidRPr="00513188" w:rsidRDefault="00B616A7">
      <w:pPr>
        <w:rPr>
          <w:color w:val="000000" w:themeColor="text1"/>
          <w:sz w:val="24"/>
          <w:szCs w:val="24"/>
        </w:rPr>
      </w:pPr>
      <w:r w:rsidRPr="00513188">
        <w:rPr>
          <w:color w:val="000000" w:themeColor="text1"/>
          <w:sz w:val="24"/>
          <w:szCs w:val="24"/>
        </w:rPr>
        <w:t>Vitamin A supplementation at approximately 2500 IU vitamin A per day is advised for patients treated with Onpattro (see section 4.4 Special Warnings and Precautions for Use).</w:t>
      </w:r>
    </w:p>
    <w:p w14:paraId="6BBB1773" w14:textId="77777777" w:rsidR="00757CB1" w:rsidRPr="00513188" w:rsidRDefault="00757CB1">
      <w:pPr>
        <w:rPr>
          <w:color w:val="000000" w:themeColor="text1"/>
          <w:sz w:val="24"/>
          <w:szCs w:val="24"/>
        </w:rPr>
      </w:pPr>
    </w:p>
    <w:p w14:paraId="037F8779" w14:textId="77777777" w:rsidR="00757CB1" w:rsidRPr="00513188" w:rsidRDefault="00B616A7">
      <w:pPr>
        <w:rPr>
          <w:i/>
          <w:iCs/>
          <w:sz w:val="24"/>
          <w:szCs w:val="24"/>
        </w:rPr>
      </w:pPr>
      <w:r w:rsidRPr="00513188">
        <w:rPr>
          <w:i/>
          <w:iCs/>
          <w:sz w:val="24"/>
          <w:szCs w:val="24"/>
        </w:rPr>
        <w:t xml:space="preserve">Required </w:t>
      </w:r>
      <w:proofErr w:type="gramStart"/>
      <w:r w:rsidRPr="00513188">
        <w:rPr>
          <w:i/>
          <w:iCs/>
          <w:sz w:val="24"/>
          <w:szCs w:val="24"/>
        </w:rPr>
        <w:t>premedication</w:t>
      </w:r>
      <w:proofErr w:type="gramEnd"/>
    </w:p>
    <w:p w14:paraId="4E7CE7A0" w14:textId="34ABB9B3" w:rsidR="00757CB1" w:rsidRPr="00513188" w:rsidRDefault="00B616A7">
      <w:pPr>
        <w:rPr>
          <w:sz w:val="24"/>
          <w:szCs w:val="24"/>
        </w:rPr>
      </w:pPr>
      <w:r w:rsidRPr="00513188">
        <w:rPr>
          <w:sz w:val="24"/>
          <w:szCs w:val="24"/>
        </w:rPr>
        <w:t>All patients should receive premedication prior to Onpattro administration to reduce the risk of infusion-related reactions (IRRs) (see section 4.4</w:t>
      </w:r>
      <w:r w:rsidRPr="00513188">
        <w:rPr>
          <w:szCs w:val="22"/>
        </w:rPr>
        <w:t xml:space="preserve"> </w:t>
      </w:r>
      <w:r w:rsidRPr="00513188">
        <w:rPr>
          <w:sz w:val="24"/>
          <w:szCs w:val="24"/>
        </w:rPr>
        <w:t>Special Warnings and Precautions for Use). Each of the following medicinal products should be given on the day of Onpattro infusion at least 60 minutes prior to the start of infusion:</w:t>
      </w:r>
    </w:p>
    <w:p w14:paraId="28CEC795" w14:textId="77777777" w:rsidR="00757CB1" w:rsidRPr="00513188" w:rsidRDefault="00B616A7">
      <w:pPr>
        <w:pStyle w:val="GlobalPatientLeaflettext"/>
        <w:numPr>
          <w:ilvl w:val="0"/>
          <w:numId w:val="2"/>
        </w:numPr>
        <w:ind w:left="562" w:hanging="562"/>
        <w:rPr>
          <w:color w:val="000000" w:themeColor="text1"/>
        </w:rPr>
      </w:pPr>
      <w:r w:rsidRPr="00513188">
        <w:rPr>
          <w:color w:val="000000" w:themeColor="text1"/>
        </w:rPr>
        <w:t>Intravenous corticosteroid (dexamethasone 10 mg, or equivalent)</w:t>
      </w:r>
    </w:p>
    <w:p w14:paraId="1FCB6C88" w14:textId="77777777" w:rsidR="00757CB1" w:rsidRPr="00513188" w:rsidRDefault="00B616A7">
      <w:pPr>
        <w:pStyle w:val="GlobalPatientLeaflettext"/>
        <w:numPr>
          <w:ilvl w:val="0"/>
          <w:numId w:val="2"/>
        </w:numPr>
        <w:ind w:left="562" w:hanging="562"/>
        <w:rPr>
          <w:color w:val="000000" w:themeColor="text1"/>
        </w:rPr>
      </w:pPr>
      <w:r w:rsidRPr="00513188">
        <w:rPr>
          <w:color w:val="000000" w:themeColor="text1"/>
        </w:rPr>
        <w:t>Oral paracetamol (500 mg)</w:t>
      </w:r>
    </w:p>
    <w:p w14:paraId="5A0F693B" w14:textId="77777777" w:rsidR="00757CB1" w:rsidRPr="00513188" w:rsidRDefault="00B616A7">
      <w:pPr>
        <w:pStyle w:val="GlobalPatientLeaflettext"/>
        <w:numPr>
          <w:ilvl w:val="0"/>
          <w:numId w:val="2"/>
        </w:numPr>
        <w:ind w:left="562" w:hanging="562"/>
        <w:rPr>
          <w:color w:val="000000" w:themeColor="text1"/>
        </w:rPr>
      </w:pPr>
      <w:r w:rsidRPr="00513188">
        <w:rPr>
          <w:color w:val="000000" w:themeColor="text1"/>
        </w:rPr>
        <w:t>Intravenous H1 blocker (diphenhydramine 50 mg, or equivalent)</w:t>
      </w:r>
    </w:p>
    <w:p w14:paraId="1C44F5BF" w14:textId="77777777" w:rsidR="00757CB1" w:rsidRPr="00513188" w:rsidRDefault="00B616A7">
      <w:pPr>
        <w:pStyle w:val="GlobalPatientLeaflettext"/>
        <w:numPr>
          <w:ilvl w:val="0"/>
          <w:numId w:val="2"/>
        </w:numPr>
        <w:ind w:left="562" w:hanging="562"/>
        <w:rPr>
          <w:color w:val="000000" w:themeColor="text1"/>
        </w:rPr>
      </w:pPr>
      <w:r w:rsidRPr="00513188">
        <w:rPr>
          <w:color w:val="000000" w:themeColor="text1"/>
        </w:rPr>
        <w:t>Intravenous H2 blocker (ranitidine 50 mg, or equivalent)</w:t>
      </w:r>
    </w:p>
    <w:p w14:paraId="1C9456CA" w14:textId="77777777" w:rsidR="00757CB1" w:rsidRPr="00513188" w:rsidRDefault="00757CB1">
      <w:pPr>
        <w:rPr>
          <w:color w:val="000000" w:themeColor="text1"/>
          <w:sz w:val="24"/>
          <w:szCs w:val="24"/>
        </w:rPr>
      </w:pPr>
    </w:p>
    <w:p w14:paraId="01D231EB" w14:textId="77777777" w:rsidR="00757CB1" w:rsidRPr="00513188" w:rsidRDefault="00B616A7">
      <w:pPr>
        <w:autoSpaceDE w:val="0"/>
        <w:autoSpaceDN w:val="0"/>
        <w:adjustRightInd w:val="0"/>
        <w:rPr>
          <w:color w:val="000000" w:themeColor="text1"/>
          <w:sz w:val="24"/>
          <w:szCs w:val="24"/>
        </w:rPr>
      </w:pPr>
      <w:bookmarkStart w:id="1" w:name="_Hlk514497406"/>
      <w:r w:rsidRPr="00513188">
        <w:rPr>
          <w:color w:val="000000" w:themeColor="text1"/>
          <w:sz w:val="24"/>
          <w:szCs w:val="24"/>
        </w:rPr>
        <w:t xml:space="preserve">For </w:t>
      </w:r>
      <w:proofErr w:type="spellStart"/>
      <w:r w:rsidRPr="00513188">
        <w:rPr>
          <w:color w:val="000000" w:themeColor="text1"/>
          <w:sz w:val="24"/>
          <w:szCs w:val="24"/>
        </w:rPr>
        <w:t>premedications</w:t>
      </w:r>
      <w:proofErr w:type="spellEnd"/>
      <w:r w:rsidRPr="00513188">
        <w:rPr>
          <w:color w:val="000000" w:themeColor="text1"/>
          <w:sz w:val="24"/>
          <w:szCs w:val="24"/>
        </w:rPr>
        <w:t xml:space="preserve"> not available or not tolerated intravenously, equivalents may be administered orally.</w:t>
      </w:r>
    </w:p>
    <w:p w14:paraId="77D1B020" w14:textId="77777777" w:rsidR="00757CB1" w:rsidRPr="00513188" w:rsidRDefault="00757CB1">
      <w:pPr>
        <w:autoSpaceDE w:val="0"/>
        <w:autoSpaceDN w:val="0"/>
        <w:adjustRightInd w:val="0"/>
        <w:rPr>
          <w:color w:val="000000" w:themeColor="text1"/>
          <w:sz w:val="24"/>
          <w:szCs w:val="24"/>
        </w:rPr>
      </w:pPr>
    </w:p>
    <w:p w14:paraId="425EBED4" w14:textId="77777777" w:rsidR="00757CB1" w:rsidRPr="00513188" w:rsidRDefault="00B616A7">
      <w:pPr>
        <w:autoSpaceDE w:val="0"/>
        <w:autoSpaceDN w:val="0"/>
        <w:adjustRightInd w:val="0"/>
        <w:rPr>
          <w:color w:val="000000" w:themeColor="text1"/>
          <w:sz w:val="24"/>
          <w:szCs w:val="24"/>
        </w:rPr>
      </w:pPr>
      <w:bookmarkStart w:id="2" w:name="_Hlk519706988"/>
      <w:r w:rsidRPr="00513188">
        <w:rPr>
          <w:color w:val="000000" w:themeColor="text1"/>
          <w:sz w:val="24"/>
          <w:szCs w:val="24"/>
        </w:rPr>
        <w:t>If clinically indicated, the corticosteroid may be tapered in decrements no greater than 2.5 mg to a minimum dose of 5 mg of dexamethasone (IV), or equivalent. The patient should receive at least 3 consecutive IV infusions of Onpattro without experiencing IRRs before each reduction in corticosteroid premedication.</w:t>
      </w:r>
    </w:p>
    <w:bookmarkEnd w:id="2"/>
    <w:p w14:paraId="47CB9784" w14:textId="77777777" w:rsidR="00757CB1" w:rsidRPr="00513188" w:rsidRDefault="00757CB1">
      <w:pPr>
        <w:autoSpaceDE w:val="0"/>
        <w:autoSpaceDN w:val="0"/>
        <w:adjustRightInd w:val="0"/>
        <w:rPr>
          <w:color w:val="000000" w:themeColor="text1"/>
          <w:sz w:val="24"/>
          <w:szCs w:val="24"/>
        </w:rPr>
      </w:pPr>
    </w:p>
    <w:p w14:paraId="68808E40" w14:textId="2C8C3F3C" w:rsidR="00757CB1" w:rsidRPr="00513188" w:rsidRDefault="00B616A7">
      <w:pPr>
        <w:autoSpaceDE w:val="0"/>
        <w:autoSpaceDN w:val="0"/>
        <w:adjustRightInd w:val="0"/>
        <w:rPr>
          <w:color w:val="000000" w:themeColor="text1"/>
          <w:sz w:val="24"/>
          <w:szCs w:val="24"/>
        </w:rPr>
      </w:pPr>
      <w:r w:rsidRPr="00513188">
        <w:rPr>
          <w:color w:val="000000" w:themeColor="text1"/>
          <w:sz w:val="24"/>
          <w:szCs w:val="24"/>
        </w:rPr>
        <w:t xml:space="preserve">Additional or higher doses of one or more of the </w:t>
      </w:r>
      <w:proofErr w:type="spellStart"/>
      <w:r w:rsidRPr="00513188">
        <w:rPr>
          <w:color w:val="000000" w:themeColor="text1"/>
          <w:sz w:val="24"/>
          <w:szCs w:val="24"/>
        </w:rPr>
        <w:t>premedications</w:t>
      </w:r>
      <w:proofErr w:type="spellEnd"/>
      <w:r w:rsidRPr="00513188">
        <w:rPr>
          <w:color w:val="000000" w:themeColor="text1"/>
          <w:sz w:val="24"/>
          <w:szCs w:val="24"/>
        </w:rPr>
        <w:t xml:space="preserve"> may be administered to reduce the risk of IRRs, if needed (see sections 4.4</w:t>
      </w:r>
      <w:r w:rsidRPr="00513188">
        <w:t xml:space="preserve"> </w:t>
      </w:r>
      <w:r w:rsidRPr="00513188">
        <w:rPr>
          <w:color w:val="000000" w:themeColor="text1"/>
          <w:sz w:val="24"/>
          <w:szCs w:val="24"/>
        </w:rPr>
        <w:t>Special Warnings and Precautions for Use and 4.8 Adverse Effects (Undesirable Effects)).</w:t>
      </w:r>
    </w:p>
    <w:bookmarkEnd w:id="1"/>
    <w:p w14:paraId="26DE0B49" w14:textId="77777777" w:rsidR="00757CB1" w:rsidRPr="00513188" w:rsidRDefault="00757CB1">
      <w:pPr>
        <w:rPr>
          <w:bCs/>
          <w:i/>
          <w:iCs/>
          <w:color w:val="000000" w:themeColor="text1"/>
          <w:sz w:val="24"/>
          <w:szCs w:val="24"/>
        </w:rPr>
      </w:pPr>
    </w:p>
    <w:p w14:paraId="2F63C7C9" w14:textId="77777777" w:rsidR="00757CB1" w:rsidRPr="00513188" w:rsidRDefault="00B616A7">
      <w:pPr>
        <w:rPr>
          <w:bCs/>
          <w:i/>
          <w:iCs/>
          <w:color w:val="000000" w:themeColor="text1"/>
          <w:sz w:val="24"/>
          <w:szCs w:val="24"/>
        </w:rPr>
      </w:pPr>
      <w:r w:rsidRPr="00513188">
        <w:rPr>
          <w:bCs/>
          <w:i/>
          <w:iCs/>
          <w:color w:val="000000" w:themeColor="text1"/>
          <w:sz w:val="24"/>
          <w:szCs w:val="24"/>
        </w:rPr>
        <w:t xml:space="preserve">Missed </w:t>
      </w:r>
      <w:proofErr w:type="gramStart"/>
      <w:r w:rsidRPr="00513188">
        <w:rPr>
          <w:bCs/>
          <w:i/>
          <w:iCs/>
          <w:color w:val="000000" w:themeColor="text1"/>
          <w:sz w:val="24"/>
          <w:szCs w:val="24"/>
        </w:rPr>
        <w:t>dose</w:t>
      </w:r>
      <w:proofErr w:type="gramEnd"/>
    </w:p>
    <w:p w14:paraId="21F442D0" w14:textId="77777777" w:rsidR="00757CB1" w:rsidRPr="00513188" w:rsidRDefault="00B616A7">
      <w:pPr>
        <w:rPr>
          <w:bCs/>
          <w:iCs/>
          <w:color w:val="000000" w:themeColor="text1"/>
          <w:sz w:val="24"/>
          <w:szCs w:val="24"/>
        </w:rPr>
      </w:pPr>
      <w:r w:rsidRPr="00513188">
        <w:rPr>
          <w:bCs/>
          <w:iCs/>
          <w:color w:val="000000" w:themeColor="text1"/>
          <w:sz w:val="24"/>
          <w:szCs w:val="24"/>
        </w:rPr>
        <w:t>If a dose is missed, Onpattro should be administered as soon as possible.</w:t>
      </w:r>
    </w:p>
    <w:p w14:paraId="32B3E268" w14:textId="77777777" w:rsidR="00757CB1" w:rsidRPr="00513188" w:rsidRDefault="00B616A7">
      <w:pPr>
        <w:numPr>
          <w:ilvl w:val="0"/>
          <w:numId w:val="8"/>
        </w:numPr>
        <w:tabs>
          <w:tab w:val="clear" w:pos="567"/>
        </w:tabs>
        <w:ind w:left="562" w:hanging="562"/>
        <w:rPr>
          <w:bCs/>
          <w:iCs/>
          <w:color w:val="000000" w:themeColor="text1"/>
          <w:sz w:val="24"/>
          <w:szCs w:val="24"/>
        </w:rPr>
      </w:pPr>
      <w:r w:rsidRPr="00513188">
        <w:rPr>
          <w:bCs/>
          <w:iCs/>
          <w:color w:val="000000" w:themeColor="text1"/>
          <w:sz w:val="24"/>
          <w:szCs w:val="24"/>
        </w:rPr>
        <w:t>If Onpattro is administered within 3 days of the missed dose, dosing should be continued according to the patient’s original schedule.</w:t>
      </w:r>
    </w:p>
    <w:p w14:paraId="3A017624" w14:textId="77777777" w:rsidR="00757CB1" w:rsidRPr="00513188" w:rsidRDefault="00B616A7">
      <w:pPr>
        <w:numPr>
          <w:ilvl w:val="0"/>
          <w:numId w:val="8"/>
        </w:numPr>
        <w:tabs>
          <w:tab w:val="clear" w:pos="567"/>
        </w:tabs>
        <w:ind w:left="562" w:hanging="562"/>
        <w:rPr>
          <w:bCs/>
          <w:iCs/>
          <w:color w:val="000000" w:themeColor="text1"/>
          <w:sz w:val="24"/>
          <w:szCs w:val="24"/>
        </w:rPr>
      </w:pPr>
      <w:r w:rsidRPr="00513188">
        <w:rPr>
          <w:bCs/>
          <w:iCs/>
          <w:color w:val="000000" w:themeColor="text1"/>
          <w:sz w:val="24"/>
          <w:szCs w:val="24"/>
        </w:rPr>
        <w:t>If Onpattro is administered more than 3 days after the missed dose, dosing should be continued every 3 weeks thereafter.</w:t>
      </w:r>
    </w:p>
    <w:p w14:paraId="651E0C0E" w14:textId="77777777" w:rsidR="00757CB1" w:rsidRPr="00513188" w:rsidRDefault="00757CB1">
      <w:pPr>
        <w:pStyle w:val="GlobalPatientLeaflettext"/>
        <w:rPr>
          <w:color w:val="000000" w:themeColor="text1"/>
        </w:rPr>
      </w:pPr>
    </w:p>
    <w:p w14:paraId="4CC17224" w14:textId="77777777" w:rsidR="00757CB1" w:rsidRPr="00513188" w:rsidRDefault="00B616A7">
      <w:pPr>
        <w:rPr>
          <w:b/>
          <w:iCs/>
          <w:color w:val="000000" w:themeColor="text1"/>
          <w:sz w:val="24"/>
          <w:szCs w:val="24"/>
        </w:rPr>
      </w:pPr>
      <w:r w:rsidRPr="00513188">
        <w:rPr>
          <w:b/>
          <w:iCs/>
          <w:color w:val="000000" w:themeColor="text1"/>
          <w:sz w:val="24"/>
          <w:szCs w:val="24"/>
        </w:rPr>
        <w:t>Special populations</w:t>
      </w:r>
    </w:p>
    <w:p w14:paraId="3444AEFD" w14:textId="77777777" w:rsidR="00757CB1" w:rsidRPr="00513188" w:rsidRDefault="00757CB1">
      <w:pPr>
        <w:autoSpaceDE w:val="0"/>
        <w:autoSpaceDN w:val="0"/>
        <w:adjustRightInd w:val="0"/>
        <w:rPr>
          <w:color w:val="000000" w:themeColor="text1"/>
          <w:sz w:val="24"/>
          <w:szCs w:val="24"/>
        </w:rPr>
      </w:pPr>
    </w:p>
    <w:p w14:paraId="49F9E691" w14:textId="77777777" w:rsidR="00757CB1" w:rsidRPr="00513188" w:rsidRDefault="00B616A7">
      <w:pPr>
        <w:autoSpaceDE w:val="0"/>
        <w:autoSpaceDN w:val="0"/>
        <w:adjustRightInd w:val="0"/>
        <w:rPr>
          <w:i/>
          <w:color w:val="000000" w:themeColor="text1"/>
          <w:sz w:val="24"/>
          <w:szCs w:val="24"/>
        </w:rPr>
      </w:pPr>
      <w:r w:rsidRPr="00513188">
        <w:rPr>
          <w:i/>
          <w:color w:val="000000" w:themeColor="text1"/>
          <w:sz w:val="24"/>
          <w:szCs w:val="24"/>
        </w:rPr>
        <w:t>Elderly patients</w:t>
      </w:r>
    </w:p>
    <w:p w14:paraId="130F2D88" w14:textId="47A972EE" w:rsidR="00757CB1" w:rsidRPr="00513188" w:rsidRDefault="00B616A7">
      <w:pPr>
        <w:autoSpaceDE w:val="0"/>
        <w:autoSpaceDN w:val="0"/>
        <w:adjustRightInd w:val="0"/>
        <w:rPr>
          <w:color w:val="000000" w:themeColor="text1"/>
          <w:sz w:val="24"/>
          <w:szCs w:val="24"/>
        </w:rPr>
      </w:pPr>
      <w:r w:rsidRPr="00513188">
        <w:rPr>
          <w:color w:val="000000" w:themeColor="text1"/>
          <w:sz w:val="24"/>
          <w:szCs w:val="24"/>
        </w:rPr>
        <w:t>No dose adjustment is required in patients ≥ 65 years of age (see section 5.2 Pharmacokinetic Properties).</w:t>
      </w:r>
    </w:p>
    <w:p w14:paraId="4852809D" w14:textId="77777777" w:rsidR="00757CB1" w:rsidRPr="00513188" w:rsidRDefault="00757CB1">
      <w:pPr>
        <w:autoSpaceDE w:val="0"/>
        <w:autoSpaceDN w:val="0"/>
        <w:adjustRightInd w:val="0"/>
        <w:rPr>
          <w:color w:val="000000" w:themeColor="text1"/>
          <w:sz w:val="24"/>
          <w:szCs w:val="24"/>
        </w:rPr>
      </w:pPr>
    </w:p>
    <w:p w14:paraId="201CE872" w14:textId="77777777" w:rsidR="00757CB1" w:rsidRPr="00513188" w:rsidRDefault="00B616A7">
      <w:pPr>
        <w:autoSpaceDE w:val="0"/>
        <w:autoSpaceDN w:val="0"/>
        <w:adjustRightInd w:val="0"/>
        <w:rPr>
          <w:i/>
          <w:color w:val="000000" w:themeColor="text1"/>
          <w:sz w:val="24"/>
          <w:szCs w:val="24"/>
        </w:rPr>
      </w:pPr>
      <w:r w:rsidRPr="00513188">
        <w:rPr>
          <w:i/>
          <w:color w:val="000000" w:themeColor="text1"/>
          <w:sz w:val="24"/>
          <w:szCs w:val="24"/>
        </w:rPr>
        <w:t>Hepatic impairment</w:t>
      </w:r>
    </w:p>
    <w:p w14:paraId="100E15FD" w14:textId="310445E9" w:rsidR="00757CB1" w:rsidRPr="00513188" w:rsidRDefault="00B616A7">
      <w:pPr>
        <w:autoSpaceDE w:val="0"/>
        <w:autoSpaceDN w:val="0"/>
        <w:adjustRightInd w:val="0"/>
        <w:rPr>
          <w:color w:val="000000" w:themeColor="text1"/>
          <w:sz w:val="24"/>
          <w:szCs w:val="24"/>
        </w:rPr>
      </w:pPr>
      <w:r w:rsidRPr="00513188">
        <w:rPr>
          <w:color w:val="000000" w:themeColor="text1"/>
          <w:sz w:val="24"/>
          <w:szCs w:val="24"/>
        </w:rPr>
        <w:t xml:space="preserve">No dose adjustment is necessary in patients with mild hepatic impairment (bilirubin ≤ 1 x ULN and AST &gt; 1 x ULN, or bilirubin &gt; 1.0 to 1.5 x ULN and any AST; see section 5.2 Pharmacokinetic Properties). </w:t>
      </w:r>
    </w:p>
    <w:p w14:paraId="076E43B6" w14:textId="77777777" w:rsidR="00757CB1" w:rsidRPr="00513188" w:rsidRDefault="00757CB1">
      <w:pPr>
        <w:autoSpaceDE w:val="0"/>
        <w:autoSpaceDN w:val="0"/>
        <w:adjustRightInd w:val="0"/>
        <w:rPr>
          <w:color w:val="000000" w:themeColor="text1"/>
          <w:sz w:val="24"/>
          <w:szCs w:val="24"/>
        </w:rPr>
      </w:pPr>
    </w:p>
    <w:p w14:paraId="2C284475" w14:textId="77777777" w:rsidR="00757CB1" w:rsidRPr="00513188" w:rsidRDefault="00B616A7">
      <w:pPr>
        <w:autoSpaceDE w:val="0"/>
        <w:autoSpaceDN w:val="0"/>
        <w:adjustRightInd w:val="0"/>
        <w:rPr>
          <w:i/>
          <w:color w:val="000000" w:themeColor="text1"/>
          <w:sz w:val="24"/>
          <w:szCs w:val="24"/>
        </w:rPr>
      </w:pPr>
      <w:r w:rsidRPr="00513188">
        <w:rPr>
          <w:i/>
          <w:color w:val="000000" w:themeColor="text1"/>
          <w:sz w:val="24"/>
          <w:szCs w:val="24"/>
        </w:rPr>
        <w:t>Liver transplant</w:t>
      </w:r>
    </w:p>
    <w:p w14:paraId="1FD6FDD8" w14:textId="77777777" w:rsidR="00757CB1" w:rsidRPr="00513188" w:rsidRDefault="00B616A7">
      <w:pPr>
        <w:autoSpaceDE w:val="0"/>
        <w:autoSpaceDN w:val="0"/>
        <w:adjustRightInd w:val="0"/>
        <w:rPr>
          <w:color w:val="000000" w:themeColor="text1"/>
          <w:sz w:val="24"/>
          <w:szCs w:val="24"/>
        </w:rPr>
      </w:pPr>
      <w:r w:rsidRPr="00513188">
        <w:rPr>
          <w:color w:val="000000" w:themeColor="text1"/>
          <w:sz w:val="24"/>
          <w:szCs w:val="24"/>
        </w:rPr>
        <w:t>Onpattro has not been studied in patients with prior liver transplant; however, no dose adjustments are considered necessary.</w:t>
      </w:r>
    </w:p>
    <w:p w14:paraId="15D509EF" w14:textId="77777777" w:rsidR="00757CB1" w:rsidRPr="00513188" w:rsidRDefault="00757CB1">
      <w:pPr>
        <w:autoSpaceDE w:val="0"/>
        <w:autoSpaceDN w:val="0"/>
        <w:adjustRightInd w:val="0"/>
        <w:rPr>
          <w:color w:val="000000" w:themeColor="text1"/>
          <w:sz w:val="24"/>
          <w:szCs w:val="24"/>
        </w:rPr>
      </w:pPr>
    </w:p>
    <w:p w14:paraId="28EACDB9" w14:textId="77777777" w:rsidR="00757CB1" w:rsidRPr="00513188" w:rsidRDefault="00B616A7">
      <w:pPr>
        <w:keepNext/>
        <w:autoSpaceDE w:val="0"/>
        <w:autoSpaceDN w:val="0"/>
        <w:adjustRightInd w:val="0"/>
        <w:rPr>
          <w:i/>
          <w:color w:val="000000" w:themeColor="text1"/>
          <w:sz w:val="24"/>
          <w:szCs w:val="24"/>
        </w:rPr>
      </w:pPr>
      <w:r w:rsidRPr="00513188">
        <w:rPr>
          <w:i/>
          <w:color w:val="000000" w:themeColor="text1"/>
          <w:sz w:val="24"/>
          <w:szCs w:val="24"/>
        </w:rPr>
        <w:t>Renal impairment</w:t>
      </w:r>
    </w:p>
    <w:p w14:paraId="52E2F903" w14:textId="310AC5A7" w:rsidR="00757CB1" w:rsidRPr="00513188" w:rsidRDefault="00B616A7">
      <w:pPr>
        <w:keepNext/>
        <w:autoSpaceDE w:val="0"/>
        <w:autoSpaceDN w:val="0"/>
        <w:adjustRightInd w:val="0"/>
        <w:rPr>
          <w:color w:val="000000" w:themeColor="text1"/>
          <w:sz w:val="24"/>
          <w:szCs w:val="24"/>
        </w:rPr>
      </w:pPr>
      <w:r w:rsidRPr="00513188">
        <w:rPr>
          <w:color w:val="000000" w:themeColor="text1"/>
          <w:sz w:val="24"/>
          <w:szCs w:val="24"/>
        </w:rPr>
        <w:t>No dose adjustment is necessary in patients with mild or moderate renal impairment (estimated glomerular filtration rate [eGFR] ≥ 30 to &lt; 90 mL/min/1.73m</w:t>
      </w:r>
      <w:r w:rsidRPr="00513188">
        <w:rPr>
          <w:color w:val="000000" w:themeColor="text1"/>
          <w:sz w:val="24"/>
          <w:szCs w:val="24"/>
          <w:vertAlign w:val="superscript"/>
        </w:rPr>
        <w:t>2</w:t>
      </w:r>
      <w:r w:rsidRPr="00513188">
        <w:rPr>
          <w:color w:val="000000" w:themeColor="text1"/>
          <w:sz w:val="24"/>
          <w:szCs w:val="24"/>
        </w:rPr>
        <w:t xml:space="preserve">; see section 5.2 Pharmacokinetic Properties). </w:t>
      </w:r>
    </w:p>
    <w:p w14:paraId="6877DAE1" w14:textId="77777777" w:rsidR="00757CB1" w:rsidRPr="00513188" w:rsidRDefault="00757CB1">
      <w:pPr>
        <w:autoSpaceDE w:val="0"/>
        <w:autoSpaceDN w:val="0"/>
        <w:adjustRightInd w:val="0"/>
        <w:rPr>
          <w:color w:val="000000" w:themeColor="text1"/>
          <w:sz w:val="24"/>
          <w:szCs w:val="24"/>
        </w:rPr>
      </w:pPr>
    </w:p>
    <w:p w14:paraId="5914CE11" w14:textId="77777777" w:rsidR="00757CB1" w:rsidRPr="00513188" w:rsidRDefault="00B616A7">
      <w:pPr>
        <w:rPr>
          <w:bCs/>
          <w:i/>
          <w:iCs/>
          <w:color w:val="000000" w:themeColor="text1"/>
          <w:sz w:val="24"/>
          <w:szCs w:val="24"/>
        </w:rPr>
      </w:pPr>
      <w:r w:rsidRPr="00513188">
        <w:rPr>
          <w:bCs/>
          <w:i/>
          <w:iCs/>
          <w:color w:val="000000" w:themeColor="text1"/>
          <w:sz w:val="24"/>
          <w:szCs w:val="24"/>
        </w:rPr>
        <w:t>Paediatric population</w:t>
      </w:r>
    </w:p>
    <w:p w14:paraId="0E324456" w14:textId="77777777" w:rsidR="00757CB1" w:rsidRPr="00513188" w:rsidRDefault="00B616A7">
      <w:pPr>
        <w:autoSpaceDE w:val="0"/>
        <w:autoSpaceDN w:val="0"/>
        <w:adjustRightInd w:val="0"/>
        <w:rPr>
          <w:color w:val="000000" w:themeColor="text1"/>
          <w:sz w:val="24"/>
          <w:szCs w:val="24"/>
        </w:rPr>
      </w:pPr>
      <w:r w:rsidRPr="00513188">
        <w:rPr>
          <w:color w:val="000000" w:themeColor="text1"/>
          <w:sz w:val="24"/>
          <w:szCs w:val="24"/>
        </w:rPr>
        <w:t>The safety and efficacy of Onpattro in children or adolescents &lt; 18 years of age have not been established. No data are available.</w:t>
      </w:r>
    </w:p>
    <w:p w14:paraId="397448C5" w14:textId="77777777" w:rsidR="00757CB1" w:rsidRPr="00513188" w:rsidRDefault="00757CB1">
      <w:pPr>
        <w:rPr>
          <w:color w:val="000000" w:themeColor="text1"/>
          <w:sz w:val="24"/>
          <w:szCs w:val="24"/>
        </w:rPr>
      </w:pPr>
    </w:p>
    <w:p w14:paraId="3D1889E1" w14:textId="77777777" w:rsidR="00757CB1" w:rsidRPr="00513188" w:rsidRDefault="00B616A7">
      <w:pPr>
        <w:keepNext/>
        <w:rPr>
          <w:b/>
          <w:bCs/>
          <w:color w:val="000000" w:themeColor="text1"/>
          <w:sz w:val="24"/>
          <w:szCs w:val="24"/>
        </w:rPr>
      </w:pPr>
      <w:r w:rsidRPr="00513188">
        <w:rPr>
          <w:b/>
          <w:bCs/>
          <w:color w:val="000000" w:themeColor="text1"/>
          <w:sz w:val="24"/>
          <w:szCs w:val="24"/>
        </w:rPr>
        <w:t>Method of administration</w:t>
      </w:r>
    </w:p>
    <w:p w14:paraId="716E4E2F" w14:textId="77777777" w:rsidR="00757CB1" w:rsidRPr="00513188" w:rsidRDefault="00757CB1"/>
    <w:p w14:paraId="05E326EF" w14:textId="4D65B899" w:rsidR="00757CB1" w:rsidRPr="00513188" w:rsidRDefault="00B616A7">
      <w:pPr>
        <w:rPr>
          <w:color w:val="000000" w:themeColor="text1"/>
          <w:sz w:val="24"/>
          <w:szCs w:val="24"/>
        </w:rPr>
      </w:pPr>
      <w:bookmarkStart w:id="3" w:name="_Hlk514497517"/>
      <w:r w:rsidRPr="00513188">
        <w:rPr>
          <w:sz w:val="24"/>
          <w:szCs w:val="24"/>
        </w:rPr>
        <w:t>Onpattro is for intravenous use.</w:t>
      </w:r>
      <w:r w:rsidR="00955D27" w:rsidRPr="00513188">
        <w:rPr>
          <w:sz w:val="24"/>
          <w:szCs w:val="24"/>
        </w:rPr>
        <w:t xml:space="preserve"> </w:t>
      </w:r>
      <w:r w:rsidRPr="00513188">
        <w:rPr>
          <w:color w:val="000000" w:themeColor="text1"/>
          <w:sz w:val="24"/>
          <w:szCs w:val="24"/>
        </w:rPr>
        <w:t>It is for single use only.</w:t>
      </w:r>
    </w:p>
    <w:p w14:paraId="1DC3C007" w14:textId="77777777" w:rsidR="00757CB1" w:rsidRPr="00513188" w:rsidRDefault="00757CB1"/>
    <w:p w14:paraId="51E3BD77" w14:textId="104A547B" w:rsidR="00757CB1" w:rsidRPr="00513188" w:rsidRDefault="00B616A7">
      <w:pPr>
        <w:rPr>
          <w:i/>
          <w:iCs/>
          <w:sz w:val="24"/>
          <w:szCs w:val="24"/>
        </w:rPr>
      </w:pPr>
      <w:r w:rsidRPr="00513188">
        <w:rPr>
          <w:i/>
          <w:iCs/>
          <w:sz w:val="24"/>
          <w:szCs w:val="24"/>
        </w:rPr>
        <w:t>Dilution</w:t>
      </w:r>
    </w:p>
    <w:p w14:paraId="56140233" w14:textId="77777777" w:rsidR="00757CB1" w:rsidRPr="00513188" w:rsidRDefault="00B616A7">
      <w:pPr>
        <w:rPr>
          <w:color w:val="000000" w:themeColor="text1"/>
          <w:sz w:val="24"/>
          <w:szCs w:val="24"/>
        </w:rPr>
      </w:pPr>
      <w:r w:rsidRPr="00513188">
        <w:rPr>
          <w:color w:val="000000" w:themeColor="text1"/>
          <w:sz w:val="24"/>
          <w:szCs w:val="24"/>
        </w:rPr>
        <w:t>Onpattro must be diluted with sodium chloride 9 mg/mL (0.9%) solution prior to intravenous infusion. The diluted solution for infusion should be prepared by a healthcare professional using aseptic technique as follows:</w:t>
      </w:r>
    </w:p>
    <w:p w14:paraId="58A5331F"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Remove Onpattro from the refrigerator. Do not shake or vortex.</w:t>
      </w:r>
    </w:p>
    <w:p w14:paraId="54A708DF"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Discard vial if it has been frozen.</w:t>
      </w:r>
    </w:p>
    <w:p w14:paraId="270C4055"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Inspect visually for particulate matter and discolouration. Do not use if discolouration or foreign particles are present. Onpattro is a white to off-white, opalescent, homogeneous solution. A white to off-white coating may be observed on the inner surface of the vial, typically at the liquid-headspace interface. Product quality is not impacted by presence of the white to off-white coating.</w:t>
      </w:r>
    </w:p>
    <w:p w14:paraId="1C0CD73F"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Calculate the required volume of Onpattro based on the recommended weight-based dosage (see section 4.2 Dose and Method of Administration).</w:t>
      </w:r>
    </w:p>
    <w:p w14:paraId="33AA419D"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Withdraw the entire contents of one or more vials into a single sterile syringe.</w:t>
      </w:r>
    </w:p>
    <w:p w14:paraId="25A3E094"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 xml:space="preserve">Filter Onpattro through a sterile </w:t>
      </w:r>
      <w:proofErr w:type="gramStart"/>
      <w:r w:rsidRPr="00513188">
        <w:rPr>
          <w:color w:val="000000" w:themeColor="text1"/>
          <w:sz w:val="24"/>
          <w:szCs w:val="24"/>
        </w:rPr>
        <w:t>0.45 micron</w:t>
      </w:r>
      <w:proofErr w:type="gramEnd"/>
      <w:r w:rsidRPr="00513188">
        <w:rPr>
          <w:color w:val="000000" w:themeColor="text1"/>
          <w:sz w:val="24"/>
          <w:szCs w:val="24"/>
        </w:rPr>
        <w:t xml:space="preserve"> </w:t>
      </w:r>
      <w:proofErr w:type="spellStart"/>
      <w:r w:rsidRPr="00513188">
        <w:rPr>
          <w:color w:val="000000" w:themeColor="text1"/>
          <w:sz w:val="24"/>
          <w:szCs w:val="24"/>
        </w:rPr>
        <w:t>polyethersulfone</w:t>
      </w:r>
      <w:proofErr w:type="spellEnd"/>
      <w:r w:rsidRPr="00513188">
        <w:rPr>
          <w:color w:val="000000" w:themeColor="text1"/>
          <w:sz w:val="24"/>
          <w:szCs w:val="24"/>
        </w:rPr>
        <w:t xml:space="preserve"> (PES) syringe filter into a sterile container.</w:t>
      </w:r>
    </w:p>
    <w:p w14:paraId="1AEB5E9E"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Withdraw the required volume of filtered Onpattro from the sterile container using a sterile syringe.</w:t>
      </w:r>
    </w:p>
    <w:p w14:paraId="52998680"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Dilute the required volume of filtered Onpattro into an infusion bag containing sodium chloride 9 mg/mL (0.9%) solution for a total volume of 200 </w:t>
      </w:r>
      <w:proofErr w:type="spellStart"/>
      <w:r w:rsidRPr="00513188">
        <w:rPr>
          <w:color w:val="000000" w:themeColor="text1"/>
          <w:sz w:val="24"/>
          <w:szCs w:val="24"/>
        </w:rPr>
        <w:t>mL.</w:t>
      </w:r>
      <w:proofErr w:type="spellEnd"/>
      <w:r w:rsidRPr="00513188">
        <w:rPr>
          <w:color w:val="000000" w:themeColor="text1"/>
          <w:sz w:val="24"/>
          <w:szCs w:val="24"/>
        </w:rPr>
        <w:t xml:space="preserve"> Use infusion bags that are free of di(2</w:t>
      </w:r>
      <w:r w:rsidRPr="00513188">
        <w:rPr>
          <w:color w:val="000000" w:themeColor="text1"/>
          <w:sz w:val="24"/>
          <w:szCs w:val="24"/>
        </w:rPr>
        <w:noBreakHyphen/>
      </w:r>
      <w:proofErr w:type="gramStart"/>
      <w:r w:rsidRPr="00513188">
        <w:rPr>
          <w:color w:val="000000" w:themeColor="text1"/>
          <w:sz w:val="24"/>
          <w:szCs w:val="24"/>
        </w:rPr>
        <w:t>ethylhexyl)phthalate</w:t>
      </w:r>
      <w:proofErr w:type="gramEnd"/>
      <w:r w:rsidRPr="00513188">
        <w:rPr>
          <w:color w:val="000000" w:themeColor="text1"/>
          <w:sz w:val="24"/>
          <w:szCs w:val="24"/>
        </w:rPr>
        <w:t xml:space="preserve"> (DEHP).</w:t>
      </w:r>
    </w:p>
    <w:p w14:paraId="66C9B1B1"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Gently invert the bag to mix the solution. Do not shake. Do not mix or dilute with other medicinal products.</w:t>
      </w:r>
    </w:p>
    <w:p w14:paraId="62B2C14B" w14:textId="77777777" w:rsidR="00757CB1" w:rsidRPr="00513188" w:rsidRDefault="00B616A7">
      <w:pPr>
        <w:pStyle w:val="ListParagraph"/>
        <w:numPr>
          <w:ilvl w:val="0"/>
          <w:numId w:val="31"/>
        </w:numPr>
        <w:tabs>
          <w:tab w:val="clear" w:pos="567"/>
          <w:tab w:val="left" w:pos="709"/>
        </w:tabs>
        <w:ind w:left="567" w:hanging="567"/>
        <w:rPr>
          <w:color w:val="000000" w:themeColor="text1"/>
          <w:sz w:val="24"/>
          <w:szCs w:val="24"/>
        </w:rPr>
      </w:pPr>
      <w:r w:rsidRPr="00513188">
        <w:rPr>
          <w:color w:val="000000" w:themeColor="text1"/>
          <w:sz w:val="24"/>
          <w:szCs w:val="24"/>
        </w:rPr>
        <w:t>Discard any unused portion of Onpattro. Any unused medicinal product or waste material should be disposed of in accordance with local requirements.</w:t>
      </w:r>
    </w:p>
    <w:p w14:paraId="1613F9D9" w14:textId="77777777" w:rsidR="00757CB1" w:rsidRPr="00513188" w:rsidRDefault="00757CB1"/>
    <w:p w14:paraId="20F658EB" w14:textId="459951E7" w:rsidR="00757CB1" w:rsidRPr="00513188" w:rsidRDefault="00B616A7">
      <w:pPr>
        <w:pStyle w:val="GlobalPatientLeaflettext"/>
        <w:rPr>
          <w:i/>
          <w:iCs/>
          <w:color w:val="000000" w:themeColor="text1"/>
        </w:rPr>
      </w:pPr>
      <w:r w:rsidRPr="00513188">
        <w:rPr>
          <w:i/>
          <w:iCs/>
          <w:color w:val="000000"/>
        </w:rPr>
        <w:t>Infusion process</w:t>
      </w:r>
    </w:p>
    <w:p w14:paraId="1B973586" w14:textId="77777777" w:rsidR="00757CB1" w:rsidRPr="00513188" w:rsidRDefault="00B616A7">
      <w:pPr>
        <w:pStyle w:val="GlobalPatientLeaflettext"/>
        <w:numPr>
          <w:ilvl w:val="0"/>
          <w:numId w:val="2"/>
        </w:numPr>
        <w:ind w:left="562" w:hanging="562"/>
        <w:rPr>
          <w:color w:val="000000" w:themeColor="text1"/>
        </w:rPr>
      </w:pPr>
      <w:r w:rsidRPr="00513188">
        <w:rPr>
          <w:color w:val="000000" w:themeColor="text1"/>
        </w:rPr>
        <w:t xml:space="preserve">A dedicated line with an infusion set containing a </w:t>
      </w:r>
      <w:proofErr w:type="gramStart"/>
      <w:r w:rsidRPr="00513188">
        <w:rPr>
          <w:color w:val="000000" w:themeColor="text1"/>
        </w:rPr>
        <w:t>1.2 micron</w:t>
      </w:r>
      <w:proofErr w:type="gramEnd"/>
      <w:r w:rsidRPr="00513188">
        <w:rPr>
          <w:color w:val="000000" w:themeColor="text1"/>
        </w:rPr>
        <w:t xml:space="preserve"> </w:t>
      </w:r>
      <w:proofErr w:type="spellStart"/>
      <w:r w:rsidRPr="00513188">
        <w:rPr>
          <w:color w:val="000000" w:themeColor="text1"/>
        </w:rPr>
        <w:t>polyethersulfone</w:t>
      </w:r>
      <w:proofErr w:type="spellEnd"/>
      <w:r w:rsidRPr="00513188">
        <w:rPr>
          <w:color w:val="000000" w:themeColor="text1"/>
        </w:rPr>
        <w:t xml:space="preserve"> (PES) in-line infusion filter must be used. The infusion sets and lines must be free of di(2-</w:t>
      </w:r>
      <w:proofErr w:type="gramStart"/>
      <w:r w:rsidRPr="00513188">
        <w:rPr>
          <w:color w:val="000000" w:themeColor="text1"/>
        </w:rPr>
        <w:t>ethylhexyl)phthalate</w:t>
      </w:r>
      <w:proofErr w:type="gramEnd"/>
      <w:r w:rsidRPr="00513188">
        <w:rPr>
          <w:color w:val="000000" w:themeColor="text1"/>
        </w:rPr>
        <w:t xml:space="preserve"> (DEHP).</w:t>
      </w:r>
    </w:p>
    <w:p w14:paraId="12ED23FC" w14:textId="77777777" w:rsidR="00757CB1" w:rsidRPr="00513188" w:rsidRDefault="00B616A7">
      <w:pPr>
        <w:pStyle w:val="GlobalPatientLeaflettext"/>
        <w:numPr>
          <w:ilvl w:val="0"/>
          <w:numId w:val="2"/>
        </w:numPr>
        <w:ind w:left="562" w:hanging="562"/>
        <w:rPr>
          <w:color w:val="000000" w:themeColor="text1"/>
        </w:rPr>
      </w:pPr>
      <w:r w:rsidRPr="00513188">
        <w:rPr>
          <w:color w:val="000000" w:themeColor="text1"/>
        </w:rPr>
        <w:t>The diluted solution of Onpattro should be infused intravenously over approximately 80 minutes at an initial infusion rate of approximately 1 mL/min for the first 15 minutes, followed by an increase to approximately 3 mL/min for the remainder of the infusion. The duration of infusion may be extended in the event of an IRR (see section 4.4 Special Warnings and Precautions for Use).</w:t>
      </w:r>
    </w:p>
    <w:p w14:paraId="2E8A26E8" w14:textId="77777777" w:rsidR="00757CB1" w:rsidRPr="00513188" w:rsidRDefault="00B616A7">
      <w:pPr>
        <w:pStyle w:val="GlobalPatientLeaflettext"/>
        <w:numPr>
          <w:ilvl w:val="0"/>
          <w:numId w:val="2"/>
        </w:numPr>
        <w:ind w:left="562" w:hanging="562"/>
        <w:rPr>
          <w:color w:val="000000" w:themeColor="text1"/>
        </w:rPr>
      </w:pPr>
      <w:r w:rsidRPr="00513188">
        <w:rPr>
          <w:color w:val="000000" w:themeColor="text1"/>
        </w:rPr>
        <w:lastRenderedPageBreak/>
        <w:t>Onpattro must be administered through a free-flowing venous access line. The infusion site should be monitored for possible infiltration during administration. Suspected extravasation should be managed according to local standard practice for non-vesicants.</w:t>
      </w:r>
    </w:p>
    <w:p w14:paraId="05035A24" w14:textId="2F0D3633" w:rsidR="00757CB1" w:rsidRPr="00513188" w:rsidRDefault="00B616A7">
      <w:pPr>
        <w:pStyle w:val="GlobalPatientLeaflettext"/>
        <w:numPr>
          <w:ilvl w:val="0"/>
          <w:numId w:val="2"/>
        </w:numPr>
        <w:ind w:left="562" w:hanging="562"/>
        <w:rPr>
          <w:color w:val="000000" w:themeColor="text1"/>
        </w:rPr>
      </w:pPr>
      <w:r w:rsidRPr="00513188">
        <w:rPr>
          <w:color w:val="000000" w:themeColor="text1"/>
        </w:rPr>
        <w:t>The patient should be observed during the infusion and, if clinically indicated, following the infusion (see section 4.4 Special Warnings and Precautions for Use).</w:t>
      </w:r>
    </w:p>
    <w:p w14:paraId="6CA5D1F8" w14:textId="65F8A8A9" w:rsidR="00757CB1" w:rsidRPr="00513188" w:rsidRDefault="00B616A7">
      <w:pPr>
        <w:pStyle w:val="GlobalPatientLeaflettext"/>
        <w:numPr>
          <w:ilvl w:val="0"/>
          <w:numId w:val="2"/>
        </w:numPr>
        <w:ind w:left="562" w:hanging="562"/>
        <w:rPr>
          <w:color w:val="000000" w:themeColor="text1"/>
        </w:rPr>
      </w:pPr>
      <w:r w:rsidRPr="00513188">
        <w:rPr>
          <w:color w:val="000000" w:themeColor="text1"/>
        </w:rPr>
        <w:t>After completion of the infusion, the intravenous administration set should be flushed with sodium chloride 9 mg/mL (0.9</w:t>
      </w:r>
      <w:r w:rsidR="00281F10" w:rsidRPr="00513188">
        <w:rPr>
          <w:color w:val="000000" w:themeColor="text1"/>
        </w:rPr>
        <w:t> </w:t>
      </w:r>
      <w:r w:rsidRPr="00513188">
        <w:rPr>
          <w:color w:val="000000" w:themeColor="text1"/>
        </w:rPr>
        <w:t>%) solution to ensure that all medicinal product has been administered.</w:t>
      </w:r>
    </w:p>
    <w:bookmarkEnd w:id="3"/>
    <w:p w14:paraId="30750E75" w14:textId="77777777" w:rsidR="00757CB1" w:rsidRPr="00513188" w:rsidRDefault="00757CB1">
      <w:pPr>
        <w:autoSpaceDE w:val="0"/>
        <w:autoSpaceDN w:val="0"/>
        <w:adjustRightInd w:val="0"/>
        <w:rPr>
          <w:color w:val="000000" w:themeColor="text1"/>
          <w:sz w:val="24"/>
          <w:szCs w:val="24"/>
        </w:rPr>
      </w:pPr>
    </w:p>
    <w:p w14:paraId="66EED5ED" w14:textId="2A086801" w:rsidR="00757CB1" w:rsidRPr="00513188" w:rsidRDefault="00B616A7">
      <w:pPr>
        <w:autoSpaceDE w:val="0"/>
        <w:autoSpaceDN w:val="0"/>
        <w:adjustRightInd w:val="0"/>
        <w:rPr>
          <w:color w:val="000000" w:themeColor="text1"/>
          <w:sz w:val="24"/>
          <w:szCs w:val="24"/>
        </w:rPr>
      </w:pPr>
      <w:r w:rsidRPr="00513188">
        <w:rPr>
          <w:color w:val="000000" w:themeColor="text1"/>
          <w:sz w:val="24"/>
          <w:szCs w:val="24"/>
        </w:rPr>
        <w:t>Infusion of Onpattro at home may be considered for patients who have tolerated at least 3 infusions well in the clinic. The decision for a patient to receive home infusions should be made after evaluation and recommendation by the treating physician. Home infusions should be performed by a healthcare professional.</w:t>
      </w:r>
    </w:p>
    <w:p w14:paraId="5D390451" w14:textId="77777777" w:rsidR="00757CB1" w:rsidRPr="00513188" w:rsidRDefault="00757CB1">
      <w:pPr>
        <w:autoSpaceDE w:val="0"/>
        <w:autoSpaceDN w:val="0"/>
        <w:adjustRightInd w:val="0"/>
        <w:rPr>
          <w:color w:val="000000" w:themeColor="text1"/>
          <w:sz w:val="24"/>
          <w:szCs w:val="24"/>
        </w:rPr>
      </w:pPr>
    </w:p>
    <w:p w14:paraId="6F67820C" w14:textId="77777777" w:rsidR="00757CB1" w:rsidRPr="00513188" w:rsidRDefault="00B616A7" w:rsidP="00084EA1">
      <w:pPr>
        <w:pStyle w:val="Heading2"/>
      </w:pPr>
      <w:r w:rsidRPr="00513188">
        <w:t>4.3</w:t>
      </w:r>
      <w:r w:rsidRPr="00513188">
        <w:tab/>
      </w:r>
      <w:bookmarkStart w:id="4" w:name="OLE_LINK1"/>
      <w:bookmarkEnd w:id="4"/>
      <w:r w:rsidRPr="00513188">
        <w:t>CONTRAINDICATIONS</w:t>
      </w:r>
    </w:p>
    <w:p w14:paraId="70F4F267" w14:textId="77777777" w:rsidR="00757CB1" w:rsidRPr="00513188" w:rsidRDefault="00757CB1">
      <w:pPr>
        <w:rPr>
          <w:color w:val="000000" w:themeColor="text1"/>
          <w:sz w:val="24"/>
          <w:szCs w:val="24"/>
        </w:rPr>
      </w:pPr>
    </w:p>
    <w:p w14:paraId="000456ED" w14:textId="77777777" w:rsidR="00757CB1" w:rsidRPr="00513188" w:rsidRDefault="00B616A7">
      <w:pPr>
        <w:rPr>
          <w:color w:val="000000" w:themeColor="text1"/>
          <w:sz w:val="24"/>
          <w:szCs w:val="24"/>
        </w:rPr>
      </w:pPr>
      <w:r w:rsidRPr="00513188">
        <w:rPr>
          <w:color w:val="000000" w:themeColor="text1"/>
          <w:sz w:val="24"/>
          <w:szCs w:val="24"/>
        </w:rPr>
        <w:t>Severe hypersensitivity (e.g., anaphylaxis) to the active substance or any of the excipients listed in section 6.1 List of Excipients.</w:t>
      </w:r>
    </w:p>
    <w:p w14:paraId="41877F2A" w14:textId="77777777" w:rsidR="00757CB1" w:rsidRPr="00513188" w:rsidRDefault="00757CB1">
      <w:pPr>
        <w:rPr>
          <w:color w:val="000000" w:themeColor="text1"/>
          <w:sz w:val="24"/>
          <w:szCs w:val="24"/>
        </w:rPr>
      </w:pPr>
    </w:p>
    <w:p w14:paraId="06264987" w14:textId="77777777" w:rsidR="00757CB1" w:rsidRPr="00513188" w:rsidRDefault="00B616A7" w:rsidP="00084EA1">
      <w:pPr>
        <w:pStyle w:val="Heading2"/>
      </w:pPr>
      <w:r w:rsidRPr="00513188">
        <w:t>4.4</w:t>
      </w:r>
      <w:r w:rsidRPr="00513188">
        <w:tab/>
        <w:t>SPECIAL WARNINGS AND PRECAUTIONS FOR USE</w:t>
      </w:r>
    </w:p>
    <w:p w14:paraId="05DF642A" w14:textId="77777777" w:rsidR="00757CB1" w:rsidRPr="00513188" w:rsidRDefault="00757CB1">
      <w:pPr>
        <w:rPr>
          <w:color w:val="000000" w:themeColor="text1"/>
          <w:sz w:val="24"/>
          <w:szCs w:val="24"/>
        </w:rPr>
      </w:pPr>
    </w:p>
    <w:p w14:paraId="66124180" w14:textId="77777777" w:rsidR="00757CB1" w:rsidRPr="00513188" w:rsidRDefault="00B616A7">
      <w:pPr>
        <w:rPr>
          <w:b/>
          <w:bCs/>
          <w:color w:val="000000" w:themeColor="text1"/>
          <w:sz w:val="24"/>
          <w:szCs w:val="24"/>
        </w:rPr>
      </w:pPr>
      <w:r w:rsidRPr="00513188">
        <w:rPr>
          <w:b/>
          <w:bCs/>
          <w:color w:val="000000" w:themeColor="text1"/>
          <w:sz w:val="24"/>
          <w:szCs w:val="24"/>
        </w:rPr>
        <w:t>Infusion-related reactions</w:t>
      </w:r>
    </w:p>
    <w:p w14:paraId="6567A5B6" w14:textId="77777777" w:rsidR="00757CB1" w:rsidRPr="00513188" w:rsidRDefault="00757CB1">
      <w:pPr>
        <w:rPr>
          <w:color w:val="000000" w:themeColor="text1"/>
          <w:sz w:val="24"/>
          <w:szCs w:val="24"/>
        </w:rPr>
      </w:pPr>
    </w:p>
    <w:p w14:paraId="544D2BA1" w14:textId="54BF982C" w:rsidR="00757CB1" w:rsidRPr="00513188" w:rsidRDefault="00B616A7">
      <w:pPr>
        <w:rPr>
          <w:color w:val="000000" w:themeColor="text1"/>
          <w:sz w:val="24"/>
          <w:szCs w:val="24"/>
        </w:rPr>
      </w:pPr>
      <w:r w:rsidRPr="00513188">
        <w:rPr>
          <w:color w:val="000000"/>
          <w:sz w:val="24"/>
          <w:szCs w:val="24"/>
        </w:rPr>
        <w:t>IRRs have been observed in patients treated with Onpattro. In patients experiencing an IRR, the majority experienced the first IRR within the first 2 infusions (see section 4.8 Adverse Effects (Undesirable Effects)). Across clinical studies, the most common symptoms (reported in ≥ 2% of patients) of IRRs were flushing, back pain, nausea, abdominal pain, dyspnoea, and headache. IRRs may also include hypotension and syncope.</w:t>
      </w:r>
    </w:p>
    <w:p w14:paraId="2F8FAAA3" w14:textId="77777777" w:rsidR="00757CB1" w:rsidRPr="00513188" w:rsidRDefault="00757CB1">
      <w:pPr>
        <w:rPr>
          <w:color w:val="000000" w:themeColor="text1"/>
          <w:sz w:val="24"/>
          <w:szCs w:val="24"/>
        </w:rPr>
      </w:pPr>
    </w:p>
    <w:p w14:paraId="3591FF50" w14:textId="77777777" w:rsidR="00757CB1" w:rsidRPr="00513188" w:rsidRDefault="00B616A7">
      <w:pPr>
        <w:rPr>
          <w:color w:val="000000" w:themeColor="text1"/>
          <w:sz w:val="24"/>
          <w:szCs w:val="24"/>
        </w:rPr>
      </w:pPr>
      <w:r w:rsidRPr="00513188">
        <w:rPr>
          <w:color w:val="000000" w:themeColor="text1"/>
          <w:sz w:val="24"/>
          <w:szCs w:val="24"/>
        </w:rPr>
        <w:t xml:space="preserve">To reduce the risk of IRRs, patients should receive </w:t>
      </w:r>
      <w:proofErr w:type="spellStart"/>
      <w:r w:rsidRPr="00513188">
        <w:rPr>
          <w:color w:val="000000" w:themeColor="text1"/>
          <w:sz w:val="24"/>
          <w:szCs w:val="24"/>
        </w:rPr>
        <w:t>premedications</w:t>
      </w:r>
      <w:proofErr w:type="spellEnd"/>
      <w:r w:rsidRPr="00513188">
        <w:rPr>
          <w:color w:val="000000" w:themeColor="text1"/>
          <w:sz w:val="24"/>
          <w:szCs w:val="24"/>
        </w:rPr>
        <w:t xml:space="preserve"> on the day of Onpattro infusion, at least 60 minutes prior to the start of infusion (see section 4.2 Dose and Method of Administration). If an IRR occurs, slowing or interrupting the infusion and institution of medical management (e.g., corticosteroids or other symptomatic treatment) should be considered, as clinically indicated. If the infusion is interrupted, resumption of the infusion at a slower infusion rate may be considered after symptoms have resolved. The Onpattro infusion should be discontinued in the case of a serious or life-threatening IRR.</w:t>
      </w:r>
    </w:p>
    <w:p w14:paraId="3CFC8092" w14:textId="77777777" w:rsidR="00757CB1" w:rsidRPr="00513188" w:rsidRDefault="00757CB1">
      <w:pPr>
        <w:rPr>
          <w:color w:val="000000" w:themeColor="text1"/>
          <w:sz w:val="24"/>
          <w:szCs w:val="24"/>
        </w:rPr>
      </w:pPr>
    </w:p>
    <w:p w14:paraId="3DDD3915" w14:textId="77777777" w:rsidR="00757CB1" w:rsidRPr="00513188" w:rsidRDefault="00B616A7">
      <w:pPr>
        <w:rPr>
          <w:color w:val="000000" w:themeColor="text1"/>
          <w:sz w:val="24"/>
          <w:szCs w:val="24"/>
        </w:rPr>
      </w:pPr>
      <w:r w:rsidRPr="00513188">
        <w:rPr>
          <w:color w:val="000000" w:themeColor="text1"/>
          <w:sz w:val="24"/>
          <w:szCs w:val="24"/>
        </w:rPr>
        <w:t xml:space="preserve">Some patients who experience IRRs may benefit from a slower infusion rate or additional or higher doses of one or more of the </w:t>
      </w:r>
      <w:proofErr w:type="spellStart"/>
      <w:r w:rsidRPr="00513188">
        <w:rPr>
          <w:color w:val="000000" w:themeColor="text1"/>
          <w:sz w:val="24"/>
          <w:szCs w:val="24"/>
        </w:rPr>
        <w:t>premedications</w:t>
      </w:r>
      <w:proofErr w:type="spellEnd"/>
      <w:r w:rsidRPr="00513188">
        <w:rPr>
          <w:color w:val="000000" w:themeColor="text1"/>
          <w:sz w:val="24"/>
          <w:szCs w:val="24"/>
        </w:rPr>
        <w:t xml:space="preserve"> with subsequent infusions to reduce the risk of IRRs.</w:t>
      </w:r>
    </w:p>
    <w:p w14:paraId="6AE39E83" w14:textId="77777777" w:rsidR="00757CB1" w:rsidRPr="00513188" w:rsidRDefault="00757CB1">
      <w:pPr>
        <w:rPr>
          <w:color w:val="000000" w:themeColor="text1"/>
          <w:sz w:val="24"/>
          <w:szCs w:val="24"/>
        </w:rPr>
      </w:pPr>
    </w:p>
    <w:p w14:paraId="3944F729" w14:textId="77777777" w:rsidR="00757CB1" w:rsidRPr="00513188" w:rsidRDefault="00B616A7">
      <w:pPr>
        <w:rPr>
          <w:b/>
          <w:bCs/>
          <w:color w:val="000000" w:themeColor="text1"/>
          <w:sz w:val="24"/>
          <w:szCs w:val="24"/>
        </w:rPr>
      </w:pPr>
      <w:r w:rsidRPr="00513188">
        <w:rPr>
          <w:b/>
          <w:bCs/>
          <w:color w:val="000000" w:themeColor="text1"/>
          <w:sz w:val="24"/>
          <w:szCs w:val="24"/>
        </w:rPr>
        <w:t>Vitamin A deficiency</w:t>
      </w:r>
    </w:p>
    <w:p w14:paraId="25CAA535" w14:textId="77777777" w:rsidR="00757CB1" w:rsidRPr="00513188" w:rsidRDefault="00757CB1">
      <w:pPr>
        <w:rPr>
          <w:color w:val="000000" w:themeColor="text1"/>
          <w:sz w:val="24"/>
          <w:szCs w:val="24"/>
        </w:rPr>
      </w:pPr>
    </w:p>
    <w:p w14:paraId="6A309667" w14:textId="77777777" w:rsidR="00757CB1" w:rsidRPr="00513188" w:rsidRDefault="00B616A7">
      <w:pPr>
        <w:rPr>
          <w:color w:val="000000" w:themeColor="text1"/>
          <w:sz w:val="24"/>
          <w:szCs w:val="24"/>
        </w:rPr>
      </w:pPr>
      <w:r w:rsidRPr="00513188">
        <w:rPr>
          <w:color w:val="000000" w:themeColor="text1"/>
          <w:sz w:val="24"/>
          <w:szCs w:val="24"/>
        </w:rPr>
        <w:t>By reducing serum TTR protein, Onpattro treatment leads to a decrease in serum vitamin A (retinol) levels (see section 5.1 Pharmacodynamic Properties). Serum vitamin A levels below the lower limit of normal should be corrected and any ocular symptoms or signs due to vitamin A deficiency should be evaluated prior to initiation of treatment with Onpattro.</w:t>
      </w:r>
    </w:p>
    <w:p w14:paraId="6506D771" w14:textId="77777777" w:rsidR="00757CB1" w:rsidRPr="00513188" w:rsidRDefault="00757CB1">
      <w:pPr>
        <w:rPr>
          <w:color w:val="000000" w:themeColor="text1"/>
          <w:sz w:val="24"/>
          <w:szCs w:val="24"/>
        </w:rPr>
      </w:pPr>
    </w:p>
    <w:p w14:paraId="5283E4B7" w14:textId="77777777" w:rsidR="00757CB1" w:rsidRPr="00513188" w:rsidRDefault="00B616A7">
      <w:pPr>
        <w:rPr>
          <w:color w:val="000000" w:themeColor="text1"/>
          <w:sz w:val="24"/>
          <w:szCs w:val="24"/>
        </w:rPr>
      </w:pPr>
      <w:r w:rsidRPr="00513188">
        <w:rPr>
          <w:color w:val="000000" w:themeColor="text1"/>
          <w:sz w:val="24"/>
          <w:szCs w:val="24"/>
        </w:rPr>
        <w:lastRenderedPageBreak/>
        <w:t xml:space="preserve">Patients receiving Onpattro should take oral supplementation of approximately 2500 IU vitamin A per day to reduce the potential risk of ocular toxicity due to vitamin A deficiency. Referral for ophthalmological assessment is recommended if patients develop ocular symptoms suggestive of vitamin A deficiency, including reduced night vision or night blindness, persistent dry eyes, eye inflammation, corneal inflammation or ulceration, corneal </w:t>
      </w:r>
      <w:proofErr w:type="gramStart"/>
      <w:r w:rsidRPr="00513188">
        <w:rPr>
          <w:color w:val="000000" w:themeColor="text1"/>
          <w:sz w:val="24"/>
          <w:szCs w:val="24"/>
        </w:rPr>
        <w:t>thickening</w:t>
      </w:r>
      <w:proofErr w:type="gramEnd"/>
      <w:r w:rsidRPr="00513188">
        <w:rPr>
          <w:color w:val="000000" w:themeColor="text1"/>
          <w:sz w:val="24"/>
          <w:szCs w:val="24"/>
        </w:rPr>
        <w:t xml:space="preserve"> or corneal perforation.</w:t>
      </w:r>
    </w:p>
    <w:p w14:paraId="28EA1214" w14:textId="77777777" w:rsidR="00757CB1" w:rsidRPr="00513188" w:rsidRDefault="00757CB1">
      <w:pPr>
        <w:rPr>
          <w:color w:val="000000" w:themeColor="text1"/>
          <w:sz w:val="24"/>
          <w:szCs w:val="24"/>
        </w:rPr>
      </w:pPr>
    </w:p>
    <w:p w14:paraId="36C45BB0" w14:textId="62E5DEF6" w:rsidR="00757CB1" w:rsidRPr="00513188" w:rsidRDefault="00B616A7">
      <w:pPr>
        <w:rPr>
          <w:color w:val="000000" w:themeColor="text1"/>
          <w:sz w:val="24"/>
          <w:szCs w:val="24"/>
        </w:rPr>
      </w:pPr>
      <w:r w:rsidRPr="00513188">
        <w:rPr>
          <w:color w:val="000000"/>
          <w:sz w:val="24"/>
          <w:szCs w:val="24"/>
        </w:rPr>
        <w:t>Serum vitamin A levels should not be used to guide vitamin A supplementation during treatment with Onpattro.</w:t>
      </w:r>
    </w:p>
    <w:p w14:paraId="25FE4149" w14:textId="77777777" w:rsidR="00757CB1" w:rsidRPr="00513188" w:rsidRDefault="00757CB1">
      <w:pPr>
        <w:rPr>
          <w:color w:val="000000" w:themeColor="text1"/>
          <w:sz w:val="24"/>
          <w:szCs w:val="24"/>
        </w:rPr>
      </w:pPr>
    </w:p>
    <w:p w14:paraId="261B58E6" w14:textId="77777777" w:rsidR="00757CB1" w:rsidRPr="00513188" w:rsidRDefault="00B616A7">
      <w:pPr>
        <w:rPr>
          <w:color w:val="000000" w:themeColor="text1"/>
          <w:sz w:val="24"/>
          <w:szCs w:val="24"/>
        </w:rPr>
      </w:pPr>
      <w:r w:rsidRPr="00513188">
        <w:rPr>
          <w:color w:val="000000" w:themeColor="text1"/>
          <w:sz w:val="24"/>
          <w:szCs w:val="24"/>
        </w:rPr>
        <w:t xml:space="preserve">During the first 60 days of pregnancy, both too high </w:t>
      </w:r>
      <w:proofErr w:type="gramStart"/>
      <w:r w:rsidRPr="00513188">
        <w:rPr>
          <w:color w:val="000000" w:themeColor="text1"/>
          <w:sz w:val="24"/>
          <w:szCs w:val="24"/>
        </w:rPr>
        <w:t>or</w:t>
      </w:r>
      <w:proofErr w:type="gramEnd"/>
      <w:r w:rsidRPr="00513188">
        <w:rPr>
          <w:color w:val="000000" w:themeColor="text1"/>
          <w:sz w:val="24"/>
          <w:szCs w:val="24"/>
        </w:rPr>
        <w:t xml:space="preserve"> too low vitamin A levels may be associated with an increased risk of foetal malformation. Therefore, pregnancy should be excluded before initiating Onpattro and women of childbearing potential should practise effective contraception. If a woman intends to become pregnant, Onpattro and vitamin A supplementation should be </w:t>
      </w:r>
      <w:proofErr w:type="gramStart"/>
      <w:r w:rsidRPr="00513188">
        <w:rPr>
          <w:color w:val="000000" w:themeColor="text1"/>
          <w:sz w:val="24"/>
          <w:szCs w:val="24"/>
        </w:rPr>
        <w:t>discontinued</w:t>
      </w:r>
      <w:proofErr w:type="gramEnd"/>
      <w:r w:rsidRPr="00513188">
        <w:rPr>
          <w:color w:val="000000" w:themeColor="text1"/>
          <w:sz w:val="24"/>
          <w:szCs w:val="24"/>
        </w:rPr>
        <w:t xml:space="preserve"> and serum vitamin A levels should be monitored and have returned to normal before conception is attempted.</w:t>
      </w:r>
    </w:p>
    <w:p w14:paraId="022E3F0F" w14:textId="77777777" w:rsidR="00757CB1" w:rsidRPr="00513188" w:rsidRDefault="00757CB1">
      <w:pPr>
        <w:rPr>
          <w:color w:val="000000" w:themeColor="text1"/>
          <w:sz w:val="24"/>
          <w:szCs w:val="24"/>
        </w:rPr>
      </w:pPr>
    </w:p>
    <w:p w14:paraId="4335CB36" w14:textId="77777777" w:rsidR="00757CB1" w:rsidRPr="00513188" w:rsidRDefault="00B616A7">
      <w:pPr>
        <w:rPr>
          <w:color w:val="000000" w:themeColor="text1"/>
          <w:sz w:val="24"/>
          <w:szCs w:val="24"/>
        </w:rPr>
      </w:pPr>
      <w:r w:rsidRPr="00513188">
        <w:rPr>
          <w:color w:val="000000" w:themeColor="text1"/>
          <w:sz w:val="24"/>
          <w:szCs w:val="24"/>
        </w:rPr>
        <w:t>In the event of an unplanned pregnancy, Onpattro should be discontinued (see section 4.6 Fertility, Pregnancy and Lactation). Vitamin A supplementation should be discontinued during the first trimester, unless the pregnant woman has clinical signs of vitamin A deficiency. If such signs are present, vitamin A supplementation should not exceed 2500 IU per day. Thereafter, vitamin A supplementation of 2500 IU per day should be resumed in the second and third trimesters if serum vitamin A levels have not returned to normal, because of the increased risk of vitamin A deficiency in the third trimester.</w:t>
      </w:r>
    </w:p>
    <w:p w14:paraId="7D876D97" w14:textId="77777777" w:rsidR="00757CB1" w:rsidRPr="00513188" w:rsidRDefault="00757CB1">
      <w:pPr>
        <w:rPr>
          <w:color w:val="000000" w:themeColor="text1"/>
          <w:sz w:val="24"/>
          <w:szCs w:val="24"/>
        </w:rPr>
      </w:pPr>
    </w:p>
    <w:p w14:paraId="4F843C88" w14:textId="77777777" w:rsidR="00757CB1" w:rsidRPr="00513188" w:rsidRDefault="00B616A7">
      <w:pPr>
        <w:rPr>
          <w:b/>
          <w:bCs/>
          <w:color w:val="000000" w:themeColor="text1"/>
          <w:sz w:val="24"/>
          <w:szCs w:val="24"/>
        </w:rPr>
      </w:pPr>
      <w:r w:rsidRPr="00513188">
        <w:rPr>
          <w:b/>
          <w:bCs/>
          <w:color w:val="000000" w:themeColor="text1"/>
          <w:sz w:val="24"/>
          <w:szCs w:val="24"/>
        </w:rPr>
        <w:t xml:space="preserve">Use in hepatic </w:t>
      </w:r>
      <w:proofErr w:type="gramStart"/>
      <w:r w:rsidRPr="00513188">
        <w:rPr>
          <w:b/>
          <w:bCs/>
          <w:color w:val="000000" w:themeColor="text1"/>
          <w:sz w:val="24"/>
          <w:szCs w:val="24"/>
        </w:rPr>
        <w:t>impairment</w:t>
      </w:r>
      <w:proofErr w:type="gramEnd"/>
    </w:p>
    <w:p w14:paraId="1F1315EF" w14:textId="77777777" w:rsidR="00757CB1" w:rsidRPr="00513188" w:rsidRDefault="00757CB1">
      <w:pPr>
        <w:rPr>
          <w:color w:val="000000" w:themeColor="text1"/>
          <w:sz w:val="24"/>
          <w:szCs w:val="24"/>
        </w:rPr>
      </w:pPr>
    </w:p>
    <w:p w14:paraId="3A3D3436" w14:textId="27A7764F" w:rsidR="00757CB1" w:rsidRPr="00513188" w:rsidRDefault="00B616A7">
      <w:pPr>
        <w:rPr>
          <w:color w:val="000000" w:themeColor="text1"/>
          <w:sz w:val="24"/>
          <w:szCs w:val="24"/>
        </w:rPr>
      </w:pPr>
      <w:r w:rsidRPr="00513188">
        <w:rPr>
          <w:color w:val="000000"/>
          <w:sz w:val="24"/>
          <w:szCs w:val="24"/>
        </w:rPr>
        <w:t>Onpattro has not been studied in patients with moderate or severe hepatic impairment and should not be used in these patients unless the anticipated clinical benefit outweighs the potential risk (see section 5.2 Pharmacokinetic Properties).</w:t>
      </w:r>
    </w:p>
    <w:p w14:paraId="5908D2E8" w14:textId="77777777" w:rsidR="00757CB1" w:rsidRPr="00513188" w:rsidRDefault="00757CB1">
      <w:pPr>
        <w:rPr>
          <w:color w:val="000000" w:themeColor="text1"/>
          <w:sz w:val="24"/>
          <w:szCs w:val="24"/>
        </w:rPr>
      </w:pPr>
    </w:p>
    <w:p w14:paraId="428FFF93" w14:textId="77777777" w:rsidR="00757CB1" w:rsidRPr="00513188" w:rsidRDefault="00B616A7">
      <w:pPr>
        <w:rPr>
          <w:b/>
          <w:bCs/>
          <w:color w:val="000000" w:themeColor="text1"/>
          <w:sz w:val="24"/>
          <w:szCs w:val="24"/>
        </w:rPr>
      </w:pPr>
      <w:r w:rsidRPr="00513188">
        <w:rPr>
          <w:b/>
          <w:bCs/>
          <w:color w:val="000000" w:themeColor="text1"/>
          <w:sz w:val="24"/>
          <w:szCs w:val="24"/>
        </w:rPr>
        <w:t xml:space="preserve">Use in renal </w:t>
      </w:r>
      <w:proofErr w:type="gramStart"/>
      <w:r w:rsidRPr="00513188">
        <w:rPr>
          <w:b/>
          <w:bCs/>
          <w:color w:val="000000" w:themeColor="text1"/>
          <w:sz w:val="24"/>
          <w:szCs w:val="24"/>
        </w:rPr>
        <w:t>impairment</w:t>
      </w:r>
      <w:proofErr w:type="gramEnd"/>
    </w:p>
    <w:p w14:paraId="294C7675" w14:textId="77777777" w:rsidR="00757CB1" w:rsidRPr="00513188" w:rsidRDefault="00757CB1">
      <w:pPr>
        <w:rPr>
          <w:color w:val="000000" w:themeColor="text1"/>
          <w:sz w:val="24"/>
          <w:szCs w:val="24"/>
        </w:rPr>
      </w:pPr>
    </w:p>
    <w:p w14:paraId="756927FD" w14:textId="5E72809A" w:rsidR="00757CB1" w:rsidRPr="00513188" w:rsidRDefault="00B616A7">
      <w:pPr>
        <w:rPr>
          <w:color w:val="000000" w:themeColor="text1"/>
          <w:sz w:val="24"/>
          <w:szCs w:val="24"/>
        </w:rPr>
      </w:pPr>
      <w:r w:rsidRPr="00513188">
        <w:rPr>
          <w:color w:val="000000"/>
          <w:sz w:val="24"/>
          <w:szCs w:val="24"/>
        </w:rPr>
        <w:t>Onpattro has not been studied in patients with severe renal impairment or end-stage renal disease and should not be used in these patients unless the anticipated clinical benefit outweighs the potential risk (see section 5.2 Pharmacokinetic Properties).</w:t>
      </w:r>
    </w:p>
    <w:p w14:paraId="5E300BAC" w14:textId="77777777" w:rsidR="00757CB1" w:rsidRPr="00513188" w:rsidRDefault="00757CB1">
      <w:pPr>
        <w:rPr>
          <w:color w:val="000000" w:themeColor="text1"/>
          <w:sz w:val="24"/>
          <w:szCs w:val="24"/>
        </w:rPr>
      </w:pPr>
    </w:p>
    <w:p w14:paraId="743C9B93" w14:textId="77777777" w:rsidR="00757CB1" w:rsidRPr="00513188" w:rsidRDefault="00B616A7">
      <w:pPr>
        <w:rPr>
          <w:b/>
          <w:bCs/>
          <w:color w:val="000000" w:themeColor="text1"/>
          <w:sz w:val="24"/>
          <w:szCs w:val="24"/>
        </w:rPr>
      </w:pPr>
      <w:r w:rsidRPr="00513188">
        <w:rPr>
          <w:b/>
          <w:bCs/>
          <w:color w:val="000000" w:themeColor="text1"/>
          <w:sz w:val="24"/>
          <w:szCs w:val="24"/>
        </w:rPr>
        <w:t xml:space="preserve">Use in the </w:t>
      </w:r>
      <w:proofErr w:type="gramStart"/>
      <w:r w:rsidRPr="00513188">
        <w:rPr>
          <w:b/>
          <w:bCs/>
          <w:color w:val="000000" w:themeColor="text1"/>
          <w:sz w:val="24"/>
          <w:szCs w:val="24"/>
        </w:rPr>
        <w:t>elderly</w:t>
      </w:r>
      <w:proofErr w:type="gramEnd"/>
    </w:p>
    <w:p w14:paraId="54294B4A" w14:textId="77777777" w:rsidR="00757CB1" w:rsidRPr="00513188" w:rsidRDefault="00757CB1">
      <w:pPr>
        <w:rPr>
          <w:color w:val="000000" w:themeColor="text1"/>
          <w:sz w:val="24"/>
          <w:szCs w:val="24"/>
        </w:rPr>
      </w:pPr>
    </w:p>
    <w:p w14:paraId="4F3A3D82" w14:textId="77777777" w:rsidR="00757CB1" w:rsidRPr="00513188" w:rsidRDefault="00B616A7">
      <w:pPr>
        <w:rPr>
          <w:color w:val="000000" w:themeColor="text1"/>
          <w:sz w:val="24"/>
          <w:szCs w:val="24"/>
        </w:rPr>
      </w:pPr>
      <w:r w:rsidRPr="00513188">
        <w:rPr>
          <w:color w:val="000000" w:themeColor="text1"/>
          <w:sz w:val="24"/>
          <w:szCs w:val="24"/>
        </w:rPr>
        <w:t xml:space="preserve">There are no special precautions for the use of Onpattro in the elderly. </w:t>
      </w:r>
    </w:p>
    <w:p w14:paraId="08568616" w14:textId="77777777" w:rsidR="00757CB1" w:rsidRPr="00513188" w:rsidRDefault="00757CB1">
      <w:pPr>
        <w:rPr>
          <w:color w:val="000000" w:themeColor="text1"/>
          <w:sz w:val="24"/>
          <w:szCs w:val="24"/>
        </w:rPr>
      </w:pPr>
    </w:p>
    <w:p w14:paraId="7A62B602" w14:textId="77777777" w:rsidR="00757CB1" w:rsidRPr="00513188" w:rsidRDefault="00B616A7">
      <w:pPr>
        <w:rPr>
          <w:b/>
          <w:bCs/>
          <w:color w:val="000000" w:themeColor="text1"/>
          <w:sz w:val="24"/>
          <w:szCs w:val="24"/>
        </w:rPr>
      </w:pPr>
      <w:r w:rsidRPr="00513188">
        <w:rPr>
          <w:b/>
          <w:bCs/>
          <w:color w:val="000000" w:themeColor="text1"/>
          <w:sz w:val="24"/>
          <w:szCs w:val="24"/>
        </w:rPr>
        <w:t>Paediatric use</w:t>
      </w:r>
    </w:p>
    <w:p w14:paraId="37ED5786" w14:textId="77777777" w:rsidR="00757CB1" w:rsidRPr="00513188" w:rsidRDefault="00757CB1">
      <w:pPr>
        <w:rPr>
          <w:color w:val="000000" w:themeColor="text1"/>
          <w:sz w:val="24"/>
          <w:szCs w:val="24"/>
        </w:rPr>
      </w:pPr>
    </w:p>
    <w:p w14:paraId="27437FA1" w14:textId="77777777" w:rsidR="00757CB1" w:rsidRPr="00513188" w:rsidRDefault="00B616A7">
      <w:pPr>
        <w:autoSpaceDE w:val="0"/>
        <w:autoSpaceDN w:val="0"/>
        <w:adjustRightInd w:val="0"/>
        <w:rPr>
          <w:color w:val="000000" w:themeColor="text1"/>
          <w:sz w:val="24"/>
          <w:szCs w:val="24"/>
        </w:rPr>
      </w:pPr>
      <w:r w:rsidRPr="00513188">
        <w:rPr>
          <w:color w:val="000000" w:themeColor="text1"/>
          <w:sz w:val="24"/>
          <w:szCs w:val="24"/>
        </w:rPr>
        <w:t>The safety and efficacy of Onpattro in children or adolescents &lt; 18 years of age have not been established. No data are available.</w:t>
      </w:r>
    </w:p>
    <w:p w14:paraId="6384160F" w14:textId="77777777" w:rsidR="00757CB1" w:rsidRPr="00513188" w:rsidRDefault="00757CB1">
      <w:pPr>
        <w:rPr>
          <w:color w:val="000000" w:themeColor="text1"/>
          <w:sz w:val="24"/>
          <w:szCs w:val="24"/>
        </w:rPr>
      </w:pPr>
    </w:p>
    <w:p w14:paraId="5D4F1DBB" w14:textId="77777777" w:rsidR="00757CB1" w:rsidRPr="00513188" w:rsidRDefault="00B616A7">
      <w:pPr>
        <w:rPr>
          <w:b/>
          <w:bCs/>
          <w:color w:val="000000" w:themeColor="text1"/>
          <w:sz w:val="24"/>
          <w:szCs w:val="24"/>
        </w:rPr>
      </w:pPr>
      <w:r w:rsidRPr="00513188">
        <w:rPr>
          <w:b/>
          <w:bCs/>
          <w:color w:val="000000" w:themeColor="text1"/>
          <w:sz w:val="24"/>
          <w:szCs w:val="24"/>
        </w:rPr>
        <w:t>Effects on laboratory tests</w:t>
      </w:r>
    </w:p>
    <w:p w14:paraId="3F34786F" w14:textId="77777777" w:rsidR="00757CB1" w:rsidRPr="00513188" w:rsidRDefault="00757CB1">
      <w:pPr>
        <w:rPr>
          <w:color w:val="000000" w:themeColor="text1"/>
          <w:sz w:val="24"/>
          <w:szCs w:val="24"/>
        </w:rPr>
      </w:pPr>
    </w:p>
    <w:p w14:paraId="5AFD0A92" w14:textId="3AFC0610" w:rsidR="00757CB1" w:rsidRPr="00513188" w:rsidRDefault="00B616A7">
      <w:pPr>
        <w:rPr>
          <w:color w:val="000000" w:themeColor="text1"/>
          <w:sz w:val="24"/>
          <w:szCs w:val="24"/>
        </w:rPr>
      </w:pPr>
      <w:r w:rsidRPr="00513188">
        <w:rPr>
          <w:color w:val="000000"/>
          <w:sz w:val="24"/>
          <w:szCs w:val="24"/>
        </w:rPr>
        <w:lastRenderedPageBreak/>
        <w:t>Serum TTR is a carrier of retinol binding protein, which facilitates transport of vitamin A in the blood. Treatment with Onpattro reduces serum TTR levels, which results in reduced levels of retinol binding protein and vitamin A in the serum. However, transport and tissue uptake of vitamin A can occur through alternative mechanisms in the absence of retinol binding protein. As a result, during treatment with Onpattro, laboratory tests for serum vitamin A do not reflect the total amount of vitamin A in the body and should not be used to guide vitamin A supplementation (see sections 4.4 Special Warnings and Precautions for Use and 5.1 Pharmacodynamic Properties).</w:t>
      </w:r>
    </w:p>
    <w:p w14:paraId="388B717C" w14:textId="77777777" w:rsidR="00757CB1" w:rsidRPr="00513188" w:rsidRDefault="00757CB1">
      <w:pPr>
        <w:rPr>
          <w:color w:val="000000" w:themeColor="text1"/>
          <w:sz w:val="24"/>
          <w:szCs w:val="24"/>
        </w:rPr>
      </w:pPr>
    </w:p>
    <w:p w14:paraId="588D71D8" w14:textId="77777777" w:rsidR="00757CB1" w:rsidRPr="00513188" w:rsidRDefault="00B616A7">
      <w:pPr>
        <w:rPr>
          <w:b/>
          <w:bCs/>
          <w:color w:val="000000" w:themeColor="text1"/>
          <w:sz w:val="24"/>
          <w:szCs w:val="24"/>
        </w:rPr>
      </w:pPr>
      <w:r w:rsidRPr="00513188">
        <w:rPr>
          <w:b/>
          <w:bCs/>
          <w:color w:val="000000" w:themeColor="text1"/>
          <w:sz w:val="24"/>
          <w:szCs w:val="24"/>
        </w:rPr>
        <w:t>Excipients</w:t>
      </w:r>
    </w:p>
    <w:p w14:paraId="45555677" w14:textId="77777777" w:rsidR="00757CB1" w:rsidRPr="00513188" w:rsidRDefault="00757CB1">
      <w:pPr>
        <w:rPr>
          <w:color w:val="000000" w:themeColor="text1"/>
          <w:sz w:val="24"/>
          <w:szCs w:val="24"/>
        </w:rPr>
      </w:pPr>
    </w:p>
    <w:p w14:paraId="75E2FBC1" w14:textId="77777777" w:rsidR="00757CB1" w:rsidRPr="00513188" w:rsidRDefault="00B616A7">
      <w:pPr>
        <w:rPr>
          <w:color w:val="000000" w:themeColor="text1"/>
          <w:sz w:val="24"/>
          <w:szCs w:val="24"/>
        </w:rPr>
      </w:pPr>
      <w:r w:rsidRPr="00513188">
        <w:rPr>
          <w:color w:val="000000" w:themeColor="text1"/>
          <w:sz w:val="24"/>
          <w:szCs w:val="24"/>
        </w:rPr>
        <w:t>This medicinal product contains 3.99 mg sodium per mL, equivalent to 0.2% of the WHO recommended maximum daily intake of 2 g sodium for an adult.</w:t>
      </w:r>
    </w:p>
    <w:p w14:paraId="165E0CBB" w14:textId="77777777" w:rsidR="00757CB1" w:rsidRPr="00513188" w:rsidRDefault="00757CB1">
      <w:pPr>
        <w:rPr>
          <w:color w:val="000000" w:themeColor="text1"/>
          <w:sz w:val="24"/>
          <w:szCs w:val="24"/>
        </w:rPr>
      </w:pPr>
    </w:p>
    <w:p w14:paraId="7BDD80EF" w14:textId="77777777" w:rsidR="00955D27" w:rsidRPr="00513188" w:rsidRDefault="00955D27">
      <w:pPr>
        <w:rPr>
          <w:color w:val="000000" w:themeColor="text1"/>
          <w:sz w:val="24"/>
          <w:szCs w:val="24"/>
        </w:rPr>
      </w:pPr>
    </w:p>
    <w:p w14:paraId="311B1470" w14:textId="110819D7" w:rsidR="00757CB1" w:rsidRPr="00513188" w:rsidRDefault="00B616A7" w:rsidP="00737F56">
      <w:pPr>
        <w:pStyle w:val="Heading2"/>
      </w:pPr>
      <w:r w:rsidRPr="00513188">
        <w:t>4.5</w:t>
      </w:r>
      <w:r w:rsidRPr="00513188">
        <w:tab/>
        <w:t>INTERACTION WITH OTHER MEDICINES AND OTHER FORMS OF INTERACTIONS</w:t>
      </w:r>
    </w:p>
    <w:p w14:paraId="76EBD07F" w14:textId="77777777" w:rsidR="00757CB1" w:rsidRPr="00513188" w:rsidRDefault="00757CB1">
      <w:pPr>
        <w:rPr>
          <w:color w:val="000000" w:themeColor="text1"/>
          <w:sz w:val="24"/>
          <w:szCs w:val="24"/>
        </w:rPr>
      </w:pPr>
    </w:p>
    <w:p w14:paraId="4FAA80BC" w14:textId="7ED411F6" w:rsidR="00757CB1" w:rsidRPr="00513188" w:rsidRDefault="00B616A7" w:rsidP="00453C4B">
      <w:pPr>
        <w:rPr>
          <w:color w:val="000000" w:themeColor="text1"/>
          <w:sz w:val="24"/>
          <w:szCs w:val="24"/>
        </w:rPr>
      </w:pPr>
      <w:r w:rsidRPr="00513188">
        <w:rPr>
          <w:color w:val="000000" w:themeColor="text1"/>
          <w:sz w:val="24"/>
          <w:szCs w:val="24"/>
        </w:rPr>
        <w:t xml:space="preserve">No formal clinical drug interaction studies have been performed. </w:t>
      </w:r>
      <w:r w:rsidR="00605D07">
        <w:rPr>
          <w:color w:val="000000" w:themeColor="text1"/>
          <w:sz w:val="24"/>
          <w:szCs w:val="24"/>
        </w:rPr>
        <w:t xml:space="preserve">The pharmacokinetics of </w:t>
      </w:r>
      <w:r w:rsidRPr="00513188">
        <w:rPr>
          <w:color w:val="000000" w:themeColor="text1"/>
          <w:sz w:val="24"/>
          <w:szCs w:val="24"/>
        </w:rPr>
        <w:t xml:space="preserve">Onpattro </w:t>
      </w:r>
      <w:r w:rsidR="00605D07">
        <w:rPr>
          <w:color w:val="000000" w:themeColor="text1"/>
          <w:sz w:val="24"/>
          <w:szCs w:val="24"/>
        </w:rPr>
        <w:t>components are</w:t>
      </w:r>
      <w:r w:rsidRPr="00513188">
        <w:rPr>
          <w:color w:val="000000" w:themeColor="text1"/>
          <w:sz w:val="24"/>
          <w:szCs w:val="24"/>
        </w:rPr>
        <w:t xml:space="preserve"> not expected to be affected by inhibitors or inducers of cytochrome P450 enzymes or to cause drug-drug interactions, except for induction and time</w:t>
      </w:r>
      <w:r w:rsidRPr="00513188">
        <w:rPr>
          <w:color w:val="000000" w:themeColor="text1"/>
          <w:sz w:val="24"/>
          <w:szCs w:val="24"/>
        </w:rPr>
        <w:noBreakHyphen/>
        <w:t xml:space="preserve">dependent inhibition of CYP2B6 </w:t>
      </w:r>
      <w:r w:rsidRPr="00513188">
        <w:rPr>
          <w:i/>
          <w:iCs/>
          <w:color w:val="000000" w:themeColor="text1"/>
          <w:sz w:val="24"/>
          <w:szCs w:val="24"/>
        </w:rPr>
        <w:t>in vitro</w:t>
      </w:r>
      <w:r w:rsidRPr="00513188">
        <w:rPr>
          <w:color w:val="000000" w:themeColor="text1"/>
          <w:sz w:val="24"/>
          <w:szCs w:val="24"/>
        </w:rPr>
        <w:t xml:space="preserve">. The net effect on CYP2B6 substrates (e.g., bupropion and efavirenz) </w:t>
      </w:r>
      <w:r w:rsidRPr="00513188">
        <w:rPr>
          <w:i/>
          <w:iCs/>
          <w:color w:val="000000" w:themeColor="text1"/>
          <w:sz w:val="24"/>
          <w:szCs w:val="24"/>
        </w:rPr>
        <w:t>in vivo</w:t>
      </w:r>
      <w:r w:rsidRPr="00513188">
        <w:rPr>
          <w:color w:val="000000" w:themeColor="text1"/>
          <w:sz w:val="24"/>
          <w:szCs w:val="24"/>
        </w:rPr>
        <w:t xml:space="preserve"> is unknown.</w:t>
      </w:r>
    </w:p>
    <w:p w14:paraId="008318A1" w14:textId="77777777" w:rsidR="00757CB1" w:rsidRPr="00513188" w:rsidRDefault="00757CB1">
      <w:pPr>
        <w:rPr>
          <w:b/>
          <w:bCs/>
          <w:color w:val="000000" w:themeColor="text1"/>
          <w:sz w:val="24"/>
          <w:szCs w:val="24"/>
        </w:rPr>
      </w:pPr>
    </w:p>
    <w:p w14:paraId="40547D6E" w14:textId="77777777" w:rsidR="00757CB1" w:rsidRPr="00513188" w:rsidRDefault="00B616A7" w:rsidP="00084EA1">
      <w:pPr>
        <w:pStyle w:val="Heading2"/>
      </w:pPr>
      <w:r w:rsidRPr="00513188">
        <w:t>4.6</w:t>
      </w:r>
      <w:r w:rsidRPr="00513188">
        <w:tab/>
        <w:t>FERTILITY, PREGNANCY AND LACTATION</w:t>
      </w:r>
    </w:p>
    <w:p w14:paraId="045CAD7F" w14:textId="77777777" w:rsidR="00757CB1" w:rsidRPr="00513188" w:rsidRDefault="00757CB1">
      <w:pPr>
        <w:rPr>
          <w:color w:val="000000" w:themeColor="text1"/>
          <w:sz w:val="24"/>
          <w:szCs w:val="24"/>
        </w:rPr>
      </w:pPr>
    </w:p>
    <w:p w14:paraId="7278997B" w14:textId="77777777" w:rsidR="00757CB1" w:rsidRPr="00513188" w:rsidRDefault="00B616A7">
      <w:pPr>
        <w:rPr>
          <w:b/>
          <w:bCs/>
          <w:color w:val="000000" w:themeColor="text1"/>
          <w:sz w:val="24"/>
          <w:szCs w:val="24"/>
        </w:rPr>
      </w:pPr>
      <w:r w:rsidRPr="00513188">
        <w:rPr>
          <w:b/>
          <w:bCs/>
          <w:color w:val="000000" w:themeColor="text1"/>
          <w:sz w:val="24"/>
          <w:szCs w:val="24"/>
        </w:rPr>
        <w:t>Effects on Fertility</w:t>
      </w:r>
    </w:p>
    <w:p w14:paraId="17A4F44E" w14:textId="77777777" w:rsidR="00757CB1" w:rsidRPr="00513188" w:rsidRDefault="00757CB1">
      <w:pPr>
        <w:rPr>
          <w:color w:val="000000" w:themeColor="text1"/>
          <w:sz w:val="24"/>
          <w:szCs w:val="24"/>
        </w:rPr>
      </w:pPr>
    </w:p>
    <w:p w14:paraId="2E3D081D" w14:textId="77777777" w:rsidR="00757CB1" w:rsidRPr="00513188" w:rsidRDefault="00B616A7">
      <w:pPr>
        <w:rPr>
          <w:color w:val="000000" w:themeColor="text1"/>
          <w:sz w:val="24"/>
          <w:szCs w:val="24"/>
        </w:rPr>
      </w:pPr>
      <w:r w:rsidRPr="00513188">
        <w:rPr>
          <w:color w:val="000000" w:themeColor="text1"/>
          <w:sz w:val="24"/>
          <w:szCs w:val="24"/>
        </w:rPr>
        <w:t xml:space="preserve">There are no data on the effects of Onpattro on human fertility. </w:t>
      </w:r>
    </w:p>
    <w:p w14:paraId="766D07B7" w14:textId="77777777" w:rsidR="00757CB1" w:rsidRPr="00513188" w:rsidRDefault="00757CB1">
      <w:pPr>
        <w:rPr>
          <w:color w:val="000000" w:themeColor="text1"/>
          <w:sz w:val="24"/>
          <w:szCs w:val="24"/>
        </w:rPr>
      </w:pPr>
    </w:p>
    <w:p w14:paraId="0A6DB7DC" w14:textId="28C207CD" w:rsidR="005D198F" w:rsidRPr="00513188" w:rsidRDefault="005D198F" w:rsidP="005D198F">
      <w:pPr>
        <w:rPr>
          <w:color w:val="000000" w:themeColor="text1"/>
          <w:sz w:val="24"/>
          <w:szCs w:val="24"/>
        </w:rPr>
      </w:pPr>
      <w:r w:rsidRPr="00513188">
        <w:rPr>
          <w:color w:val="000000" w:themeColor="text1"/>
          <w:sz w:val="24"/>
          <w:szCs w:val="24"/>
        </w:rPr>
        <w:t xml:space="preserve">Intravenous (IV) administration of </w:t>
      </w:r>
      <w:r w:rsidR="003F7F7D" w:rsidRPr="00513188">
        <w:rPr>
          <w:color w:val="000000" w:themeColor="text1"/>
          <w:sz w:val="24"/>
          <w:szCs w:val="24"/>
        </w:rPr>
        <w:t>patisiran</w:t>
      </w:r>
      <w:r w:rsidR="00FB10ED">
        <w:rPr>
          <w:color w:val="000000" w:themeColor="text1"/>
          <w:sz w:val="24"/>
          <w:szCs w:val="24"/>
        </w:rPr>
        <w:t>-LNP</w:t>
      </w:r>
      <w:r w:rsidR="00B73DE2">
        <w:rPr>
          <w:color w:val="000000" w:themeColor="text1"/>
          <w:sz w:val="24"/>
          <w:szCs w:val="24"/>
        </w:rPr>
        <w:t xml:space="preserve"> (lipid nanoparticle)</w:t>
      </w:r>
      <w:r w:rsidRPr="00513188">
        <w:rPr>
          <w:color w:val="000000" w:themeColor="text1"/>
          <w:sz w:val="24"/>
          <w:szCs w:val="24"/>
        </w:rPr>
        <w:t xml:space="preserve"> (up to 0.3</w:t>
      </w:r>
      <w:r w:rsidR="006E7CB7" w:rsidRPr="00513188">
        <w:rPr>
          <w:color w:val="000000" w:themeColor="text1"/>
        </w:rPr>
        <w:t> </w:t>
      </w:r>
      <w:r w:rsidRPr="00513188">
        <w:rPr>
          <w:color w:val="000000" w:themeColor="text1"/>
          <w:sz w:val="24"/>
          <w:szCs w:val="24"/>
        </w:rPr>
        <w:t>mg/kg) or a rodent-specific</w:t>
      </w:r>
      <w:r w:rsidR="00281F10" w:rsidRPr="00513188">
        <w:rPr>
          <w:color w:val="000000" w:themeColor="text1"/>
          <w:sz w:val="24"/>
          <w:szCs w:val="24"/>
        </w:rPr>
        <w:t xml:space="preserve"> </w:t>
      </w:r>
      <w:r w:rsidRPr="00513188">
        <w:rPr>
          <w:color w:val="000000" w:themeColor="text1"/>
          <w:sz w:val="24"/>
          <w:szCs w:val="24"/>
        </w:rPr>
        <w:t>(pharmacologically active) surrogate (0.1</w:t>
      </w:r>
      <w:r w:rsidR="006E7CB7" w:rsidRPr="00513188">
        <w:rPr>
          <w:color w:val="000000" w:themeColor="text1"/>
        </w:rPr>
        <w:t> </w:t>
      </w:r>
      <w:r w:rsidRPr="00513188">
        <w:rPr>
          <w:color w:val="000000" w:themeColor="text1"/>
          <w:sz w:val="24"/>
          <w:szCs w:val="24"/>
        </w:rPr>
        <w:t>mg/kg) to male rats every two weeks prior to and</w:t>
      </w:r>
      <w:r w:rsidR="000017D7" w:rsidRPr="00513188">
        <w:rPr>
          <w:color w:val="000000" w:themeColor="text1"/>
          <w:sz w:val="24"/>
          <w:szCs w:val="24"/>
        </w:rPr>
        <w:t xml:space="preserve"> </w:t>
      </w:r>
      <w:r w:rsidRPr="00513188">
        <w:rPr>
          <w:color w:val="000000" w:themeColor="text1"/>
          <w:sz w:val="24"/>
          <w:szCs w:val="24"/>
        </w:rPr>
        <w:t>throughout mating to untreated females produced no adverse effects on fertility. Maximum</w:t>
      </w:r>
      <w:r w:rsidR="000017D7" w:rsidRPr="00513188">
        <w:rPr>
          <w:color w:val="000000" w:themeColor="text1"/>
          <w:sz w:val="24"/>
          <w:szCs w:val="24"/>
        </w:rPr>
        <w:t xml:space="preserve"> </w:t>
      </w:r>
      <w:r w:rsidRPr="00513188">
        <w:rPr>
          <w:color w:val="000000" w:themeColor="text1"/>
          <w:sz w:val="24"/>
          <w:szCs w:val="24"/>
        </w:rPr>
        <w:t>exposures to the components of the test items were subclinical.</w:t>
      </w:r>
    </w:p>
    <w:p w14:paraId="5CD4BC51" w14:textId="77777777" w:rsidR="005D198F" w:rsidRPr="00513188" w:rsidRDefault="005D198F" w:rsidP="005D198F">
      <w:pPr>
        <w:rPr>
          <w:color w:val="000000" w:themeColor="text1"/>
          <w:sz w:val="24"/>
          <w:szCs w:val="24"/>
        </w:rPr>
      </w:pPr>
    </w:p>
    <w:p w14:paraId="1D73A68F" w14:textId="1930F672" w:rsidR="005D198F" w:rsidRPr="00513188" w:rsidRDefault="005D198F" w:rsidP="005D198F">
      <w:pPr>
        <w:rPr>
          <w:color w:val="000000" w:themeColor="text1"/>
          <w:sz w:val="24"/>
          <w:szCs w:val="24"/>
        </w:rPr>
      </w:pPr>
      <w:r w:rsidRPr="00513188">
        <w:rPr>
          <w:color w:val="000000" w:themeColor="text1"/>
          <w:sz w:val="24"/>
          <w:szCs w:val="24"/>
        </w:rPr>
        <w:t xml:space="preserve">Intravenous administration of </w:t>
      </w:r>
      <w:r w:rsidR="003F7F7D" w:rsidRPr="00513188">
        <w:rPr>
          <w:color w:val="000000" w:themeColor="text1"/>
          <w:sz w:val="24"/>
          <w:szCs w:val="24"/>
        </w:rPr>
        <w:t>patisiran</w:t>
      </w:r>
      <w:r w:rsidR="00FB10ED">
        <w:rPr>
          <w:color w:val="000000" w:themeColor="text1"/>
          <w:sz w:val="24"/>
          <w:szCs w:val="24"/>
        </w:rPr>
        <w:t>-LNP</w:t>
      </w:r>
      <w:r w:rsidRPr="00513188">
        <w:rPr>
          <w:color w:val="000000" w:themeColor="text1"/>
          <w:sz w:val="24"/>
          <w:szCs w:val="24"/>
        </w:rPr>
        <w:t xml:space="preserve"> (up to 1.5</w:t>
      </w:r>
      <w:r w:rsidR="006E7CB7" w:rsidRPr="00513188">
        <w:rPr>
          <w:color w:val="000000" w:themeColor="text1"/>
        </w:rPr>
        <w:t> </w:t>
      </w:r>
      <w:r w:rsidRPr="00513188">
        <w:rPr>
          <w:color w:val="000000" w:themeColor="text1"/>
          <w:sz w:val="24"/>
          <w:szCs w:val="24"/>
        </w:rPr>
        <w:t>mg/kg) or a rodent-specific</w:t>
      </w:r>
      <w:r w:rsidR="000017D7" w:rsidRPr="00513188">
        <w:rPr>
          <w:color w:val="000000" w:themeColor="text1"/>
          <w:sz w:val="24"/>
          <w:szCs w:val="24"/>
        </w:rPr>
        <w:t xml:space="preserve"> </w:t>
      </w:r>
      <w:r w:rsidRPr="00513188">
        <w:rPr>
          <w:color w:val="000000" w:themeColor="text1"/>
          <w:sz w:val="24"/>
          <w:szCs w:val="24"/>
        </w:rPr>
        <w:t>(pharmacologically active) surrogate (1.5</w:t>
      </w:r>
      <w:r w:rsidR="006E7CB7" w:rsidRPr="00513188">
        <w:rPr>
          <w:color w:val="000000" w:themeColor="text1"/>
        </w:rPr>
        <w:t> </w:t>
      </w:r>
      <w:r w:rsidRPr="00513188">
        <w:rPr>
          <w:color w:val="000000" w:themeColor="text1"/>
          <w:sz w:val="24"/>
          <w:szCs w:val="24"/>
        </w:rPr>
        <w:t>mg/kg) to female rats every week for two weeks</w:t>
      </w:r>
      <w:r w:rsidR="000017D7" w:rsidRPr="00513188">
        <w:rPr>
          <w:color w:val="000000" w:themeColor="text1"/>
          <w:sz w:val="24"/>
          <w:szCs w:val="24"/>
        </w:rPr>
        <w:t xml:space="preserve"> </w:t>
      </w:r>
      <w:r w:rsidRPr="00513188">
        <w:rPr>
          <w:color w:val="000000" w:themeColor="text1"/>
          <w:sz w:val="24"/>
          <w:szCs w:val="24"/>
        </w:rPr>
        <w:t>prior to mating and continuing throughout organogenesis resulted in no adverse effects on</w:t>
      </w:r>
      <w:r w:rsidR="000017D7" w:rsidRPr="00513188">
        <w:rPr>
          <w:color w:val="000000" w:themeColor="text1"/>
          <w:sz w:val="24"/>
          <w:szCs w:val="24"/>
        </w:rPr>
        <w:t xml:space="preserve"> </w:t>
      </w:r>
      <w:r w:rsidRPr="00513188">
        <w:rPr>
          <w:color w:val="000000" w:themeColor="text1"/>
          <w:sz w:val="24"/>
          <w:szCs w:val="24"/>
        </w:rPr>
        <w:t xml:space="preserve">fertility. Maximum exposures to the components of the test items were </w:t>
      </w:r>
      <w:proofErr w:type="gramStart"/>
      <w:r w:rsidRPr="00513188">
        <w:rPr>
          <w:color w:val="000000" w:themeColor="text1"/>
          <w:sz w:val="24"/>
          <w:szCs w:val="24"/>
        </w:rPr>
        <w:t>similar to</w:t>
      </w:r>
      <w:proofErr w:type="gramEnd"/>
      <w:r w:rsidRPr="00513188">
        <w:rPr>
          <w:color w:val="000000" w:themeColor="text1"/>
          <w:sz w:val="24"/>
          <w:szCs w:val="24"/>
        </w:rPr>
        <w:t xml:space="preserve"> or</w:t>
      </w:r>
      <w:r w:rsidR="000017D7" w:rsidRPr="00513188">
        <w:rPr>
          <w:color w:val="000000" w:themeColor="text1"/>
          <w:sz w:val="24"/>
          <w:szCs w:val="24"/>
        </w:rPr>
        <w:t xml:space="preserve"> </w:t>
      </w:r>
      <w:r w:rsidRPr="00513188">
        <w:rPr>
          <w:color w:val="000000" w:themeColor="text1"/>
          <w:sz w:val="24"/>
          <w:szCs w:val="24"/>
        </w:rPr>
        <w:t>marginally above clinical exposures at the maximum recommended human dose (MRHD).</w:t>
      </w:r>
    </w:p>
    <w:p w14:paraId="48F93625" w14:textId="77777777" w:rsidR="005D198F" w:rsidRPr="00513188" w:rsidRDefault="005D198F" w:rsidP="005D198F">
      <w:pPr>
        <w:rPr>
          <w:color w:val="000000" w:themeColor="text1"/>
          <w:sz w:val="24"/>
          <w:szCs w:val="24"/>
        </w:rPr>
      </w:pPr>
    </w:p>
    <w:p w14:paraId="2CD86616" w14:textId="6C037099" w:rsidR="00757CB1" w:rsidRPr="00513188" w:rsidRDefault="005D198F">
      <w:pPr>
        <w:rPr>
          <w:color w:val="000000" w:themeColor="text1"/>
          <w:sz w:val="24"/>
          <w:szCs w:val="24"/>
        </w:rPr>
      </w:pPr>
      <w:r w:rsidRPr="00513188">
        <w:rPr>
          <w:color w:val="000000" w:themeColor="text1"/>
          <w:sz w:val="24"/>
          <w:szCs w:val="24"/>
        </w:rPr>
        <w:t xml:space="preserve">Intravenous administration of </w:t>
      </w:r>
      <w:r w:rsidR="003F7F7D" w:rsidRPr="00513188">
        <w:rPr>
          <w:color w:val="000000" w:themeColor="text1"/>
          <w:sz w:val="24"/>
          <w:szCs w:val="24"/>
        </w:rPr>
        <w:t>patisiran</w:t>
      </w:r>
      <w:r w:rsidR="00FB10ED">
        <w:rPr>
          <w:color w:val="000000" w:themeColor="text1"/>
          <w:sz w:val="24"/>
          <w:szCs w:val="24"/>
        </w:rPr>
        <w:t>-LNP</w:t>
      </w:r>
      <w:r w:rsidRPr="00513188">
        <w:rPr>
          <w:color w:val="000000" w:themeColor="text1"/>
          <w:sz w:val="24"/>
          <w:szCs w:val="24"/>
        </w:rPr>
        <w:t xml:space="preserve"> (up to 2</w:t>
      </w:r>
      <w:r w:rsidR="006E7CB7" w:rsidRPr="00513188">
        <w:rPr>
          <w:color w:val="000000" w:themeColor="text1"/>
        </w:rPr>
        <w:t> </w:t>
      </w:r>
      <w:r w:rsidRPr="00513188">
        <w:rPr>
          <w:color w:val="000000" w:themeColor="text1"/>
          <w:sz w:val="24"/>
          <w:szCs w:val="24"/>
        </w:rPr>
        <w:t>mg/kg) to adult monkeys every three</w:t>
      </w:r>
      <w:r w:rsidR="000017D7" w:rsidRPr="00513188">
        <w:rPr>
          <w:color w:val="000000" w:themeColor="text1"/>
          <w:sz w:val="24"/>
          <w:szCs w:val="24"/>
        </w:rPr>
        <w:t xml:space="preserve"> </w:t>
      </w:r>
      <w:r w:rsidRPr="00513188">
        <w:rPr>
          <w:color w:val="000000" w:themeColor="text1"/>
          <w:sz w:val="24"/>
          <w:szCs w:val="24"/>
        </w:rPr>
        <w:t>weeks for 39 weeks produced no adverse effects on male reproductive organs or on sperm</w:t>
      </w:r>
      <w:r w:rsidR="000017D7" w:rsidRPr="00513188">
        <w:rPr>
          <w:color w:val="000000" w:themeColor="text1"/>
          <w:sz w:val="24"/>
          <w:szCs w:val="24"/>
        </w:rPr>
        <w:t xml:space="preserve"> </w:t>
      </w:r>
      <w:r w:rsidRPr="00513188">
        <w:rPr>
          <w:color w:val="000000" w:themeColor="text1"/>
          <w:sz w:val="24"/>
          <w:szCs w:val="24"/>
        </w:rPr>
        <w:t xml:space="preserve">morphology or count. Maximum exposures were </w:t>
      </w:r>
      <w:proofErr w:type="gramStart"/>
      <w:r w:rsidRPr="00513188">
        <w:rPr>
          <w:color w:val="000000" w:themeColor="text1"/>
          <w:sz w:val="24"/>
          <w:szCs w:val="24"/>
        </w:rPr>
        <w:t>similar to</w:t>
      </w:r>
      <w:proofErr w:type="gramEnd"/>
      <w:r w:rsidRPr="00513188">
        <w:rPr>
          <w:color w:val="000000" w:themeColor="text1"/>
          <w:sz w:val="24"/>
          <w:szCs w:val="24"/>
        </w:rPr>
        <w:t xml:space="preserve"> clinical exposures to patisiran at</w:t>
      </w:r>
      <w:r w:rsidR="000017D7" w:rsidRPr="00513188">
        <w:rPr>
          <w:color w:val="000000" w:themeColor="text1"/>
          <w:sz w:val="24"/>
          <w:szCs w:val="24"/>
        </w:rPr>
        <w:t xml:space="preserve"> </w:t>
      </w:r>
      <w:r w:rsidRPr="00513188">
        <w:rPr>
          <w:color w:val="000000" w:themeColor="text1"/>
          <w:sz w:val="24"/>
          <w:szCs w:val="24"/>
        </w:rPr>
        <w:t>the MRHD. Maximum exposures to the lipid components were 7 to 9 times the clinical</w:t>
      </w:r>
      <w:r w:rsidR="000017D7" w:rsidRPr="00513188">
        <w:rPr>
          <w:color w:val="000000" w:themeColor="text1"/>
          <w:sz w:val="24"/>
          <w:szCs w:val="24"/>
        </w:rPr>
        <w:t xml:space="preserve"> </w:t>
      </w:r>
      <w:r w:rsidRPr="00513188">
        <w:rPr>
          <w:color w:val="000000" w:themeColor="text1"/>
          <w:sz w:val="24"/>
          <w:szCs w:val="24"/>
        </w:rPr>
        <w:t>exposures to these components at the MRHD.</w:t>
      </w:r>
    </w:p>
    <w:p w14:paraId="5931B2DC" w14:textId="77777777" w:rsidR="00D533D7" w:rsidRPr="00513188" w:rsidRDefault="00D533D7">
      <w:pPr>
        <w:rPr>
          <w:b/>
          <w:bCs/>
          <w:color w:val="000000" w:themeColor="text1"/>
          <w:sz w:val="24"/>
          <w:szCs w:val="24"/>
        </w:rPr>
      </w:pPr>
    </w:p>
    <w:p w14:paraId="04D11C75" w14:textId="38420E77" w:rsidR="00757CB1" w:rsidRPr="00513188" w:rsidRDefault="00B616A7" w:rsidP="00CA5E8D">
      <w:pPr>
        <w:pageBreakBefore/>
        <w:rPr>
          <w:b/>
          <w:bCs/>
          <w:color w:val="000000" w:themeColor="text1"/>
          <w:sz w:val="24"/>
          <w:szCs w:val="24"/>
        </w:rPr>
      </w:pPr>
      <w:r w:rsidRPr="00513188">
        <w:rPr>
          <w:b/>
          <w:bCs/>
          <w:color w:val="000000" w:themeColor="text1"/>
          <w:sz w:val="24"/>
          <w:szCs w:val="24"/>
        </w:rPr>
        <w:lastRenderedPageBreak/>
        <w:t>Use in Pregnancy – Category D</w:t>
      </w:r>
    </w:p>
    <w:p w14:paraId="653D6C66" w14:textId="77777777" w:rsidR="00757CB1" w:rsidRPr="00513188" w:rsidRDefault="00757CB1">
      <w:pPr>
        <w:rPr>
          <w:color w:val="000000" w:themeColor="text1"/>
          <w:sz w:val="24"/>
          <w:szCs w:val="24"/>
        </w:rPr>
      </w:pPr>
    </w:p>
    <w:p w14:paraId="0074723B" w14:textId="77777777" w:rsidR="00757CB1" w:rsidRPr="00513188" w:rsidRDefault="00B616A7">
      <w:pPr>
        <w:rPr>
          <w:b/>
          <w:bCs/>
          <w:i/>
          <w:iCs/>
          <w:color w:val="000000" w:themeColor="text1"/>
          <w:sz w:val="24"/>
          <w:szCs w:val="24"/>
        </w:rPr>
      </w:pPr>
      <w:r w:rsidRPr="00513188">
        <w:rPr>
          <w:b/>
          <w:bCs/>
          <w:i/>
          <w:iCs/>
          <w:color w:val="000000" w:themeColor="text1"/>
          <w:sz w:val="24"/>
          <w:szCs w:val="24"/>
        </w:rPr>
        <w:t>Pregnancy</w:t>
      </w:r>
    </w:p>
    <w:p w14:paraId="0E4EE780" w14:textId="77777777" w:rsidR="00757CB1" w:rsidRPr="00513188" w:rsidRDefault="00B616A7">
      <w:pPr>
        <w:rPr>
          <w:color w:val="000000" w:themeColor="text1"/>
          <w:sz w:val="24"/>
          <w:szCs w:val="24"/>
        </w:rPr>
      </w:pPr>
      <w:r w:rsidRPr="00513188">
        <w:rPr>
          <w:color w:val="000000" w:themeColor="text1"/>
          <w:sz w:val="24"/>
          <w:szCs w:val="24"/>
        </w:rPr>
        <w:t xml:space="preserve">There are no data on the use of Onpattro in pregnant women. </w:t>
      </w:r>
    </w:p>
    <w:p w14:paraId="0413D779" w14:textId="77777777" w:rsidR="00757CB1" w:rsidRPr="00513188" w:rsidRDefault="00757CB1">
      <w:pPr>
        <w:rPr>
          <w:color w:val="000000" w:themeColor="text1"/>
          <w:sz w:val="24"/>
          <w:szCs w:val="24"/>
        </w:rPr>
      </w:pPr>
    </w:p>
    <w:p w14:paraId="6E4C2F27" w14:textId="3EB6DD09" w:rsidR="006501AE" w:rsidRPr="00513188" w:rsidRDefault="006501AE" w:rsidP="006501AE">
      <w:pPr>
        <w:rPr>
          <w:color w:val="000000" w:themeColor="text1"/>
          <w:sz w:val="24"/>
          <w:szCs w:val="24"/>
        </w:rPr>
      </w:pPr>
      <w:r w:rsidRPr="00513188">
        <w:rPr>
          <w:color w:val="000000" w:themeColor="text1"/>
          <w:sz w:val="24"/>
          <w:szCs w:val="24"/>
        </w:rPr>
        <w:t>O</w:t>
      </w:r>
      <w:r w:rsidR="00AA7CBE" w:rsidRPr="00513188">
        <w:rPr>
          <w:color w:val="000000" w:themeColor="text1"/>
          <w:sz w:val="24"/>
          <w:szCs w:val="24"/>
        </w:rPr>
        <w:t>npattro</w:t>
      </w:r>
      <w:r w:rsidRPr="00513188">
        <w:rPr>
          <w:color w:val="000000" w:themeColor="text1"/>
          <w:sz w:val="24"/>
          <w:szCs w:val="24"/>
        </w:rPr>
        <w:t xml:space="preserve"> treatment leads to a decrease in serum vitamin A levels. Vitamin A is essential for normal </w:t>
      </w:r>
      <w:proofErr w:type="spellStart"/>
      <w:r w:rsidRPr="00513188">
        <w:rPr>
          <w:color w:val="000000" w:themeColor="text1"/>
          <w:sz w:val="24"/>
          <w:szCs w:val="24"/>
        </w:rPr>
        <w:t>embryofetal</w:t>
      </w:r>
      <w:proofErr w:type="spellEnd"/>
      <w:r w:rsidR="00B73A1A" w:rsidRPr="00513188">
        <w:rPr>
          <w:color w:val="000000" w:themeColor="text1"/>
          <w:sz w:val="24"/>
          <w:szCs w:val="24"/>
        </w:rPr>
        <w:t xml:space="preserve"> </w:t>
      </w:r>
      <w:r w:rsidRPr="00513188">
        <w:rPr>
          <w:color w:val="000000" w:themeColor="text1"/>
          <w:sz w:val="24"/>
          <w:szCs w:val="24"/>
        </w:rPr>
        <w:t>development; however, excessive levels of vitamin A are associated with adverse</w:t>
      </w:r>
      <w:r w:rsidR="00B73A1A" w:rsidRPr="00513188">
        <w:rPr>
          <w:color w:val="000000" w:themeColor="text1"/>
          <w:sz w:val="24"/>
          <w:szCs w:val="24"/>
        </w:rPr>
        <w:t xml:space="preserve"> </w:t>
      </w:r>
      <w:r w:rsidRPr="00513188">
        <w:rPr>
          <w:color w:val="000000" w:themeColor="text1"/>
          <w:sz w:val="24"/>
          <w:szCs w:val="24"/>
        </w:rPr>
        <w:t>developmental effects.</w:t>
      </w:r>
    </w:p>
    <w:p w14:paraId="4D0446B3" w14:textId="77777777" w:rsidR="00B73A1A" w:rsidRPr="00513188" w:rsidRDefault="00B73A1A" w:rsidP="006501AE">
      <w:pPr>
        <w:rPr>
          <w:color w:val="000000" w:themeColor="text1"/>
          <w:sz w:val="24"/>
          <w:szCs w:val="24"/>
        </w:rPr>
      </w:pPr>
    </w:p>
    <w:p w14:paraId="463E6E18" w14:textId="480D5241" w:rsidR="006501AE" w:rsidRPr="00513188" w:rsidRDefault="006501AE" w:rsidP="006501AE">
      <w:pPr>
        <w:rPr>
          <w:color w:val="000000" w:themeColor="text1"/>
          <w:sz w:val="24"/>
          <w:szCs w:val="24"/>
        </w:rPr>
      </w:pPr>
      <w:r w:rsidRPr="00513188">
        <w:rPr>
          <w:color w:val="000000" w:themeColor="text1"/>
          <w:sz w:val="24"/>
          <w:szCs w:val="24"/>
        </w:rPr>
        <w:t>Animal studies are insufficient with respect to developmental toxicity. Intravenous</w:t>
      </w:r>
      <w:r w:rsidR="00B73A1A" w:rsidRPr="00513188">
        <w:rPr>
          <w:color w:val="000000" w:themeColor="text1"/>
          <w:sz w:val="24"/>
          <w:szCs w:val="24"/>
        </w:rPr>
        <w:t xml:space="preserve"> </w:t>
      </w:r>
      <w:r w:rsidRPr="00513188">
        <w:rPr>
          <w:color w:val="000000" w:themeColor="text1"/>
          <w:sz w:val="24"/>
          <w:szCs w:val="24"/>
        </w:rPr>
        <w:t xml:space="preserve">administration of </w:t>
      </w:r>
      <w:r w:rsidR="003F7F7D" w:rsidRPr="00513188">
        <w:rPr>
          <w:color w:val="000000" w:themeColor="text1"/>
          <w:sz w:val="24"/>
          <w:szCs w:val="24"/>
        </w:rPr>
        <w:t>patisiran</w:t>
      </w:r>
      <w:r w:rsidR="00B73DE2">
        <w:rPr>
          <w:color w:val="000000" w:themeColor="text1"/>
          <w:sz w:val="24"/>
          <w:szCs w:val="24"/>
        </w:rPr>
        <w:t>-LNP</w:t>
      </w:r>
      <w:r w:rsidRPr="00513188">
        <w:rPr>
          <w:color w:val="000000" w:themeColor="text1"/>
          <w:sz w:val="24"/>
          <w:szCs w:val="24"/>
        </w:rPr>
        <w:t xml:space="preserve"> (up to 1.5</w:t>
      </w:r>
      <w:r w:rsidR="006E7CB7" w:rsidRPr="00513188">
        <w:rPr>
          <w:color w:val="000000" w:themeColor="text1"/>
        </w:rPr>
        <w:t> </w:t>
      </w:r>
      <w:r w:rsidRPr="00513188">
        <w:rPr>
          <w:color w:val="000000" w:themeColor="text1"/>
          <w:sz w:val="24"/>
          <w:szCs w:val="24"/>
        </w:rPr>
        <w:t>mg/kg) or a rodent-specific (pharmacologically</w:t>
      </w:r>
      <w:r w:rsidR="00B73A1A" w:rsidRPr="00513188">
        <w:rPr>
          <w:color w:val="000000" w:themeColor="text1"/>
          <w:sz w:val="24"/>
          <w:szCs w:val="24"/>
        </w:rPr>
        <w:t xml:space="preserve"> </w:t>
      </w:r>
      <w:r w:rsidRPr="00513188">
        <w:rPr>
          <w:color w:val="000000" w:themeColor="text1"/>
          <w:sz w:val="24"/>
          <w:szCs w:val="24"/>
        </w:rPr>
        <w:t>active) surrogate (1.5</w:t>
      </w:r>
      <w:r w:rsidR="006E7CB7" w:rsidRPr="00513188">
        <w:rPr>
          <w:color w:val="000000" w:themeColor="text1"/>
        </w:rPr>
        <w:t> </w:t>
      </w:r>
      <w:r w:rsidRPr="00513188">
        <w:rPr>
          <w:color w:val="000000" w:themeColor="text1"/>
          <w:sz w:val="24"/>
          <w:szCs w:val="24"/>
        </w:rPr>
        <w:t>mg/kg) to female rats every week for two weeks prior to mating and</w:t>
      </w:r>
      <w:r w:rsidR="00B73A1A" w:rsidRPr="00513188">
        <w:rPr>
          <w:color w:val="000000" w:themeColor="text1"/>
          <w:sz w:val="24"/>
          <w:szCs w:val="24"/>
        </w:rPr>
        <w:t xml:space="preserve"> </w:t>
      </w:r>
      <w:r w:rsidRPr="00513188">
        <w:rPr>
          <w:color w:val="000000" w:themeColor="text1"/>
          <w:sz w:val="24"/>
          <w:szCs w:val="24"/>
        </w:rPr>
        <w:t xml:space="preserve">continuing throughout organogenesis resulted in no adverse effects on </w:t>
      </w:r>
      <w:proofErr w:type="spellStart"/>
      <w:r w:rsidRPr="00513188">
        <w:rPr>
          <w:color w:val="000000" w:themeColor="text1"/>
          <w:sz w:val="24"/>
          <w:szCs w:val="24"/>
        </w:rPr>
        <w:t>embryofetal</w:t>
      </w:r>
      <w:proofErr w:type="spellEnd"/>
      <w:r w:rsidR="00B73A1A" w:rsidRPr="00513188">
        <w:rPr>
          <w:color w:val="000000" w:themeColor="text1"/>
          <w:sz w:val="24"/>
          <w:szCs w:val="24"/>
        </w:rPr>
        <w:t xml:space="preserve"> </w:t>
      </w:r>
      <w:r w:rsidRPr="00513188">
        <w:rPr>
          <w:color w:val="000000" w:themeColor="text1"/>
          <w:sz w:val="24"/>
          <w:szCs w:val="24"/>
        </w:rPr>
        <w:t>development. Maximum exposures to the components of the test items were subclinical.</w:t>
      </w:r>
    </w:p>
    <w:p w14:paraId="4ECCFF6C" w14:textId="77777777" w:rsidR="007C303D" w:rsidRPr="00513188" w:rsidRDefault="007C303D" w:rsidP="006501AE">
      <w:pPr>
        <w:rPr>
          <w:color w:val="000000" w:themeColor="text1"/>
          <w:sz w:val="24"/>
          <w:szCs w:val="24"/>
        </w:rPr>
      </w:pPr>
    </w:p>
    <w:p w14:paraId="6D811170" w14:textId="5B039BAF" w:rsidR="006501AE" w:rsidRPr="00513188" w:rsidRDefault="006501AE" w:rsidP="006501AE">
      <w:pPr>
        <w:rPr>
          <w:color w:val="000000" w:themeColor="text1"/>
          <w:sz w:val="24"/>
          <w:szCs w:val="24"/>
        </w:rPr>
      </w:pPr>
      <w:r w:rsidRPr="00513188">
        <w:rPr>
          <w:color w:val="000000" w:themeColor="text1"/>
          <w:sz w:val="24"/>
          <w:szCs w:val="24"/>
        </w:rPr>
        <w:t xml:space="preserve">Intravenous administration of </w:t>
      </w:r>
      <w:r w:rsidR="003F7F7D" w:rsidRPr="00513188">
        <w:rPr>
          <w:color w:val="000000" w:themeColor="text1"/>
          <w:sz w:val="24"/>
          <w:szCs w:val="24"/>
        </w:rPr>
        <w:t>patisiran</w:t>
      </w:r>
      <w:r w:rsidR="00B73DE2">
        <w:rPr>
          <w:color w:val="000000" w:themeColor="text1"/>
          <w:sz w:val="24"/>
          <w:szCs w:val="24"/>
        </w:rPr>
        <w:t>-LNP</w:t>
      </w:r>
      <w:r w:rsidRPr="00513188">
        <w:rPr>
          <w:color w:val="000000" w:themeColor="text1"/>
          <w:sz w:val="24"/>
          <w:szCs w:val="24"/>
        </w:rPr>
        <w:t xml:space="preserve"> (up to 0.6</w:t>
      </w:r>
      <w:r w:rsidR="006E7CB7" w:rsidRPr="00513188">
        <w:rPr>
          <w:color w:val="000000" w:themeColor="text1"/>
        </w:rPr>
        <w:t> </w:t>
      </w:r>
      <w:r w:rsidRPr="00513188">
        <w:rPr>
          <w:color w:val="000000" w:themeColor="text1"/>
          <w:sz w:val="24"/>
          <w:szCs w:val="24"/>
        </w:rPr>
        <w:t>mg/kg) to pregnant rabbits every week</w:t>
      </w:r>
      <w:r w:rsidR="007C303D" w:rsidRPr="00513188">
        <w:rPr>
          <w:color w:val="000000" w:themeColor="text1"/>
          <w:sz w:val="24"/>
          <w:szCs w:val="24"/>
        </w:rPr>
        <w:t xml:space="preserve"> </w:t>
      </w:r>
      <w:r w:rsidRPr="00513188">
        <w:rPr>
          <w:color w:val="000000" w:themeColor="text1"/>
          <w:sz w:val="24"/>
          <w:szCs w:val="24"/>
        </w:rPr>
        <w:t xml:space="preserve">during the period of organogenesis produced no adverse effects on </w:t>
      </w:r>
      <w:proofErr w:type="spellStart"/>
      <w:r w:rsidRPr="00513188">
        <w:rPr>
          <w:color w:val="000000" w:themeColor="text1"/>
          <w:sz w:val="24"/>
          <w:szCs w:val="24"/>
        </w:rPr>
        <w:t>embryofetal</w:t>
      </w:r>
      <w:proofErr w:type="spellEnd"/>
      <w:r w:rsidR="007C303D" w:rsidRPr="00513188">
        <w:rPr>
          <w:color w:val="000000" w:themeColor="text1"/>
          <w:sz w:val="24"/>
          <w:szCs w:val="24"/>
        </w:rPr>
        <w:t xml:space="preserve"> </w:t>
      </w:r>
      <w:r w:rsidRPr="00513188">
        <w:rPr>
          <w:color w:val="000000" w:themeColor="text1"/>
          <w:sz w:val="24"/>
          <w:szCs w:val="24"/>
        </w:rPr>
        <w:t xml:space="preserve">development. </w:t>
      </w:r>
      <w:r w:rsidR="002228C4" w:rsidRPr="00513188">
        <w:rPr>
          <w:color w:val="000000" w:themeColor="text1"/>
          <w:sz w:val="24"/>
          <w:szCs w:val="24"/>
        </w:rPr>
        <w:t xml:space="preserve">Maximum exposure </w:t>
      </w:r>
      <w:r w:rsidRPr="00513188">
        <w:rPr>
          <w:color w:val="000000" w:themeColor="text1"/>
          <w:sz w:val="24"/>
          <w:szCs w:val="24"/>
        </w:rPr>
        <w:t>to the components of the test items were subclinical. In a separate study,</w:t>
      </w:r>
      <w:r w:rsidR="007C303D" w:rsidRPr="00513188">
        <w:rPr>
          <w:color w:val="000000" w:themeColor="text1"/>
          <w:sz w:val="24"/>
          <w:szCs w:val="24"/>
        </w:rPr>
        <w:t xml:space="preserve"> </w:t>
      </w:r>
      <w:r w:rsidR="003F7F7D" w:rsidRPr="00513188">
        <w:rPr>
          <w:color w:val="000000" w:themeColor="text1"/>
          <w:sz w:val="24"/>
          <w:szCs w:val="24"/>
        </w:rPr>
        <w:t>patisiran</w:t>
      </w:r>
      <w:r w:rsidR="00B73DE2">
        <w:rPr>
          <w:color w:val="000000" w:themeColor="text1"/>
          <w:sz w:val="24"/>
          <w:szCs w:val="24"/>
        </w:rPr>
        <w:t>-LNP</w:t>
      </w:r>
      <w:r w:rsidRPr="00513188">
        <w:rPr>
          <w:color w:val="000000" w:themeColor="text1"/>
          <w:sz w:val="24"/>
          <w:szCs w:val="24"/>
        </w:rPr>
        <w:t xml:space="preserve"> (up to 2</w:t>
      </w:r>
      <w:r w:rsidR="006E7CB7" w:rsidRPr="00513188">
        <w:rPr>
          <w:color w:val="000000" w:themeColor="text1"/>
        </w:rPr>
        <w:t> </w:t>
      </w:r>
      <w:r w:rsidRPr="00513188">
        <w:rPr>
          <w:color w:val="000000" w:themeColor="text1"/>
          <w:sz w:val="24"/>
          <w:szCs w:val="24"/>
        </w:rPr>
        <w:t>mg/kg), administered to pregnant rabbits every week during the period</w:t>
      </w:r>
      <w:r w:rsidR="007C303D" w:rsidRPr="00513188">
        <w:rPr>
          <w:color w:val="000000" w:themeColor="text1"/>
          <w:sz w:val="24"/>
          <w:szCs w:val="24"/>
        </w:rPr>
        <w:t xml:space="preserve"> </w:t>
      </w:r>
      <w:r w:rsidRPr="00513188">
        <w:rPr>
          <w:color w:val="000000" w:themeColor="text1"/>
          <w:sz w:val="24"/>
          <w:szCs w:val="24"/>
        </w:rPr>
        <w:t xml:space="preserve">of organogenesis, resulted in </w:t>
      </w:r>
      <w:proofErr w:type="spellStart"/>
      <w:r w:rsidRPr="00513188">
        <w:rPr>
          <w:color w:val="000000" w:themeColor="text1"/>
          <w:sz w:val="24"/>
          <w:szCs w:val="24"/>
        </w:rPr>
        <w:t>embryofetal</w:t>
      </w:r>
      <w:proofErr w:type="spellEnd"/>
      <w:r w:rsidRPr="00513188">
        <w:rPr>
          <w:color w:val="000000" w:themeColor="text1"/>
          <w:sz w:val="24"/>
          <w:szCs w:val="24"/>
        </w:rPr>
        <w:t xml:space="preserve"> mortality and reduced fetal body weight at</w:t>
      </w:r>
      <w:r w:rsidR="007C303D" w:rsidRPr="00513188">
        <w:rPr>
          <w:color w:val="000000" w:themeColor="text1"/>
          <w:sz w:val="24"/>
          <w:szCs w:val="24"/>
        </w:rPr>
        <w:t xml:space="preserve"> </w:t>
      </w:r>
      <w:r w:rsidR="002228C4" w:rsidRPr="00513188">
        <w:rPr>
          <w:color w:val="000000" w:themeColor="text1"/>
          <w:sz w:val="24"/>
          <w:szCs w:val="24"/>
        </w:rPr>
        <w:t xml:space="preserve">doses </w:t>
      </w:r>
      <w:r w:rsidRPr="00513188">
        <w:rPr>
          <w:color w:val="000000" w:themeColor="text1"/>
          <w:sz w:val="24"/>
          <w:szCs w:val="24"/>
        </w:rPr>
        <w:t>≥1</w:t>
      </w:r>
      <w:r w:rsidR="00281F10" w:rsidRPr="00513188">
        <w:rPr>
          <w:color w:val="000000" w:themeColor="text1"/>
        </w:rPr>
        <w:t> </w:t>
      </w:r>
      <w:r w:rsidRPr="00513188">
        <w:rPr>
          <w:color w:val="000000" w:themeColor="text1"/>
          <w:sz w:val="24"/>
          <w:szCs w:val="24"/>
        </w:rPr>
        <w:t>mg/kg, which were associated with maternal toxicity.</w:t>
      </w:r>
    </w:p>
    <w:p w14:paraId="7BD7AE08" w14:textId="77777777" w:rsidR="00660431" w:rsidRPr="00513188" w:rsidRDefault="00660431" w:rsidP="006501AE">
      <w:pPr>
        <w:rPr>
          <w:color w:val="000000" w:themeColor="text1"/>
          <w:sz w:val="24"/>
          <w:szCs w:val="24"/>
        </w:rPr>
      </w:pPr>
    </w:p>
    <w:p w14:paraId="14CDE10C" w14:textId="34787D63" w:rsidR="006501AE" w:rsidRPr="00513188" w:rsidRDefault="006501AE" w:rsidP="006501AE">
      <w:pPr>
        <w:rPr>
          <w:color w:val="000000" w:themeColor="text1"/>
          <w:sz w:val="24"/>
          <w:szCs w:val="24"/>
        </w:rPr>
      </w:pPr>
      <w:r w:rsidRPr="00513188">
        <w:rPr>
          <w:color w:val="000000" w:themeColor="text1"/>
          <w:sz w:val="24"/>
          <w:szCs w:val="24"/>
        </w:rPr>
        <w:t xml:space="preserve">Intravenous administration of </w:t>
      </w:r>
      <w:r w:rsidR="003F7F7D" w:rsidRPr="00513188">
        <w:rPr>
          <w:color w:val="000000" w:themeColor="text1"/>
          <w:sz w:val="24"/>
          <w:szCs w:val="24"/>
        </w:rPr>
        <w:t>patisiran</w:t>
      </w:r>
      <w:r w:rsidR="00B73DE2">
        <w:rPr>
          <w:color w:val="000000" w:themeColor="text1"/>
          <w:sz w:val="24"/>
          <w:szCs w:val="24"/>
        </w:rPr>
        <w:t>-LNP</w:t>
      </w:r>
      <w:r w:rsidR="00281F10" w:rsidRPr="00513188">
        <w:rPr>
          <w:color w:val="000000" w:themeColor="text1"/>
          <w:sz w:val="24"/>
          <w:szCs w:val="24"/>
        </w:rPr>
        <w:t xml:space="preserve"> </w:t>
      </w:r>
      <w:r w:rsidRPr="00513188">
        <w:rPr>
          <w:color w:val="000000" w:themeColor="text1"/>
          <w:sz w:val="24"/>
          <w:szCs w:val="24"/>
        </w:rPr>
        <w:t>(up to 1.5</w:t>
      </w:r>
      <w:r w:rsidR="006E7CB7" w:rsidRPr="00513188">
        <w:rPr>
          <w:color w:val="000000" w:themeColor="text1"/>
        </w:rPr>
        <w:t> </w:t>
      </w:r>
      <w:r w:rsidRPr="00513188">
        <w:rPr>
          <w:color w:val="000000" w:themeColor="text1"/>
          <w:sz w:val="24"/>
          <w:szCs w:val="24"/>
        </w:rPr>
        <w:t>mg/kg) or a rodent-specific surrogate</w:t>
      </w:r>
      <w:r w:rsidR="007C303D" w:rsidRPr="00513188">
        <w:rPr>
          <w:color w:val="000000" w:themeColor="text1"/>
          <w:sz w:val="24"/>
          <w:szCs w:val="24"/>
        </w:rPr>
        <w:t xml:space="preserve"> </w:t>
      </w:r>
      <w:r w:rsidRPr="00513188">
        <w:rPr>
          <w:color w:val="000000" w:themeColor="text1"/>
          <w:sz w:val="24"/>
          <w:szCs w:val="24"/>
        </w:rPr>
        <w:t>(1.5</w:t>
      </w:r>
      <w:r w:rsidR="00281F10" w:rsidRPr="00513188">
        <w:rPr>
          <w:color w:val="000000" w:themeColor="text1"/>
        </w:rPr>
        <w:t> </w:t>
      </w:r>
      <w:r w:rsidRPr="00513188">
        <w:rPr>
          <w:color w:val="000000" w:themeColor="text1"/>
          <w:sz w:val="24"/>
          <w:szCs w:val="24"/>
        </w:rPr>
        <w:t>mg/kg) to pregnant rats every week throughout pregnancy and lactation resulted in no</w:t>
      </w:r>
      <w:r w:rsidR="007C303D" w:rsidRPr="00513188">
        <w:rPr>
          <w:color w:val="000000" w:themeColor="text1"/>
          <w:sz w:val="24"/>
          <w:szCs w:val="24"/>
        </w:rPr>
        <w:t xml:space="preserve"> </w:t>
      </w:r>
      <w:r w:rsidRPr="00513188">
        <w:rPr>
          <w:color w:val="000000" w:themeColor="text1"/>
          <w:sz w:val="24"/>
          <w:szCs w:val="24"/>
        </w:rPr>
        <w:t>adverse developmental effects on the offspring.</w:t>
      </w:r>
    </w:p>
    <w:p w14:paraId="2663197B" w14:textId="77777777" w:rsidR="007C303D" w:rsidRPr="00513188" w:rsidRDefault="007C303D" w:rsidP="006501AE">
      <w:pPr>
        <w:rPr>
          <w:color w:val="000000" w:themeColor="text1"/>
          <w:sz w:val="24"/>
          <w:szCs w:val="24"/>
        </w:rPr>
      </w:pPr>
    </w:p>
    <w:p w14:paraId="083DDDE4" w14:textId="2218C0AB" w:rsidR="00757CB1" w:rsidRPr="00513188" w:rsidRDefault="006501AE" w:rsidP="006501AE">
      <w:pPr>
        <w:rPr>
          <w:color w:val="000000" w:themeColor="text1"/>
          <w:sz w:val="24"/>
          <w:szCs w:val="24"/>
        </w:rPr>
      </w:pPr>
      <w:r w:rsidRPr="00513188">
        <w:rPr>
          <w:color w:val="000000" w:themeColor="text1"/>
          <w:sz w:val="24"/>
          <w:szCs w:val="24"/>
        </w:rPr>
        <w:t xml:space="preserve">Maximum exposures to the components of the test items were subclinical or </w:t>
      </w:r>
      <w:proofErr w:type="gramStart"/>
      <w:r w:rsidRPr="00513188">
        <w:rPr>
          <w:color w:val="000000" w:themeColor="text1"/>
          <w:sz w:val="24"/>
          <w:szCs w:val="24"/>
        </w:rPr>
        <w:t>similar to</w:t>
      </w:r>
      <w:proofErr w:type="gramEnd"/>
      <w:r w:rsidR="007C303D" w:rsidRPr="00513188">
        <w:rPr>
          <w:color w:val="000000" w:themeColor="text1"/>
          <w:sz w:val="24"/>
          <w:szCs w:val="24"/>
        </w:rPr>
        <w:t xml:space="preserve"> </w:t>
      </w:r>
      <w:r w:rsidRPr="00513188">
        <w:rPr>
          <w:color w:val="000000" w:themeColor="text1"/>
          <w:sz w:val="24"/>
          <w:szCs w:val="24"/>
        </w:rPr>
        <w:t>clinical exposures at the MRHD in the above animal studies</w:t>
      </w:r>
      <w:r w:rsidR="007C303D" w:rsidRPr="00513188">
        <w:rPr>
          <w:color w:val="000000" w:themeColor="text1"/>
          <w:sz w:val="24"/>
          <w:szCs w:val="24"/>
        </w:rPr>
        <w:t xml:space="preserve">. </w:t>
      </w:r>
    </w:p>
    <w:p w14:paraId="48763401" w14:textId="77777777" w:rsidR="00757CB1" w:rsidRPr="00513188" w:rsidRDefault="00757CB1">
      <w:pPr>
        <w:rPr>
          <w:color w:val="000000" w:themeColor="text1"/>
          <w:sz w:val="24"/>
          <w:szCs w:val="24"/>
        </w:rPr>
      </w:pPr>
    </w:p>
    <w:p w14:paraId="79B5E715" w14:textId="77777777" w:rsidR="00757CB1" w:rsidRPr="00513188" w:rsidRDefault="00B616A7">
      <w:pPr>
        <w:rPr>
          <w:b/>
          <w:bCs/>
          <w:color w:val="000000" w:themeColor="text1"/>
          <w:sz w:val="24"/>
          <w:szCs w:val="24"/>
        </w:rPr>
      </w:pPr>
      <w:r w:rsidRPr="00513188">
        <w:rPr>
          <w:b/>
          <w:bCs/>
          <w:i/>
          <w:iCs/>
          <w:color w:val="000000" w:themeColor="text1"/>
          <w:sz w:val="24"/>
          <w:szCs w:val="24"/>
        </w:rPr>
        <w:t>Women</w:t>
      </w:r>
      <w:r w:rsidRPr="00513188">
        <w:rPr>
          <w:b/>
          <w:bCs/>
          <w:color w:val="000000" w:themeColor="text1"/>
          <w:sz w:val="24"/>
          <w:szCs w:val="24"/>
        </w:rPr>
        <w:t xml:space="preserve"> </w:t>
      </w:r>
      <w:r w:rsidRPr="00513188">
        <w:rPr>
          <w:b/>
          <w:bCs/>
          <w:i/>
          <w:iCs/>
          <w:color w:val="000000" w:themeColor="text1"/>
          <w:sz w:val="24"/>
          <w:szCs w:val="24"/>
        </w:rPr>
        <w:t>of childbearing potential</w:t>
      </w:r>
    </w:p>
    <w:p w14:paraId="526F1B8C" w14:textId="2AA42A14" w:rsidR="00757CB1" w:rsidRPr="00513188" w:rsidRDefault="00B616A7">
      <w:pPr>
        <w:rPr>
          <w:color w:val="000000" w:themeColor="text1"/>
          <w:sz w:val="24"/>
          <w:szCs w:val="24"/>
        </w:rPr>
      </w:pPr>
      <w:r w:rsidRPr="00513188">
        <w:rPr>
          <w:color w:val="000000"/>
          <w:sz w:val="24"/>
          <w:szCs w:val="24"/>
        </w:rPr>
        <w:t xml:space="preserve">Treatment with Onpattro reduces serum levels of vitamin A. Both too high </w:t>
      </w:r>
      <w:proofErr w:type="gramStart"/>
      <w:r w:rsidRPr="00513188">
        <w:rPr>
          <w:color w:val="000000"/>
          <w:sz w:val="24"/>
          <w:szCs w:val="24"/>
        </w:rPr>
        <w:t>or</w:t>
      </w:r>
      <w:proofErr w:type="gramEnd"/>
      <w:r w:rsidRPr="00513188">
        <w:rPr>
          <w:color w:val="000000"/>
          <w:sz w:val="24"/>
          <w:szCs w:val="24"/>
        </w:rPr>
        <w:t xml:space="preserve"> too low vitamin A levels may be associated with an increased risk of fetal malformation. Therefore, pregnancy should be excluded before initiation of treatment and women of childbearing potential should use effective contraception. If a woman intends to become pregnant, Onpattro and vitamin A supplementation should be </w:t>
      </w:r>
      <w:proofErr w:type="gramStart"/>
      <w:r w:rsidRPr="00513188">
        <w:rPr>
          <w:color w:val="000000"/>
          <w:sz w:val="24"/>
          <w:szCs w:val="24"/>
        </w:rPr>
        <w:t>discontinued</w:t>
      </w:r>
      <w:proofErr w:type="gramEnd"/>
      <w:r w:rsidRPr="00513188">
        <w:rPr>
          <w:color w:val="000000"/>
          <w:sz w:val="24"/>
          <w:szCs w:val="24"/>
        </w:rPr>
        <w:t xml:space="preserve"> and serum vitamin A levels should be monitored and have returned to normal before conception is attempted.</w:t>
      </w:r>
    </w:p>
    <w:p w14:paraId="0B809AB6" w14:textId="77777777" w:rsidR="00757CB1" w:rsidRPr="00513188" w:rsidRDefault="00757CB1">
      <w:pPr>
        <w:rPr>
          <w:color w:val="000000" w:themeColor="text1"/>
          <w:sz w:val="24"/>
          <w:szCs w:val="24"/>
        </w:rPr>
      </w:pPr>
    </w:p>
    <w:p w14:paraId="5FBBEB37" w14:textId="76EEFF74" w:rsidR="00757CB1" w:rsidRPr="00513188" w:rsidRDefault="00B616A7">
      <w:pPr>
        <w:rPr>
          <w:color w:val="000000" w:themeColor="text1"/>
          <w:sz w:val="24"/>
          <w:szCs w:val="24"/>
        </w:rPr>
      </w:pPr>
      <w:r w:rsidRPr="00513188">
        <w:rPr>
          <w:color w:val="000000" w:themeColor="text1"/>
          <w:sz w:val="24"/>
          <w:szCs w:val="24"/>
        </w:rPr>
        <w:t xml:space="preserve">Due to the potential teratogenic risk arising from unbalanced vitamin A levels, Onpattro should not be used during pregnancy, unless the clinical condition of the woman requires treatment. As a precautionary measure, vitamin A and thyroid stimulating hormone (TSH) levels should be obtained early in pregnancy. Close monitoring of the </w:t>
      </w:r>
      <w:proofErr w:type="spellStart"/>
      <w:r w:rsidRPr="00513188">
        <w:rPr>
          <w:color w:val="000000" w:themeColor="text1"/>
          <w:sz w:val="24"/>
          <w:szCs w:val="24"/>
        </w:rPr>
        <w:t>fetus</w:t>
      </w:r>
      <w:proofErr w:type="spellEnd"/>
      <w:r w:rsidRPr="00513188">
        <w:rPr>
          <w:color w:val="000000" w:themeColor="text1"/>
          <w:sz w:val="24"/>
          <w:szCs w:val="24"/>
        </w:rPr>
        <w:t xml:space="preserve"> should be carried out in the event of an unplanned pregnancy, especially during the first trimester (see section 4.4 Special Warnings and Precautions for Use). Women of childbearing potential </w:t>
      </w:r>
      <w:proofErr w:type="gramStart"/>
      <w:r w:rsidRPr="00513188">
        <w:rPr>
          <w:color w:val="000000" w:themeColor="text1"/>
          <w:sz w:val="24"/>
          <w:szCs w:val="24"/>
        </w:rPr>
        <w:t>have to</w:t>
      </w:r>
      <w:proofErr w:type="gramEnd"/>
      <w:r w:rsidRPr="00513188">
        <w:rPr>
          <w:color w:val="000000" w:themeColor="text1"/>
          <w:sz w:val="24"/>
          <w:szCs w:val="24"/>
        </w:rPr>
        <w:t xml:space="preserve"> use effective contraception during treatment with Onpattro.</w:t>
      </w:r>
    </w:p>
    <w:p w14:paraId="473B9889" w14:textId="77777777" w:rsidR="00757CB1" w:rsidRPr="00513188" w:rsidRDefault="00757CB1">
      <w:pPr>
        <w:rPr>
          <w:color w:val="000000" w:themeColor="text1"/>
          <w:sz w:val="24"/>
          <w:szCs w:val="24"/>
        </w:rPr>
      </w:pPr>
    </w:p>
    <w:p w14:paraId="5457ADC3" w14:textId="77777777" w:rsidR="00757CB1" w:rsidRPr="00513188" w:rsidRDefault="00B616A7" w:rsidP="00CA5E8D">
      <w:pPr>
        <w:pageBreakBefore/>
        <w:rPr>
          <w:b/>
          <w:bCs/>
          <w:color w:val="000000" w:themeColor="text1"/>
          <w:sz w:val="24"/>
          <w:szCs w:val="24"/>
        </w:rPr>
      </w:pPr>
      <w:r w:rsidRPr="00513188">
        <w:rPr>
          <w:b/>
          <w:bCs/>
          <w:color w:val="000000" w:themeColor="text1"/>
          <w:sz w:val="24"/>
          <w:szCs w:val="24"/>
        </w:rPr>
        <w:lastRenderedPageBreak/>
        <w:t xml:space="preserve">Use in </w:t>
      </w:r>
      <w:proofErr w:type="gramStart"/>
      <w:r w:rsidRPr="00513188">
        <w:rPr>
          <w:b/>
          <w:bCs/>
          <w:color w:val="000000" w:themeColor="text1"/>
          <w:sz w:val="24"/>
          <w:szCs w:val="24"/>
        </w:rPr>
        <w:t>lactation</w:t>
      </w:r>
      <w:proofErr w:type="gramEnd"/>
    </w:p>
    <w:p w14:paraId="42B2048E" w14:textId="77777777" w:rsidR="00757CB1" w:rsidRPr="00513188" w:rsidRDefault="00757CB1">
      <w:pPr>
        <w:rPr>
          <w:color w:val="000000" w:themeColor="text1"/>
          <w:sz w:val="24"/>
          <w:szCs w:val="24"/>
        </w:rPr>
      </w:pPr>
    </w:p>
    <w:p w14:paraId="426598F2" w14:textId="43E3F43F" w:rsidR="00757CB1" w:rsidRPr="00513188" w:rsidRDefault="00D27EAD" w:rsidP="00D27EAD">
      <w:pPr>
        <w:rPr>
          <w:color w:val="000000" w:themeColor="text1"/>
          <w:sz w:val="24"/>
          <w:szCs w:val="24"/>
        </w:rPr>
      </w:pPr>
      <w:r w:rsidRPr="00513188">
        <w:rPr>
          <w:color w:val="000000" w:themeColor="text1"/>
          <w:sz w:val="24"/>
          <w:szCs w:val="24"/>
        </w:rPr>
        <w:t>No studies have been conducted to assess the presence of components of Onpattro in human milk, the effects on the breastfed child or the effects on milk production. I</w:t>
      </w:r>
      <w:r w:rsidR="00B616A7" w:rsidRPr="00513188">
        <w:rPr>
          <w:color w:val="000000" w:themeColor="text1"/>
          <w:sz w:val="24"/>
          <w:szCs w:val="24"/>
        </w:rPr>
        <w:t xml:space="preserve">n lactating rats, patisiran was not present in milk, although small amounts of the lipid components DLin-MC3-DMA and </w:t>
      </w:r>
      <w:r w:rsidR="00B616A7" w:rsidRPr="00513188">
        <w:rPr>
          <w:sz w:val="24"/>
          <w:szCs w:val="24"/>
        </w:rPr>
        <w:t>PEG</w:t>
      </w:r>
      <w:r w:rsidR="00B616A7" w:rsidRPr="00513188">
        <w:rPr>
          <w:sz w:val="24"/>
          <w:szCs w:val="24"/>
          <w:vertAlign w:val="subscript"/>
        </w:rPr>
        <w:t>2000</w:t>
      </w:r>
      <w:r w:rsidR="00B616A7" w:rsidRPr="00513188">
        <w:rPr>
          <w:sz w:val="24"/>
          <w:szCs w:val="24"/>
        </w:rPr>
        <w:t xml:space="preserve">-C-DMG </w:t>
      </w:r>
      <w:r w:rsidR="00B616A7" w:rsidRPr="00513188">
        <w:rPr>
          <w:color w:val="000000" w:themeColor="text1"/>
          <w:sz w:val="24"/>
          <w:szCs w:val="24"/>
        </w:rPr>
        <w:t>were present (up to 7</w:t>
      </w:r>
      <w:r w:rsidR="00281F10" w:rsidRPr="00513188">
        <w:rPr>
          <w:color w:val="000000" w:themeColor="text1"/>
        </w:rPr>
        <w:t> </w:t>
      </w:r>
      <w:r w:rsidR="00B616A7" w:rsidRPr="00513188">
        <w:rPr>
          <w:color w:val="000000" w:themeColor="text1"/>
          <w:sz w:val="24"/>
          <w:szCs w:val="24"/>
        </w:rPr>
        <w:t>% of concomitant maternal plasma concentrations). There were no adverse effects on the pups.</w:t>
      </w:r>
    </w:p>
    <w:p w14:paraId="4EA96231" w14:textId="002B9E5F" w:rsidR="00757CB1" w:rsidRPr="00513188" w:rsidRDefault="00757CB1">
      <w:pPr>
        <w:rPr>
          <w:color w:val="000000" w:themeColor="text1"/>
          <w:sz w:val="24"/>
          <w:szCs w:val="24"/>
        </w:rPr>
      </w:pPr>
    </w:p>
    <w:p w14:paraId="5328C951" w14:textId="2AF3213E" w:rsidR="00757CB1" w:rsidRPr="00513188" w:rsidRDefault="00B616A7">
      <w:pPr>
        <w:rPr>
          <w:color w:val="000000" w:themeColor="text1"/>
          <w:sz w:val="24"/>
          <w:szCs w:val="24"/>
        </w:rPr>
      </w:pPr>
      <w:r w:rsidRPr="00513188">
        <w:rPr>
          <w:color w:val="000000" w:themeColor="text1"/>
          <w:sz w:val="24"/>
          <w:szCs w:val="24"/>
        </w:rPr>
        <w:t xml:space="preserve">A decision must be made whether to discontinue breast-feeding or to discontinue/abstain from Onpattro, </w:t>
      </w:r>
      <w:proofErr w:type="gramStart"/>
      <w:r w:rsidRPr="00513188">
        <w:rPr>
          <w:color w:val="000000" w:themeColor="text1"/>
          <w:sz w:val="24"/>
          <w:szCs w:val="24"/>
        </w:rPr>
        <w:t>taking into account</w:t>
      </w:r>
      <w:proofErr w:type="gramEnd"/>
      <w:r w:rsidRPr="00513188">
        <w:rPr>
          <w:color w:val="000000" w:themeColor="text1"/>
          <w:sz w:val="24"/>
          <w:szCs w:val="24"/>
        </w:rPr>
        <w:t xml:space="preserve"> the benefit of breast</w:t>
      </w:r>
      <w:r w:rsidRPr="00513188">
        <w:rPr>
          <w:color w:val="000000" w:themeColor="text1"/>
          <w:sz w:val="24"/>
          <w:szCs w:val="24"/>
        </w:rPr>
        <w:noBreakHyphen/>
        <w:t>feeding for the child and the benefit of therapy for the woman.</w:t>
      </w:r>
    </w:p>
    <w:p w14:paraId="5EC00842" w14:textId="77777777" w:rsidR="00757CB1" w:rsidRPr="00513188" w:rsidRDefault="00757CB1">
      <w:pPr>
        <w:rPr>
          <w:color w:val="000000" w:themeColor="text1"/>
          <w:sz w:val="24"/>
          <w:szCs w:val="24"/>
        </w:rPr>
      </w:pPr>
    </w:p>
    <w:p w14:paraId="0809B208" w14:textId="77777777" w:rsidR="00757CB1" w:rsidRPr="00513188" w:rsidRDefault="00B616A7" w:rsidP="00084EA1">
      <w:pPr>
        <w:pStyle w:val="Heading2"/>
      </w:pPr>
      <w:r w:rsidRPr="00513188">
        <w:t>4.7</w:t>
      </w:r>
      <w:r w:rsidRPr="00513188">
        <w:tab/>
        <w:t>EFFECTS ON ABILITY TO DRIVE AND USE MACHINES</w:t>
      </w:r>
    </w:p>
    <w:p w14:paraId="76FF9F84" w14:textId="77777777" w:rsidR="00757CB1" w:rsidRPr="00513188" w:rsidRDefault="00757CB1">
      <w:pPr>
        <w:rPr>
          <w:color w:val="000000" w:themeColor="text1"/>
          <w:sz w:val="24"/>
          <w:szCs w:val="24"/>
        </w:rPr>
      </w:pPr>
    </w:p>
    <w:p w14:paraId="47977726" w14:textId="77777777" w:rsidR="00757CB1" w:rsidRPr="00513188" w:rsidRDefault="00B616A7">
      <w:pPr>
        <w:rPr>
          <w:color w:val="000000" w:themeColor="text1"/>
          <w:sz w:val="24"/>
          <w:szCs w:val="24"/>
        </w:rPr>
      </w:pPr>
      <w:proofErr w:type="gramStart"/>
      <w:r w:rsidRPr="00513188">
        <w:rPr>
          <w:color w:val="000000" w:themeColor="text1"/>
          <w:sz w:val="24"/>
          <w:szCs w:val="24"/>
        </w:rPr>
        <w:t>On the basis of</w:t>
      </w:r>
      <w:proofErr w:type="gramEnd"/>
      <w:r w:rsidRPr="00513188">
        <w:rPr>
          <w:color w:val="000000" w:themeColor="text1"/>
          <w:sz w:val="24"/>
          <w:szCs w:val="24"/>
        </w:rPr>
        <w:t xml:space="preserve"> the pharmacodynamic and pharmacokinetic profiles, Onpattro is considered to have no or negligible influence on the ability to drive or use machines.</w:t>
      </w:r>
    </w:p>
    <w:p w14:paraId="18C2D1BC" w14:textId="77777777" w:rsidR="00757CB1" w:rsidRPr="00513188" w:rsidRDefault="00757CB1">
      <w:pPr>
        <w:rPr>
          <w:color w:val="000000" w:themeColor="text1"/>
          <w:sz w:val="24"/>
          <w:szCs w:val="24"/>
        </w:rPr>
      </w:pPr>
    </w:p>
    <w:p w14:paraId="04F4E67A" w14:textId="77777777" w:rsidR="00757CB1" w:rsidRPr="00513188" w:rsidRDefault="00B616A7" w:rsidP="00084EA1">
      <w:pPr>
        <w:pStyle w:val="Heading2"/>
      </w:pPr>
      <w:r w:rsidRPr="00513188">
        <w:t>4.8</w:t>
      </w:r>
      <w:r w:rsidRPr="00513188">
        <w:tab/>
        <w:t>ADVERSE EFFECTS (UNDESIRABLE EFFECTS)</w:t>
      </w:r>
    </w:p>
    <w:p w14:paraId="423A8D3E" w14:textId="77777777" w:rsidR="00757CB1" w:rsidRPr="00513188" w:rsidRDefault="00757CB1">
      <w:pPr>
        <w:rPr>
          <w:color w:val="000000" w:themeColor="text1"/>
          <w:sz w:val="24"/>
          <w:szCs w:val="24"/>
        </w:rPr>
      </w:pPr>
    </w:p>
    <w:p w14:paraId="5B4962D5" w14:textId="77777777" w:rsidR="00757CB1" w:rsidRPr="00513188" w:rsidRDefault="00B616A7">
      <w:pPr>
        <w:rPr>
          <w:b/>
          <w:bCs/>
          <w:color w:val="000000" w:themeColor="text1"/>
          <w:sz w:val="24"/>
          <w:szCs w:val="24"/>
        </w:rPr>
      </w:pPr>
      <w:r w:rsidRPr="00513188">
        <w:rPr>
          <w:b/>
          <w:bCs/>
          <w:color w:val="000000" w:themeColor="text1"/>
          <w:sz w:val="24"/>
          <w:szCs w:val="24"/>
        </w:rPr>
        <w:t>Summary of the safety profile</w:t>
      </w:r>
    </w:p>
    <w:p w14:paraId="29616105" w14:textId="77777777" w:rsidR="00757CB1" w:rsidRPr="00513188" w:rsidRDefault="00757CB1">
      <w:pPr>
        <w:rPr>
          <w:color w:val="000000" w:themeColor="text1"/>
          <w:sz w:val="24"/>
          <w:szCs w:val="24"/>
        </w:rPr>
      </w:pPr>
    </w:p>
    <w:p w14:paraId="17D3B5EA" w14:textId="77777777" w:rsidR="00757CB1" w:rsidRPr="00513188" w:rsidRDefault="00B616A7">
      <w:pPr>
        <w:rPr>
          <w:color w:val="000000" w:themeColor="text1"/>
          <w:sz w:val="24"/>
          <w:szCs w:val="24"/>
        </w:rPr>
      </w:pPr>
      <w:r w:rsidRPr="00513188">
        <w:rPr>
          <w:color w:val="000000"/>
          <w:sz w:val="24"/>
          <w:szCs w:val="24"/>
        </w:rPr>
        <w:t>The most frequently occurring adverse reactions reported in Onpattro-treated patients in clinical trials were peripheral oedema (29.7%) and infusion-related reactions (18.9%). The only adverse reaction resulting in the discontinuation of Onpattro was an infusion-related reaction (0.7%).</w:t>
      </w:r>
    </w:p>
    <w:p w14:paraId="283B7118" w14:textId="77777777" w:rsidR="00955D27" w:rsidRPr="00513188" w:rsidRDefault="00955D27">
      <w:pPr>
        <w:rPr>
          <w:color w:val="000000" w:themeColor="text1"/>
          <w:sz w:val="24"/>
          <w:szCs w:val="24"/>
        </w:rPr>
      </w:pPr>
      <w:r w:rsidRPr="00513188">
        <w:rPr>
          <w:color w:val="000000" w:themeColor="text1"/>
          <w:sz w:val="24"/>
          <w:szCs w:val="24"/>
        </w:rPr>
        <w:br w:type="page"/>
      </w:r>
    </w:p>
    <w:p w14:paraId="21C75C90" w14:textId="15F30CB6" w:rsidR="00757CB1" w:rsidRPr="00513188" w:rsidRDefault="00B616A7">
      <w:pPr>
        <w:rPr>
          <w:b/>
          <w:bCs/>
          <w:color w:val="000000" w:themeColor="text1"/>
          <w:sz w:val="24"/>
          <w:szCs w:val="24"/>
        </w:rPr>
      </w:pPr>
      <w:r w:rsidRPr="00513188">
        <w:rPr>
          <w:b/>
          <w:bCs/>
          <w:color w:val="000000" w:themeColor="text1"/>
          <w:sz w:val="24"/>
          <w:szCs w:val="24"/>
        </w:rPr>
        <w:lastRenderedPageBreak/>
        <w:t>Tabulated list of adverse reactions</w:t>
      </w:r>
    </w:p>
    <w:p w14:paraId="7836C445" w14:textId="77777777" w:rsidR="00757CB1" w:rsidRPr="00513188" w:rsidRDefault="00757CB1">
      <w:pPr>
        <w:rPr>
          <w:color w:val="000000" w:themeColor="text1"/>
          <w:sz w:val="24"/>
          <w:szCs w:val="24"/>
        </w:rPr>
      </w:pPr>
    </w:p>
    <w:p w14:paraId="6814819A" w14:textId="77777777" w:rsidR="00757CB1" w:rsidRPr="00513188" w:rsidRDefault="00B616A7">
      <w:pPr>
        <w:rPr>
          <w:color w:val="000000" w:themeColor="text1"/>
          <w:sz w:val="24"/>
          <w:szCs w:val="24"/>
        </w:rPr>
      </w:pPr>
      <w:r w:rsidRPr="00513188">
        <w:rPr>
          <w:color w:val="000000" w:themeColor="text1"/>
          <w:sz w:val="24"/>
          <w:szCs w:val="24"/>
        </w:rPr>
        <w:t>The adverse reactions are presented as MedDRA preferred terms under the MedDRA System Organ Class (SOC) by frequency. Within each frequency grouping, adverse reactions are presented in order of decreasing seriousness. The frequency of the adverse reactions is expressed according to the following categories:</w:t>
      </w:r>
    </w:p>
    <w:p w14:paraId="75BCD891" w14:textId="77777777" w:rsidR="00757CB1" w:rsidRPr="00513188" w:rsidRDefault="00B616A7">
      <w:pPr>
        <w:pStyle w:val="ListParagraph"/>
        <w:numPr>
          <w:ilvl w:val="0"/>
          <w:numId w:val="32"/>
        </w:numPr>
        <w:rPr>
          <w:color w:val="000000" w:themeColor="text1"/>
          <w:sz w:val="24"/>
          <w:szCs w:val="24"/>
        </w:rPr>
      </w:pPr>
      <w:r w:rsidRPr="00513188">
        <w:rPr>
          <w:color w:val="000000" w:themeColor="text1"/>
          <w:sz w:val="24"/>
          <w:szCs w:val="24"/>
        </w:rPr>
        <w:t>Very common (≥ 1/10)</w:t>
      </w:r>
    </w:p>
    <w:p w14:paraId="68CD3AE5" w14:textId="77777777" w:rsidR="00757CB1" w:rsidRPr="00513188" w:rsidRDefault="00B616A7">
      <w:pPr>
        <w:pStyle w:val="ListParagraph"/>
        <w:numPr>
          <w:ilvl w:val="0"/>
          <w:numId w:val="32"/>
        </w:numPr>
        <w:rPr>
          <w:color w:val="000000" w:themeColor="text1"/>
          <w:sz w:val="24"/>
          <w:szCs w:val="24"/>
        </w:rPr>
      </w:pPr>
      <w:r w:rsidRPr="00513188">
        <w:rPr>
          <w:color w:val="000000" w:themeColor="text1"/>
          <w:sz w:val="24"/>
          <w:szCs w:val="24"/>
        </w:rPr>
        <w:t>Common (≥ 1/100 to &lt; 1/10)</w:t>
      </w:r>
    </w:p>
    <w:p w14:paraId="245945B9" w14:textId="77777777" w:rsidR="00757CB1" w:rsidRPr="00513188" w:rsidRDefault="00B616A7">
      <w:pPr>
        <w:pStyle w:val="ListParagraph"/>
        <w:numPr>
          <w:ilvl w:val="0"/>
          <w:numId w:val="32"/>
        </w:numPr>
        <w:rPr>
          <w:color w:val="000000" w:themeColor="text1"/>
          <w:sz w:val="24"/>
          <w:szCs w:val="24"/>
        </w:rPr>
      </w:pPr>
      <w:r w:rsidRPr="00513188">
        <w:rPr>
          <w:color w:val="000000" w:themeColor="text1"/>
          <w:sz w:val="24"/>
          <w:szCs w:val="24"/>
        </w:rPr>
        <w:t>Uncommon (</w:t>
      </w:r>
      <w:r w:rsidRPr="00513188">
        <w:sym w:font="Symbol" w:char="F0B3"/>
      </w:r>
      <w:r w:rsidRPr="00513188">
        <w:rPr>
          <w:color w:val="000000" w:themeColor="text1"/>
          <w:sz w:val="24"/>
          <w:szCs w:val="24"/>
        </w:rPr>
        <w:t> 1/1,000 to &lt; 1/100)</w:t>
      </w:r>
    </w:p>
    <w:p w14:paraId="0FD49E94" w14:textId="77777777" w:rsidR="00757CB1" w:rsidRPr="00513188" w:rsidRDefault="00757CB1">
      <w:pPr>
        <w:rPr>
          <w:color w:val="000000" w:themeColor="text1"/>
          <w:sz w:val="24"/>
          <w:szCs w:val="24"/>
        </w:rPr>
      </w:pPr>
    </w:p>
    <w:p w14:paraId="6AD45B78" w14:textId="77777777" w:rsidR="00757CB1" w:rsidRPr="00513188" w:rsidRDefault="00B616A7">
      <w:pPr>
        <w:rPr>
          <w:b/>
          <w:bCs/>
          <w:color w:val="000000" w:themeColor="text1"/>
          <w:sz w:val="24"/>
          <w:szCs w:val="24"/>
        </w:rPr>
      </w:pPr>
      <w:bookmarkStart w:id="5" w:name="_Hlk517506272"/>
      <w:r w:rsidRPr="00513188">
        <w:rPr>
          <w:b/>
          <w:bCs/>
          <w:color w:val="000000" w:themeColor="text1"/>
          <w:sz w:val="24"/>
          <w:szCs w:val="24"/>
        </w:rPr>
        <w:t xml:space="preserve">Table 1: Adverse reactions reported for Onpattro 300 micrograms per </w:t>
      </w:r>
      <w:proofErr w:type="gramStart"/>
      <w:r w:rsidRPr="00513188">
        <w:rPr>
          <w:b/>
          <w:bCs/>
          <w:color w:val="000000" w:themeColor="text1"/>
          <w:sz w:val="24"/>
          <w:szCs w:val="24"/>
        </w:rPr>
        <w:t>kg</w:t>
      </w:r>
      <w:proofErr w:type="gramEnd"/>
    </w:p>
    <w:p w14:paraId="6FC60446" w14:textId="77777777" w:rsidR="00757CB1" w:rsidRPr="00513188" w:rsidRDefault="00757CB1">
      <w:pPr>
        <w:rPr>
          <w:color w:val="000000" w:themeColor="text1"/>
          <w:sz w:val="24"/>
          <w:szCs w:val="24"/>
        </w:rPr>
      </w:pP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68"/>
        <w:gridCol w:w="2520"/>
        <w:gridCol w:w="2700"/>
      </w:tblGrid>
      <w:tr w:rsidR="00757CB1" w:rsidRPr="00513188" w14:paraId="1C786C09" w14:textId="77777777">
        <w:trPr>
          <w:tblHeader/>
        </w:trPr>
        <w:tc>
          <w:tcPr>
            <w:tcW w:w="4068" w:type="dxa"/>
            <w:shd w:val="clear" w:color="auto" w:fill="auto"/>
            <w:vAlign w:val="center"/>
          </w:tcPr>
          <w:p w14:paraId="1A9EF109" w14:textId="77777777" w:rsidR="00757CB1" w:rsidRPr="00513188" w:rsidRDefault="00B616A7">
            <w:pPr>
              <w:rPr>
                <w:color w:val="000000" w:themeColor="text1"/>
                <w:sz w:val="24"/>
                <w:szCs w:val="24"/>
              </w:rPr>
            </w:pPr>
            <w:r w:rsidRPr="00513188">
              <w:rPr>
                <w:color w:val="000000" w:themeColor="text1"/>
                <w:sz w:val="24"/>
                <w:szCs w:val="24"/>
              </w:rPr>
              <w:t>System Organ Class</w:t>
            </w:r>
          </w:p>
        </w:tc>
        <w:tc>
          <w:tcPr>
            <w:tcW w:w="2520" w:type="dxa"/>
            <w:vAlign w:val="center"/>
          </w:tcPr>
          <w:p w14:paraId="5E91A6A2" w14:textId="77777777" w:rsidR="00757CB1" w:rsidRPr="00513188" w:rsidRDefault="00B616A7">
            <w:pPr>
              <w:rPr>
                <w:color w:val="000000" w:themeColor="text1"/>
                <w:sz w:val="24"/>
                <w:szCs w:val="24"/>
              </w:rPr>
            </w:pPr>
            <w:r w:rsidRPr="00513188">
              <w:rPr>
                <w:color w:val="000000" w:themeColor="text1"/>
                <w:sz w:val="24"/>
                <w:szCs w:val="24"/>
              </w:rPr>
              <w:t>Adverse Reaction</w:t>
            </w:r>
          </w:p>
        </w:tc>
        <w:tc>
          <w:tcPr>
            <w:tcW w:w="2700" w:type="dxa"/>
            <w:vAlign w:val="center"/>
          </w:tcPr>
          <w:p w14:paraId="14B26FD1" w14:textId="77777777" w:rsidR="00757CB1" w:rsidRPr="00513188" w:rsidRDefault="00B616A7">
            <w:pPr>
              <w:rPr>
                <w:color w:val="000000" w:themeColor="text1"/>
                <w:sz w:val="24"/>
                <w:szCs w:val="24"/>
              </w:rPr>
            </w:pPr>
            <w:r w:rsidRPr="00513188">
              <w:rPr>
                <w:color w:val="000000" w:themeColor="text1"/>
                <w:sz w:val="24"/>
                <w:szCs w:val="24"/>
              </w:rPr>
              <w:t>Frequency</w:t>
            </w:r>
          </w:p>
        </w:tc>
      </w:tr>
      <w:tr w:rsidR="00757CB1" w:rsidRPr="00513188" w14:paraId="7B225676" w14:textId="77777777">
        <w:trPr>
          <w:tblHeader/>
        </w:trPr>
        <w:tc>
          <w:tcPr>
            <w:tcW w:w="4068" w:type="dxa"/>
            <w:vMerge w:val="restart"/>
            <w:shd w:val="clear" w:color="auto" w:fill="auto"/>
          </w:tcPr>
          <w:p w14:paraId="52D55735" w14:textId="77777777" w:rsidR="00757CB1" w:rsidRPr="00513188" w:rsidRDefault="00B616A7">
            <w:pPr>
              <w:rPr>
                <w:color w:val="000000" w:themeColor="text1"/>
                <w:sz w:val="24"/>
                <w:szCs w:val="24"/>
              </w:rPr>
            </w:pPr>
            <w:r w:rsidRPr="00513188">
              <w:rPr>
                <w:color w:val="000000" w:themeColor="text1"/>
                <w:sz w:val="24"/>
                <w:szCs w:val="24"/>
              </w:rPr>
              <w:t>Infections and infestations</w:t>
            </w:r>
          </w:p>
        </w:tc>
        <w:tc>
          <w:tcPr>
            <w:tcW w:w="2520" w:type="dxa"/>
          </w:tcPr>
          <w:p w14:paraId="5D7F6019" w14:textId="77777777" w:rsidR="00757CB1" w:rsidRPr="00513188" w:rsidRDefault="00B616A7">
            <w:pPr>
              <w:rPr>
                <w:color w:val="000000" w:themeColor="text1"/>
                <w:sz w:val="24"/>
                <w:szCs w:val="24"/>
              </w:rPr>
            </w:pPr>
            <w:r w:rsidRPr="00513188">
              <w:rPr>
                <w:color w:val="000000" w:themeColor="text1"/>
                <w:sz w:val="24"/>
                <w:szCs w:val="24"/>
              </w:rPr>
              <w:t>Bronchitis</w:t>
            </w:r>
          </w:p>
        </w:tc>
        <w:tc>
          <w:tcPr>
            <w:tcW w:w="2700" w:type="dxa"/>
          </w:tcPr>
          <w:p w14:paraId="7A9682BC"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75C90E32" w14:textId="77777777">
        <w:trPr>
          <w:tblHeader/>
        </w:trPr>
        <w:tc>
          <w:tcPr>
            <w:tcW w:w="4068" w:type="dxa"/>
            <w:vMerge/>
            <w:shd w:val="clear" w:color="auto" w:fill="auto"/>
          </w:tcPr>
          <w:p w14:paraId="6F5BE9EC" w14:textId="77777777" w:rsidR="00757CB1" w:rsidRPr="00513188" w:rsidRDefault="00757CB1">
            <w:pPr>
              <w:rPr>
                <w:color w:val="000000" w:themeColor="text1"/>
                <w:sz w:val="24"/>
                <w:szCs w:val="24"/>
              </w:rPr>
            </w:pPr>
          </w:p>
        </w:tc>
        <w:tc>
          <w:tcPr>
            <w:tcW w:w="2520" w:type="dxa"/>
          </w:tcPr>
          <w:p w14:paraId="3429E2B8" w14:textId="77777777" w:rsidR="00757CB1" w:rsidRPr="00513188" w:rsidRDefault="00B616A7">
            <w:pPr>
              <w:rPr>
                <w:color w:val="000000" w:themeColor="text1"/>
                <w:sz w:val="24"/>
                <w:szCs w:val="24"/>
              </w:rPr>
            </w:pPr>
            <w:r w:rsidRPr="00513188">
              <w:rPr>
                <w:color w:val="000000" w:themeColor="text1"/>
                <w:sz w:val="24"/>
                <w:szCs w:val="24"/>
              </w:rPr>
              <w:t>Sinusitis</w:t>
            </w:r>
          </w:p>
        </w:tc>
        <w:tc>
          <w:tcPr>
            <w:tcW w:w="2700" w:type="dxa"/>
          </w:tcPr>
          <w:p w14:paraId="45EB7A8B"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26D23C11" w14:textId="77777777">
        <w:trPr>
          <w:tblHeader/>
        </w:trPr>
        <w:tc>
          <w:tcPr>
            <w:tcW w:w="4068" w:type="dxa"/>
            <w:vMerge/>
            <w:shd w:val="clear" w:color="auto" w:fill="auto"/>
          </w:tcPr>
          <w:p w14:paraId="3D327CFD" w14:textId="77777777" w:rsidR="00757CB1" w:rsidRPr="00513188" w:rsidRDefault="00757CB1">
            <w:pPr>
              <w:rPr>
                <w:color w:val="000000" w:themeColor="text1"/>
                <w:sz w:val="24"/>
                <w:szCs w:val="24"/>
              </w:rPr>
            </w:pPr>
          </w:p>
        </w:tc>
        <w:tc>
          <w:tcPr>
            <w:tcW w:w="2520" w:type="dxa"/>
          </w:tcPr>
          <w:p w14:paraId="54F1D43E" w14:textId="77777777" w:rsidR="00757CB1" w:rsidRPr="00513188" w:rsidRDefault="00B616A7">
            <w:pPr>
              <w:rPr>
                <w:color w:val="000000" w:themeColor="text1"/>
                <w:sz w:val="24"/>
                <w:szCs w:val="24"/>
              </w:rPr>
            </w:pPr>
            <w:r w:rsidRPr="00513188">
              <w:rPr>
                <w:color w:val="000000" w:themeColor="text1"/>
                <w:sz w:val="24"/>
                <w:szCs w:val="24"/>
              </w:rPr>
              <w:t>Rhinitis</w:t>
            </w:r>
          </w:p>
        </w:tc>
        <w:tc>
          <w:tcPr>
            <w:tcW w:w="2700" w:type="dxa"/>
          </w:tcPr>
          <w:p w14:paraId="5C6842A9"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37D95B44" w14:textId="77777777">
        <w:trPr>
          <w:tblHeader/>
        </w:trPr>
        <w:tc>
          <w:tcPr>
            <w:tcW w:w="4068" w:type="dxa"/>
            <w:shd w:val="clear" w:color="auto" w:fill="auto"/>
          </w:tcPr>
          <w:p w14:paraId="6A571684" w14:textId="77777777" w:rsidR="00757CB1" w:rsidRPr="00513188" w:rsidRDefault="00B616A7">
            <w:pPr>
              <w:rPr>
                <w:color w:val="000000" w:themeColor="text1"/>
                <w:sz w:val="24"/>
                <w:szCs w:val="24"/>
              </w:rPr>
            </w:pPr>
            <w:r w:rsidRPr="00513188">
              <w:rPr>
                <w:color w:val="000000" w:themeColor="text1"/>
                <w:sz w:val="24"/>
                <w:szCs w:val="24"/>
              </w:rPr>
              <w:t>Immune system disorders</w:t>
            </w:r>
          </w:p>
        </w:tc>
        <w:tc>
          <w:tcPr>
            <w:tcW w:w="2520" w:type="dxa"/>
          </w:tcPr>
          <w:p w14:paraId="2A07A497" w14:textId="77777777" w:rsidR="00757CB1" w:rsidRPr="00513188" w:rsidRDefault="00B616A7">
            <w:pPr>
              <w:rPr>
                <w:color w:val="000000" w:themeColor="text1"/>
                <w:sz w:val="24"/>
                <w:szCs w:val="24"/>
              </w:rPr>
            </w:pPr>
            <w:r w:rsidRPr="00513188">
              <w:rPr>
                <w:color w:val="000000" w:themeColor="text1"/>
                <w:sz w:val="24"/>
                <w:szCs w:val="24"/>
              </w:rPr>
              <w:t>Infusion-related reaction</w:t>
            </w:r>
          </w:p>
        </w:tc>
        <w:tc>
          <w:tcPr>
            <w:tcW w:w="2700" w:type="dxa"/>
          </w:tcPr>
          <w:p w14:paraId="0241F825" w14:textId="77777777" w:rsidR="00757CB1" w:rsidRPr="00513188" w:rsidRDefault="00B616A7">
            <w:pPr>
              <w:rPr>
                <w:color w:val="000000" w:themeColor="text1"/>
                <w:sz w:val="24"/>
                <w:szCs w:val="24"/>
              </w:rPr>
            </w:pPr>
            <w:r w:rsidRPr="00513188">
              <w:rPr>
                <w:color w:val="000000" w:themeColor="text1"/>
                <w:sz w:val="24"/>
                <w:szCs w:val="24"/>
              </w:rPr>
              <w:t>Very common</w:t>
            </w:r>
          </w:p>
        </w:tc>
      </w:tr>
      <w:tr w:rsidR="00757CB1" w:rsidRPr="00513188" w14:paraId="447E9964" w14:textId="77777777">
        <w:trPr>
          <w:tblHeader/>
        </w:trPr>
        <w:tc>
          <w:tcPr>
            <w:tcW w:w="4068" w:type="dxa"/>
            <w:shd w:val="clear" w:color="auto" w:fill="auto"/>
          </w:tcPr>
          <w:p w14:paraId="288EFF8C" w14:textId="77777777" w:rsidR="00757CB1" w:rsidRPr="00513188" w:rsidRDefault="00B616A7">
            <w:pPr>
              <w:rPr>
                <w:color w:val="000000" w:themeColor="text1"/>
                <w:sz w:val="24"/>
                <w:szCs w:val="24"/>
              </w:rPr>
            </w:pPr>
            <w:r w:rsidRPr="00513188">
              <w:rPr>
                <w:color w:val="000000" w:themeColor="text1"/>
                <w:sz w:val="24"/>
                <w:szCs w:val="24"/>
              </w:rPr>
              <w:t>Ear and labyrinth disorders</w:t>
            </w:r>
          </w:p>
        </w:tc>
        <w:tc>
          <w:tcPr>
            <w:tcW w:w="2520" w:type="dxa"/>
          </w:tcPr>
          <w:p w14:paraId="10EE5F0D" w14:textId="77777777" w:rsidR="00757CB1" w:rsidRPr="00513188" w:rsidRDefault="00B616A7">
            <w:pPr>
              <w:rPr>
                <w:color w:val="000000" w:themeColor="text1"/>
                <w:sz w:val="24"/>
                <w:szCs w:val="24"/>
              </w:rPr>
            </w:pPr>
            <w:r w:rsidRPr="00513188">
              <w:rPr>
                <w:color w:val="000000" w:themeColor="text1"/>
                <w:sz w:val="24"/>
                <w:szCs w:val="24"/>
              </w:rPr>
              <w:t>Vertigo</w:t>
            </w:r>
          </w:p>
        </w:tc>
        <w:tc>
          <w:tcPr>
            <w:tcW w:w="2700" w:type="dxa"/>
          </w:tcPr>
          <w:p w14:paraId="23C12A40"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3AB235FC" w14:textId="77777777">
        <w:trPr>
          <w:tblHeader/>
        </w:trPr>
        <w:tc>
          <w:tcPr>
            <w:tcW w:w="4068" w:type="dxa"/>
            <w:shd w:val="clear" w:color="auto" w:fill="auto"/>
          </w:tcPr>
          <w:p w14:paraId="47CF5763" w14:textId="77777777" w:rsidR="00757CB1" w:rsidRPr="00513188" w:rsidRDefault="00B616A7">
            <w:pPr>
              <w:rPr>
                <w:color w:val="000000" w:themeColor="text1"/>
                <w:sz w:val="24"/>
                <w:szCs w:val="24"/>
              </w:rPr>
            </w:pPr>
            <w:r w:rsidRPr="00513188">
              <w:rPr>
                <w:color w:val="000000" w:themeColor="text1"/>
                <w:sz w:val="24"/>
                <w:szCs w:val="24"/>
              </w:rPr>
              <w:t xml:space="preserve">Respiratory, </w:t>
            </w:r>
            <w:proofErr w:type="gramStart"/>
            <w:r w:rsidRPr="00513188">
              <w:rPr>
                <w:color w:val="000000" w:themeColor="text1"/>
                <w:sz w:val="24"/>
                <w:szCs w:val="24"/>
              </w:rPr>
              <w:t>thoracic</w:t>
            </w:r>
            <w:proofErr w:type="gramEnd"/>
            <w:r w:rsidRPr="00513188">
              <w:rPr>
                <w:color w:val="000000" w:themeColor="text1"/>
                <w:sz w:val="24"/>
                <w:szCs w:val="24"/>
              </w:rPr>
              <w:t xml:space="preserve"> and mediastinal disorders</w:t>
            </w:r>
          </w:p>
        </w:tc>
        <w:tc>
          <w:tcPr>
            <w:tcW w:w="2520" w:type="dxa"/>
            <w:vAlign w:val="center"/>
          </w:tcPr>
          <w:p w14:paraId="7858446F" w14:textId="77777777" w:rsidR="00757CB1" w:rsidRPr="00513188" w:rsidRDefault="00B616A7">
            <w:pPr>
              <w:rPr>
                <w:color w:val="000000" w:themeColor="text1"/>
                <w:sz w:val="24"/>
                <w:szCs w:val="24"/>
              </w:rPr>
            </w:pPr>
            <w:r w:rsidRPr="00513188">
              <w:rPr>
                <w:color w:val="000000" w:themeColor="text1"/>
                <w:sz w:val="24"/>
                <w:szCs w:val="24"/>
              </w:rPr>
              <w:t>Dyspnoea</w:t>
            </w:r>
          </w:p>
        </w:tc>
        <w:tc>
          <w:tcPr>
            <w:tcW w:w="2700" w:type="dxa"/>
            <w:vAlign w:val="center"/>
          </w:tcPr>
          <w:p w14:paraId="6D463D7F"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5A4910CE" w14:textId="77777777">
        <w:trPr>
          <w:tblHeader/>
        </w:trPr>
        <w:tc>
          <w:tcPr>
            <w:tcW w:w="4068" w:type="dxa"/>
            <w:shd w:val="clear" w:color="auto" w:fill="auto"/>
          </w:tcPr>
          <w:p w14:paraId="61CDE055" w14:textId="77777777" w:rsidR="00757CB1" w:rsidRPr="00513188" w:rsidRDefault="00B616A7">
            <w:pPr>
              <w:rPr>
                <w:color w:val="000000" w:themeColor="text1"/>
                <w:sz w:val="24"/>
                <w:szCs w:val="24"/>
              </w:rPr>
            </w:pPr>
            <w:r w:rsidRPr="00513188">
              <w:rPr>
                <w:color w:val="000000" w:themeColor="text1"/>
                <w:sz w:val="24"/>
                <w:szCs w:val="24"/>
              </w:rPr>
              <w:t xml:space="preserve">Gastrointestinal disorders </w:t>
            </w:r>
          </w:p>
        </w:tc>
        <w:tc>
          <w:tcPr>
            <w:tcW w:w="2520" w:type="dxa"/>
          </w:tcPr>
          <w:p w14:paraId="32240A46" w14:textId="77777777" w:rsidR="00757CB1" w:rsidRPr="00513188" w:rsidRDefault="00B616A7">
            <w:pPr>
              <w:rPr>
                <w:color w:val="000000" w:themeColor="text1"/>
                <w:sz w:val="24"/>
                <w:szCs w:val="24"/>
              </w:rPr>
            </w:pPr>
            <w:r w:rsidRPr="00513188">
              <w:rPr>
                <w:color w:val="000000" w:themeColor="text1"/>
                <w:sz w:val="24"/>
                <w:szCs w:val="24"/>
              </w:rPr>
              <w:t>Dyspepsia</w:t>
            </w:r>
          </w:p>
        </w:tc>
        <w:tc>
          <w:tcPr>
            <w:tcW w:w="2700" w:type="dxa"/>
          </w:tcPr>
          <w:p w14:paraId="2BAB00C3"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138B8888" w14:textId="77777777">
        <w:trPr>
          <w:tblHeader/>
        </w:trPr>
        <w:tc>
          <w:tcPr>
            <w:tcW w:w="4068" w:type="dxa"/>
            <w:shd w:val="clear" w:color="auto" w:fill="auto"/>
          </w:tcPr>
          <w:p w14:paraId="4016921E" w14:textId="77777777" w:rsidR="00757CB1" w:rsidRPr="00513188" w:rsidRDefault="00B616A7">
            <w:pPr>
              <w:rPr>
                <w:color w:val="000000" w:themeColor="text1"/>
                <w:sz w:val="24"/>
                <w:szCs w:val="24"/>
              </w:rPr>
            </w:pPr>
            <w:r w:rsidRPr="00513188">
              <w:rPr>
                <w:color w:val="000000" w:themeColor="text1"/>
                <w:sz w:val="24"/>
                <w:szCs w:val="24"/>
              </w:rPr>
              <w:t>Skin and subcutaneous tissue disorders</w:t>
            </w:r>
          </w:p>
        </w:tc>
        <w:tc>
          <w:tcPr>
            <w:tcW w:w="2520" w:type="dxa"/>
          </w:tcPr>
          <w:p w14:paraId="3CF0563A" w14:textId="77777777" w:rsidR="00757CB1" w:rsidRPr="00513188" w:rsidRDefault="00B616A7">
            <w:pPr>
              <w:rPr>
                <w:color w:val="000000" w:themeColor="text1"/>
                <w:sz w:val="24"/>
                <w:szCs w:val="24"/>
              </w:rPr>
            </w:pPr>
            <w:r w:rsidRPr="00513188">
              <w:rPr>
                <w:color w:val="000000" w:themeColor="text1"/>
                <w:sz w:val="24"/>
                <w:szCs w:val="24"/>
              </w:rPr>
              <w:t>Erythema</w:t>
            </w:r>
          </w:p>
        </w:tc>
        <w:tc>
          <w:tcPr>
            <w:tcW w:w="2700" w:type="dxa"/>
          </w:tcPr>
          <w:p w14:paraId="6B28B3ED"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13CC430F" w14:textId="77777777">
        <w:trPr>
          <w:tblHeader/>
        </w:trPr>
        <w:tc>
          <w:tcPr>
            <w:tcW w:w="4068" w:type="dxa"/>
            <w:vMerge w:val="restart"/>
            <w:shd w:val="clear" w:color="auto" w:fill="auto"/>
          </w:tcPr>
          <w:p w14:paraId="6B017F94" w14:textId="77777777" w:rsidR="00757CB1" w:rsidRPr="00513188" w:rsidRDefault="00B616A7">
            <w:pPr>
              <w:rPr>
                <w:color w:val="000000" w:themeColor="text1"/>
                <w:sz w:val="24"/>
                <w:szCs w:val="24"/>
              </w:rPr>
            </w:pPr>
            <w:r w:rsidRPr="00513188">
              <w:rPr>
                <w:color w:val="000000" w:themeColor="text1"/>
                <w:sz w:val="24"/>
                <w:szCs w:val="24"/>
              </w:rPr>
              <w:t>Musculoskeletal and connective tissue disorders</w:t>
            </w:r>
          </w:p>
        </w:tc>
        <w:tc>
          <w:tcPr>
            <w:tcW w:w="2520" w:type="dxa"/>
          </w:tcPr>
          <w:p w14:paraId="3388371E" w14:textId="77777777" w:rsidR="00757CB1" w:rsidRPr="00513188" w:rsidRDefault="00B616A7">
            <w:pPr>
              <w:rPr>
                <w:color w:val="000000" w:themeColor="text1"/>
                <w:sz w:val="24"/>
                <w:szCs w:val="24"/>
              </w:rPr>
            </w:pPr>
            <w:r w:rsidRPr="00513188">
              <w:rPr>
                <w:color w:val="000000" w:themeColor="text1"/>
                <w:sz w:val="24"/>
                <w:szCs w:val="24"/>
              </w:rPr>
              <w:t>Arthralgia</w:t>
            </w:r>
          </w:p>
        </w:tc>
        <w:tc>
          <w:tcPr>
            <w:tcW w:w="2700" w:type="dxa"/>
          </w:tcPr>
          <w:p w14:paraId="0BB75889"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589A0110" w14:textId="77777777">
        <w:trPr>
          <w:tblHeader/>
        </w:trPr>
        <w:tc>
          <w:tcPr>
            <w:tcW w:w="4068" w:type="dxa"/>
            <w:vMerge/>
            <w:shd w:val="clear" w:color="auto" w:fill="auto"/>
          </w:tcPr>
          <w:p w14:paraId="1E354E46" w14:textId="77777777" w:rsidR="00757CB1" w:rsidRPr="00513188" w:rsidRDefault="00757CB1">
            <w:pPr>
              <w:rPr>
                <w:color w:val="000000" w:themeColor="text1"/>
                <w:sz w:val="24"/>
                <w:szCs w:val="24"/>
              </w:rPr>
            </w:pPr>
          </w:p>
        </w:tc>
        <w:tc>
          <w:tcPr>
            <w:tcW w:w="2520" w:type="dxa"/>
          </w:tcPr>
          <w:p w14:paraId="7E089344" w14:textId="77777777" w:rsidR="00757CB1" w:rsidRPr="00513188" w:rsidRDefault="00B616A7">
            <w:pPr>
              <w:rPr>
                <w:color w:val="000000" w:themeColor="text1"/>
                <w:sz w:val="24"/>
                <w:szCs w:val="24"/>
              </w:rPr>
            </w:pPr>
            <w:r w:rsidRPr="00513188">
              <w:rPr>
                <w:color w:val="000000" w:themeColor="text1"/>
                <w:sz w:val="24"/>
                <w:szCs w:val="24"/>
              </w:rPr>
              <w:t>Muscle spasms</w:t>
            </w:r>
          </w:p>
        </w:tc>
        <w:tc>
          <w:tcPr>
            <w:tcW w:w="2700" w:type="dxa"/>
          </w:tcPr>
          <w:p w14:paraId="2A068E9E" w14:textId="77777777" w:rsidR="00757CB1" w:rsidRPr="00513188" w:rsidRDefault="00B616A7">
            <w:pPr>
              <w:rPr>
                <w:color w:val="000000" w:themeColor="text1"/>
                <w:sz w:val="24"/>
                <w:szCs w:val="24"/>
              </w:rPr>
            </w:pPr>
            <w:r w:rsidRPr="00513188">
              <w:rPr>
                <w:color w:val="000000" w:themeColor="text1"/>
                <w:sz w:val="24"/>
                <w:szCs w:val="24"/>
              </w:rPr>
              <w:t>Common</w:t>
            </w:r>
          </w:p>
        </w:tc>
      </w:tr>
      <w:tr w:rsidR="00757CB1" w:rsidRPr="00513188" w14:paraId="39CD65C2" w14:textId="77777777">
        <w:trPr>
          <w:tblHeader/>
        </w:trPr>
        <w:tc>
          <w:tcPr>
            <w:tcW w:w="4068" w:type="dxa"/>
            <w:vMerge w:val="restart"/>
            <w:shd w:val="clear" w:color="auto" w:fill="auto"/>
          </w:tcPr>
          <w:p w14:paraId="2727AF76" w14:textId="77777777" w:rsidR="00757CB1" w:rsidRPr="00513188" w:rsidRDefault="00B616A7">
            <w:pPr>
              <w:rPr>
                <w:color w:val="000000" w:themeColor="text1"/>
                <w:sz w:val="24"/>
                <w:szCs w:val="24"/>
              </w:rPr>
            </w:pPr>
            <w:r w:rsidRPr="00513188">
              <w:rPr>
                <w:color w:val="000000" w:themeColor="text1"/>
                <w:sz w:val="24"/>
                <w:szCs w:val="24"/>
              </w:rPr>
              <w:t>General disorders and administration site conditions</w:t>
            </w:r>
          </w:p>
        </w:tc>
        <w:tc>
          <w:tcPr>
            <w:tcW w:w="2520" w:type="dxa"/>
            <w:vAlign w:val="center"/>
          </w:tcPr>
          <w:p w14:paraId="388303E1" w14:textId="77777777" w:rsidR="00757CB1" w:rsidRPr="00513188" w:rsidRDefault="00B616A7">
            <w:pPr>
              <w:rPr>
                <w:color w:val="000000" w:themeColor="text1"/>
                <w:sz w:val="24"/>
                <w:szCs w:val="24"/>
              </w:rPr>
            </w:pPr>
            <w:r w:rsidRPr="00513188">
              <w:rPr>
                <w:color w:val="000000" w:themeColor="text1"/>
                <w:sz w:val="24"/>
                <w:szCs w:val="24"/>
              </w:rPr>
              <w:t>Peripheral oedema</w:t>
            </w:r>
          </w:p>
        </w:tc>
        <w:tc>
          <w:tcPr>
            <w:tcW w:w="2700" w:type="dxa"/>
            <w:vAlign w:val="center"/>
          </w:tcPr>
          <w:p w14:paraId="1538A98E" w14:textId="77777777" w:rsidR="00757CB1" w:rsidRPr="00513188" w:rsidRDefault="00B616A7">
            <w:pPr>
              <w:rPr>
                <w:color w:val="000000" w:themeColor="text1"/>
                <w:sz w:val="24"/>
                <w:szCs w:val="24"/>
              </w:rPr>
            </w:pPr>
            <w:r w:rsidRPr="00513188">
              <w:rPr>
                <w:color w:val="000000" w:themeColor="text1"/>
                <w:sz w:val="24"/>
                <w:szCs w:val="24"/>
              </w:rPr>
              <w:t>Very common</w:t>
            </w:r>
          </w:p>
        </w:tc>
      </w:tr>
      <w:tr w:rsidR="00757CB1" w:rsidRPr="00513188" w14:paraId="74661BCD" w14:textId="77777777">
        <w:trPr>
          <w:tblHeader/>
        </w:trPr>
        <w:tc>
          <w:tcPr>
            <w:tcW w:w="4068" w:type="dxa"/>
            <w:vMerge/>
            <w:shd w:val="clear" w:color="auto" w:fill="auto"/>
          </w:tcPr>
          <w:p w14:paraId="17C58DA9" w14:textId="77777777" w:rsidR="00757CB1" w:rsidRPr="00513188" w:rsidRDefault="00757CB1">
            <w:pPr>
              <w:rPr>
                <w:color w:val="000000" w:themeColor="text1"/>
                <w:sz w:val="24"/>
                <w:szCs w:val="24"/>
              </w:rPr>
            </w:pPr>
          </w:p>
        </w:tc>
        <w:tc>
          <w:tcPr>
            <w:tcW w:w="2520" w:type="dxa"/>
          </w:tcPr>
          <w:p w14:paraId="10D83921" w14:textId="77777777" w:rsidR="00757CB1" w:rsidRPr="00513188" w:rsidRDefault="00B616A7">
            <w:pPr>
              <w:rPr>
                <w:color w:val="000000" w:themeColor="text1"/>
                <w:sz w:val="24"/>
                <w:szCs w:val="24"/>
              </w:rPr>
            </w:pPr>
            <w:r w:rsidRPr="00513188">
              <w:rPr>
                <w:color w:val="000000" w:themeColor="text1"/>
                <w:sz w:val="24"/>
                <w:szCs w:val="24"/>
              </w:rPr>
              <w:t>Extravasation</w:t>
            </w:r>
          </w:p>
        </w:tc>
        <w:tc>
          <w:tcPr>
            <w:tcW w:w="2700" w:type="dxa"/>
          </w:tcPr>
          <w:p w14:paraId="52146B52" w14:textId="77777777" w:rsidR="00757CB1" w:rsidRPr="00513188" w:rsidRDefault="00B616A7">
            <w:pPr>
              <w:rPr>
                <w:color w:val="000000" w:themeColor="text1"/>
                <w:sz w:val="24"/>
                <w:szCs w:val="24"/>
              </w:rPr>
            </w:pPr>
            <w:r w:rsidRPr="00513188">
              <w:rPr>
                <w:color w:val="000000" w:themeColor="text1"/>
                <w:sz w:val="24"/>
                <w:szCs w:val="24"/>
              </w:rPr>
              <w:t>Uncommon</w:t>
            </w:r>
          </w:p>
        </w:tc>
      </w:tr>
    </w:tbl>
    <w:p w14:paraId="0C4580B6" w14:textId="77777777" w:rsidR="00757CB1" w:rsidRPr="00513188" w:rsidRDefault="00757CB1">
      <w:pPr>
        <w:rPr>
          <w:color w:val="000000" w:themeColor="text1"/>
          <w:sz w:val="24"/>
          <w:szCs w:val="24"/>
        </w:rPr>
      </w:pPr>
    </w:p>
    <w:bookmarkEnd w:id="5"/>
    <w:p w14:paraId="616775B2" w14:textId="77777777" w:rsidR="00757CB1" w:rsidRPr="00513188" w:rsidRDefault="00B616A7">
      <w:pPr>
        <w:rPr>
          <w:b/>
          <w:bCs/>
          <w:color w:val="000000" w:themeColor="text1"/>
          <w:sz w:val="24"/>
          <w:szCs w:val="24"/>
        </w:rPr>
      </w:pPr>
      <w:r w:rsidRPr="00513188">
        <w:rPr>
          <w:b/>
          <w:bCs/>
          <w:color w:val="000000" w:themeColor="text1"/>
          <w:sz w:val="24"/>
          <w:szCs w:val="24"/>
        </w:rPr>
        <w:t>Description of selected adverse reactions</w:t>
      </w:r>
    </w:p>
    <w:p w14:paraId="591B149D" w14:textId="77777777" w:rsidR="00757CB1" w:rsidRPr="00513188" w:rsidRDefault="00757CB1">
      <w:pPr>
        <w:rPr>
          <w:color w:val="000000" w:themeColor="text1"/>
          <w:sz w:val="24"/>
          <w:szCs w:val="24"/>
        </w:rPr>
      </w:pPr>
    </w:p>
    <w:p w14:paraId="7EF2BAE6" w14:textId="77777777" w:rsidR="00757CB1" w:rsidRPr="00513188" w:rsidRDefault="00B616A7">
      <w:pPr>
        <w:rPr>
          <w:b/>
          <w:bCs/>
          <w:color w:val="000000" w:themeColor="text1"/>
          <w:sz w:val="24"/>
          <w:szCs w:val="24"/>
        </w:rPr>
      </w:pPr>
      <w:r w:rsidRPr="00513188">
        <w:rPr>
          <w:b/>
          <w:bCs/>
          <w:color w:val="000000" w:themeColor="text1"/>
          <w:sz w:val="24"/>
          <w:szCs w:val="24"/>
        </w:rPr>
        <w:t>Infusion-related reactions</w:t>
      </w:r>
    </w:p>
    <w:p w14:paraId="40F91106" w14:textId="77777777" w:rsidR="00757CB1" w:rsidRPr="00513188" w:rsidRDefault="00B616A7">
      <w:pPr>
        <w:rPr>
          <w:color w:val="000000" w:themeColor="text1"/>
          <w:sz w:val="24"/>
          <w:szCs w:val="24"/>
        </w:rPr>
      </w:pPr>
      <w:r w:rsidRPr="00513188">
        <w:rPr>
          <w:color w:val="000000" w:themeColor="text1"/>
          <w:sz w:val="24"/>
          <w:szCs w:val="24"/>
        </w:rPr>
        <w:t xml:space="preserve">Symptoms of IRRs </w:t>
      </w:r>
      <w:proofErr w:type="gramStart"/>
      <w:r w:rsidRPr="00513188">
        <w:rPr>
          <w:color w:val="000000" w:themeColor="text1"/>
          <w:sz w:val="24"/>
          <w:szCs w:val="24"/>
        </w:rPr>
        <w:t>include, but</w:t>
      </w:r>
      <w:proofErr w:type="gramEnd"/>
      <w:r w:rsidRPr="00513188">
        <w:rPr>
          <w:color w:val="000000" w:themeColor="text1"/>
          <w:sz w:val="24"/>
          <w:szCs w:val="24"/>
        </w:rPr>
        <w:t xml:space="preserve"> are not limited to: arthralgia or pain (including back, neck, or musculoskeletal pain), flushing (including erythema of face or skin warm), nausea, abdominal pain, dyspnoea or cough, chest discomfort or chest pain, headache, rash, pruritus, chills, dizziness, fatigue, increased heart rate or palpitations, hypotension which may include syncope, hypertension, facial oedema.</w:t>
      </w:r>
    </w:p>
    <w:p w14:paraId="2E0EFC9B" w14:textId="77777777" w:rsidR="00757CB1" w:rsidRPr="00513188" w:rsidRDefault="00757CB1">
      <w:pPr>
        <w:rPr>
          <w:color w:val="000000" w:themeColor="text1"/>
          <w:sz w:val="24"/>
          <w:szCs w:val="24"/>
        </w:rPr>
      </w:pPr>
    </w:p>
    <w:p w14:paraId="0FFD8F97" w14:textId="77777777" w:rsidR="00757CB1" w:rsidRPr="00513188" w:rsidRDefault="00B616A7">
      <w:pPr>
        <w:rPr>
          <w:color w:val="000000" w:themeColor="text1"/>
          <w:sz w:val="24"/>
          <w:szCs w:val="24"/>
        </w:rPr>
      </w:pPr>
      <w:r w:rsidRPr="00513188">
        <w:rPr>
          <w:color w:val="000000" w:themeColor="text1"/>
          <w:sz w:val="24"/>
          <w:szCs w:val="24"/>
        </w:rPr>
        <w:t>In clinical studies, all patients received premedication with a corticosteroid, paracetamol, and H1 and H2 blockers to reduce the risk of IRRs. In the double-blind placebo-controlled study, 18.9% of Onpattro-treated patients experienced IRRs, compared to 9.1% of placebo-treated patients. In Onpattro-treated patients, all IRRs were either mild (95.2%) or moderate (4.8%) in severity. Among Onpattro-treated patients who experienced an IRR, 78.6% experienced the first IRR within the first 2 infusions. The frequency of IRRs decreased over time. Few IRRs led to infusion interruption. IRRs resulted in permanent discontinuation of Onpattro in &lt; 1% of patients in clinical studies. For clinical management of IRRs, see section 4.4. Special Warning and Precautions for Use.</w:t>
      </w:r>
    </w:p>
    <w:p w14:paraId="0D7A6010" w14:textId="581C166A" w:rsidR="00757CB1" w:rsidRDefault="00757CB1">
      <w:pPr>
        <w:rPr>
          <w:color w:val="000000" w:themeColor="text1"/>
          <w:sz w:val="24"/>
          <w:szCs w:val="24"/>
        </w:rPr>
      </w:pPr>
    </w:p>
    <w:p w14:paraId="4894C4B0" w14:textId="77777777" w:rsidR="00CA5E8D" w:rsidRPr="00513188" w:rsidRDefault="00CA5E8D">
      <w:pPr>
        <w:rPr>
          <w:color w:val="000000" w:themeColor="text1"/>
          <w:sz w:val="24"/>
          <w:szCs w:val="24"/>
        </w:rPr>
      </w:pPr>
    </w:p>
    <w:p w14:paraId="2AC3EEE0" w14:textId="77777777" w:rsidR="00757CB1" w:rsidRPr="00513188" w:rsidRDefault="00B616A7">
      <w:pPr>
        <w:rPr>
          <w:b/>
          <w:bCs/>
          <w:color w:val="000000" w:themeColor="text1"/>
          <w:sz w:val="24"/>
          <w:szCs w:val="24"/>
        </w:rPr>
      </w:pPr>
      <w:r w:rsidRPr="00513188">
        <w:rPr>
          <w:b/>
          <w:bCs/>
          <w:color w:val="000000" w:themeColor="text1"/>
          <w:sz w:val="24"/>
          <w:szCs w:val="24"/>
        </w:rPr>
        <w:lastRenderedPageBreak/>
        <w:t>Peripheral oedema</w:t>
      </w:r>
    </w:p>
    <w:p w14:paraId="39AFCF88" w14:textId="77777777" w:rsidR="00757CB1" w:rsidRPr="00513188" w:rsidRDefault="00B616A7">
      <w:pPr>
        <w:rPr>
          <w:color w:val="000000" w:themeColor="text1"/>
          <w:sz w:val="24"/>
          <w:szCs w:val="24"/>
        </w:rPr>
      </w:pPr>
      <w:r w:rsidRPr="00513188">
        <w:rPr>
          <w:color w:val="000000" w:themeColor="text1"/>
          <w:sz w:val="24"/>
          <w:szCs w:val="24"/>
        </w:rPr>
        <w:t>In the placebo-controlled study, peripheral oedema was reported in 29.7% of Onpattro-treated patients and 22.1% of placebo-treated patients. All events were mild or moderate in severity and did not lead to treatment discontinuation. In Onpattro-treated patients, the events decreased in frequency over time.</w:t>
      </w:r>
    </w:p>
    <w:p w14:paraId="28B96B2D" w14:textId="77777777" w:rsidR="00757CB1" w:rsidRPr="00513188" w:rsidRDefault="00757CB1">
      <w:pPr>
        <w:rPr>
          <w:color w:val="000000" w:themeColor="text1"/>
          <w:sz w:val="24"/>
          <w:szCs w:val="24"/>
        </w:rPr>
      </w:pPr>
    </w:p>
    <w:p w14:paraId="6C515DDC" w14:textId="77777777" w:rsidR="00757CB1" w:rsidRPr="00513188" w:rsidRDefault="00B616A7">
      <w:pPr>
        <w:rPr>
          <w:b/>
          <w:bCs/>
          <w:color w:val="000000" w:themeColor="text1"/>
          <w:sz w:val="24"/>
          <w:szCs w:val="24"/>
        </w:rPr>
      </w:pPr>
      <w:r w:rsidRPr="00513188">
        <w:rPr>
          <w:b/>
          <w:bCs/>
          <w:color w:val="000000" w:themeColor="text1"/>
          <w:sz w:val="24"/>
          <w:szCs w:val="24"/>
        </w:rPr>
        <w:t>Extravasation</w:t>
      </w:r>
    </w:p>
    <w:p w14:paraId="088AA9D3" w14:textId="77777777" w:rsidR="00757CB1" w:rsidRPr="00513188" w:rsidRDefault="00757CB1">
      <w:pPr>
        <w:rPr>
          <w:b/>
          <w:bCs/>
          <w:color w:val="000000" w:themeColor="text1"/>
          <w:sz w:val="24"/>
          <w:szCs w:val="24"/>
        </w:rPr>
      </w:pPr>
    </w:p>
    <w:p w14:paraId="4AA1C284" w14:textId="77777777" w:rsidR="00757CB1" w:rsidRPr="00513188" w:rsidRDefault="00B616A7">
      <w:pPr>
        <w:rPr>
          <w:color w:val="000000" w:themeColor="text1"/>
          <w:sz w:val="24"/>
          <w:szCs w:val="24"/>
        </w:rPr>
      </w:pPr>
      <w:r w:rsidRPr="00513188">
        <w:rPr>
          <w:color w:val="000000" w:themeColor="text1"/>
          <w:sz w:val="24"/>
          <w:szCs w:val="24"/>
        </w:rPr>
        <w:t xml:space="preserve">Extravasation was observed in &lt; 0.5% of infusions in clinical studies. Signs and symptoms included phlebitis or thrombophlebitis, infusion or injection site swelling, dermatitis (subcutaneous inflammation), cellulitis, </w:t>
      </w:r>
      <w:proofErr w:type="gramStart"/>
      <w:r w:rsidRPr="00513188">
        <w:rPr>
          <w:color w:val="000000" w:themeColor="text1"/>
          <w:sz w:val="24"/>
          <w:szCs w:val="24"/>
        </w:rPr>
        <w:t>erythema</w:t>
      </w:r>
      <w:proofErr w:type="gramEnd"/>
      <w:r w:rsidRPr="00513188">
        <w:rPr>
          <w:color w:val="000000" w:themeColor="text1"/>
          <w:sz w:val="24"/>
          <w:szCs w:val="24"/>
        </w:rPr>
        <w:t xml:space="preserve"> or injection site redness, burning sensation, or injection site pain.</w:t>
      </w:r>
    </w:p>
    <w:p w14:paraId="3AB02B01" w14:textId="77777777" w:rsidR="00757CB1" w:rsidRPr="00513188" w:rsidRDefault="00757CB1">
      <w:pPr>
        <w:rPr>
          <w:color w:val="000000" w:themeColor="text1"/>
          <w:sz w:val="24"/>
          <w:szCs w:val="24"/>
        </w:rPr>
      </w:pPr>
    </w:p>
    <w:p w14:paraId="136E922B" w14:textId="77777777" w:rsidR="00757CB1" w:rsidRPr="00513188" w:rsidRDefault="00B616A7">
      <w:pPr>
        <w:rPr>
          <w:b/>
          <w:bCs/>
          <w:color w:val="000000" w:themeColor="text1"/>
          <w:sz w:val="24"/>
          <w:szCs w:val="24"/>
        </w:rPr>
      </w:pPr>
      <w:r w:rsidRPr="00513188">
        <w:rPr>
          <w:b/>
          <w:bCs/>
          <w:color w:val="000000" w:themeColor="text1"/>
          <w:sz w:val="24"/>
          <w:szCs w:val="24"/>
        </w:rPr>
        <w:t>Immunogenicity</w:t>
      </w:r>
    </w:p>
    <w:p w14:paraId="13EA3611" w14:textId="77777777" w:rsidR="00757CB1" w:rsidRPr="00513188" w:rsidRDefault="00757CB1">
      <w:pPr>
        <w:rPr>
          <w:color w:val="000000" w:themeColor="text1"/>
          <w:sz w:val="24"/>
          <w:szCs w:val="24"/>
        </w:rPr>
      </w:pPr>
    </w:p>
    <w:p w14:paraId="1B28F7BB" w14:textId="77777777" w:rsidR="00757CB1" w:rsidRPr="00513188" w:rsidRDefault="00B616A7">
      <w:pPr>
        <w:rPr>
          <w:color w:val="000000" w:themeColor="text1"/>
          <w:sz w:val="24"/>
          <w:szCs w:val="24"/>
        </w:rPr>
      </w:pPr>
      <w:r w:rsidRPr="00513188">
        <w:rPr>
          <w:color w:val="000000" w:themeColor="text1"/>
          <w:sz w:val="24"/>
          <w:szCs w:val="24"/>
        </w:rPr>
        <w:t xml:space="preserve">Anti-drug antibodies to Onpattro were evaluated by measuring antibodies specific to </w:t>
      </w:r>
      <w:r w:rsidRPr="00513188">
        <w:t>PEG</w:t>
      </w:r>
      <w:r w:rsidRPr="00513188">
        <w:rPr>
          <w:vertAlign w:val="subscript"/>
        </w:rPr>
        <w:t>2000</w:t>
      </w:r>
      <w:r w:rsidRPr="00513188">
        <w:t>-C-</w:t>
      </w:r>
      <w:proofErr w:type="gramStart"/>
      <w:r w:rsidRPr="00513188">
        <w:t xml:space="preserve">DMG </w:t>
      </w:r>
      <w:r w:rsidRPr="00513188">
        <w:rPr>
          <w:color w:val="000000" w:themeColor="text1"/>
          <w:sz w:val="24"/>
          <w:szCs w:val="24"/>
        </w:rPr>
        <w:t>,</w:t>
      </w:r>
      <w:proofErr w:type="gramEnd"/>
      <w:r w:rsidRPr="00513188">
        <w:rPr>
          <w:color w:val="000000" w:themeColor="text1"/>
          <w:sz w:val="24"/>
          <w:szCs w:val="24"/>
        </w:rPr>
        <w:t xml:space="preserve"> a lipid component exposed on the surface of Onpattro. In the placebo-controlled and open-label clinical studies, 7 of 194 (3.6%) patients with </w:t>
      </w:r>
      <w:proofErr w:type="spellStart"/>
      <w:r w:rsidRPr="00513188">
        <w:rPr>
          <w:color w:val="000000" w:themeColor="text1"/>
          <w:sz w:val="24"/>
          <w:szCs w:val="24"/>
        </w:rPr>
        <w:t>hATTR</w:t>
      </w:r>
      <w:proofErr w:type="spellEnd"/>
      <w:r w:rsidRPr="00513188">
        <w:rPr>
          <w:color w:val="000000" w:themeColor="text1"/>
          <w:sz w:val="24"/>
          <w:szCs w:val="24"/>
        </w:rPr>
        <w:t xml:space="preserve"> amyloidosis developed anti-drug antibodies during treatment with Onpattro. One additional patient had pre-existing anti-drug antibodies. Anti-drug antibody titres were low and transient with no evidence of an effect on clinical efficacy, the safety profile, or the pharmacokinetic or pharmacodynamic profiles of Onpattro.</w:t>
      </w:r>
    </w:p>
    <w:p w14:paraId="0DB47456" w14:textId="77777777" w:rsidR="00757CB1" w:rsidRPr="00513188" w:rsidRDefault="00757CB1">
      <w:pPr>
        <w:rPr>
          <w:color w:val="000000" w:themeColor="text1"/>
          <w:sz w:val="24"/>
          <w:szCs w:val="24"/>
        </w:rPr>
      </w:pPr>
    </w:p>
    <w:p w14:paraId="5EDFD1F2" w14:textId="77777777" w:rsidR="00757CB1" w:rsidRPr="00513188" w:rsidRDefault="00B616A7">
      <w:pPr>
        <w:rPr>
          <w:b/>
          <w:bCs/>
          <w:color w:val="000000" w:themeColor="text1"/>
          <w:sz w:val="24"/>
          <w:szCs w:val="24"/>
        </w:rPr>
      </w:pPr>
      <w:r w:rsidRPr="00513188">
        <w:rPr>
          <w:b/>
          <w:bCs/>
          <w:color w:val="000000" w:themeColor="text1"/>
          <w:sz w:val="24"/>
          <w:szCs w:val="24"/>
        </w:rPr>
        <w:t>Reporting of suspected adverse effects</w:t>
      </w:r>
    </w:p>
    <w:p w14:paraId="4B860E6D" w14:textId="77777777" w:rsidR="00757CB1" w:rsidRPr="00513188" w:rsidRDefault="00757CB1">
      <w:pPr>
        <w:rPr>
          <w:b/>
          <w:bCs/>
          <w:color w:val="000000" w:themeColor="text1"/>
          <w:sz w:val="24"/>
          <w:szCs w:val="24"/>
        </w:rPr>
      </w:pPr>
    </w:p>
    <w:p w14:paraId="70E43972" w14:textId="77777777" w:rsidR="00757CB1" w:rsidRPr="00513188" w:rsidRDefault="00B616A7">
      <w:pPr>
        <w:rPr>
          <w:color w:val="000000" w:themeColor="text1"/>
          <w:sz w:val="24"/>
          <w:szCs w:val="24"/>
        </w:rPr>
      </w:pPr>
      <w:r w:rsidRPr="00513188">
        <w:rPr>
          <w:color w:val="000000" w:themeColor="text1"/>
          <w:sz w:val="24"/>
          <w:szCs w:val="24"/>
        </w:rP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7E7CC00C" w14:textId="77777777" w:rsidR="00757CB1" w:rsidRPr="00513188" w:rsidRDefault="00757CB1">
      <w:pPr>
        <w:rPr>
          <w:color w:val="000000" w:themeColor="text1"/>
          <w:sz w:val="24"/>
          <w:szCs w:val="24"/>
        </w:rPr>
      </w:pPr>
    </w:p>
    <w:p w14:paraId="12E09375" w14:textId="77777777" w:rsidR="00757CB1" w:rsidRPr="00513188" w:rsidRDefault="00B616A7" w:rsidP="00084EA1">
      <w:pPr>
        <w:pStyle w:val="Heading2"/>
      </w:pPr>
      <w:r w:rsidRPr="00513188">
        <w:t>4.9</w:t>
      </w:r>
      <w:r w:rsidRPr="00513188">
        <w:tab/>
        <w:t>OVERDOSE</w:t>
      </w:r>
    </w:p>
    <w:p w14:paraId="4C85B629" w14:textId="77777777" w:rsidR="00757CB1" w:rsidRPr="00513188" w:rsidRDefault="00757CB1">
      <w:pPr>
        <w:rPr>
          <w:color w:val="000000" w:themeColor="text1"/>
          <w:sz w:val="24"/>
          <w:szCs w:val="24"/>
        </w:rPr>
      </w:pPr>
    </w:p>
    <w:p w14:paraId="40AA27C0" w14:textId="77777777" w:rsidR="00757CB1" w:rsidRPr="00513188" w:rsidRDefault="00B616A7">
      <w:pPr>
        <w:rPr>
          <w:color w:val="000000" w:themeColor="text1"/>
          <w:sz w:val="24"/>
          <w:szCs w:val="24"/>
        </w:rPr>
      </w:pPr>
      <w:r w:rsidRPr="00513188">
        <w:rPr>
          <w:color w:val="000000" w:themeColor="text1"/>
          <w:sz w:val="24"/>
          <w:szCs w:val="24"/>
        </w:rPr>
        <w:t>In case of overdose, it is recommended that the patient be monitored for any signs or symptoms of adverse reactions and given symptomatic treatment, as appropriate.</w:t>
      </w:r>
    </w:p>
    <w:p w14:paraId="5AC3B6F5" w14:textId="77777777" w:rsidR="00757CB1" w:rsidRPr="00513188" w:rsidRDefault="00757CB1">
      <w:pPr>
        <w:rPr>
          <w:color w:val="000000" w:themeColor="text1"/>
          <w:sz w:val="24"/>
          <w:szCs w:val="24"/>
        </w:rPr>
      </w:pPr>
    </w:p>
    <w:p w14:paraId="214EB66A" w14:textId="77777777" w:rsidR="00757CB1" w:rsidRPr="00513188" w:rsidRDefault="00B616A7">
      <w:pPr>
        <w:rPr>
          <w:color w:val="000000" w:themeColor="text1"/>
          <w:sz w:val="24"/>
          <w:szCs w:val="24"/>
        </w:rPr>
      </w:pPr>
      <w:r w:rsidRPr="00513188">
        <w:rPr>
          <w:color w:val="000000" w:themeColor="text1"/>
          <w:sz w:val="24"/>
          <w:szCs w:val="24"/>
        </w:rPr>
        <w:t>For information on the management of overdose, contact the Poisons Information Centre on 131126 (Australia).</w:t>
      </w:r>
    </w:p>
    <w:p w14:paraId="63B8B914" w14:textId="77777777" w:rsidR="00757CB1" w:rsidRPr="00513188" w:rsidRDefault="00757CB1">
      <w:pPr>
        <w:rPr>
          <w:color w:val="000000" w:themeColor="text1"/>
          <w:sz w:val="24"/>
          <w:szCs w:val="24"/>
        </w:rPr>
      </w:pPr>
    </w:p>
    <w:p w14:paraId="40A1136D"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t>5.</w:t>
      </w:r>
      <w:r w:rsidRPr="00513188">
        <w:rPr>
          <w:rFonts w:ascii="Times New Roman" w:hAnsi="Times New Roman"/>
          <w:color w:val="000000" w:themeColor="text1"/>
          <w:sz w:val="24"/>
          <w:szCs w:val="24"/>
        </w:rPr>
        <w:tab/>
        <w:t>PHARMACOLOGICAL PROPERTIES</w:t>
      </w:r>
    </w:p>
    <w:p w14:paraId="7E730A4B" w14:textId="77777777" w:rsidR="00757CB1" w:rsidRPr="00513188" w:rsidRDefault="00757CB1">
      <w:pPr>
        <w:rPr>
          <w:color w:val="000000" w:themeColor="text1"/>
          <w:sz w:val="24"/>
          <w:szCs w:val="24"/>
        </w:rPr>
      </w:pPr>
    </w:p>
    <w:p w14:paraId="1E5EED50" w14:textId="77777777" w:rsidR="00757CB1" w:rsidRPr="00513188" w:rsidRDefault="00B616A7" w:rsidP="00084EA1">
      <w:pPr>
        <w:pStyle w:val="Heading2"/>
      </w:pPr>
      <w:r w:rsidRPr="00513188">
        <w:t xml:space="preserve">5.1 </w:t>
      </w:r>
      <w:r w:rsidRPr="00513188">
        <w:tab/>
        <w:t>PHARMACODYNAMIC PROPERTIES</w:t>
      </w:r>
    </w:p>
    <w:p w14:paraId="3AC2D886" w14:textId="77777777" w:rsidR="00757CB1" w:rsidRPr="00513188" w:rsidRDefault="00757CB1">
      <w:pPr>
        <w:rPr>
          <w:color w:val="000000" w:themeColor="text1"/>
          <w:sz w:val="24"/>
          <w:szCs w:val="24"/>
        </w:rPr>
      </w:pPr>
    </w:p>
    <w:p w14:paraId="5FF96AF0" w14:textId="77777777" w:rsidR="00757CB1" w:rsidRPr="00513188" w:rsidRDefault="00B616A7">
      <w:pPr>
        <w:rPr>
          <w:color w:val="000000" w:themeColor="text1"/>
          <w:sz w:val="24"/>
          <w:szCs w:val="24"/>
        </w:rPr>
      </w:pPr>
      <w:r w:rsidRPr="00513188">
        <w:rPr>
          <w:color w:val="000000" w:themeColor="text1"/>
          <w:sz w:val="24"/>
          <w:szCs w:val="24"/>
        </w:rPr>
        <w:t>Pharmacotherapeutic group: Other nervous System Drugs; ATC code: N07XX12.</w:t>
      </w:r>
    </w:p>
    <w:p w14:paraId="7E88665B" w14:textId="77777777" w:rsidR="00757CB1" w:rsidRPr="00513188" w:rsidRDefault="00757CB1">
      <w:pPr>
        <w:rPr>
          <w:color w:val="000000" w:themeColor="text1"/>
          <w:sz w:val="24"/>
          <w:szCs w:val="24"/>
        </w:rPr>
      </w:pPr>
    </w:p>
    <w:p w14:paraId="51CBA3D9" w14:textId="77777777" w:rsidR="00757CB1" w:rsidRPr="00513188" w:rsidRDefault="00B616A7">
      <w:pPr>
        <w:rPr>
          <w:b/>
          <w:bCs/>
          <w:color w:val="000000" w:themeColor="text1"/>
          <w:sz w:val="24"/>
          <w:szCs w:val="24"/>
        </w:rPr>
      </w:pPr>
      <w:r w:rsidRPr="00513188">
        <w:rPr>
          <w:b/>
          <w:bCs/>
          <w:color w:val="000000" w:themeColor="text1"/>
          <w:sz w:val="24"/>
          <w:szCs w:val="24"/>
        </w:rPr>
        <w:t>Mechanism of action</w:t>
      </w:r>
    </w:p>
    <w:p w14:paraId="0C59A02A" w14:textId="77777777" w:rsidR="00757CB1" w:rsidRPr="00513188" w:rsidRDefault="00757CB1">
      <w:pPr>
        <w:rPr>
          <w:color w:val="000000" w:themeColor="text1"/>
          <w:sz w:val="24"/>
          <w:szCs w:val="24"/>
        </w:rPr>
      </w:pPr>
    </w:p>
    <w:p w14:paraId="6562270C" w14:textId="0014FC48" w:rsidR="00757CB1" w:rsidRPr="00513188" w:rsidRDefault="00B616A7">
      <w:pPr>
        <w:rPr>
          <w:color w:val="000000" w:themeColor="text1"/>
          <w:sz w:val="24"/>
          <w:szCs w:val="24"/>
        </w:rPr>
      </w:pPr>
      <w:r w:rsidRPr="00513188">
        <w:rPr>
          <w:color w:val="000000"/>
          <w:sz w:val="24"/>
          <w:szCs w:val="24"/>
        </w:rPr>
        <w:t>Onpattro contains patisiran, a double-stranded small interfering ribonucleic acid (siRNA) that</w:t>
      </w:r>
      <w:r w:rsidR="00967DD7" w:rsidRPr="00513188">
        <w:rPr>
          <w:color w:val="000000"/>
          <w:sz w:val="24"/>
          <w:szCs w:val="24"/>
        </w:rPr>
        <w:t xml:space="preserve"> </w:t>
      </w:r>
      <w:r w:rsidRPr="00513188">
        <w:rPr>
          <w:color w:val="000000"/>
          <w:sz w:val="24"/>
          <w:szCs w:val="24"/>
        </w:rPr>
        <w:t xml:space="preserve">targets a genetically conserved sequence in the 3’ untranslated region of </w:t>
      </w:r>
      <w:proofErr w:type="gramStart"/>
      <w:r w:rsidR="001A44CF" w:rsidRPr="00513188">
        <w:rPr>
          <w:color w:val="000000"/>
          <w:sz w:val="24"/>
          <w:szCs w:val="24"/>
        </w:rPr>
        <w:t>a number of</w:t>
      </w:r>
      <w:proofErr w:type="gramEnd"/>
      <w:r w:rsidR="001A44CF" w:rsidRPr="00513188">
        <w:rPr>
          <w:color w:val="000000"/>
          <w:sz w:val="24"/>
          <w:szCs w:val="24"/>
        </w:rPr>
        <w:t xml:space="preserve"> </w:t>
      </w:r>
      <w:r w:rsidRPr="00513188">
        <w:rPr>
          <w:color w:val="000000"/>
          <w:sz w:val="24"/>
          <w:szCs w:val="24"/>
        </w:rPr>
        <w:t xml:space="preserve">variant </w:t>
      </w:r>
      <w:r w:rsidRPr="00513188">
        <w:rPr>
          <w:color w:val="000000"/>
          <w:sz w:val="24"/>
          <w:szCs w:val="24"/>
        </w:rPr>
        <w:lastRenderedPageBreak/>
        <w:t xml:space="preserve">and wild-type </w:t>
      </w:r>
      <w:r w:rsidRPr="00513188">
        <w:rPr>
          <w:i/>
          <w:color w:val="000000"/>
          <w:sz w:val="24"/>
          <w:szCs w:val="24"/>
        </w:rPr>
        <w:t>TTR</w:t>
      </w:r>
      <w:r w:rsidRPr="00513188">
        <w:rPr>
          <w:color w:val="000000"/>
          <w:sz w:val="24"/>
          <w:szCs w:val="24"/>
        </w:rPr>
        <w:t xml:space="preserve"> mRNA. Patisiran is formulated as lipid nanoparticles to deliver the siRNA to hepatocytes, the primary source of TTR protein in the circulation. Through a process called RNA interference (RNAi), patisiran causes the catalytic degradation of </w:t>
      </w:r>
      <w:r w:rsidRPr="00513188">
        <w:rPr>
          <w:i/>
          <w:color w:val="000000"/>
          <w:sz w:val="24"/>
          <w:szCs w:val="24"/>
        </w:rPr>
        <w:t>TTR</w:t>
      </w:r>
      <w:r w:rsidRPr="00513188">
        <w:rPr>
          <w:color w:val="000000"/>
          <w:sz w:val="24"/>
          <w:szCs w:val="24"/>
        </w:rPr>
        <w:t xml:space="preserve"> mRNA in the liver, resulting in a reduction of serum TTR protein.</w:t>
      </w:r>
    </w:p>
    <w:p w14:paraId="0180F59E" w14:textId="77777777" w:rsidR="00757CB1" w:rsidRPr="00513188" w:rsidRDefault="00757CB1">
      <w:pPr>
        <w:rPr>
          <w:color w:val="000000" w:themeColor="text1"/>
          <w:sz w:val="24"/>
          <w:szCs w:val="24"/>
        </w:rPr>
      </w:pPr>
    </w:p>
    <w:p w14:paraId="4B5B6459" w14:textId="60E3A1FC" w:rsidR="00757CB1" w:rsidRPr="00513188" w:rsidRDefault="00B616A7">
      <w:pPr>
        <w:rPr>
          <w:b/>
          <w:bCs/>
          <w:color w:val="000000" w:themeColor="text1"/>
          <w:sz w:val="24"/>
          <w:szCs w:val="24"/>
        </w:rPr>
      </w:pPr>
      <w:r w:rsidRPr="00513188">
        <w:rPr>
          <w:b/>
          <w:bCs/>
          <w:color w:val="000000" w:themeColor="text1"/>
          <w:sz w:val="24"/>
          <w:szCs w:val="24"/>
        </w:rPr>
        <w:t>Pharmacodynamic effects</w:t>
      </w:r>
    </w:p>
    <w:p w14:paraId="0C257BC9" w14:textId="77777777" w:rsidR="00757CB1" w:rsidRPr="00513188" w:rsidRDefault="00757CB1">
      <w:pPr>
        <w:rPr>
          <w:color w:val="000000" w:themeColor="text1"/>
          <w:sz w:val="24"/>
          <w:szCs w:val="24"/>
        </w:rPr>
      </w:pPr>
    </w:p>
    <w:p w14:paraId="150A779C" w14:textId="77777777" w:rsidR="00757CB1" w:rsidRPr="00513188" w:rsidRDefault="00B616A7">
      <w:pPr>
        <w:rPr>
          <w:color w:val="000000" w:themeColor="text1"/>
          <w:sz w:val="24"/>
          <w:szCs w:val="24"/>
        </w:rPr>
      </w:pPr>
      <w:r w:rsidRPr="00513188">
        <w:rPr>
          <w:color w:val="000000" w:themeColor="text1"/>
          <w:sz w:val="24"/>
          <w:szCs w:val="24"/>
        </w:rPr>
        <w:t>Mean serum TTR was reduced by approximately 80% within 10 to 14 days after a single dose with 300 micrograms per kg Onpattro. With repeat dosing every 3 weeks, mean reductions of serum TTR after 9 and 18 months of treatment were 83% and 84%, respectively. Serum TTR reduction was maintained with continued dosing.</w:t>
      </w:r>
    </w:p>
    <w:p w14:paraId="4D9B47E1" w14:textId="77777777" w:rsidR="00757CB1" w:rsidRPr="00513188" w:rsidRDefault="00757CB1">
      <w:pPr>
        <w:rPr>
          <w:color w:val="000000" w:themeColor="text1"/>
          <w:sz w:val="24"/>
          <w:szCs w:val="24"/>
        </w:rPr>
      </w:pPr>
    </w:p>
    <w:p w14:paraId="59216305" w14:textId="0F245CA7" w:rsidR="00757CB1" w:rsidRPr="00513188" w:rsidRDefault="00B616A7">
      <w:pPr>
        <w:rPr>
          <w:color w:val="000000" w:themeColor="text1"/>
          <w:sz w:val="24"/>
          <w:szCs w:val="24"/>
        </w:rPr>
      </w:pPr>
      <w:r w:rsidRPr="00513188">
        <w:rPr>
          <w:color w:val="000000" w:themeColor="text1"/>
          <w:sz w:val="24"/>
          <w:szCs w:val="24"/>
        </w:rPr>
        <w:t>Serum TTR is a carrier of retinol binding protein, which facilitates transport of vitamin A in the blood. Mean reductions in serum retinol binding protein of 45% and serum vitamin A of 62% were observed over 18 months (see section 4.4 Special Warnings and Precautions for Use).</w:t>
      </w:r>
    </w:p>
    <w:p w14:paraId="70E0A050" w14:textId="77777777" w:rsidR="00757CB1" w:rsidRPr="00513188" w:rsidRDefault="00757CB1">
      <w:pPr>
        <w:rPr>
          <w:color w:val="000000" w:themeColor="text1"/>
          <w:sz w:val="24"/>
          <w:szCs w:val="24"/>
        </w:rPr>
      </w:pPr>
    </w:p>
    <w:p w14:paraId="747313AC" w14:textId="77777777" w:rsidR="00757CB1" w:rsidRPr="00513188" w:rsidRDefault="00B616A7">
      <w:pPr>
        <w:rPr>
          <w:b/>
          <w:bCs/>
          <w:color w:val="000000" w:themeColor="text1"/>
          <w:sz w:val="24"/>
          <w:szCs w:val="24"/>
        </w:rPr>
      </w:pPr>
      <w:r w:rsidRPr="00513188">
        <w:rPr>
          <w:b/>
          <w:bCs/>
          <w:color w:val="000000" w:themeColor="text1"/>
          <w:sz w:val="24"/>
          <w:szCs w:val="24"/>
        </w:rPr>
        <w:t>Clinical trials</w:t>
      </w:r>
    </w:p>
    <w:p w14:paraId="7DC69C00" w14:textId="77777777" w:rsidR="00757CB1" w:rsidRPr="00513188" w:rsidRDefault="00757CB1">
      <w:pPr>
        <w:rPr>
          <w:color w:val="000000" w:themeColor="text1"/>
          <w:sz w:val="24"/>
          <w:szCs w:val="24"/>
        </w:rPr>
      </w:pPr>
    </w:p>
    <w:p w14:paraId="475BA934" w14:textId="08FC90DC" w:rsidR="00757CB1" w:rsidRPr="00513188" w:rsidRDefault="00B616A7">
      <w:pPr>
        <w:rPr>
          <w:color w:val="000000" w:themeColor="text1"/>
          <w:sz w:val="24"/>
          <w:szCs w:val="24"/>
        </w:rPr>
      </w:pPr>
      <w:r w:rsidRPr="00513188">
        <w:rPr>
          <w:color w:val="000000" w:themeColor="text1"/>
          <w:sz w:val="24"/>
          <w:szCs w:val="24"/>
        </w:rPr>
        <w:t xml:space="preserve">The efficacy of Onpattro was studied in a randomised, double-blind, placebo-controlled study in 225 </w:t>
      </w:r>
      <w:proofErr w:type="spellStart"/>
      <w:r w:rsidRPr="00513188">
        <w:rPr>
          <w:color w:val="000000" w:themeColor="text1"/>
          <w:sz w:val="24"/>
          <w:szCs w:val="24"/>
        </w:rPr>
        <w:t>hATTR</w:t>
      </w:r>
      <w:proofErr w:type="spellEnd"/>
      <w:r w:rsidRPr="00513188">
        <w:rPr>
          <w:color w:val="000000" w:themeColor="text1"/>
          <w:sz w:val="24"/>
          <w:szCs w:val="24"/>
        </w:rPr>
        <w:t xml:space="preserve"> amyloidosis patients with a TTR variant and symptomatic polyneuropathy. Patients were randomised 2:1 to receive 300 micrograms per kg Onpattro or placebo via intravenous infusion once every 3 weeks for 18 months. All patients received premedication with a corticosteroid, paracetamol, and H1 and H2 blockers.</w:t>
      </w:r>
    </w:p>
    <w:p w14:paraId="22771DD0" w14:textId="77777777" w:rsidR="00757CB1" w:rsidRPr="00513188" w:rsidRDefault="00757CB1">
      <w:pPr>
        <w:rPr>
          <w:color w:val="000000" w:themeColor="text1"/>
          <w:sz w:val="24"/>
          <w:szCs w:val="24"/>
        </w:rPr>
      </w:pPr>
    </w:p>
    <w:p w14:paraId="4EBF79F2" w14:textId="4891E87A" w:rsidR="00757CB1" w:rsidRPr="00513188" w:rsidRDefault="00B616A7">
      <w:pPr>
        <w:rPr>
          <w:color w:val="000000" w:themeColor="text1"/>
          <w:sz w:val="24"/>
          <w:szCs w:val="24"/>
        </w:rPr>
      </w:pPr>
      <w:r w:rsidRPr="00513188">
        <w:rPr>
          <w:color w:val="000000"/>
          <w:sz w:val="24"/>
          <w:szCs w:val="24"/>
        </w:rPr>
        <w:t xml:space="preserve">In the study, 148 patients received </w:t>
      </w:r>
      <w:proofErr w:type="gramStart"/>
      <w:r w:rsidRPr="00513188">
        <w:rPr>
          <w:color w:val="000000"/>
          <w:sz w:val="24"/>
          <w:szCs w:val="24"/>
        </w:rPr>
        <w:t>Onpattro</w:t>
      </w:r>
      <w:proofErr w:type="gramEnd"/>
      <w:r w:rsidRPr="00513188">
        <w:rPr>
          <w:color w:val="000000"/>
          <w:sz w:val="24"/>
          <w:szCs w:val="24"/>
        </w:rPr>
        <w:t xml:space="preserve"> and 77 patients received placebo. The median patient age at baseline was 62 (range 24 to 83) years and 74% of patients were male, 26% were female. Thirty-nine (39) different TTR variants were represented; the most common (≥ 5%) were V30M (43%), A97S (9%), T60A (7%), E89Q (6%), and S50R (5%). Approximately 10% of patients had the V30M variant and early onset of symptoms (&lt; 50 years of age). At baseline, 46% of patients had stage 1 disease (unimpaired ambulation; mostly mild sensory, </w:t>
      </w:r>
      <w:proofErr w:type="gramStart"/>
      <w:r w:rsidRPr="00513188">
        <w:rPr>
          <w:color w:val="000000"/>
          <w:sz w:val="24"/>
          <w:szCs w:val="24"/>
        </w:rPr>
        <w:t>motor</w:t>
      </w:r>
      <w:proofErr w:type="gramEnd"/>
      <w:r w:rsidRPr="00513188">
        <w:rPr>
          <w:color w:val="000000"/>
          <w:sz w:val="24"/>
          <w:szCs w:val="24"/>
        </w:rPr>
        <w:t xml:space="preserve"> and autonomic neuropathy in the lower limbs), and 53% had stage 2 disease (assistance with ambulation required; mostly moderate impairment progression to the lower limbs, upper limbs, and trunk). Approximately half (53%) of patients had prior treatment with </w:t>
      </w:r>
      <w:proofErr w:type="spellStart"/>
      <w:r w:rsidRPr="00513188">
        <w:rPr>
          <w:color w:val="000000"/>
          <w:sz w:val="24"/>
          <w:szCs w:val="24"/>
        </w:rPr>
        <w:t>tafamidis</w:t>
      </w:r>
      <w:proofErr w:type="spellEnd"/>
      <w:r w:rsidRPr="00513188">
        <w:rPr>
          <w:color w:val="000000"/>
          <w:sz w:val="24"/>
          <w:szCs w:val="24"/>
        </w:rPr>
        <w:t xml:space="preserve"> meglumine or diflunisal. Forty-nine percent (49%) and 50% of patients had a New York Heart Association (NYHA) Class of I or II, respectively. Approximately half of patients (56%) met pre-defined criteria for cardiac involvement (defined as baseline LV wall thickness ≥ 13 mm with no history of hypertension or aortic valve disease). Patient demographics and baseline characteristics were balanced between treatment groups, except that a higher proportion of patients in the Onpattro group had a non-V30M variant (62% vs. 48%). Ninety-three percent (93%) of Onpattro-treated and 62% of placebo-treated patients completed 18 months of the assigned treatment.</w:t>
      </w:r>
    </w:p>
    <w:p w14:paraId="22B61A66" w14:textId="77777777" w:rsidR="00757CB1" w:rsidRPr="00513188" w:rsidRDefault="00757CB1">
      <w:pPr>
        <w:rPr>
          <w:color w:val="000000" w:themeColor="text1"/>
          <w:sz w:val="24"/>
          <w:szCs w:val="24"/>
        </w:rPr>
      </w:pPr>
    </w:p>
    <w:p w14:paraId="3F1F7A98" w14:textId="77777777" w:rsidR="00757CB1" w:rsidRPr="00513188" w:rsidRDefault="00B616A7">
      <w:pPr>
        <w:rPr>
          <w:color w:val="000000" w:themeColor="text1"/>
          <w:sz w:val="24"/>
          <w:szCs w:val="24"/>
        </w:rPr>
      </w:pPr>
      <w:r w:rsidRPr="00513188">
        <w:rPr>
          <w:color w:val="000000" w:themeColor="text1"/>
          <w:sz w:val="24"/>
          <w:szCs w:val="24"/>
        </w:rPr>
        <w:t>The primary efficacy endpoint was the change from baseline to 18 months in modified Neuropathy Impairment Score +7 (mNIS+7). This endpoint is a composite measure of motor, sensory, and autonomic polyneuropathy including assessments of motor strength and reflexes, quantitative sensory testing, nerve conduction studies, and postural blood pressure, with the score ranging from 0 to 304 points, where an increasing score indicates worsening impairment.</w:t>
      </w:r>
    </w:p>
    <w:p w14:paraId="35AEF442" w14:textId="77777777" w:rsidR="00757CB1" w:rsidRPr="00513188" w:rsidRDefault="00757CB1">
      <w:pPr>
        <w:rPr>
          <w:color w:val="000000" w:themeColor="text1"/>
          <w:sz w:val="24"/>
          <w:szCs w:val="24"/>
        </w:rPr>
      </w:pPr>
    </w:p>
    <w:p w14:paraId="13DD560E" w14:textId="77777777" w:rsidR="00757CB1" w:rsidRPr="00513188" w:rsidRDefault="00B616A7">
      <w:pPr>
        <w:rPr>
          <w:color w:val="000000" w:themeColor="text1"/>
          <w:sz w:val="24"/>
          <w:szCs w:val="24"/>
        </w:rPr>
      </w:pPr>
      <w:bookmarkStart w:id="6" w:name="_Hlk519630316"/>
      <w:r w:rsidRPr="00513188">
        <w:rPr>
          <w:color w:val="000000" w:themeColor="text1"/>
          <w:sz w:val="24"/>
          <w:szCs w:val="24"/>
        </w:rPr>
        <w:t xml:space="preserve">A statistically significant benefit in mNIS+7 with Onpattro relative to placebo was observed at 18 months (Table 2). Benefits relative to placebo were also observed across all mNIS+7 components. </w:t>
      </w:r>
      <w:bookmarkStart w:id="7" w:name="_Hlk518232335"/>
      <w:bookmarkEnd w:id="6"/>
      <w:r w:rsidRPr="00513188">
        <w:rPr>
          <w:color w:val="000000" w:themeColor="text1"/>
          <w:sz w:val="24"/>
          <w:szCs w:val="24"/>
        </w:rPr>
        <w:t xml:space="preserve">Changes were also seen at 9 months, the first post-baseline assessment in the study, where treatment with Onpattro led to a 16.0-point treatment difference, with a mean change from baseline of </w:t>
      </w:r>
      <w:r w:rsidRPr="00513188">
        <w:rPr>
          <w:color w:val="000000" w:themeColor="text1"/>
          <w:sz w:val="24"/>
          <w:szCs w:val="24"/>
        </w:rPr>
        <w:noBreakHyphen/>
        <w:t>2.0 points, compared to an increase of 14.0 points with placebo. In a threshold analysis of mNIS+7 (change from baseline of &lt; 0 points),</w:t>
      </w:r>
      <w:bookmarkEnd w:id="7"/>
      <w:r w:rsidRPr="00513188">
        <w:rPr>
          <w:color w:val="000000" w:themeColor="text1"/>
          <w:sz w:val="24"/>
          <w:szCs w:val="24"/>
        </w:rPr>
        <w:t xml:space="preserve"> 56.1% of Onpattro-treated patients versus 3.9% of placebo-treated patients experienced improvement in mNIS+7 (p &lt;0.001).</w:t>
      </w:r>
    </w:p>
    <w:p w14:paraId="2D3B14E7" w14:textId="77777777" w:rsidR="00757CB1" w:rsidRPr="00513188" w:rsidRDefault="00757CB1">
      <w:pPr>
        <w:rPr>
          <w:color w:val="000000" w:themeColor="text1"/>
          <w:sz w:val="24"/>
          <w:szCs w:val="24"/>
        </w:rPr>
      </w:pPr>
    </w:p>
    <w:p w14:paraId="4E9DB623" w14:textId="77777777" w:rsidR="00757CB1" w:rsidRPr="00513188" w:rsidRDefault="00B616A7">
      <w:pPr>
        <w:rPr>
          <w:color w:val="000000" w:themeColor="text1"/>
          <w:sz w:val="24"/>
          <w:szCs w:val="24"/>
        </w:rPr>
      </w:pPr>
      <w:r w:rsidRPr="00513188">
        <w:rPr>
          <w:color w:val="000000" w:themeColor="text1"/>
          <w:sz w:val="24"/>
          <w:szCs w:val="24"/>
        </w:rPr>
        <w:t>Patients treated with Onpattro experienced statistically significant benefits in all secondary endpoints compared to patients who received placebo (all p &lt;0.001) (Table 2).</w:t>
      </w:r>
    </w:p>
    <w:p w14:paraId="13613CDA" w14:textId="77777777" w:rsidR="00757CB1" w:rsidRPr="00513188" w:rsidRDefault="00757CB1">
      <w:pPr>
        <w:rPr>
          <w:color w:val="000000" w:themeColor="text1"/>
          <w:sz w:val="24"/>
          <w:szCs w:val="24"/>
        </w:rPr>
      </w:pPr>
    </w:p>
    <w:p w14:paraId="14682C66" w14:textId="77777777" w:rsidR="00757CB1" w:rsidRPr="00513188" w:rsidRDefault="00B616A7">
      <w:pPr>
        <w:rPr>
          <w:color w:val="000000" w:themeColor="text1"/>
          <w:sz w:val="24"/>
          <w:szCs w:val="24"/>
        </w:rPr>
      </w:pPr>
      <w:r w:rsidRPr="00513188">
        <w:rPr>
          <w:color w:val="000000"/>
          <w:sz w:val="24"/>
          <w:szCs w:val="24"/>
        </w:rPr>
        <w:t xml:space="preserve">The key secondary endpoint was the change from baseline to 18 months in Norfolk Quality of Life-Diabetic Neuropathy (QoL-DN) total score. The Norfolk QoL-DN questionnaire (patient-reported) includes domains relating to small fibre, large fibre, and autonomic nerve function, symptoms, and activities of daily living, with the total score ranging from </w:t>
      </w:r>
      <w:r w:rsidRPr="00513188">
        <w:rPr>
          <w:color w:val="000000"/>
          <w:sz w:val="24"/>
          <w:szCs w:val="24"/>
        </w:rPr>
        <w:noBreakHyphen/>
        <w:t>4 to 136, where an increasing score indicates worsening quality of life. At 18 months, a benefit with Onpattro compared to placebo was observed across all domains of Norfolk QoL</w:t>
      </w:r>
      <w:r w:rsidRPr="00513188">
        <w:rPr>
          <w:color w:val="000000"/>
          <w:sz w:val="24"/>
          <w:szCs w:val="24"/>
        </w:rPr>
        <w:noBreakHyphen/>
        <w:t>DN, and 51.4% of Onpattro-treated patients experienced an improvement in quality of life (Norfolk QoL-DN change from baseline of &lt; 0 points) compared to 10.4% of placebo-treated patients. Improvement was observed at 9 months, the first post-baseline assessment in the study.</w:t>
      </w:r>
    </w:p>
    <w:p w14:paraId="7B7BF72E" w14:textId="77777777" w:rsidR="00757CB1" w:rsidRPr="00513188" w:rsidRDefault="00757CB1">
      <w:pPr>
        <w:rPr>
          <w:color w:val="000000" w:themeColor="text1"/>
          <w:sz w:val="24"/>
          <w:szCs w:val="24"/>
        </w:rPr>
      </w:pPr>
    </w:p>
    <w:p w14:paraId="5DC68D68" w14:textId="77777777" w:rsidR="00757CB1" w:rsidRPr="00513188" w:rsidRDefault="00B616A7">
      <w:pPr>
        <w:rPr>
          <w:b/>
          <w:bCs/>
          <w:color w:val="000000" w:themeColor="text1"/>
          <w:sz w:val="24"/>
          <w:szCs w:val="24"/>
        </w:rPr>
      </w:pPr>
      <w:r w:rsidRPr="00513188">
        <w:rPr>
          <w:b/>
          <w:bCs/>
          <w:color w:val="000000" w:themeColor="text1"/>
          <w:sz w:val="24"/>
          <w:szCs w:val="24"/>
        </w:rPr>
        <w:t>Table 2: Clinical Efficacy Results from the Placebo-Controlled Study</w:t>
      </w:r>
    </w:p>
    <w:p w14:paraId="252BA5A0" w14:textId="77777777" w:rsidR="00757CB1" w:rsidRPr="00513188" w:rsidRDefault="00B616A7">
      <w:pPr>
        <w:rPr>
          <w:color w:val="000000" w:themeColor="text1"/>
          <w:sz w:val="24"/>
          <w:szCs w:val="24"/>
        </w:rPr>
      </w:pPr>
      <w:r w:rsidRPr="00513188">
        <w:rPr>
          <w:color w:val="000000" w:themeColor="text1"/>
          <w:sz w:val="24"/>
          <w:szCs w:val="24"/>
        </w:rPr>
        <w:t xml:space="preserve"> </w:t>
      </w:r>
    </w:p>
    <w:tbl>
      <w:tblPr>
        <w:tblW w:w="9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10"/>
        <w:gridCol w:w="1212"/>
        <w:gridCol w:w="1256"/>
        <w:gridCol w:w="1350"/>
        <w:gridCol w:w="1350"/>
        <w:gridCol w:w="1530"/>
        <w:gridCol w:w="1079"/>
      </w:tblGrid>
      <w:tr w:rsidR="00757CB1" w:rsidRPr="00513188" w14:paraId="6B9B0E86" w14:textId="77777777">
        <w:trPr>
          <w:tblHeader/>
        </w:trPr>
        <w:tc>
          <w:tcPr>
            <w:tcW w:w="1510" w:type="dxa"/>
            <w:vMerge w:val="restart"/>
            <w:shd w:val="clear" w:color="auto" w:fill="auto"/>
            <w:vAlign w:val="center"/>
          </w:tcPr>
          <w:p w14:paraId="167DB29C" w14:textId="77777777" w:rsidR="00757CB1" w:rsidRPr="00513188" w:rsidRDefault="00B616A7">
            <w:pPr>
              <w:rPr>
                <w:color w:val="000000" w:themeColor="text1"/>
                <w:sz w:val="24"/>
                <w:szCs w:val="24"/>
              </w:rPr>
            </w:pPr>
            <w:proofErr w:type="spellStart"/>
            <w:r w:rsidRPr="00513188">
              <w:rPr>
                <w:color w:val="000000" w:themeColor="text1"/>
                <w:sz w:val="24"/>
                <w:szCs w:val="24"/>
              </w:rPr>
              <w:t>Endpoint</w:t>
            </w:r>
            <w:r w:rsidRPr="00513188">
              <w:rPr>
                <w:color w:val="000000" w:themeColor="text1"/>
                <w:sz w:val="24"/>
                <w:szCs w:val="24"/>
                <w:vertAlign w:val="superscript"/>
              </w:rPr>
              <w:t>a</w:t>
            </w:r>
            <w:proofErr w:type="spellEnd"/>
          </w:p>
        </w:tc>
        <w:tc>
          <w:tcPr>
            <w:tcW w:w="2468" w:type="dxa"/>
            <w:gridSpan w:val="2"/>
            <w:vAlign w:val="center"/>
          </w:tcPr>
          <w:p w14:paraId="6F39C916" w14:textId="77777777" w:rsidR="00757CB1" w:rsidRPr="00513188" w:rsidRDefault="00B616A7">
            <w:pPr>
              <w:rPr>
                <w:color w:val="000000" w:themeColor="text1"/>
                <w:sz w:val="24"/>
                <w:szCs w:val="24"/>
              </w:rPr>
            </w:pPr>
            <w:r w:rsidRPr="00513188">
              <w:rPr>
                <w:color w:val="000000" w:themeColor="text1"/>
                <w:sz w:val="24"/>
                <w:szCs w:val="24"/>
              </w:rPr>
              <w:t>Baseline, Mean (SD)</w:t>
            </w:r>
          </w:p>
        </w:tc>
        <w:tc>
          <w:tcPr>
            <w:tcW w:w="2700" w:type="dxa"/>
            <w:gridSpan w:val="2"/>
            <w:shd w:val="clear" w:color="auto" w:fill="auto"/>
            <w:vAlign w:val="center"/>
          </w:tcPr>
          <w:p w14:paraId="16E43699" w14:textId="77777777" w:rsidR="00757CB1" w:rsidRPr="00513188" w:rsidRDefault="00B616A7">
            <w:pPr>
              <w:rPr>
                <w:color w:val="000000" w:themeColor="text1"/>
                <w:sz w:val="24"/>
                <w:szCs w:val="24"/>
              </w:rPr>
            </w:pPr>
            <w:r w:rsidRPr="00513188">
              <w:rPr>
                <w:color w:val="000000" w:themeColor="text1"/>
                <w:sz w:val="24"/>
                <w:szCs w:val="24"/>
              </w:rPr>
              <w:t>Change from Baseline at 18 months, LS Mean (SEM)</w:t>
            </w:r>
          </w:p>
        </w:tc>
        <w:tc>
          <w:tcPr>
            <w:tcW w:w="1530" w:type="dxa"/>
            <w:vMerge w:val="restart"/>
            <w:shd w:val="clear" w:color="auto" w:fill="auto"/>
            <w:vAlign w:val="center"/>
          </w:tcPr>
          <w:p w14:paraId="4C0F4ABF" w14:textId="77777777" w:rsidR="00757CB1" w:rsidRPr="00513188" w:rsidRDefault="00B616A7">
            <w:pPr>
              <w:rPr>
                <w:color w:val="000000" w:themeColor="text1"/>
                <w:sz w:val="24"/>
                <w:szCs w:val="24"/>
              </w:rPr>
            </w:pPr>
            <w:r w:rsidRPr="00513188">
              <w:rPr>
                <w:color w:val="000000" w:themeColor="text1"/>
                <w:sz w:val="24"/>
                <w:szCs w:val="24"/>
              </w:rPr>
              <w:t>(Onpattro – Placebo)</w:t>
            </w:r>
          </w:p>
          <w:p w14:paraId="01B35FF3" w14:textId="77777777" w:rsidR="00757CB1" w:rsidRPr="00513188" w:rsidRDefault="00B616A7">
            <w:pPr>
              <w:rPr>
                <w:color w:val="000000" w:themeColor="text1"/>
                <w:sz w:val="24"/>
                <w:szCs w:val="24"/>
              </w:rPr>
            </w:pPr>
            <w:r w:rsidRPr="00513188">
              <w:rPr>
                <w:color w:val="000000" w:themeColor="text1"/>
                <w:sz w:val="24"/>
                <w:szCs w:val="24"/>
              </w:rPr>
              <w:t xml:space="preserve">Treatment Difference, LS Mean (95% CI) </w:t>
            </w:r>
          </w:p>
        </w:tc>
        <w:tc>
          <w:tcPr>
            <w:tcW w:w="1079" w:type="dxa"/>
            <w:vMerge w:val="restart"/>
            <w:shd w:val="clear" w:color="auto" w:fill="auto"/>
            <w:vAlign w:val="center"/>
          </w:tcPr>
          <w:p w14:paraId="5974A998" w14:textId="77777777" w:rsidR="00757CB1" w:rsidRPr="00513188" w:rsidRDefault="00B616A7">
            <w:pPr>
              <w:rPr>
                <w:color w:val="000000" w:themeColor="text1"/>
                <w:sz w:val="24"/>
                <w:szCs w:val="24"/>
              </w:rPr>
            </w:pPr>
            <w:r w:rsidRPr="00513188">
              <w:rPr>
                <w:color w:val="000000" w:themeColor="text1"/>
                <w:sz w:val="24"/>
                <w:szCs w:val="24"/>
              </w:rPr>
              <w:t>p-value</w:t>
            </w:r>
          </w:p>
        </w:tc>
      </w:tr>
      <w:tr w:rsidR="00757CB1" w:rsidRPr="00513188" w14:paraId="2D87FC07" w14:textId="77777777">
        <w:tc>
          <w:tcPr>
            <w:tcW w:w="1510" w:type="dxa"/>
            <w:vMerge/>
            <w:shd w:val="clear" w:color="auto" w:fill="auto"/>
          </w:tcPr>
          <w:p w14:paraId="36892783" w14:textId="77777777" w:rsidR="00757CB1" w:rsidRPr="00513188" w:rsidRDefault="00757CB1">
            <w:pPr>
              <w:rPr>
                <w:color w:val="000000" w:themeColor="text1"/>
                <w:sz w:val="24"/>
                <w:szCs w:val="24"/>
              </w:rPr>
            </w:pPr>
          </w:p>
        </w:tc>
        <w:tc>
          <w:tcPr>
            <w:tcW w:w="1212" w:type="dxa"/>
            <w:vAlign w:val="center"/>
          </w:tcPr>
          <w:p w14:paraId="46BD97BE" w14:textId="77777777" w:rsidR="00757CB1" w:rsidRPr="00513188" w:rsidRDefault="00B616A7">
            <w:pPr>
              <w:rPr>
                <w:color w:val="000000" w:themeColor="text1"/>
                <w:sz w:val="24"/>
                <w:szCs w:val="24"/>
              </w:rPr>
            </w:pPr>
            <w:r w:rsidRPr="00513188">
              <w:rPr>
                <w:color w:val="000000" w:themeColor="text1"/>
                <w:sz w:val="24"/>
                <w:szCs w:val="24"/>
              </w:rPr>
              <w:t>Onpattro</w:t>
            </w:r>
          </w:p>
          <w:p w14:paraId="727334FA" w14:textId="77777777" w:rsidR="00757CB1" w:rsidRPr="00513188" w:rsidRDefault="00B616A7">
            <w:pPr>
              <w:rPr>
                <w:color w:val="000000" w:themeColor="text1"/>
                <w:sz w:val="24"/>
                <w:szCs w:val="24"/>
              </w:rPr>
            </w:pPr>
            <w:r w:rsidRPr="00513188">
              <w:rPr>
                <w:color w:val="000000" w:themeColor="text1"/>
                <w:sz w:val="24"/>
                <w:szCs w:val="24"/>
              </w:rPr>
              <w:t>N=148</w:t>
            </w:r>
          </w:p>
        </w:tc>
        <w:tc>
          <w:tcPr>
            <w:tcW w:w="1256" w:type="dxa"/>
            <w:vAlign w:val="center"/>
          </w:tcPr>
          <w:p w14:paraId="48C45CAC" w14:textId="77777777" w:rsidR="00757CB1" w:rsidRPr="00513188" w:rsidRDefault="00B616A7">
            <w:pPr>
              <w:rPr>
                <w:color w:val="000000" w:themeColor="text1"/>
                <w:sz w:val="24"/>
                <w:szCs w:val="24"/>
              </w:rPr>
            </w:pPr>
            <w:r w:rsidRPr="00513188">
              <w:rPr>
                <w:color w:val="000000" w:themeColor="text1"/>
                <w:sz w:val="24"/>
                <w:szCs w:val="24"/>
              </w:rPr>
              <w:t>Placebo</w:t>
            </w:r>
          </w:p>
          <w:p w14:paraId="30240415" w14:textId="77777777" w:rsidR="00757CB1" w:rsidRPr="00513188" w:rsidRDefault="00B616A7">
            <w:pPr>
              <w:rPr>
                <w:color w:val="000000" w:themeColor="text1"/>
                <w:sz w:val="24"/>
                <w:szCs w:val="24"/>
              </w:rPr>
            </w:pPr>
            <w:r w:rsidRPr="00513188">
              <w:rPr>
                <w:color w:val="000000" w:themeColor="text1"/>
                <w:sz w:val="24"/>
                <w:szCs w:val="24"/>
              </w:rPr>
              <w:t>N=77</w:t>
            </w:r>
          </w:p>
        </w:tc>
        <w:tc>
          <w:tcPr>
            <w:tcW w:w="1350" w:type="dxa"/>
            <w:shd w:val="clear" w:color="auto" w:fill="auto"/>
            <w:vAlign w:val="center"/>
          </w:tcPr>
          <w:p w14:paraId="70BD6C0C" w14:textId="77777777" w:rsidR="00757CB1" w:rsidRPr="00513188" w:rsidRDefault="00B616A7">
            <w:pPr>
              <w:rPr>
                <w:color w:val="000000" w:themeColor="text1"/>
                <w:sz w:val="24"/>
                <w:szCs w:val="24"/>
              </w:rPr>
            </w:pPr>
            <w:r w:rsidRPr="00513188">
              <w:rPr>
                <w:color w:val="000000" w:themeColor="text1"/>
                <w:sz w:val="24"/>
                <w:szCs w:val="24"/>
              </w:rPr>
              <w:t>Onpattro</w:t>
            </w:r>
          </w:p>
        </w:tc>
        <w:tc>
          <w:tcPr>
            <w:tcW w:w="1350" w:type="dxa"/>
            <w:shd w:val="clear" w:color="auto" w:fill="auto"/>
            <w:vAlign w:val="center"/>
          </w:tcPr>
          <w:p w14:paraId="2DE70112" w14:textId="77777777" w:rsidR="00757CB1" w:rsidRPr="00513188" w:rsidRDefault="00B616A7">
            <w:pPr>
              <w:rPr>
                <w:color w:val="000000" w:themeColor="text1"/>
                <w:sz w:val="24"/>
                <w:szCs w:val="24"/>
              </w:rPr>
            </w:pPr>
            <w:r w:rsidRPr="00513188">
              <w:rPr>
                <w:color w:val="000000" w:themeColor="text1"/>
                <w:sz w:val="24"/>
                <w:szCs w:val="24"/>
              </w:rPr>
              <w:t>Placebo</w:t>
            </w:r>
          </w:p>
        </w:tc>
        <w:tc>
          <w:tcPr>
            <w:tcW w:w="1530" w:type="dxa"/>
            <w:vMerge/>
            <w:shd w:val="clear" w:color="auto" w:fill="auto"/>
          </w:tcPr>
          <w:p w14:paraId="1220DAFF" w14:textId="77777777" w:rsidR="00757CB1" w:rsidRPr="00513188" w:rsidRDefault="00757CB1">
            <w:pPr>
              <w:rPr>
                <w:color w:val="000000" w:themeColor="text1"/>
                <w:sz w:val="24"/>
                <w:szCs w:val="24"/>
              </w:rPr>
            </w:pPr>
          </w:p>
        </w:tc>
        <w:tc>
          <w:tcPr>
            <w:tcW w:w="1079" w:type="dxa"/>
            <w:vMerge/>
            <w:shd w:val="clear" w:color="auto" w:fill="auto"/>
          </w:tcPr>
          <w:p w14:paraId="117E18BE" w14:textId="77777777" w:rsidR="00757CB1" w:rsidRPr="00513188" w:rsidRDefault="00757CB1">
            <w:pPr>
              <w:rPr>
                <w:color w:val="000000" w:themeColor="text1"/>
                <w:sz w:val="24"/>
                <w:szCs w:val="24"/>
              </w:rPr>
            </w:pPr>
          </w:p>
        </w:tc>
      </w:tr>
      <w:tr w:rsidR="00757CB1" w:rsidRPr="00513188" w14:paraId="2717570B" w14:textId="77777777">
        <w:tc>
          <w:tcPr>
            <w:tcW w:w="9287" w:type="dxa"/>
            <w:gridSpan w:val="7"/>
            <w:shd w:val="clear" w:color="auto" w:fill="auto"/>
            <w:vAlign w:val="center"/>
          </w:tcPr>
          <w:p w14:paraId="54DC6B90" w14:textId="77777777" w:rsidR="00757CB1" w:rsidRPr="00513188" w:rsidRDefault="00B616A7">
            <w:pPr>
              <w:rPr>
                <w:color w:val="000000" w:themeColor="text1"/>
                <w:sz w:val="24"/>
                <w:szCs w:val="24"/>
              </w:rPr>
            </w:pPr>
            <w:r w:rsidRPr="00513188">
              <w:rPr>
                <w:color w:val="000000" w:themeColor="text1"/>
                <w:sz w:val="24"/>
                <w:szCs w:val="24"/>
              </w:rPr>
              <w:t>Primary</w:t>
            </w:r>
          </w:p>
        </w:tc>
      </w:tr>
      <w:tr w:rsidR="00757CB1" w:rsidRPr="00513188" w14:paraId="7B316ED7" w14:textId="77777777">
        <w:tc>
          <w:tcPr>
            <w:tcW w:w="1510" w:type="dxa"/>
            <w:shd w:val="clear" w:color="auto" w:fill="auto"/>
            <w:vAlign w:val="center"/>
          </w:tcPr>
          <w:p w14:paraId="457311C5" w14:textId="77777777" w:rsidR="00757CB1" w:rsidRPr="00513188" w:rsidRDefault="00B616A7">
            <w:pPr>
              <w:rPr>
                <w:color w:val="000000" w:themeColor="text1"/>
                <w:sz w:val="24"/>
                <w:szCs w:val="24"/>
              </w:rPr>
            </w:pPr>
            <w:r w:rsidRPr="00513188">
              <w:rPr>
                <w:color w:val="000000" w:themeColor="text1"/>
                <w:sz w:val="24"/>
                <w:szCs w:val="24"/>
              </w:rPr>
              <w:t>mNIS+7</w:t>
            </w:r>
            <w:r w:rsidRPr="00513188">
              <w:rPr>
                <w:color w:val="000000" w:themeColor="text1"/>
                <w:sz w:val="24"/>
                <w:szCs w:val="24"/>
                <w:vertAlign w:val="superscript"/>
              </w:rPr>
              <w:t>b</w:t>
            </w:r>
          </w:p>
        </w:tc>
        <w:tc>
          <w:tcPr>
            <w:tcW w:w="1212" w:type="dxa"/>
            <w:vAlign w:val="center"/>
          </w:tcPr>
          <w:p w14:paraId="6A7D850F" w14:textId="77777777" w:rsidR="00757CB1" w:rsidRPr="00513188" w:rsidRDefault="00B616A7">
            <w:pPr>
              <w:rPr>
                <w:color w:val="000000" w:themeColor="text1"/>
                <w:sz w:val="24"/>
                <w:szCs w:val="24"/>
              </w:rPr>
            </w:pPr>
            <w:r w:rsidRPr="00513188">
              <w:rPr>
                <w:color w:val="000000" w:themeColor="text1"/>
                <w:sz w:val="24"/>
                <w:szCs w:val="24"/>
              </w:rPr>
              <w:t>80.9 (41.5)</w:t>
            </w:r>
          </w:p>
        </w:tc>
        <w:tc>
          <w:tcPr>
            <w:tcW w:w="1256" w:type="dxa"/>
            <w:vAlign w:val="center"/>
          </w:tcPr>
          <w:p w14:paraId="6C669020" w14:textId="77777777" w:rsidR="00757CB1" w:rsidRPr="00513188" w:rsidRDefault="00B616A7">
            <w:pPr>
              <w:rPr>
                <w:color w:val="000000" w:themeColor="text1"/>
                <w:sz w:val="24"/>
                <w:szCs w:val="24"/>
              </w:rPr>
            </w:pPr>
            <w:r w:rsidRPr="00513188">
              <w:rPr>
                <w:color w:val="000000" w:themeColor="text1"/>
                <w:sz w:val="24"/>
                <w:szCs w:val="24"/>
              </w:rPr>
              <w:t>74.6 (37.0)</w:t>
            </w:r>
          </w:p>
        </w:tc>
        <w:tc>
          <w:tcPr>
            <w:tcW w:w="1350" w:type="dxa"/>
            <w:shd w:val="clear" w:color="auto" w:fill="auto"/>
            <w:vAlign w:val="center"/>
          </w:tcPr>
          <w:p w14:paraId="35B4093F" w14:textId="77777777" w:rsidR="00757CB1" w:rsidRPr="00513188" w:rsidRDefault="00B616A7">
            <w:pPr>
              <w:rPr>
                <w:color w:val="000000" w:themeColor="text1"/>
                <w:sz w:val="24"/>
                <w:szCs w:val="24"/>
              </w:rPr>
            </w:pPr>
            <w:r w:rsidRPr="00513188">
              <w:rPr>
                <w:color w:val="000000" w:themeColor="text1"/>
                <w:sz w:val="24"/>
                <w:szCs w:val="24"/>
              </w:rPr>
              <w:t>−6.0 (1.7)</w:t>
            </w:r>
          </w:p>
        </w:tc>
        <w:tc>
          <w:tcPr>
            <w:tcW w:w="1350" w:type="dxa"/>
            <w:shd w:val="clear" w:color="auto" w:fill="auto"/>
            <w:vAlign w:val="center"/>
          </w:tcPr>
          <w:p w14:paraId="56D385D6" w14:textId="77777777" w:rsidR="00757CB1" w:rsidRPr="00513188" w:rsidRDefault="00B616A7">
            <w:pPr>
              <w:rPr>
                <w:color w:val="000000" w:themeColor="text1"/>
                <w:sz w:val="24"/>
                <w:szCs w:val="24"/>
              </w:rPr>
            </w:pPr>
            <w:r w:rsidRPr="00513188">
              <w:rPr>
                <w:color w:val="000000" w:themeColor="text1"/>
                <w:sz w:val="24"/>
                <w:szCs w:val="24"/>
              </w:rPr>
              <w:t>28.0 (2.6)</w:t>
            </w:r>
          </w:p>
        </w:tc>
        <w:tc>
          <w:tcPr>
            <w:tcW w:w="1530" w:type="dxa"/>
            <w:shd w:val="clear" w:color="auto" w:fill="auto"/>
            <w:vAlign w:val="center"/>
          </w:tcPr>
          <w:p w14:paraId="0BC23551" w14:textId="77777777" w:rsidR="00757CB1" w:rsidRPr="00513188" w:rsidRDefault="00B616A7">
            <w:pPr>
              <w:rPr>
                <w:color w:val="000000" w:themeColor="text1"/>
                <w:sz w:val="24"/>
                <w:szCs w:val="24"/>
              </w:rPr>
            </w:pPr>
            <w:r w:rsidRPr="00513188">
              <w:rPr>
                <w:color w:val="000000" w:themeColor="text1"/>
                <w:sz w:val="24"/>
                <w:szCs w:val="24"/>
              </w:rPr>
              <w:t>−34.0</w:t>
            </w:r>
          </w:p>
          <w:p w14:paraId="34841E59" w14:textId="77777777" w:rsidR="00757CB1" w:rsidRPr="00513188" w:rsidRDefault="00B616A7">
            <w:pPr>
              <w:rPr>
                <w:color w:val="000000" w:themeColor="text1"/>
                <w:sz w:val="24"/>
                <w:szCs w:val="24"/>
              </w:rPr>
            </w:pPr>
            <w:r w:rsidRPr="00513188">
              <w:rPr>
                <w:color w:val="000000" w:themeColor="text1"/>
                <w:sz w:val="24"/>
                <w:szCs w:val="24"/>
              </w:rPr>
              <w:t>(−39.9, −28.1)</w:t>
            </w:r>
          </w:p>
        </w:tc>
        <w:tc>
          <w:tcPr>
            <w:tcW w:w="1079" w:type="dxa"/>
            <w:shd w:val="clear" w:color="auto" w:fill="auto"/>
            <w:vAlign w:val="center"/>
          </w:tcPr>
          <w:p w14:paraId="4B8CFF78" w14:textId="77777777" w:rsidR="00757CB1" w:rsidRPr="00513188" w:rsidRDefault="00B616A7">
            <w:pPr>
              <w:rPr>
                <w:color w:val="000000" w:themeColor="text1"/>
                <w:sz w:val="24"/>
                <w:szCs w:val="24"/>
              </w:rPr>
            </w:pPr>
            <w:r w:rsidRPr="00513188">
              <w:rPr>
                <w:color w:val="000000" w:themeColor="text1"/>
                <w:sz w:val="24"/>
                <w:szCs w:val="24"/>
              </w:rPr>
              <w:t>p &lt; 0.001</w:t>
            </w:r>
          </w:p>
        </w:tc>
      </w:tr>
      <w:tr w:rsidR="00757CB1" w:rsidRPr="00513188" w14:paraId="78321D2B" w14:textId="77777777">
        <w:tc>
          <w:tcPr>
            <w:tcW w:w="9287" w:type="dxa"/>
            <w:gridSpan w:val="7"/>
            <w:shd w:val="clear" w:color="auto" w:fill="auto"/>
            <w:vAlign w:val="center"/>
          </w:tcPr>
          <w:p w14:paraId="32761C8D" w14:textId="77777777" w:rsidR="00757CB1" w:rsidRPr="00513188" w:rsidRDefault="00B616A7">
            <w:pPr>
              <w:rPr>
                <w:color w:val="000000" w:themeColor="text1"/>
                <w:sz w:val="24"/>
                <w:szCs w:val="24"/>
              </w:rPr>
            </w:pPr>
            <w:r w:rsidRPr="00513188">
              <w:rPr>
                <w:color w:val="000000" w:themeColor="text1"/>
                <w:sz w:val="24"/>
                <w:szCs w:val="24"/>
              </w:rPr>
              <w:t>Secondary</w:t>
            </w:r>
          </w:p>
        </w:tc>
      </w:tr>
      <w:tr w:rsidR="00757CB1" w:rsidRPr="00513188" w14:paraId="4846D295" w14:textId="77777777">
        <w:tc>
          <w:tcPr>
            <w:tcW w:w="1510" w:type="dxa"/>
            <w:shd w:val="clear" w:color="auto" w:fill="auto"/>
            <w:vAlign w:val="center"/>
          </w:tcPr>
          <w:p w14:paraId="3595F38E" w14:textId="77777777" w:rsidR="00757CB1" w:rsidRPr="00513188" w:rsidRDefault="00B616A7">
            <w:pPr>
              <w:rPr>
                <w:color w:val="000000" w:themeColor="text1"/>
                <w:sz w:val="24"/>
                <w:szCs w:val="24"/>
              </w:rPr>
            </w:pPr>
            <w:r w:rsidRPr="00513188">
              <w:rPr>
                <w:color w:val="000000" w:themeColor="text1"/>
                <w:sz w:val="24"/>
                <w:szCs w:val="24"/>
              </w:rPr>
              <w:t xml:space="preserve">Norfolk </w:t>
            </w:r>
            <w:r w:rsidRPr="00513188">
              <w:rPr>
                <w:color w:val="000000" w:themeColor="text1"/>
                <w:sz w:val="24"/>
                <w:szCs w:val="24"/>
              </w:rPr>
              <w:br/>
              <w:t>QoL-</w:t>
            </w:r>
            <w:proofErr w:type="spellStart"/>
            <w:r w:rsidRPr="00513188">
              <w:rPr>
                <w:color w:val="000000" w:themeColor="text1"/>
                <w:sz w:val="24"/>
                <w:szCs w:val="24"/>
              </w:rPr>
              <w:t>DN</w:t>
            </w:r>
            <w:r w:rsidRPr="00513188">
              <w:rPr>
                <w:color w:val="000000" w:themeColor="text1"/>
                <w:sz w:val="24"/>
                <w:szCs w:val="24"/>
                <w:vertAlign w:val="superscript"/>
              </w:rPr>
              <w:t>b</w:t>
            </w:r>
            <w:proofErr w:type="spellEnd"/>
          </w:p>
        </w:tc>
        <w:tc>
          <w:tcPr>
            <w:tcW w:w="1212" w:type="dxa"/>
            <w:vAlign w:val="center"/>
          </w:tcPr>
          <w:p w14:paraId="54AD6F05" w14:textId="77777777" w:rsidR="00757CB1" w:rsidRPr="00513188" w:rsidRDefault="00B616A7">
            <w:pPr>
              <w:rPr>
                <w:color w:val="000000" w:themeColor="text1"/>
                <w:sz w:val="24"/>
                <w:szCs w:val="24"/>
              </w:rPr>
            </w:pPr>
            <w:r w:rsidRPr="00513188">
              <w:rPr>
                <w:color w:val="000000" w:themeColor="text1"/>
                <w:sz w:val="24"/>
                <w:szCs w:val="24"/>
              </w:rPr>
              <w:t>59.6 (28.2)</w:t>
            </w:r>
          </w:p>
        </w:tc>
        <w:tc>
          <w:tcPr>
            <w:tcW w:w="1256" w:type="dxa"/>
            <w:vAlign w:val="center"/>
          </w:tcPr>
          <w:p w14:paraId="1C88E3E4" w14:textId="77777777" w:rsidR="00757CB1" w:rsidRPr="00513188" w:rsidRDefault="00B616A7">
            <w:pPr>
              <w:rPr>
                <w:color w:val="000000" w:themeColor="text1"/>
                <w:sz w:val="24"/>
                <w:szCs w:val="24"/>
              </w:rPr>
            </w:pPr>
            <w:r w:rsidRPr="00513188">
              <w:rPr>
                <w:color w:val="000000" w:themeColor="text1"/>
                <w:sz w:val="24"/>
                <w:szCs w:val="24"/>
              </w:rPr>
              <w:t>55.5 (24.3)</w:t>
            </w:r>
          </w:p>
        </w:tc>
        <w:tc>
          <w:tcPr>
            <w:tcW w:w="1350" w:type="dxa"/>
            <w:shd w:val="clear" w:color="auto" w:fill="auto"/>
            <w:vAlign w:val="center"/>
          </w:tcPr>
          <w:p w14:paraId="4A9B69D5" w14:textId="77777777" w:rsidR="00757CB1" w:rsidRPr="00513188" w:rsidRDefault="00B616A7">
            <w:pPr>
              <w:rPr>
                <w:color w:val="000000" w:themeColor="text1"/>
                <w:sz w:val="24"/>
                <w:szCs w:val="24"/>
              </w:rPr>
            </w:pPr>
            <w:r w:rsidRPr="00513188">
              <w:rPr>
                <w:color w:val="000000" w:themeColor="text1"/>
                <w:sz w:val="24"/>
                <w:szCs w:val="24"/>
              </w:rPr>
              <w:t>−6.7 (1.8)</w:t>
            </w:r>
          </w:p>
        </w:tc>
        <w:tc>
          <w:tcPr>
            <w:tcW w:w="1350" w:type="dxa"/>
            <w:shd w:val="clear" w:color="auto" w:fill="auto"/>
            <w:vAlign w:val="center"/>
          </w:tcPr>
          <w:p w14:paraId="4737FF93" w14:textId="77777777" w:rsidR="00757CB1" w:rsidRPr="00513188" w:rsidRDefault="00B616A7">
            <w:pPr>
              <w:rPr>
                <w:color w:val="000000" w:themeColor="text1"/>
                <w:sz w:val="24"/>
                <w:szCs w:val="24"/>
              </w:rPr>
            </w:pPr>
            <w:r w:rsidRPr="00513188">
              <w:rPr>
                <w:color w:val="000000" w:themeColor="text1"/>
                <w:sz w:val="24"/>
                <w:szCs w:val="24"/>
              </w:rPr>
              <w:t>14.4 (2.7)</w:t>
            </w:r>
          </w:p>
        </w:tc>
        <w:tc>
          <w:tcPr>
            <w:tcW w:w="1530" w:type="dxa"/>
            <w:shd w:val="clear" w:color="auto" w:fill="auto"/>
            <w:vAlign w:val="center"/>
          </w:tcPr>
          <w:p w14:paraId="4A547328" w14:textId="77777777" w:rsidR="00757CB1" w:rsidRPr="00513188" w:rsidRDefault="00B616A7">
            <w:pPr>
              <w:rPr>
                <w:color w:val="000000" w:themeColor="text1"/>
                <w:sz w:val="24"/>
                <w:szCs w:val="24"/>
              </w:rPr>
            </w:pPr>
            <w:r w:rsidRPr="00513188">
              <w:rPr>
                <w:color w:val="000000" w:themeColor="text1"/>
                <w:sz w:val="24"/>
                <w:szCs w:val="24"/>
              </w:rPr>
              <w:t>−21.1</w:t>
            </w:r>
          </w:p>
          <w:p w14:paraId="24D2ADAF" w14:textId="77777777" w:rsidR="00757CB1" w:rsidRPr="00513188" w:rsidRDefault="00B616A7">
            <w:pPr>
              <w:rPr>
                <w:color w:val="000000" w:themeColor="text1"/>
                <w:sz w:val="24"/>
                <w:szCs w:val="24"/>
              </w:rPr>
            </w:pPr>
            <w:r w:rsidRPr="00513188">
              <w:rPr>
                <w:color w:val="000000" w:themeColor="text1"/>
                <w:sz w:val="24"/>
                <w:szCs w:val="24"/>
              </w:rPr>
              <w:t>(−27.2, −15.0)</w:t>
            </w:r>
          </w:p>
        </w:tc>
        <w:tc>
          <w:tcPr>
            <w:tcW w:w="1079" w:type="dxa"/>
            <w:shd w:val="clear" w:color="auto" w:fill="auto"/>
            <w:vAlign w:val="center"/>
          </w:tcPr>
          <w:p w14:paraId="415DD87C" w14:textId="77777777" w:rsidR="00757CB1" w:rsidRPr="00513188" w:rsidRDefault="00B616A7">
            <w:pPr>
              <w:rPr>
                <w:color w:val="000000" w:themeColor="text1"/>
                <w:sz w:val="24"/>
                <w:szCs w:val="24"/>
              </w:rPr>
            </w:pPr>
            <w:r w:rsidRPr="00513188">
              <w:rPr>
                <w:color w:val="000000" w:themeColor="text1"/>
                <w:sz w:val="24"/>
                <w:szCs w:val="24"/>
              </w:rPr>
              <w:t>p &lt; 0.001</w:t>
            </w:r>
          </w:p>
        </w:tc>
      </w:tr>
      <w:tr w:rsidR="00757CB1" w:rsidRPr="00513188" w14:paraId="3D2764AE" w14:textId="77777777">
        <w:tc>
          <w:tcPr>
            <w:tcW w:w="1510" w:type="dxa"/>
            <w:shd w:val="clear" w:color="auto" w:fill="auto"/>
            <w:vAlign w:val="center"/>
          </w:tcPr>
          <w:p w14:paraId="6009672F" w14:textId="77777777" w:rsidR="00757CB1" w:rsidRPr="00513188" w:rsidRDefault="00B616A7">
            <w:pPr>
              <w:rPr>
                <w:color w:val="000000" w:themeColor="text1"/>
                <w:sz w:val="24"/>
                <w:szCs w:val="24"/>
              </w:rPr>
            </w:pPr>
            <w:r w:rsidRPr="00513188">
              <w:rPr>
                <w:color w:val="000000" w:themeColor="text1"/>
                <w:sz w:val="24"/>
                <w:szCs w:val="24"/>
              </w:rPr>
              <w:t>NIS-W</w:t>
            </w:r>
            <w:r w:rsidRPr="00513188">
              <w:rPr>
                <w:color w:val="000000" w:themeColor="text1"/>
                <w:sz w:val="24"/>
                <w:szCs w:val="24"/>
                <w:vertAlign w:val="superscript"/>
              </w:rPr>
              <w:t>b</w:t>
            </w:r>
          </w:p>
        </w:tc>
        <w:tc>
          <w:tcPr>
            <w:tcW w:w="1212" w:type="dxa"/>
            <w:vAlign w:val="center"/>
          </w:tcPr>
          <w:p w14:paraId="63C853BC" w14:textId="77777777" w:rsidR="00757CB1" w:rsidRPr="00513188" w:rsidRDefault="00B616A7">
            <w:pPr>
              <w:rPr>
                <w:color w:val="000000" w:themeColor="text1"/>
                <w:sz w:val="24"/>
                <w:szCs w:val="24"/>
              </w:rPr>
            </w:pPr>
            <w:r w:rsidRPr="00513188">
              <w:rPr>
                <w:color w:val="000000" w:themeColor="text1"/>
                <w:sz w:val="24"/>
                <w:szCs w:val="24"/>
              </w:rPr>
              <w:t>32.7 (25.2)</w:t>
            </w:r>
          </w:p>
        </w:tc>
        <w:tc>
          <w:tcPr>
            <w:tcW w:w="1256" w:type="dxa"/>
            <w:vAlign w:val="center"/>
          </w:tcPr>
          <w:p w14:paraId="17412F16" w14:textId="77777777" w:rsidR="00757CB1" w:rsidRPr="00513188" w:rsidRDefault="00B616A7">
            <w:pPr>
              <w:rPr>
                <w:color w:val="000000" w:themeColor="text1"/>
                <w:sz w:val="24"/>
                <w:szCs w:val="24"/>
              </w:rPr>
            </w:pPr>
            <w:r w:rsidRPr="00513188">
              <w:rPr>
                <w:color w:val="000000" w:themeColor="text1"/>
                <w:sz w:val="24"/>
                <w:szCs w:val="24"/>
              </w:rPr>
              <w:t>29.0 (23.0)</w:t>
            </w:r>
          </w:p>
        </w:tc>
        <w:tc>
          <w:tcPr>
            <w:tcW w:w="1350" w:type="dxa"/>
            <w:shd w:val="clear" w:color="auto" w:fill="auto"/>
            <w:vAlign w:val="center"/>
          </w:tcPr>
          <w:p w14:paraId="3AB82606" w14:textId="77777777" w:rsidR="00757CB1" w:rsidRPr="00513188" w:rsidRDefault="00B616A7">
            <w:pPr>
              <w:rPr>
                <w:color w:val="000000" w:themeColor="text1"/>
                <w:sz w:val="24"/>
                <w:szCs w:val="24"/>
              </w:rPr>
            </w:pPr>
            <w:r w:rsidRPr="00513188">
              <w:rPr>
                <w:color w:val="000000" w:themeColor="text1"/>
                <w:sz w:val="24"/>
                <w:szCs w:val="24"/>
              </w:rPr>
              <w:t>0.05 (1.3)</w:t>
            </w:r>
          </w:p>
        </w:tc>
        <w:tc>
          <w:tcPr>
            <w:tcW w:w="1350" w:type="dxa"/>
            <w:shd w:val="clear" w:color="auto" w:fill="auto"/>
            <w:vAlign w:val="center"/>
          </w:tcPr>
          <w:p w14:paraId="45979583" w14:textId="77777777" w:rsidR="00757CB1" w:rsidRPr="00513188" w:rsidRDefault="00B616A7">
            <w:pPr>
              <w:rPr>
                <w:color w:val="000000" w:themeColor="text1"/>
                <w:sz w:val="24"/>
                <w:szCs w:val="24"/>
              </w:rPr>
            </w:pPr>
            <w:r w:rsidRPr="00513188">
              <w:rPr>
                <w:color w:val="000000" w:themeColor="text1"/>
                <w:sz w:val="24"/>
                <w:szCs w:val="24"/>
              </w:rPr>
              <w:t>17.9 (2.0)</w:t>
            </w:r>
          </w:p>
        </w:tc>
        <w:tc>
          <w:tcPr>
            <w:tcW w:w="1530" w:type="dxa"/>
            <w:shd w:val="clear" w:color="auto" w:fill="auto"/>
            <w:vAlign w:val="center"/>
          </w:tcPr>
          <w:p w14:paraId="634F9A8E" w14:textId="77777777" w:rsidR="00757CB1" w:rsidRPr="00513188" w:rsidRDefault="00B616A7">
            <w:pPr>
              <w:rPr>
                <w:color w:val="000000" w:themeColor="text1"/>
                <w:sz w:val="24"/>
                <w:szCs w:val="24"/>
              </w:rPr>
            </w:pPr>
            <w:r w:rsidRPr="00513188">
              <w:rPr>
                <w:color w:val="000000" w:themeColor="text1"/>
                <w:sz w:val="24"/>
                <w:szCs w:val="24"/>
              </w:rPr>
              <w:t>−17.9</w:t>
            </w:r>
          </w:p>
          <w:p w14:paraId="7FE91CDD" w14:textId="77777777" w:rsidR="00757CB1" w:rsidRPr="00513188" w:rsidRDefault="00B616A7">
            <w:pPr>
              <w:rPr>
                <w:color w:val="000000" w:themeColor="text1"/>
                <w:sz w:val="24"/>
                <w:szCs w:val="24"/>
              </w:rPr>
            </w:pPr>
            <w:r w:rsidRPr="00513188">
              <w:rPr>
                <w:color w:val="000000" w:themeColor="text1"/>
                <w:sz w:val="24"/>
                <w:szCs w:val="24"/>
              </w:rPr>
              <w:t>(−22.3, −13.4)</w:t>
            </w:r>
          </w:p>
        </w:tc>
        <w:tc>
          <w:tcPr>
            <w:tcW w:w="1079" w:type="dxa"/>
            <w:shd w:val="clear" w:color="auto" w:fill="auto"/>
            <w:vAlign w:val="center"/>
          </w:tcPr>
          <w:p w14:paraId="2D053DFA" w14:textId="77777777" w:rsidR="00757CB1" w:rsidRPr="00513188" w:rsidRDefault="00B616A7">
            <w:pPr>
              <w:rPr>
                <w:color w:val="000000" w:themeColor="text1"/>
                <w:sz w:val="24"/>
                <w:szCs w:val="24"/>
              </w:rPr>
            </w:pPr>
            <w:r w:rsidRPr="00513188">
              <w:rPr>
                <w:color w:val="000000" w:themeColor="text1"/>
                <w:sz w:val="24"/>
                <w:szCs w:val="24"/>
              </w:rPr>
              <w:t>p &lt; 0.001</w:t>
            </w:r>
          </w:p>
        </w:tc>
      </w:tr>
      <w:tr w:rsidR="00757CB1" w:rsidRPr="00513188" w14:paraId="62E02651" w14:textId="77777777">
        <w:tc>
          <w:tcPr>
            <w:tcW w:w="1510" w:type="dxa"/>
            <w:shd w:val="clear" w:color="auto" w:fill="auto"/>
            <w:vAlign w:val="center"/>
          </w:tcPr>
          <w:p w14:paraId="2B4E3E47" w14:textId="77777777" w:rsidR="00757CB1" w:rsidRPr="00513188" w:rsidRDefault="00B616A7">
            <w:pPr>
              <w:rPr>
                <w:color w:val="000000" w:themeColor="text1"/>
                <w:sz w:val="24"/>
                <w:szCs w:val="24"/>
              </w:rPr>
            </w:pPr>
            <w:r w:rsidRPr="00513188">
              <w:rPr>
                <w:color w:val="000000" w:themeColor="text1"/>
                <w:sz w:val="24"/>
                <w:szCs w:val="24"/>
              </w:rPr>
              <w:t>R-</w:t>
            </w:r>
            <w:proofErr w:type="spellStart"/>
            <w:r w:rsidRPr="00513188">
              <w:rPr>
                <w:color w:val="000000" w:themeColor="text1"/>
                <w:sz w:val="24"/>
                <w:szCs w:val="24"/>
              </w:rPr>
              <w:t>ODS</w:t>
            </w:r>
            <w:r w:rsidRPr="00513188">
              <w:rPr>
                <w:color w:val="000000" w:themeColor="text1"/>
                <w:sz w:val="24"/>
                <w:szCs w:val="24"/>
                <w:vertAlign w:val="superscript"/>
              </w:rPr>
              <w:t>c</w:t>
            </w:r>
            <w:proofErr w:type="spellEnd"/>
          </w:p>
        </w:tc>
        <w:tc>
          <w:tcPr>
            <w:tcW w:w="1212" w:type="dxa"/>
            <w:vAlign w:val="center"/>
          </w:tcPr>
          <w:p w14:paraId="73B8062D" w14:textId="77777777" w:rsidR="00757CB1" w:rsidRPr="00513188" w:rsidRDefault="00B616A7">
            <w:pPr>
              <w:rPr>
                <w:color w:val="000000" w:themeColor="text1"/>
                <w:sz w:val="24"/>
                <w:szCs w:val="24"/>
              </w:rPr>
            </w:pPr>
            <w:r w:rsidRPr="00513188">
              <w:rPr>
                <w:color w:val="000000" w:themeColor="text1"/>
                <w:sz w:val="24"/>
                <w:szCs w:val="24"/>
              </w:rPr>
              <w:t>29.7 (11.5)</w:t>
            </w:r>
          </w:p>
        </w:tc>
        <w:tc>
          <w:tcPr>
            <w:tcW w:w="1256" w:type="dxa"/>
            <w:vAlign w:val="center"/>
          </w:tcPr>
          <w:p w14:paraId="75D1EB20" w14:textId="77777777" w:rsidR="00757CB1" w:rsidRPr="00513188" w:rsidRDefault="00B616A7">
            <w:pPr>
              <w:rPr>
                <w:color w:val="000000" w:themeColor="text1"/>
                <w:sz w:val="24"/>
                <w:szCs w:val="24"/>
              </w:rPr>
            </w:pPr>
            <w:r w:rsidRPr="00513188">
              <w:rPr>
                <w:color w:val="000000" w:themeColor="text1"/>
                <w:sz w:val="24"/>
                <w:szCs w:val="24"/>
              </w:rPr>
              <w:t>29.8 (10.8)</w:t>
            </w:r>
          </w:p>
        </w:tc>
        <w:tc>
          <w:tcPr>
            <w:tcW w:w="1350" w:type="dxa"/>
            <w:shd w:val="clear" w:color="auto" w:fill="auto"/>
            <w:vAlign w:val="center"/>
          </w:tcPr>
          <w:p w14:paraId="1136115B" w14:textId="77777777" w:rsidR="00757CB1" w:rsidRPr="00513188" w:rsidRDefault="00B616A7">
            <w:pPr>
              <w:rPr>
                <w:color w:val="000000" w:themeColor="text1"/>
                <w:sz w:val="24"/>
                <w:szCs w:val="24"/>
              </w:rPr>
            </w:pPr>
            <w:r w:rsidRPr="00513188">
              <w:rPr>
                <w:color w:val="000000" w:themeColor="text1"/>
                <w:sz w:val="24"/>
                <w:szCs w:val="24"/>
              </w:rPr>
              <w:t>0.0 (0.6)</w:t>
            </w:r>
          </w:p>
        </w:tc>
        <w:tc>
          <w:tcPr>
            <w:tcW w:w="1350" w:type="dxa"/>
            <w:shd w:val="clear" w:color="auto" w:fill="auto"/>
            <w:vAlign w:val="center"/>
          </w:tcPr>
          <w:p w14:paraId="624484BB" w14:textId="77777777" w:rsidR="00757CB1" w:rsidRPr="00513188" w:rsidRDefault="00B616A7">
            <w:pPr>
              <w:rPr>
                <w:color w:val="000000" w:themeColor="text1"/>
                <w:sz w:val="24"/>
                <w:szCs w:val="24"/>
              </w:rPr>
            </w:pPr>
            <w:r w:rsidRPr="00513188">
              <w:rPr>
                <w:color w:val="000000" w:themeColor="text1"/>
                <w:sz w:val="24"/>
                <w:szCs w:val="24"/>
              </w:rPr>
              <w:t>−8.9 (0.9)</w:t>
            </w:r>
          </w:p>
        </w:tc>
        <w:tc>
          <w:tcPr>
            <w:tcW w:w="1530" w:type="dxa"/>
            <w:shd w:val="clear" w:color="auto" w:fill="auto"/>
            <w:vAlign w:val="center"/>
          </w:tcPr>
          <w:p w14:paraId="79A4EE5E" w14:textId="77777777" w:rsidR="00757CB1" w:rsidRPr="00513188" w:rsidRDefault="00B616A7">
            <w:pPr>
              <w:rPr>
                <w:color w:val="000000" w:themeColor="text1"/>
                <w:sz w:val="24"/>
                <w:szCs w:val="24"/>
              </w:rPr>
            </w:pPr>
            <w:r w:rsidRPr="00513188">
              <w:rPr>
                <w:color w:val="000000" w:themeColor="text1"/>
                <w:sz w:val="24"/>
                <w:szCs w:val="24"/>
              </w:rPr>
              <w:t>9.0</w:t>
            </w:r>
          </w:p>
          <w:p w14:paraId="475996B1" w14:textId="77777777" w:rsidR="00757CB1" w:rsidRPr="00513188" w:rsidRDefault="00B616A7">
            <w:pPr>
              <w:rPr>
                <w:color w:val="000000" w:themeColor="text1"/>
                <w:sz w:val="24"/>
                <w:szCs w:val="24"/>
              </w:rPr>
            </w:pPr>
            <w:r w:rsidRPr="00513188">
              <w:rPr>
                <w:color w:val="000000" w:themeColor="text1"/>
                <w:sz w:val="24"/>
                <w:szCs w:val="24"/>
              </w:rPr>
              <w:t>(7.0, 10.9)</w:t>
            </w:r>
          </w:p>
        </w:tc>
        <w:tc>
          <w:tcPr>
            <w:tcW w:w="1079" w:type="dxa"/>
            <w:shd w:val="clear" w:color="auto" w:fill="auto"/>
            <w:vAlign w:val="center"/>
          </w:tcPr>
          <w:p w14:paraId="52F6D898" w14:textId="77777777" w:rsidR="00757CB1" w:rsidRPr="00513188" w:rsidRDefault="00B616A7">
            <w:pPr>
              <w:rPr>
                <w:color w:val="000000" w:themeColor="text1"/>
                <w:sz w:val="24"/>
                <w:szCs w:val="24"/>
              </w:rPr>
            </w:pPr>
            <w:r w:rsidRPr="00513188">
              <w:rPr>
                <w:color w:val="000000" w:themeColor="text1"/>
                <w:sz w:val="24"/>
                <w:szCs w:val="24"/>
              </w:rPr>
              <w:t>p &lt; 0.001</w:t>
            </w:r>
          </w:p>
        </w:tc>
      </w:tr>
      <w:tr w:rsidR="00757CB1" w:rsidRPr="00513188" w14:paraId="054BB919" w14:textId="77777777">
        <w:trPr>
          <w:cantSplit/>
        </w:trPr>
        <w:tc>
          <w:tcPr>
            <w:tcW w:w="1510" w:type="dxa"/>
            <w:shd w:val="clear" w:color="auto" w:fill="auto"/>
            <w:vAlign w:val="center"/>
          </w:tcPr>
          <w:p w14:paraId="4C2AEF3B" w14:textId="77777777" w:rsidR="00757CB1" w:rsidRPr="00513188" w:rsidRDefault="00B616A7">
            <w:pPr>
              <w:rPr>
                <w:color w:val="000000" w:themeColor="text1"/>
                <w:sz w:val="24"/>
                <w:szCs w:val="24"/>
              </w:rPr>
            </w:pPr>
            <w:r w:rsidRPr="00513188">
              <w:rPr>
                <w:color w:val="000000" w:themeColor="text1"/>
                <w:sz w:val="24"/>
                <w:szCs w:val="24"/>
              </w:rPr>
              <w:t>10-metre walk test (m/</w:t>
            </w:r>
            <w:proofErr w:type="gramStart"/>
            <w:r w:rsidRPr="00513188">
              <w:rPr>
                <w:color w:val="000000" w:themeColor="text1"/>
                <w:sz w:val="24"/>
                <w:szCs w:val="24"/>
              </w:rPr>
              <w:t>sec)</w:t>
            </w:r>
            <w:r w:rsidRPr="00513188">
              <w:rPr>
                <w:color w:val="000000" w:themeColor="text1"/>
                <w:sz w:val="24"/>
                <w:szCs w:val="24"/>
                <w:vertAlign w:val="superscript"/>
              </w:rPr>
              <w:t>c</w:t>
            </w:r>
            <w:proofErr w:type="gramEnd"/>
          </w:p>
        </w:tc>
        <w:tc>
          <w:tcPr>
            <w:tcW w:w="1212" w:type="dxa"/>
            <w:vAlign w:val="center"/>
          </w:tcPr>
          <w:p w14:paraId="2628834D" w14:textId="77777777" w:rsidR="00757CB1" w:rsidRPr="00513188" w:rsidRDefault="00B616A7">
            <w:pPr>
              <w:rPr>
                <w:color w:val="000000" w:themeColor="text1"/>
                <w:sz w:val="24"/>
                <w:szCs w:val="24"/>
              </w:rPr>
            </w:pPr>
            <w:r w:rsidRPr="00513188">
              <w:rPr>
                <w:color w:val="000000" w:themeColor="text1"/>
                <w:sz w:val="24"/>
                <w:szCs w:val="24"/>
              </w:rPr>
              <w:t>0.80 (0.40)</w:t>
            </w:r>
          </w:p>
        </w:tc>
        <w:tc>
          <w:tcPr>
            <w:tcW w:w="1256" w:type="dxa"/>
            <w:vAlign w:val="center"/>
          </w:tcPr>
          <w:p w14:paraId="7B41E4C8" w14:textId="77777777" w:rsidR="00757CB1" w:rsidRPr="00513188" w:rsidRDefault="00B616A7">
            <w:pPr>
              <w:rPr>
                <w:color w:val="000000" w:themeColor="text1"/>
                <w:sz w:val="24"/>
                <w:szCs w:val="24"/>
              </w:rPr>
            </w:pPr>
            <w:r w:rsidRPr="00513188">
              <w:rPr>
                <w:color w:val="000000" w:themeColor="text1"/>
                <w:sz w:val="24"/>
                <w:szCs w:val="24"/>
              </w:rPr>
              <w:t>0.79 (0.32)</w:t>
            </w:r>
          </w:p>
        </w:tc>
        <w:tc>
          <w:tcPr>
            <w:tcW w:w="1350" w:type="dxa"/>
            <w:shd w:val="clear" w:color="auto" w:fill="auto"/>
            <w:vAlign w:val="center"/>
          </w:tcPr>
          <w:p w14:paraId="29F2B542" w14:textId="77777777" w:rsidR="00757CB1" w:rsidRPr="00513188" w:rsidRDefault="00B616A7">
            <w:pPr>
              <w:rPr>
                <w:color w:val="000000" w:themeColor="text1"/>
                <w:sz w:val="24"/>
                <w:szCs w:val="24"/>
              </w:rPr>
            </w:pPr>
            <w:r w:rsidRPr="00513188">
              <w:rPr>
                <w:color w:val="000000" w:themeColor="text1"/>
                <w:sz w:val="24"/>
                <w:szCs w:val="24"/>
              </w:rPr>
              <w:t>0.08 (0.02)</w:t>
            </w:r>
          </w:p>
        </w:tc>
        <w:tc>
          <w:tcPr>
            <w:tcW w:w="1350" w:type="dxa"/>
            <w:shd w:val="clear" w:color="auto" w:fill="auto"/>
            <w:vAlign w:val="center"/>
          </w:tcPr>
          <w:p w14:paraId="5F206E54" w14:textId="77777777" w:rsidR="00757CB1" w:rsidRPr="00513188" w:rsidRDefault="00B616A7">
            <w:pPr>
              <w:rPr>
                <w:color w:val="000000" w:themeColor="text1"/>
                <w:sz w:val="24"/>
                <w:szCs w:val="24"/>
              </w:rPr>
            </w:pPr>
            <w:r w:rsidRPr="00513188">
              <w:rPr>
                <w:color w:val="000000" w:themeColor="text1"/>
                <w:sz w:val="24"/>
                <w:szCs w:val="24"/>
              </w:rPr>
              <w:t>−0.24 (0.04)</w:t>
            </w:r>
          </w:p>
        </w:tc>
        <w:tc>
          <w:tcPr>
            <w:tcW w:w="1530" w:type="dxa"/>
            <w:shd w:val="clear" w:color="auto" w:fill="auto"/>
            <w:vAlign w:val="center"/>
          </w:tcPr>
          <w:p w14:paraId="7A35860C" w14:textId="77777777" w:rsidR="00757CB1" w:rsidRPr="00513188" w:rsidRDefault="00B616A7">
            <w:pPr>
              <w:rPr>
                <w:color w:val="000000" w:themeColor="text1"/>
                <w:sz w:val="24"/>
                <w:szCs w:val="24"/>
              </w:rPr>
            </w:pPr>
            <w:r w:rsidRPr="00513188">
              <w:rPr>
                <w:color w:val="000000" w:themeColor="text1"/>
                <w:sz w:val="24"/>
                <w:szCs w:val="24"/>
              </w:rPr>
              <w:t>0.31</w:t>
            </w:r>
          </w:p>
          <w:p w14:paraId="72646C06" w14:textId="77777777" w:rsidR="00757CB1" w:rsidRPr="00513188" w:rsidRDefault="00B616A7">
            <w:pPr>
              <w:rPr>
                <w:color w:val="000000" w:themeColor="text1"/>
                <w:sz w:val="24"/>
                <w:szCs w:val="24"/>
              </w:rPr>
            </w:pPr>
            <w:r w:rsidRPr="00513188">
              <w:rPr>
                <w:color w:val="000000" w:themeColor="text1"/>
                <w:sz w:val="24"/>
                <w:szCs w:val="24"/>
              </w:rPr>
              <w:t>(0.23, 0.39)</w:t>
            </w:r>
          </w:p>
        </w:tc>
        <w:tc>
          <w:tcPr>
            <w:tcW w:w="1079" w:type="dxa"/>
            <w:shd w:val="clear" w:color="auto" w:fill="auto"/>
            <w:vAlign w:val="center"/>
          </w:tcPr>
          <w:p w14:paraId="11911127" w14:textId="77777777" w:rsidR="00757CB1" w:rsidRPr="00513188" w:rsidRDefault="00B616A7">
            <w:pPr>
              <w:rPr>
                <w:color w:val="000000" w:themeColor="text1"/>
                <w:sz w:val="24"/>
                <w:szCs w:val="24"/>
              </w:rPr>
            </w:pPr>
            <w:r w:rsidRPr="00513188">
              <w:rPr>
                <w:color w:val="000000" w:themeColor="text1"/>
                <w:sz w:val="24"/>
                <w:szCs w:val="24"/>
              </w:rPr>
              <w:t>p &lt; 0.001</w:t>
            </w:r>
          </w:p>
        </w:tc>
      </w:tr>
      <w:tr w:rsidR="00757CB1" w:rsidRPr="00513188" w14:paraId="3E62D034" w14:textId="77777777">
        <w:tc>
          <w:tcPr>
            <w:tcW w:w="1510" w:type="dxa"/>
            <w:shd w:val="clear" w:color="auto" w:fill="auto"/>
            <w:vAlign w:val="center"/>
          </w:tcPr>
          <w:p w14:paraId="4508A2D6" w14:textId="77777777" w:rsidR="00757CB1" w:rsidRPr="00513188" w:rsidRDefault="00B616A7">
            <w:pPr>
              <w:rPr>
                <w:color w:val="000000" w:themeColor="text1"/>
                <w:sz w:val="24"/>
                <w:szCs w:val="24"/>
              </w:rPr>
            </w:pPr>
            <w:proofErr w:type="spellStart"/>
            <w:r w:rsidRPr="00513188">
              <w:rPr>
                <w:color w:val="000000" w:themeColor="text1"/>
                <w:sz w:val="24"/>
                <w:szCs w:val="24"/>
              </w:rPr>
              <w:t>mBMI</w:t>
            </w:r>
            <w:r w:rsidRPr="00513188">
              <w:rPr>
                <w:color w:val="000000" w:themeColor="text1"/>
                <w:sz w:val="24"/>
                <w:szCs w:val="24"/>
                <w:vertAlign w:val="superscript"/>
              </w:rPr>
              <w:t>d</w:t>
            </w:r>
            <w:proofErr w:type="spellEnd"/>
          </w:p>
        </w:tc>
        <w:tc>
          <w:tcPr>
            <w:tcW w:w="1212" w:type="dxa"/>
            <w:vAlign w:val="center"/>
          </w:tcPr>
          <w:p w14:paraId="775BD2C4" w14:textId="77777777" w:rsidR="00757CB1" w:rsidRPr="00513188" w:rsidRDefault="00B616A7">
            <w:pPr>
              <w:rPr>
                <w:color w:val="000000" w:themeColor="text1"/>
                <w:sz w:val="24"/>
                <w:szCs w:val="24"/>
              </w:rPr>
            </w:pPr>
            <w:r w:rsidRPr="00513188">
              <w:rPr>
                <w:color w:val="000000" w:themeColor="text1"/>
                <w:sz w:val="24"/>
                <w:szCs w:val="24"/>
              </w:rPr>
              <w:t>970 (210)</w:t>
            </w:r>
          </w:p>
        </w:tc>
        <w:tc>
          <w:tcPr>
            <w:tcW w:w="1256" w:type="dxa"/>
            <w:vAlign w:val="center"/>
          </w:tcPr>
          <w:p w14:paraId="18B1A00B" w14:textId="77777777" w:rsidR="00757CB1" w:rsidRPr="00513188" w:rsidRDefault="00B616A7">
            <w:pPr>
              <w:rPr>
                <w:color w:val="000000" w:themeColor="text1"/>
                <w:sz w:val="24"/>
                <w:szCs w:val="24"/>
              </w:rPr>
            </w:pPr>
            <w:r w:rsidRPr="00513188">
              <w:rPr>
                <w:color w:val="000000" w:themeColor="text1"/>
                <w:sz w:val="24"/>
                <w:szCs w:val="24"/>
              </w:rPr>
              <w:t>990 (214)</w:t>
            </w:r>
          </w:p>
        </w:tc>
        <w:tc>
          <w:tcPr>
            <w:tcW w:w="1350" w:type="dxa"/>
            <w:shd w:val="clear" w:color="auto" w:fill="auto"/>
            <w:vAlign w:val="center"/>
          </w:tcPr>
          <w:p w14:paraId="71557CC4" w14:textId="77777777" w:rsidR="00757CB1" w:rsidRPr="00513188" w:rsidRDefault="00B616A7">
            <w:pPr>
              <w:rPr>
                <w:color w:val="000000" w:themeColor="text1"/>
                <w:sz w:val="24"/>
                <w:szCs w:val="24"/>
              </w:rPr>
            </w:pPr>
            <w:r w:rsidRPr="00513188">
              <w:rPr>
                <w:color w:val="000000" w:themeColor="text1"/>
                <w:sz w:val="24"/>
                <w:szCs w:val="24"/>
              </w:rPr>
              <w:t>−3.7 (9.6)</w:t>
            </w:r>
          </w:p>
        </w:tc>
        <w:tc>
          <w:tcPr>
            <w:tcW w:w="1350" w:type="dxa"/>
            <w:shd w:val="clear" w:color="auto" w:fill="auto"/>
            <w:vAlign w:val="center"/>
          </w:tcPr>
          <w:p w14:paraId="77A062EF" w14:textId="77777777" w:rsidR="00757CB1" w:rsidRPr="00513188" w:rsidRDefault="00B616A7">
            <w:pPr>
              <w:rPr>
                <w:color w:val="000000" w:themeColor="text1"/>
                <w:sz w:val="24"/>
                <w:szCs w:val="24"/>
              </w:rPr>
            </w:pPr>
            <w:r w:rsidRPr="00513188">
              <w:rPr>
                <w:color w:val="000000" w:themeColor="text1"/>
                <w:sz w:val="24"/>
                <w:szCs w:val="24"/>
              </w:rPr>
              <w:t>−119 (14.5)</w:t>
            </w:r>
          </w:p>
        </w:tc>
        <w:tc>
          <w:tcPr>
            <w:tcW w:w="1530" w:type="dxa"/>
            <w:shd w:val="clear" w:color="auto" w:fill="auto"/>
            <w:vAlign w:val="center"/>
          </w:tcPr>
          <w:p w14:paraId="5F007537" w14:textId="77777777" w:rsidR="00757CB1" w:rsidRPr="00513188" w:rsidRDefault="00B616A7">
            <w:pPr>
              <w:rPr>
                <w:color w:val="000000" w:themeColor="text1"/>
                <w:sz w:val="24"/>
                <w:szCs w:val="24"/>
              </w:rPr>
            </w:pPr>
            <w:r w:rsidRPr="00513188">
              <w:rPr>
                <w:color w:val="000000" w:themeColor="text1"/>
                <w:sz w:val="24"/>
                <w:szCs w:val="24"/>
              </w:rPr>
              <w:t>116</w:t>
            </w:r>
          </w:p>
          <w:p w14:paraId="2F9DABB4" w14:textId="77777777" w:rsidR="00757CB1" w:rsidRPr="00513188" w:rsidRDefault="00B616A7">
            <w:pPr>
              <w:rPr>
                <w:color w:val="000000" w:themeColor="text1"/>
                <w:sz w:val="24"/>
                <w:szCs w:val="24"/>
              </w:rPr>
            </w:pPr>
            <w:r w:rsidRPr="00513188">
              <w:rPr>
                <w:color w:val="000000" w:themeColor="text1"/>
                <w:sz w:val="24"/>
                <w:szCs w:val="24"/>
              </w:rPr>
              <w:t>(82, 149)</w:t>
            </w:r>
          </w:p>
        </w:tc>
        <w:tc>
          <w:tcPr>
            <w:tcW w:w="1079" w:type="dxa"/>
            <w:shd w:val="clear" w:color="auto" w:fill="auto"/>
            <w:vAlign w:val="center"/>
          </w:tcPr>
          <w:p w14:paraId="4ED0E15F" w14:textId="77777777" w:rsidR="00757CB1" w:rsidRPr="00513188" w:rsidRDefault="00B616A7">
            <w:pPr>
              <w:rPr>
                <w:color w:val="000000" w:themeColor="text1"/>
                <w:sz w:val="24"/>
                <w:szCs w:val="24"/>
              </w:rPr>
            </w:pPr>
            <w:r w:rsidRPr="00513188">
              <w:rPr>
                <w:color w:val="000000" w:themeColor="text1"/>
                <w:sz w:val="24"/>
                <w:szCs w:val="24"/>
              </w:rPr>
              <w:t>p &lt; 0.001</w:t>
            </w:r>
          </w:p>
        </w:tc>
      </w:tr>
      <w:tr w:rsidR="00757CB1" w:rsidRPr="00513188" w14:paraId="0D402BD0" w14:textId="77777777">
        <w:tc>
          <w:tcPr>
            <w:tcW w:w="1510" w:type="dxa"/>
            <w:tcBorders>
              <w:bottom w:val="single" w:sz="4" w:space="0" w:color="auto"/>
            </w:tcBorders>
            <w:shd w:val="clear" w:color="auto" w:fill="auto"/>
            <w:vAlign w:val="center"/>
          </w:tcPr>
          <w:p w14:paraId="6FDA3ACC" w14:textId="77777777" w:rsidR="00757CB1" w:rsidRPr="00513188" w:rsidRDefault="00B616A7">
            <w:pPr>
              <w:rPr>
                <w:color w:val="000000" w:themeColor="text1"/>
                <w:sz w:val="24"/>
                <w:szCs w:val="24"/>
              </w:rPr>
            </w:pPr>
            <w:r w:rsidRPr="00513188">
              <w:rPr>
                <w:color w:val="000000" w:themeColor="text1"/>
                <w:sz w:val="24"/>
                <w:szCs w:val="24"/>
              </w:rPr>
              <w:lastRenderedPageBreak/>
              <w:t>COMPASS 31</w:t>
            </w:r>
            <w:r w:rsidRPr="00513188">
              <w:rPr>
                <w:color w:val="000000" w:themeColor="text1"/>
                <w:sz w:val="24"/>
                <w:szCs w:val="24"/>
                <w:vertAlign w:val="superscript"/>
              </w:rPr>
              <w:t>b</w:t>
            </w:r>
          </w:p>
        </w:tc>
        <w:tc>
          <w:tcPr>
            <w:tcW w:w="1212" w:type="dxa"/>
            <w:tcBorders>
              <w:bottom w:val="single" w:sz="4" w:space="0" w:color="auto"/>
            </w:tcBorders>
            <w:vAlign w:val="center"/>
          </w:tcPr>
          <w:p w14:paraId="220E9122" w14:textId="77777777" w:rsidR="00757CB1" w:rsidRPr="00513188" w:rsidRDefault="00B616A7">
            <w:pPr>
              <w:rPr>
                <w:color w:val="000000" w:themeColor="text1"/>
                <w:sz w:val="24"/>
                <w:szCs w:val="24"/>
              </w:rPr>
            </w:pPr>
            <w:r w:rsidRPr="00513188">
              <w:rPr>
                <w:color w:val="000000" w:themeColor="text1"/>
                <w:sz w:val="24"/>
                <w:szCs w:val="24"/>
              </w:rPr>
              <w:t>30.6 (17.6)</w:t>
            </w:r>
          </w:p>
        </w:tc>
        <w:tc>
          <w:tcPr>
            <w:tcW w:w="1256" w:type="dxa"/>
            <w:tcBorders>
              <w:bottom w:val="single" w:sz="4" w:space="0" w:color="auto"/>
            </w:tcBorders>
            <w:vAlign w:val="center"/>
          </w:tcPr>
          <w:p w14:paraId="23E283EB" w14:textId="77777777" w:rsidR="00757CB1" w:rsidRPr="00513188" w:rsidRDefault="00B616A7">
            <w:pPr>
              <w:rPr>
                <w:color w:val="000000" w:themeColor="text1"/>
                <w:sz w:val="24"/>
                <w:szCs w:val="24"/>
              </w:rPr>
            </w:pPr>
            <w:r w:rsidRPr="00513188">
              <w:rPr>
                <w:color w:val="000000" w:themeColor="text1"/>
                <w:sz w:val="24"/>
                <w:szCs w:val="24"/>
              </w:rPr>
              <w:t>30.3 (16.4)</w:t>
            </w:r>
          </w:p>
        </w:tc>
        <w:tc>
          <w:tcPr>
            <w:tcW w:w="1350" w:type="dxa"/>
            <w:tcBorders>
              <w:bottom w:val="single" w:sz="4" w:space="0" w:color="auto"/>
            </w:tcBorders>
            <w:shd w:val="clear" w:color="auto" w:fill="auto"/>
            <w:vAlign w:val="center"/>
          </w:tcPr>
          <w:p w14:paraId="43EB9B8C" w14:textId="77777777" w:rsidR="00757CB1" w:rsidRPr="00513188" w:rsidRDefault="00B616A7">
            <w:pPr>
              <w:rPr>
                <w:color w:val="000000" w:themeColor="text1"/>
                <w:sz w:val="24"/>
                <w:szCs w:val="24"/>
              </w:rPr>
            </w:pPr>
            <w:r w:rsidRPr="00513188">
              <w:rPr>
                <w:color w:val="000000" w:themeColor="text1"/>
                <w:sz w:val="24"/>
                <w:szCs w:val="24"/>
              </w:rPr>
              <w:t>−5.3 (1.3)</w:t>
            </w:r>
          </w:p>
        </w:tc>
        <w:tc>
          <w:tcPr>
            <w:tcW w:w="1350" w:type="dxa"/>
            <w:tcBorders>
              <w:bottom w:val="single" w:sz="4" w:space="0" w:color="auto"/>
            </w:tcBorders>
            <w:shd w:val="clear" w:color="auto" w:fill="auto"/>
            <w:vAlign w:val="center"/>
          </w:tcPr>
          <w:p w14:paraId="40BB2725" w14:textId="77777777" w:rsidR="00757CB1" w:rsidRPr="00513188" w:rsidRDefault="00B616A7">
            <w:pPr>
              <w:rPr>
                <w:color w:val="000000" w:themeColor="text1"/>
                <w:sz w:val="24"/>
                <w:szCs w:val="24"/>
              </w:rPr>
            </w:pPr>
            <w:r w:rsidRPr="00513188">
              <w:rPr>
                <w:color w:val="000000" w:themeColor="text1"/>
                <w:sz w:val="24"/>
                <w:szCs w:val="24"/>
              </w:rPr>
              <w:t>2.2 (1.9)</w:t>
            </w:r>
          </w:p>
        </w:tc>
        <w:tc>
          <w:tcPr>
            <w:tcW w:w="1530" w:type="dxa"/>
            <w:tcBorders>
              <w:bottom w:val="single" w:sz="4" w:space="0" w:color="auto"/>
            </w:tcBorders>
            <w:shd w:val="clear" w:color="auto" w:fill="auto"/>
            <w:vAlign w:val="center"/>
          </w:tcPr>
          <w:p w14:paraId="66D995C0" w14:textId="77777777" w:rsidR="00757CB1" w:rsidRPr="00513188" w:rsidRDefault="00B616A7">
            <w:pPr>
              <w:rPr>
                <w:color w:val="000000" w:themeColor="text1"/>
                <w:sz w:val="24"/>
                <w:szCs w:val="24"/>
              </w:rPr>
            </w:pPr>
            <w:r w:rsidRPr="00513188">
              <w:rPr>
                <w:color w:val="000000" w:themeColor="text1"/>
                <w:sz w:val="24"/>
                <w:szCs w:val="24"/>
              </w:rPr>
              <w:t>−7.5</w:t>
            </w:r>
          </w:p>
          <w:p w14:paraId="4452C263" w14:textId="77777777" w:rsidR="00757CB1" w:rsidRPr="00513188" w:rsidRDefault="00B616A7">
            <w:pPr>
              <w:rPr>
                <w:color w:val="000000" w:themeColor="text1"/>
                <w:sz w:val="24"/>
                <w:szCs w:val="24"/>
              </w:rPr>
            </w:pPr>
            <w:r w:rsidRPr="00513188">
              <w:rPr>
                <w:color w:val="000000" w:themeColor="text1"/>
                <w:sz w:val="24"/>
                <w:szCs w:val="24"/>
              </w:rPr>
              <w:t>(−11.9, −3.2)</w:t>
            </w:r>
          </w:p>
        </w:tc>
        <w:tc>
          <w:tcPr>
            <w:tcW w:w="1079" w:type="dxa"/>
            <w:tcBorders>
              <w:bottom w:val="single" w:sz="4" w:space="0" w:color="auto"/>
            </w:tcBorders>
            <w:shd w:val="clear" w:color="auto" w:fill="auto"/>
            <w:vAlign w:val="center"/>
          </w:tcPr>
          <w:p w14:paraId="35F82F6D" w14:textId="77777777" w:rsidR="00757CB1" w:rsidRPr="00513188" w:rsidRDefault="00B616A7">
            <w:pPr>
              <w:rPr>
                <w:color w:val="000000" w:themeColor="text1"/>
                <w:sz w:val="24"/>
                <w:szCs w:val="24"/>
              </w:rPr>
            </w:pPr>
            <w:r w:rsidRPr="00513188">
              <w:rPr>
                <w:color w:val="000000" w:themeColor="text1"/>
                <w:sz w:val="24"/>
                <w:szCs w:val="24"/>
              </w:rPr>
              <w:t>p &lt; 0.001</w:t>
            </w:r>
          </w:p>
        </w:tc>
      </w:tr>
      <w:tr w:rsidR="00757CB1" w:rsidRPr="00513188" w14:paraId="00CA6A93" w14:textId="77777777">
        <w:tc>
          <w:tcPr>
            <w:tcW w:w="9287" w:type="dxa"/>
            <w:gridSpan w:val="7"/>
            <w:tcBorders>
              <w:top w:val="single" w:sz="4" w:space="0" w:color="auto"/>
              <w:left w:val="nil"/>
              <w:bottom w:val="nil"/>
              <w:right w:val="nil"/>
            </w:tcBorders>
            <w:shd w:val="clear" w:color="auto" w:fill="auto"/>
            <w:vAlign w:val="center"/>
          </w:tcPr>
          <w:p w14:paraId="71DD7B6A" w14:textId="77777777" w:rsidR="00757CB1" w:rsidRPr="00513188" w:rsidRDefault="00B616A7">
            <w:pPr>
              <w:rPr>
                <w:color w:val="000000" w:themeColor="text1"/>
                <w:sz w:val="20"/>
              </w:rPr>
            </w:pPr>
            <w:r w:rsidRPr="00513188">
              <w:rPr>
                <w:color w:val="000000" w:themeColor="text1"/>
                <w:sz w:val="20"/>
              </w:rPr>
              <w:t xml:space="preserve">SD, standard deviation; LS mean, least squares mean; SEM, standard error of the mean; CI, confidence interval, NIS-W, NIS-weakness (motor strength); R-ODS, Rasch-Built Overall Disability (patient reported ability to perform activities of daily living); 10-metre walk test (gait speed); </w:t>
            </w:r>
            <w:proofErr w:type="spellStart"/>
            <w:r w:rsidRPr="00513188">
              <w:rPr>
                <w:color w:val="000000" w:themeColor="text1"/>
                <w:sz w:val="20"/>
              </w:rPr>
              <w:t>mBMI</w:t>
            </w:r>
            <w:proofErr w:type="spellEnd"/>
            <w:r w:rsidRPr="00513188">
              <w:rPr>
                <w:color w:val="000000" w:themeColor="text1"/>
                <w:sz w:val="20"/>
              </w:rPr>
              <w:t>, modified body mass index (nutritional status); COMPASS 31, Composite Autonomic Symptom Score 31 (patient reported symptom score)</w:t>
            </w:r>
          </w:p>
          <w:p w14:paraId="58D47BD4" w14:textId="77777777" w:rsidR="00757CB1" w:rsidRPr="00513188" w:rsidRDefault="00757CB1">
            <w:pPr>
              <w:rPr>
                <w:color w:val="000000" w:themeColor="text1"/>
                <w:sz w:val="20"/>
              </w:rPr>
            </w:pPr>
          </w:p>
          <w:p w14:paraId="6A9F6AA0" w14:textId="77777777" w:rsidR="00757CB1" w:rsidRPr="00513188" w:rsidRDefault="00B616A7">
            <w:pPr>
              <w:rPr>
                <w:color w:val="000000" w:themeColor="text1"/>
                <w:sz w:val="24"/>
                <w:szCs w:val="24"/>
              </w:rPr>
            </w:pPr>
            <w:proofErr w:type="spellStart"/>
            <w:r w:rsidRPr="00513188">
              <w:rPr>
                <w:color w:val="000000"/>
                <w:sz w:val="20"/>
                <w:vertAlign w:val="superscript"/>
              </w:rPr>
              <w:t>a</w:t>
            </w:r>
            <w:r w:rsidRPr="00513188">
              <w:rPr>
                <w:color w:val="000000"/>
                <w:sz w:val="20"/>
              </w:rPr>
              <w:t>All</w:t>
            </w:r>
            <w:proofErr w:type="spellEnd"/>
            <w:r w:rsidRPr="00513188">
              <w:rPr>
                <w:color w:val="000000"/>
                <w:sz w:val="20"/>
              </w:rPr>
              <w:t xml:space="preserve"> endpoints analysed using the mixed-effect model repeated measures (MMRM) method.</w:t>
            </w:r>
            <w:r w:rsidRPr="00513188">
              <w:br w:type="textWrapping" w:clear="all"/>
            </w:r>
            <w:bookmarkStart w:id="8" w:name="_Hlk517975039"/>
            <w:proofErr w:type="spellStart"/>
            <w:r w:rsidRPr="00513188">
              <w:rPr>
                <w:color w:val="000000"/>
                <w:sz w:val="20"/>
                <w:vertAlign w:val="superscript"/>
              </w:rPr>
              <w:t>b</w:t>
            </w:r>
            <w:r w:rsidRPr="00513188">
              <w:rPr>
                <w:color w:val="000000"/>
                <w:sz w:val="20"/>
              </w:rPr>
              <w:t>A</w:t>
            </w:r>
            <w:proofErr w:type="spellEnd"/>
            <w:r w:rsidRPr="00513188">
              <w:rPr>
                <w:color w:val="000000"/>
                <w:sz w:val="20"/>
              </w:rPr>
              <w:t xml:space="preserve"> lower number indicates less impairment/fewer symptoms.</w:t>
            </w:r>
            <w:r w:rsidRPr="00513188">
              <w:br w:type="textWrapping" w:clear="all"/>
            </w:r>
            <w:bookmarkStart w:id="9" w:name="_Hlk517975061"/>
            <w:bookmarkEnd w:id="8"/>
            <w:proofErr w:type="spellStart"/>
            <w:r w:rsidRPr="00513188">
              <w:rPr>
                <w:color w:val="000000"/>
                <w:sz w:val="20"/>
                <w:vertAlign w:val="superscript"/>
              </w:rPr>
              <w:t>c</w:t>
            </w:r>
            <w:r w:rsidRPr="00513188">
              <w:rPr>
                <w:color w:val="000000"/>
                <w:sz w:val="20"/>
              </w:rPr>
              <w:t>A</w:t>
            </w:r>
            <w:proofErr w:type="spellEnd"/>
            <w:r w:rsidRPr="00513188">
              <w:rPr>
                <w:color w:val="000000"/>
                <w:sz w:val="20"/>
              </w:rPr>
              <w:t xml:space="preserve"> higher number indicates less disability/less impairment. </w:t>
            </w:r>
            <w:bookmarkEnd w:id="9"/>
            <w:r w:rsidRPr="00513188">
              <w:br w:type="textWrapping" w:clear="all"/>
            </w:r>
            <w:proofErr w:type="spellStart"/>
            <w:r w:rsidRPr="00513188">
              <w:rPr>
                <w:color w:val="000000"/>
                <w:sz w:val="20"/>
              </w:rPr>
              <w:t>dmBMI</w:t>
            </w:r>
            <w:proofErr w:type="spellEnd"/>
            <w:r w:rsidRPr="00513188">
              <w:rPr>
                <w:color w:val="000000"/>
                <w:sz w:val="20"/>
              </w:rPr>
              <w:t>: body mass index (BMI; kg/m2) multiplied by serum albumin (g/L); a higher number indicates better nutritional status; nutritional status favoured Onpattro as early as 3 months.</w:t>
            </w:r>
          </w:p>
        </w:tc>
      </w:tr>
    </w:tbl>
    <w:p w14:paraId="706732D6" w14:textId="77777777" w:rsidR="00757CB1" w:rsidRPr="00513188" w:rsidRDefault="00757CB1">
      <w:pPr>
        <w:rPr>
          <w:color w:val="000000" w:themeColor="text1"/>
          <w:sz w:val="24"/>
          <w:szCs w:val="24"/>
        </w:rPr>
      </w:pPr>
    </w:p>
    <w:p w14:paraId="421626BE" w14:textId="74084FBD" w:rsidR="00757CB1" w:rsidRPr="00513188" w:rsidRDefault="00B616A7">
      <w:pPr>
        <w:rPr>
          <w:color w:val="000000" w:themeColor="text1"/>
          <w:sz w:val="24"/>
          <w:szCs w:val="24"/>
        </w:rPr>
      </w:pPr>
      <w:r w:rsidRPr="00513188">
        <w:rPr>
          <w:color w:val="000000" w:themeColor="text1"/>
          <w:sz w:val="24"/>
          <w:szCs w:val="24"/>
        </w:rPr>
        <w:t xml:space="preserve">Patients receiving Onpattro experienced similar benefits relative to placebo in mNIS+7 and Norfolk QoL-DN score across all subgroups including age, sex, race, region, NIS score, V30M variant status, prior </w:t>
      </w:r>
      <w:proofErr w:type="spellStart"/>
      <w:r w:rsidRPr="00513188">
        <w:rPr>
          <w:color w:val="000000" w:themeColor="text1"/>
          <w:sz w:val="24"/>
          <w:szCs w:val="24"/>
        </w:rPr>
        <w:t>tafamidis</w:t>
      </w:r>
      <w:proofErr w:type="spellEnd"/>
      <w:r w:rsidRPr="00513188">
        <w:rPr>
          <w:color w:val="000000" w:themeColor="text1"/>
          <w:sz w:val="24"/>
          <w:szCs w:val="24"/>
        </w:rPr>
        <w:t xml:space="preserve"> meglumine or diflunisal use, disease stage, and patients with pre-defined cardiac involvement. Patients experienced benefit across all TTR </w:t>
      </w:r>
      <w:proofErr w:type="gramStart"/>
      <w:r w:rsidRPr="00513188">
        <w:rPr>
          <w:color w:val="000000" w:themeColor="text1"/>
          <w:sz w:val="24"/>
          <w:szCs w:val="24"/>
        </w:rPr>
        <w:t>variants</w:t>
      </w:r>
      <w:proofErr w:type="gramEnd"/>
      <w:r w:rsidRPr="00513188">
        <w:rPr>
          <w:color w:val="000000" w:themeColor="text1"/>
          <w:sz w:val="24"/>
          <w:szCs w:val="24"/>
        </w:rPr>
        <w:t xml:space="preserve"> and the full range of disease severity studied.</w:t>
      </w:r>
    </w:p>
    <w:p w14:paraId="66D914B9" w14:textId="77777777" w:rsidR="00757CB1" w:rsidRPr="00513188" w:rsidRDefault="00757CB1">
      <w:pPr>
        <w:rPr>
          <w:color w:val="000000" w:themeColor="text1"/>
          <w:sz w:val="24"/>
          <w:szCs w:val="24"/>
        </w:rPr>
      </w:pPr>
    </w:p>
    <w:p w14:paraId="30FCE4E9" w14:textId="77777777" w:rsidR="00757CB1" w:rsidRPr="00513188" w:rsidRDefault="00B616A7">
      <w:pPr>
        <w:rPr>
          <w:color w:val="000000" w:themeColor="text1"/>
          <w:sz w:val="24"/>
          <w:szCs w:val="24"/>
        </w:rPr>
      </w:pPr>
      <w:r w:rsidRPr="00513188">
        <w:rPr>
          <w:color w:val="000000" w:themeColor="text1"/>
          <w:sz w:val="24"/>
          <w:szCs w:val="24"/>
        </w:rPr>
        <w:t xml:space="preserve">In patients with pre-defined cardiac involvement, </w:t>
      </w:r>
      <w:proofErr w:type="gramStart"/>
      <w:r w:rsidRPr="00513188">
        <w:rPr>
          <w:color w:val="000000" w:themeColor="text1"/>
          <w:sz w:val="24"/>
          <w:szCs w:val="24"/>
        </w:rPr>
        <w:t>centrally-assessed</w:t>
      </w:r>
      <w:proofErr w:type="gramEnd"/>
      <w:r w:rsidRPr="00513188">
        <w:rPr>
          <w:color w:val="000000" w:themeColor="text1"/>
          <w:sz w:val="24"/>
          <w:szCs w:val="24"/>
        </w:rPr>
        <w:t xml:space="preserve"> echocardiograms showed decreases in LV wall thickness (LS mean difference: −0.9 mm [95% CI −1.7, −0.2]) and longitudinal strain (LS mean difference: −1.37% [95% CI -2.48, -0.27]) with Onpattro treatment relative to placebo. N-terminal pro-B type natriuretic peptide (NT-</w:t>
      </w:r>
      <w:proofErr w:type="spellStart"/>
      <w:r w:rsidRPr="00513188">
        <w:rPr>
          <w:color w:val="000000" w:themeColor="text1"/>
          <w:sz w:val="24"/>
          <w:szCs w:val="24"/>
        </w:rPr>
        <w:t>proBNP</w:t>
      </w:r>
      <w:proofErr w:type="spellEnd"/>
      <w:r w:rsidRPr="00513188">
        <w:rPr>
          <w:color w:val="000000" w:themeColor="text1"/>
          <w:sz w:val="24"/>
          <w:szCs w:val="24"/>
        </w:rPr>
        <w:t>) was 727 ng/L and 711 ng/L at baseline (geometric mean) in Onpattro-treated and placebo-treated patients, respectively. At 18 months, the adjusted geometric mean ratio to baseline was 0.89 with Onpattro and 1.97 with placebo (ratio, 0.45; p &lt; 0.001), representing a 55% difference in favour of Onpattro.</w:t>
      </w:r>
    </w:p>
    <w:p w14:paraId="55F3C711" w14:textId="77777777" w:rsidR="00757CB1" w:rsidRPr="00513188" w:rsidRDefault="00757CB1">
      <w:pPr>
        <w:rPr>
          <w:color w:val="000000" w:themeColor="text1"/>
          <w:sz w:val="24"/>
          <w:szCs w:val="24"/>
        </w:rPr>
      </w:pPr>
    </w:p>
    <w:p w14:paraId="0428C480" w14:textId="77777777" w:rsidR="00757CB1" w:rsidRPr="00513188" w:rsidRDefault="00B616A7" w:rsidP="00084EA1">
      <w:pPr>
        <w:pStyle w:val="Heading2"/>
      </w:pPr>
      <w:r w:rsidRPr="00513188">
        <w:t>5.2</w:t>
      </w:r>
      <w:r w:rsidRPr="00513188">
        <w:tab/>
        <w:t>PHARMACOKINETIC PROPERTIES</w:t>
      </w:r>
    </w:p>
    <w:p w14:paraId="2B071680" w14:textId="77777777" w:rsidR="00757CB1" w:rsidRPr="00513188" w:rsidRDefault="00757CB1">
      <w:pPr>
        <w:rPr>
          <w:color w:val="000000" w:themeColor="text1"/>
          <w:sz w:val="24"/>
          <w:szCs w:val="24"/>
        </w:rPr>
      </w:pPr>
    </w:p>
    <w:p w14:paraId="49F70896" w14:textId="77777777" w:rsidR="00757CB1" w:rsidRPr="00513188" w:rsidRDefault="00B616A7">
      <w:pPr>
        <w:rPr>
          <w:color w:val="000000" w:themeColor="text1"/>
          <w:sz w:val="24"/>
          <w:szCs w:val="24"/>
        </w:rPr>
      </w:pPr>
      <w:r w:rsidRPr="00513188">
        <w:rPr>
          <w:color w:val="000000" w:themeColor="text1"/>
          <w:sz w:val="24"/>
          <w:szCs w:val="24"/>
        </w:rPr>
        <w:t>The pharmacokinetic properties of Onpattro were characterised by measuring the plasma concentrations of patisiran and the lipid components DLin</w:t>
      </w:r>
      <w:r w:rsidRPr="00513188">
        <w:rPr>
          <w:color w:val="000000" w:themeColor="text1"/>
          <w:sz w:val="24"/>
          <w:szCs w:val="24"/>
        </w:rPr>
        <w:noBreakHyphen/>
        <w:t>MC3</w:t>
      </w:r>
      <w:r w:rsidRPr="00513188">
        <w:rPr>
          <w:color w:val="000000" w:themeColor="text1"/>
          <w:sz w:val="24"/>
          <w:szCs w:val="24"/>
        </w:rPr>
        <w:noBreakHyphen/>
        <w:t>DMA and PEG</w:t>
      </w:r>
      <w:r w:rsidRPr="00513188">
        <w:rPr>
          <w:color w:val="000000" w:themeColor="text1"/>
          <w:sz w:val="24"/>
          <w:szCs w:val="24"/>
          <w:vertAlign w:val="subscript"/>
        </w:rPr>
        <w:t>2000</w:t>
      </w:r>
      <w:r w:rsidRPr="00513188">
        <w:rPr>
          <w:color w:val="000000" w:themeColor="text1"/>
          <w:sz w:val="24"/>
          <w:szCs w:val="24"/>
        </w:rPr>
        <w:noBreakHyphen/>
        <w:t>C</w:t>
      </w:r>
      <w:r w:rsidRPr="00513188">
        <w:rPr>
          <w:color w:val="000000" w:themeColor="text1"/>
          <w:sz w:val="24"/>
          <w:szCs w:val="24"/>
        </w:rPr>
        <w:noBreakHyphen/>
        <w:t>DMG.</w:t>
      </w:r>
    </w:p>
    <w:p w14:paraId="25114566" w14:textId="77777777" w:rsidR="00757CB1" w:rsidRPr="00513188" w:rsidRDefault="00757CB1">
      <w:pPr>
        <w:rPr>
          <w:color w:val="000000" w:themeColor="text1"/>
          <w:sz w:val="24"/>
          <w:szCs w:val="24"/>
        </w:rPr>
      </w:pPr>
    </w:p>
    <w:p w14:paraId="22A02AE8" w14:textId="77777777" w:rsidR="00757CB1" w:rsidRPr="00513188" w:rsidRDefault="00B616A7">
      <w:pPr>
        <w:rPr>
          <w:b/>
          <w:bCs/>
          <w:color w:val="000000" w:themeColor="text1"/>
          <w:sz w:val="24"/>
          <w:szCs w:val="24"/>
        </w:rPr>
      </w:pPr>
      <w:r w:rsidRPr="00513188">
        <w:rPr>
          <w:b/>
          <w:bCs/>
          <w:color w:val="000000" w:themeColor="text1"/>
          <w:sz w:val="24"/>
          <w:szCs w:val="24"/>
        </w:rPr>
        <w:t>Absorption</w:t>
      </w:r>
    </w:p>
    <w:p w14:paraId="759AB961" w14:textId="77777777" w:rsidR="00757CB1" w:rsidRPr="00513188" w:rsidRDefault="00757CB1">
      <w:pPr>
        <w:rPr>
          <w:color w:val="000000" w:themeColor="text1"/>
          <w:sz w:val="24"/>
          <w:szCs w:val="24"/>
        </w:rPr>
      </w:pPr>
    </w:p>
    <w:p w14:paraId="4BC6B9CB" w14:textId="77777777" w:rsidR="00757CB1" w:rsidRPr="00513188" w:rsidRDefault="00B616A7">
      <w:pPr>
        <w:rPr>
          <w:color w:val="000000" w:themeColor="text1"/>
          <w:sz w:val="24"/>
          <w:szCs w:val="24"/>
        </w:rPr>
      </w:pPr>
      <w:r w:rsidRPr="00513188">
        <w:rPr>
          <w:color w:val="000000" w:themeColor="text1"/>
          <w:sz w:val="24"/>
          <w:szCs w:val="24"/>
        </w:rPr>
        <w:t>Greater than 95% of patisiran in the circulation is associated with lipid nanoparticles. At the dose regimen of 300 micrograms per kg every 3 weeks, steady state was reached by 24 weeks of treatment. The estimated patisiran mean ± SD steady-state peak concentration (</w:t>
      </w:r>
      <w:proofErr w:type="spellStart"/>
      <w:r w:rsidRPr="00513188">
        <w:rPr>
          <w:color w:val="000000" w:themeColor="text1"/>
          <w:sz w:val="24"/>
          <w:szCs w:val="24"/>
        </w:rPr>
        <w:t>C</w:t>
      </w:r>
      <w:r w:rsidRPr="00513188">
        <w:rPr>
          <w:color w:val="000000" w:themeColor="text1"/>
          <w:sz w:val="24"/>
          <w:szCs w:val="24"/>
          <w:vertAlign w:val="subscript"/>
        </w:rPr>
        <w:t>max</w:t>
      </w:r>
      <w:proofErr w:type="spellEnd"/>
      <w:r w:rsidRPr="00513188">
        <w:rPr>
          <w:color w:val="000000" w:themeColor="text1"/>
          <w:sz w:val="24"/>
          <w:szCs w:val="24"/>
        </w:rPr>
        <w:t>), trough concentration (</w:t>
      </w:r>
      <w:proofErr w:type="spellStart"/>
      <w:r w:rsidRPr="00513188">
        <w:rPr>
          <w:bCs/>
          <w:color w:val="000000" w:themeColor="text1"/>
          <w:sz w:val="24"/>
          <w:szCs w:val="24"/>
        </w:rPr>
        <w:t>C</w:t>
      </w:r>
      <w:r w:rsidRPr="00513188">
        <w:rPr>
          <w:bCs/>
          <w:color w:val="000000" w:themeColor="text1"/>
          <w:sz w:val="24"/>
          <w:szCs w:val="24"/>
          <w:vertAlign w:val="subscript"/>
        </w:rPr>
        <w:t>trough</w:t>
      </w:r>
      <w:proofErr w:type="spellEnd"/>
      <w:r w:rsidRPr="00513188">
        <w:rPr>
          <w:color w:val="000000" w:themeColor="text1"/>
          <w:sz w:val="24"/>
          <w:szCs w:val="24"/>
        </w:rPr>
        <w:t>), and area under the curve (AUC</w:t>
      </w:r>
      <w:r w:rsidRPr="00513188">
        <w:rPr>
          <w:color w:val="000000" w:themeColor="text1"/>
          <w:sz w:val="24"/>
          <w:szCs w:val="24"/>
          <w:vertAlign w:val="subscript"/>
        </w:rPr>
        <w:sym w:font="Symbol" w:char="F074"/>
      </w:r>
      <w:r w:rsidRPr="00513188">
        <w:rPr>
          <w:color w:val="000000" w:themeColor="text1"/>
          <w:sz w:val="24"/>
          <w:szCs w:val="24"/>
        </w:rPr>
        <w:t>) were 7.15 ± 2.14 µg/mL, 0.021 ± 0.044 µg/mL, and 184 ± 159 µ</w:t>
      </w:r>
      <w:proofErr w:type="spellStart"/>
      <w:r w:rsidRPr="00513188">
        <w:rPr>
          <w:color w:val="000000" w:themeColor="text1"/>
          <w:sz w:val="24"/>
          <w:szCs w:val="24"/>
        </w:rPr>
        <w:t>g·h</w:t>
      </w:r>
      <w:proofErr w:type="spellEnd"/>
      <w:r w:rsidRPr="00513188">
        <w:rPr>
          <w:color w:val="000000" w:themeColor="text1"/>
          <w:sz w:val="24"/>
          <w:szCs w:val="24"/>
        </w:rPr>
        <w:t>/mL, respectively. The accumulation of AUC</w:t>
      </w:r>
      <w:r w:rsidRPr="00513188">
        <w:rPr>
          <w:color w:val="000000" w:themeColor="text1"/>
          <w:sz w:val="24"/>
          <w:szCs w:val="24"/>
          <w:vertAlign w:val="subscript"/>
        </w:rPr>
        <w:sym w:font="Symbol" w:char="F074"/>
      </w:r>
      <w:r w:rsidRPr="00513188">
        <w:rPr>
          <w:color w:val="000000" w:themeColor="text1"/>
          <w:sz w:val="24"/>
          <w:szCs w:val="24"/>
        </w:rPr>
        <w:t xml:space="preserve"> was 3.2-fold at steady-state compared to the first dose.</w:t>
      </w:r>
    </w:p>
    <w:p w14:paraId="21D28ED1" w14:textId="77777777" w:rsidR="00757CB1" w:rsidRPr="00513188" w:rsidRDefault="00757CB1">
      <w:pPr>
        <w:rPr>
          <w:color w:val="000000" w:themeColor="text1"/>
          <w:sz w:val="24"/>
          <w:szCs w:val="24"/>
        </w:rPr>
      </w:pPr>
    </w:p>
    <w:p w14:paraId="25BDBB3F" w14:textId="77777777" w:rsidR="00757CB1" w:rsidRPr="00513188" w:rsidRDefault="00B616A7">
      <w:pPr>
        <w:rPr>
          <w:color w:val="000000" w:themeColor="text1"/>
          <w:sz w:val="24"/>
          <w:szCs w:val="24"/>
        </w:rPr>
      </w:pPr>
      <w:r w:rsidRPr="00513188">
        <w:rPr>
          <w:color w:val="000000" w:themeColor="text1"/>
          <w:sz w:val="24"/>
          <w:szCs w:val="24"/>
        </w:rPr>
        <w:lastRenderedPageBreak/>
        <w:t>The estimated DLin-MC3-DMA mean ± SD steady</w:t>
      </w:r>
      <w:r w:rsidRPr="00513188">
        <w:rPr>
          <w:color w:val="000000" w:themeColor="text1"/>
          <w:sz w:val="24"/>
          <w:szCs w:val="24"/>
        </w:rPr>
        <w:noBreakHyphen/>
        <w:t xml:space="preserve">state </w:t>
      </w:r>
      <w:proofErr w:type="spellStart"/>
      <w:r w:rsidRPr="00513188">
        <w:rPr>
          <w:color w:val="000000" w:themeColor="text1"/>
          <w:sz w:val="24"/>
          <w:szCs w:val="24"/>
        </w:rPr>
        <w:t>C</w:t>
      </w:r>
      <w:r w:rsidRPr="00513188">
        <w:rPr>
          <w:color w:val="000000" w:themeColor="text1"/>
          <w:sz w:val="24"/>
          <w:szCs w:val="24"/>
          <w:vertAlign w:val="subscript"/>
        </w:rPr>
        <w:t>max</w:t>
      </w:r>
      <w:proofErr w:type="spellEnd"/>
      <w:r w:rsidRPr="00513188">
        <w:rPr>
          <w:color w:val="000000" w:themeColor="text1"/>
          <w:sz w:val="24"/>
          <w:szCs w:val="24"/>
          <w:vertAlign w:val="subscript"/>
        </w:rPr>
        <w:t xml:space="preserve">, </w:t>
      </w:r>
      <w:proofErr w:type="spellStart"/>
      <w:r w:rsidRPr="00513188">
        <w:rPr>
          <w:color w:val="000000" w:themeColor="text1"/>
          <w:sz w:val="24"/>
          <w:szCs w:val="24"/>
        </w:rPr>
        <w:t>C</w:t>
      </w:r>
      <w:r w:rsidRPr="00513188">
        <w:rPr>
          <w:color w:val="000000" w:themeColor="text1"/>
          <w:sz w:val="24"/>
          <w:szCs w:val="24"/>
          <w:vertAlign w:val="subscript"/>
        </w:rPr>
        <w:t>trough</w:t>
      </w:r>
      <w:proofErr w:type="spellEnd"/>
      <w:r w:rsidRPr="00513188">
        <w:rPr>
          <w:color w:val="000000" w:themeColor="text1"/>
          <w:sz w:val="24"/>
          <w:szCs w:val="24"/>
        </w:rPr>
        <w:t xml:space="preserve"> and AUC</w:t>
      </w:r>
      <w:r w:rsidRPr="00513188">
        <w:rPr>
          <w:color w:val="000000" w:themeColor="text1"/>
          <w:sz w:val="24"/>
          <w:szCs w:val="24"/>
          <w:vertAlign w:val="subscript"/>
        </w:rPr>
        <w:sym w:font="Symbol" w:char="F074"/>
      </w:r>
      <w:r w:rsidRPr="00513188">
        <w:rPr>
          <w:color w:val="000000" w:themeColor="text1"/>
          <w:sz w:val="24"/>
          <w:szCs w:val="24"/>
        </w:rPr>
        <w:t xml:space="preserve"> were 40.2 ± 11.5 µg/mL, 1.75 ± 0.698 µg/mL, and 1403 ± 105 µ</w:t>
      </w:r>
      <w:proofErr w:type="spellStart"/>
      <w:r w:rsidRPr="00513188">
        <w:rPr>
          <w:color w:val="000000" w:themeColor="text1"/>
          <w:sz w:val="24"/>
          <w:szCs w:val="24"/>
        </w:rPr>
        <w:t>g·h</w:t>
      </w:r>
      <w:proofErr w:type="spellEnd"/>
      <w:r w:rsidRPr="00513188">
        <w:rPr>
          <w:color w:val="000000" w:themeColor="text1"/>
          <w:sz w:val="24"/>
          <w:szCs w:val="24"/>
        </w:rPr>
        <w:t>/mL, respectively. The accumulation of AUC</w:t>
      </w:r>
      <w:r w:rsidRPr="00513188">
        <w:rPr>
          <w:color w:val="000000" w:themeColor="text1"/>
          <w:sz w:val="24"/>
          <w:szCs w:val="24"/>
          <w:vertAlign w:val="subscript"/>
        </w:rPr>
        <w:sym w:font="Symbol" w:char="F074"/>
      </w:r>
      <w:r w:rsidRPr="00513188">
        <w:rPr>
          <w:color w:val="000000" w:themeColor="text1"/>
          <w:sz w:val="24"/>
          <w:szCs w:val="24"/>
          <w:vertAlign w:val="subscript"/>
        </w:rPr>
        <w:t xml:space="preserve"> </w:t>
      </w:r>
      <w:r w:rsidRPr="00513188">
        <w:rPr>
          <w:color w:val="000000" w:themeColor="text1"/>
          <w:sz w:val="24"/>
          <w:szCs w:val="24"/>
        </w:rPr>
        <w:t>was 1.76</w:t>
      </w:r>
      <w:r w:rsidRPr="00513188">
        <w:rPr>
          <w:color w:val="000000" w:themeColor="text1"/>
          <w:sz w:val="24"/>
          <w:szCs w:val="24"/>
        </w:rPr>
        <w:noBreakHyphen/>
        <w:t>fold at steady</w:t>
      </w:r>
      <w:r w:rsidRPr="00513188">
        <w:rPr>
          <w:color w:val="000000" w:themeColor="text1"/>
          <w:sz w:val="24"/>
          <w:szCs w:val="24"/>
        </w:rPr>
        <w:noBreakHyphen/>
        <w:t>state compared to the first dose.</w:t>
      </w:r>
    </w:p>
    <w:p w14:paraId="7AC53920" w14:textId="77777777" w:rsidR="00757CB1" w:rsidRPr="00513188" w:rsidRDefault="00757CB1">
      <w:pPr>
        <w:rPr>
          <w:color w:val="000000" w:themeColor="text1"/>
          <w:sz w:val="24"/>
          <w:szCs w:val="24"/>
        </w:rPr>
      </w:pPr>
    </w:p>
    <w:p w14:paraId="7B2D6746" w14:textId="77777777" w:rsidR="00757CB1" w:rsidRPr="00513188" w:rsidRDefault="00B616A7">
      <w:pPr>
        <w:rPr>
          <w:color w:val="000000" w:themeColor="text1"/>
          <w:sz w:val="24"/>
          <w:szCs w:val="24"/>
        </w:rPr>
      </w:pPr>
      <w:r w:rsidRPr="00513188">
        <w:rPr>
          <w:color w:val="000000" w:themeColor="text1"/>
          <w:sz w:val="24"/>
          <w:szCs w:val="24"/>
        </w:rPr>
        <w:t>The estimated PEG</w:t>
      </w:r>
      <w:r w:rsidRPr="00513188">
        <w:rPr>
          <w:color w:val="000000" w:themeColor="text1"/>
          <w:sz w:val="24"/>
          <w:szCs w:val="24"/>
          <w:vertAlign w:val="subscript"/>
        </w:rPr>
        <w:t>2000</w:t>
      </w:r>
      <w:r w:rsidRPr="00513188">
        <w:rPr>
          <w:color w:val="000000" w:themeColor="text1"/>
          <w:sz w:val="24"/>
          <w:szCs w:val="24"/>
        </w:rPr>
        <w:t>-C-DMG mean ± SD steady</w:t>
      </w:r>
      <w:r w:rsidRPr="00513188">
        <w:rPr>
          <w:color w:val="000000" w:themeColor="text1"/>
          <w:sz w:val="24"/>
          <w:szCs w:val="24"/>
        </w:rPr>
        <w:noBreakHyphen/>
        <w:t xml:space="preserve">state </w:t>
      </w:r>
      <w:proofErr w:type="spellStart"/>
      <w:r w:rsidRPr="00513188">
        <w:rPr>
          <w:color w:val="000000" w:themeColor="text1"/>
          <w:sz w:val="24"/>
          <w:szCs w:val="24"/>
        </w:rPr>
        <w:t>C</w:t>
      </w:r>
      <w:r w:rsidRPr="00513188">
        <w:rPr>
          <w:color w:val="000000" w:themeColor="text1"/>
          <w:sz w:val="24"/>
          <w:szCs w:val="24"/>
          <w:vertAlign w:val="subscript"/>
        </w:rPr>
        <w:t>max</w:t>
      </w:r>
      <w:proofErr w:type="spellEnd"/>
      <w:r w:rsidRPr="00513188">
        <w:rPr>
          <w:color w:val="000000" w:themeColor="text1"/>
          <w:sz w:val="24"/>
          <w:szCs w:val="24"/>
          <w:vertAlign w:val="subscript"/>
        </w:rPr>
        <w:t xml:space="preserve">, </w:t>
      </w:r>
      <w:proofErr w:type="spellStart"/>
      <w:r w:rsidRPr="00513188">
        <w:rPr>
          <w:color w:val="000000" w:themeColor="text1"/>
          <w:sz w:val="24"/>
          <w:szCs w:val="24"/>
        </w:rPr>
        <w:t>C</w:t>
      </w:r>
      <w:r w:rsidRPr="00513188">
        <w:rPr>
          <w:color w:val="000000" w:themeColor="text1"/>
          <w:sz w:val="24"/>
          <w:szCs w:val="24"/>
          <w:vertAlign w:val="subscript"/>
        </w:rPr>
        <w:t>trough</w:t>
      </w:r>
      <w:proofErr w:type="spellEnd"/>
      <w:r w:rsidRPr="00513188">
        <w:rPr>
          <w:color w:val="000000" w:themeColor="text1"/>
          <w:sz w:val="24"/>
          <w:szCs w:val="24"/>
        </w:rPr>
        <w:t xml:space="preserve"> and AUC</w:t>
      </w:r>
      <w:r w:rsidRPr="00513188">
        <w:rPr>
          <w:color w:val="000000" w:themeColor="text1"/>
          <w:sz w:val="24"/>
          <w:szCs w:val="24"/>
          <w:vertAlign w:val="subscript"/>
        </w:rPr>
        <w:sym w:font="Symbol" w:char="F074"/>
      </w:r>
      <w:r w:rsidRPr="00513188">
        <w:rPr>
          <w:color w:val="000000" w:themeColor="text1"/>
          <w:sz w:val="24"/>
          <w:szCs w:val="24"/>
        </w:rPr>
        <w:t xml:space="preserve"> were 4.22 ± 1.22 µg/mL, 0.0236 ± 0.0093 µg/mL, and 145 ± 64.7 µ</w:t>
      </w:r>
      <w:proofErr w:type="spellStart"/>
      <w:r w:rsidRPr="00513188">
        <w:rPr>
          <w:color w:val="000000" w:themeColor="text1"/>
          <w:sz w:val="24"/>
          <w:szCs w:val="24"/>
        </w:rPr>
        <w:t>g·h</w:t>
      </w:r>
      <w:proofErr w:type="spellEnd"/>
      <w:r w:rsidRPr="00513188">
        <w:rPr>
          <w:color w:val="000000" w:themeColor="text1"/>
          <w:sz w:val="24"/>
          <w:szCs w:val="24"/>
        </w:rPr>
        <w:t>/mL, respectively. There was no accumulation of AUC</w:t>
      </w:r>
      <w:r w:rsidRPr="00513188">
        <w:rPr>
          <w:color w:val="000000" w:themeColor="text1"/>
          <w:sz w:val="24"/>
          <w:szCs w:val="24"/>
          <w:vertAlign w:val="subscript"/>
        </w:rPr>
        <w:sym w:font="Symbol" w:char="F074"/>
      </w:r>
      <w:r w:rsidRPr="00513188">
        <w:rPr>
          <w:color w:val="000000" w:themeColor="text1"/>
          <w:sz w:val="24"/>
          <w:szCs w:val="24"/>
          <w:vertAlign w:val="subscript"/>
        </w:rPr>
        <w:t xml:space="preserve"> </w:t>
      </w:r>
      <w:r w:rsidRPr="00513188">
        <w:rPr>
          <w:color w:val="000000" w:themeColor="text1"/>
          <w:sz w:val="24"/>
          <w:szCs w:val="24"/>
        </w:rPr>
        <w:t>at steady</w:t>
      </w:r>
      <w:r w:rsidRPr="00513188">
        <w:rPr>
          <w:color w:val="000000" w:themeColor="text1"/>
          <w:sz w:val="24"/>
          <w:szCs w:val="24"/>
        </w:rPr>
        <w:noBreakHyphen/>
        <w:t>state compared to the first dose.</w:t>
      </w:r>
    </w:p>
    <w:p w14:paraId="17DFE2F1" w14:textId="77777777" w:rsidR="00757CB1" w:rsidRPr="00513188" w:rsidRDefault="00757CB1">
      <w:pPr>
        <w:rPr>
          <w:color w:val="000000" w:themeColor="text1"/>
          <w:sz w:val="24"/>
          <w:szCs w:val="24"/>
        </w:rPr>
      </w:pPr>
    </w:p>
    <w:p w14:paraId="0311EA6E" w14:textId="77777777" w:rsidR="00757CB1" w:rsidRPr="00513188" w:rsidRDefault="00B616A7">
      <w:pPr>
        <w:rPr>
          <w:b/>
          <w:bCs/>
          <w:color w:val="000000" w:themeColor="text1"/>
          <w:sz w:val="24"/>
          <w:szCs w:val="24"/>
        </w:rPr>
      </w:pPr>
      <w:r w:rsidRPr="00513188">
        <w:rPr>
          <w:b/>
          <w:bCs/>
          <w:color w:val="000000" w:themeColor="text1"/>
          <w:sz w:val="24"/>
          <w:szCs w:val="24"/>
        </w:rPr>
        <w:t>Distribution</w:t>
      </w:r>
    </w:p>
    <w:p w14:paraId="615B3E3F" w14:textId="77777777" w:rsidR="00757CB1" w:rsidRPr="00513188" w:rsidRDefault="00757CB1">
      <w:pPr>
        <w:rPr>
          <w:color w:val="000000" w:themeColor="text1"/>
          <w:sz w:val="24"/>
          <w:szCs w:val="24"/>
        </w:rPr>
      </w:pPr>
    </w:p>
    <w:p w14:paraId="046FF140" w14:textId="77777777" w:rsidR="00757CB1" w:rsidRPr="00513188" w:rsidRDefault="00B616A7">
      <w:pPr>
        <w:rPr>
          <w:bCs/>
          <w:color w:val="000000" w:themeColor="text1"/>
          <w:sz w:val="24"/>
          <w:szCs w:val="24"/>
        </w:rPr>
      </w:pPr>
      <w:r w:rsidRPr="00513188">
        <w:rPr>
          <w:color w:val="000000" w:themeColor="text1"/>
          <w:sz w:val="24"/>
          <w:szCs w:val="24"/>
        </w:rPr>
        <w:t xml:space="preserve">Plasma protein binding of Onpattro is low, with ≤ 2.1% binding observed </w:t>
      </w:r>
      <w:r w:rsidRPr="00513188">
        <w:rPr>
          <w:i/>
          <w:iCs/>
          <w:color w:val="000000" w:themeColor="text1"/>
          <w:sz w:val="24"/>
          <w:szCs w:val="24"/>
        </w:rPr>
        <w:t>in vitro</w:t>
      </w:r>
      <w:r w:rsidRPr="00513188">
        <w:rPr>
          <w:color w:val="000000" w:themeColor="text1"/>
          <w:sz w:val="24"/>
          <w:szCs w:val="24"/>
        </w:rPr>
        <w:t xml:space="preserve"> with human serum albumin and human α1-acid glycoprotein. </w:t>
      </w:r>
      <w:r w:rsidRPr="00513188">
        <w:rPr>
          <w:bCs/>
          <w:color w:val="000000" w:themeColor="text1"/>
          <w:sz w:val="24"/>
          <w:szCs w:val="24"/>
        </w:rPr>
        <w:t>At the dose regimen of 300 micrograms per kg every 3 weeks, the mean ± SD steady-state volume of distribution (</w:t>
      </w:r>
      <w:proofErr w:type="spellStart"/>
      <w:r w:rsidRPr="00513188">
        <w:rPr>
          <w:bCs/>
          <w:color w:val="000000" w:themeColor="text1"/>
          <w:sz w:val="24"/>
          <w:szCs w:val="24"/>
        </w:rPr>
        <w:t>V</w:t>
      </w:r>
      <w:r w:rsidRPr="00513188">
        <w:rPr>
          <w:bCs/>
          <w:color w:val="000000" w:themeColor="text1"/>
          <w:sz w:val="24"/>
          <w:szCs w:val="24"/>
          <w:vertAlign w:val="subscript"/>
        </w:rPr>
        <w:t>ss</w:t>
      </w:r>
      <w:proofErr w:type="spellEnd"/>
      <w:r w:rsidRPr="00513188">
        <w:rPr>
          <w:bCs/>
          <w:color w:val="000000" w:themeColor="text1"/>
          <w:sz w:val="24"/>
          <w:szCs w:val="24"/>
        </w:rPr>
        <w:t xml:space="preserve">) of patisiran, </w:t>
      </w:r>
      <w:r w:rsidRPr="00513188">
        <w:rPr>
          <w:color w:val="000000" w:themeColor="text1"/>
          <w:sz w:val="24"/>
          <w:szCs w:val="24"/>
        </w:rPr>
        <w:t>DLin</w:t>
      </w:r>
      <w:r w:rsidRPr="00513188">
        <w:rPr>
          <w:color w:val="000000" w:themeColor="text1"/>
          <w:sz w:val="24"/>
          <w:szCs w:val="24"/>
        </w:rPr>
        <w:noBreakHyphen/>
        <w:t>MC3</w:t>
      </w:r>
      <w:r w:rsidRPr="00513188">
        <w:rPr>
          <w:color w:val="000000" w:themeColor="text1"/>
          <w:sz w:val="24"/>
          <w:szCs w:val="24"/>
        </w:rPr>
        <w:noBreakHyphen/>
        <w:t>DMA and PEG</w:t>
      </w:r>
      <w:r w:rsidRPr="00513188">
        <w:rPr>
          <w:color w:val="000000" w:themeColor="text1"/>
          <w:sz w:val="24"/>
          <w:szCs w:val="24"/>
          <w:vertAlign w:val="subscript"/>
        </w:rPr>
        <w:t>2000</w:t>
      </w:r>
      <w:r w:rsidRPr="00513188">
        <w:rPr>
          <w:color w:val="000000" w:themeColor="text1"/>
          <w:sz w:val="24"/>
          <w:szCs w:val="24"/>
        </w:rPr>
        <w:noBreakHyphen/>
        <w:t>C</w:t>
      </w:r>
      <w:r w:rsidRPr="00513188">
        <w:rPr>
          <w:color w:val="000000" w:themeColor="text1"/>
          <w:sz w:val="24"/>
          <w:szCs w:val="24"/>
        </w:rPr>
        <w:noBreakHyphen/>
        <w:t>DMG</w:t>
      </w:r>
      <w:r w:rsidRPr="00513188">
        <w:rPr>
          <w:bCs/>
          <w:color w:val="000000" w:themeColor="text1"/>
          <w:sz w:val="24"/>
          <w:szCs w:val="24"/>
        </w:rPr>
        <w:t xml:space="preserve"> was 0.26 ± 0.20 L/kg, </w:t>
      </w:r>
      <w:r w:rsidRPr="00513188">
        <w:rPr>
          <w:color w:val="000000" w:themeColor="text1"/>
          <w:sz w:val="24"/>
          <w:szCs w:val="24"/>
        </w:rPr>
        <w:t>0.47 ± 0.24 L/</w:t>
      </w:r>
      <w:proofErr w:type="gramStart"/>
      <w:r w:rsidRPr="00513188">
        <w:rPr>
          <w:color w:val="000000" w:themeColor="text1"/>
          <w:sz w:val="24"/>
          <w:szCs w:val="24"/>
        </w:rPr>
        <w:t>kg</w:t>
      </w:r>
      <w:proofErr w:type="gramEnd"/>
      <w:r w:rsidRPr="00513188">
        <w:rPr>
          <w:color w:val="000000" w:themeColor="text1"/>
          <w:sz w:val="24"/>
          <w:szCs w:val="24"/>
        </w:rPr>
        <w:t xml:space="preserve"> and 0.13 ± 0.05 L/kg, respectively</w:t>
      </w:r>
      <w:r w:rsidRPr="00513188">
        <w:rPr>
          <w:bCs/>
          <w:color w:val="000000" w:themeColor="text1"/>
          <w:sz w:val="24"/>
          <w:szCs w:val="24"/>
        </w:rPr>
        <w:t>.</w:t>
      </w:r>
    </w:p>
    <w:p w14:paraId="5586E01E" w14:textId="77777777" w:rsidR="00757CB1" w:rsidRPr="00513188" w:rsidRDefault="00757CB1">
      <w:pPr>
        <w:rPr>
          <w:color w:val="000000" w:themeColor="text1"/>
          <w:sz w:val="24"/>
          <w:szCs w:val="24"/>
        </w:rPr>
      </w:pPr>
    </w:p>
    <w:p w14:paraId="3250BDC2" w14:textId="77777777" w:rsidR="00757CB1" w:rsidRPr="00513188" w:rsidRDefault="00B616A7">
      <w:pPr>
        <w:rPr>
          <w:b/>
          <w:bCs/>
          <w:color w:val="000000" w:themeColor="text1"/>
          <w:sz w:val="24"/>
          <w:szCs w:val="24"/>
        </w:rPr>
      </w:pPr>
      <w:r w:rsidRPr="00513188">
        <w:rPr>
          <w:b/>
          <w:bCs/>
          <w:color w:val="000000" w:themeColor="text1"/>
          <w:sz w:val="24"/>
          <w:szCs w:val="24"/>
        </w:rPr>
        <w:t>Metabolism</w:t>
      </w:r>
    </w:p>
    <w:p w14:paraId="5E8C93AA" w14:textId="77777777" w:rsidR="00757CB1" w:rsidRPr="00513188" w:rsidRDefault="00757CB1">
      <w:pPr>
        <w:rPr>
          <w:color w:val="000000" w:themeColor="text1"/>
          <w:sz w:val="24"/>
          <w:szCs w:val="24"/>
        </w:rPr>
      </w:pPr>
    </w:p>
    <w:p w14:paraId="5209D8F1" w14:textId="401EF540" w:rsidR="00757CB1" w:rsidRPr="00513188" w:rsidRDefault="00B616A7">
      <w:pPr>
        <w:rPr>
          <w:color w:val="000000" w:themeColor="text1"/>
          <w:sz w:val="24"/>
          <w:szCs w:val="24"/>
        </w:rPr>
      </w:pPr>
      <w:r w:rsidRPr="00513188">
        <w:rPr>
          <w:color w:val="000000" w:themeColor="text1"/>
          <w:sz w:val="24"/>
          <w:szCs w:val="24"/>
        </w:rPr>
        <w:t xml:space="preserve">Patisiran is </w:t>
      </w:r>
      <w:r w:rsidR="000C4B67" w:rsidRPr="00513188">
        <w:rPr>
          <w:color w:val="000000" w:themeColor="text1"/>
          <w:sz w:val="24"/>
          <w:szCs w:val="24"/>
        </w:rPr>
        <w:t xml:space="preserve">metabolised </w:t>
      </w:r>
      <w:r w:rsidRPr="00513188">
        <w:rPr>
          <w:color w:val="000000" w:themeColor="text1"/>
          <w:sz w:val="24"/>
          <w:szCs w:val="24"/>
        </w:rPr>
        <w:t>by nucleases to nucleotides of various lengths. DLin</w:t>
      </w:r>
      <w:r w:rsidRPr="00513188">
        <w:rPr>
          <w:color w:val="000000" w:themeColor="text1"/>
          <w:sz w:val="24"/>
          <w:szCs w:val="24"/>
        </w:rPr>
        <w:noBreakHyphen/>
        <w:t>MC3</w:t>
      </w:r>
      <w:r w:rsidRPr="00513188">
        <w:rPr>
          <w:color w:val="000000" w:themeColor="text1"/>
          <w:sz w:val="24"/>
          <w:szCs w:val="24"/>
        </w:rPr>
        <w:noBreakHyphen/>
        <w:t>DMA is primarily metabolised to 4-dimethylaminobutyric acid (DMBA) by hydrolysis. There is little to no metabolism of PEG</w:t>
      </w:r>
      <w:r w:rsidRPr="00513188">
        <w:rPr>
          <w:color w:val="000000" w:themeColor="text1"/>
          <w:sz w:val="24"/>
          <w:szCs w:val="24"/>
          <w:vertAlign w:val="subscript"/>
        </w:rPr>
        <w:t>2000</w:t>
      </w:r>
      <w:r w:rsidRPr="00513188">
        <w:rPr>
          <w:color w:val="000000" w:themeColor="text1"/>
          <w:sz w:val="24"/>
          <w:szCs w:val="24"/>
        </w:rPr>
        <w:noBreakHyphen/>
        <w:t>C</w:t>
      </w:r>
      <w:r w:rsidRPr="00513188">
        <w:rPr>
          <w:color w:val="000000" w:themeColor="text1"/>
          <w:sz w:val="24"/>
          <w:szCs w:val="24"/>
        </w:rPr>
        <w:noBreakHyphen/>
        <w:t>DMG.</w:t>
      </w:r>
    </w:p>
    <w:p w14:paraId="5ED47CE0" w14:textId="77777777" w:rsidR="00757CB1" w:rsidRPr="00513188" w:rsidRDefault="00757CB1">
      <w:pPr>
        <w:rPr>
          <w:color w:val="000000" w:themeColor="text1"/>
          <w:sz w:val="24"/>
          <w:szCs w:val="24"/>
        </w:rPr>
      </w:pPr>
    </w:p>
    <w:p w14:paraId="18C789B9" w14:textId="77777777" w:rsidR="00757CB1" w:rsidRPr="00513188" w:rsidRDefault="00B616A7">
      <w:pPr>
        <w:rPr>
          <w:b/>
          <w:bCs/>
          <w:color w:val="000000" w:themeColor="text1"/>
          <w:sz w:val="24"/>
          <w:szCs w:val="24"/>
        </w:rPr>
      </w:pPr>
      <w:r w:rsidRPr="00513188">
        <w:rPr>
          <w:b/>
          <w:bCs/>
          <w:color w:val="000000" w:themeColor="text1"/>
          <w:sz w:val="24"/>
          <w:szCs w:val="24"/>
        </w:rPr>
        <w:t>Excretion</w:t>
      </w:r>
    </w:p>
    <w:p w14:paraId="39FB4AB6" w14:textId="77777777" w:rsidR="00757CB1" w:rsidRPr="00513188" w:rsidRDefault="00757CB1">
      <w:pPr>
        <w:rPr>
          <w:color w:val="000000" w:themeColor="text1"/>
          <w:sz w:val="24"/>
          <w:szCs w:val="24"/>
        </w:rPr>
      </w:pPr>
    </w:p>
    <w:p w14:paraId="786DED0C" w14:textId="77777777" w:rsidR="00757CB1" w:rsidRPr="00513188" w:rsidRDefault="00B616A7">
      <w:pPr>
        <w:rPr>
          <w:color w:val="000000" w:themeColor="text1"/>
          <w:sz w:val="24"/>
          <w:szCs w:val="24"/>
        </w:rPr>
      </w:pPr>
      <w:r w:rsidRPr="00513188">
        <w:rPr>
          <w:color w:val="000000" w:themeColor="text1"/>
          <w:sz w:val="24"/>
          <w:szCs w:val="24"/>
        </w:rPr>
        <w:t>At the dose regimen of 300 micrograms per kg every 3 weeks, mean ± SD steady state plasma clearance (</w:t>
      </w:r>
      <w:proofErr w:type="spellStart"/>
      <w:r w:rsidRPr="00513188">
        <w:rPr>
          <w:color w:val="000000" w:themeColor="text1"/>
          <w:sz w:val="24"/>
          <w:szCs w:val="24"/>
        </w:rPr>
        <w:t>CL</w:t>
      </w:r>
      <w:r w:rsidRPr="00513188">
        <w:rPr>
          <w:color w:val="000000" w:themeColor="text1"/>
          <w:sz w:val="24"/>
          <w:szCs w:val="24"/>
          <w:vertAlign w:val="subscript"/>
        </w:rPr>
        <w:t>ss</w:t>
      </w:r>
      <w:proofErr w:type="spellEnd"/>
      <w:r w:rsidRPr="00513188">
        <w:rPr>
          <w:color w:val="000000" w:themeColor="text1"/>
          <w:sz w:val="24"/>
          <w:szCs w:val="24"/>
        </w:rPr>
        <w:t>) of patisiran was 3.0 ± 2.5 mL/h/kg. The mean ± SD terminal elimination half-life (t</w:t>
      </w:r>
      <w:r w:rsidRPr="00513188">
        <w:rPr>
          <w:color w:val="000000" w:themeColor="text1"/>
          <w:sz w:val="24"/>
          <w:szCs w:val="24"/>
          <w:vertAlign w:val="subscript"/>
        </w:rPr>
        <w:t>1/2β</w:t>
      </w:r>
      <w:r w:rsidRPr="00513188">
        <w:rPr>
          <w:color w:val="000000" w:themeColor="text1"/>
          <w:sz w:val="24"/>
          <w:szCs w:val="24"/>
        </w:rPr>
        <w:t>) of patisiran was 3.2 ± 1.8 days. Less than 1% of patisiran in the administered dose was recovered intact in urine.</w:t>
      </w:r>
    </w:p>
    <w:p w14:paraId="2C2BE9C2" w14:textId="77777777" w:rsidR="00757CB1" w:rsidRPr="00513188" w:rsidRDefault="00757CB1">
      <w:pPr>
        <w:rPr>
          <w:color w:val="000000" w:themeColor="text1"/>
          <w:sz w:val="24"/>
          <w:szCs w:val="24"/>
        </w:rPr>
      </w:pPr>
    </w:p>
    <w:p w14:paraId="2BB38FD2" w14:textId="77777777" w:rsidR="00757CB1" w:rsidRPr="00513188" w:rsidRDefault="00B616A7">
      <w:pPr>
        <w:rPr>
          <w:color w:val="000000" w:themeColor="text1"/>
          <w:sz w:val="24"/>
          <w:szCs w:val="24"/>
        </w:rPr>
      </w:pPr>
      <w:r w:rsidRPr="00513188">
        <w:rPr>
          <w:color w:val="000000" w:themeColor="text1"/>
          <w:sz w:val="24"/>
          <w:szCs w:val="24"/>
        </w:rPr>
        <w:t>The estimated DLin</w:t>
      </w:r>
      <w:r w:rsidRPr="00513188">
        <w:rPr>
          <w:color w:val="000000" w:themeColor="text1"/>
          <w:sz w:val="24"/>
          <w:szCs w:val="24"/>
        </w:rPr>
        <w:noBreakHyphen/>
        <w:t>MC3</w:t>
      </w:r>
      <w:r w:rsidRPr="00513188">
        <w:rPr>
          <w:color w:val="000000" w:themeColor="text1"/>
          <w:sz w:val="24"/>
          <w:szCs w:val="24"/>
        </w:rPr>
        <w:noBreakHyphen/>
        <w:t>DMA mean ± SD steady</w:t>
      </w:r>
      <w:r w:rsidRPr="00513188">
        <w:rPr>
          <w:color w:val="000000" w:themeColor="text1"/>
          <w:sz w:val="24"/>
          <w:szCs w:val="24"/>
        </w:rPr>
        <w:noBreakHyphen/>
        <w:t xml:space="preserve">state </w:t>
      </w:r>
      <w:proofErr w:type="spellStart"/>
      <w:r w:rsidRPr="00513188">
        <w:rPr>
          <w:color w:val="000000" w:themeColor="text1"/>
          <w:sz w:val="24"/>
          <w:szCs w:val="24"/>
        </w:rPr>
        <w:t>CL</w:t>
      </w:r>
      <w:r w:rsidRPr="00513188">
        <w:rPr>
          <w:color w:val="000000" w:themeColor="text1"/>
          <w:sz w:val="24"/>
          <w:szCs w:val="24"/>
          <w:vertAlign w:val="subscript"/>
        </w:rPr>
        <w:t>ss</w:t>
      </w:r>
      <w:proofErr w:type="spellEnd"/>
      <w:r w:rsidRPr="00513188">
        <w:rPr>
          <w:color w:val="000000" w:themeColor="text1"/>
          <w:sz w:val="24"/>
          <w:szCs w:val="24"/>
          <w:vertAlign w:val="subscript"/>
        </w:rPr>
        <w:t xml:space="preserve"> </w:t>
      </w:r>
      <w:r w:rsidRPr="00513188">
        <w:rPr>
          <w:color w:val="000000" w:themeColor="text1"/>
          <w:sz w:val="24"/>
          <w:szCs w:val="24"/>
        </w:rPr>
        <w:t>was 2.1 ± 0.8 mL/h/kg. Approximately 5.5% of DLin</w:t>
      </w:r>
      <w:r w:rsidRPr="00513188">
        <w:rPr>
          <w:color w:val="000000" w:themeColor="text1"/>
          <w:sz w:val="24"/>
          <w:szCs w:val="24"/>
        </w:rPr>
        <w:noBreakHyphen/>
        <w:t>MC3</w:t>
      </w:r>
      <w:r w:rsidRPr="00513188">
        <w:rPr>
          <w:color w:val="000000" w:themeColor="text1"/>
          <w:sz w:val="24"/>
          <w:szCs w:val="24"/>
        </w:rPr>
        <w:noBreakHyphen/>
        <w:t>DMA was recovered after 96 hours as its metabolite (DMBA) in urine.</w:t>
      </w:r>
    </w:p>
    <w:p w14:paraId="22A124B0" w14:textId="77777777" w:rsidR="00757CB1" w:rsidRPr="00513188" w:rsidRDefault="00757CB1">
      <w:pPr>
        <w:rPr>
          <w:color w:val="000000" w:themeColor="text1"/>
          <w:sz w:val="24"/>
          <w:szCs w:val="24"/>
          <w:u w:val="single"/>
        </w:rPr>
      </w:pPr>
    </w:p>
    <w:p w14:paraId="1B092CA9" w14:textId="77777777" w:rsidR="00757CB1" w:rsidRPr="00513188" w:rsidRDefault="00B616A7">
      <w:pPr>
        <w:rPr>
          <w:color w:val="000000" w:themeColor="text1"/>
          <w:sz w:val="24"/>
          <w:szCs w:val="24"/>
        </w:rPr>
      </w:pPr>
      <w:r w:rsidRPr="00513188">
        <w:rPr>
          <w:color w:val="000000" w:themeColor="text1"/>
          <w:sz w:val="24"/>
          <w:szCs w:val="24"/>
        </w:rPr>
        <w:t>The estimated PEG</w:t>
      </w:r>
      <w:r w:rsidRPr="00513188">
        <w:rPr>
          <w:color w:val="000000" w:themeColor="text1"/>
          <w:sz w:val="24"/>
          <w:szCs w:val="24"/>
          <w:vertAlign w:val="subscript"/>
        </w:rPr>
        <w:t>2000</w:t>
      </w:r>
      <w:r w:rsidRPr="00513188">
        <w:rPr>
          <w:color w:val="000000" w:themeColor="text1"/>
          <w:sz w:val="24"/>
          <w:szCs w:val="24"/>
        </w:rPr>
        <w:noBreakHyphen/>
        <w:t>C</w:t>
      </w:r>
      <w:r w:rsidRPr="00513188">
        <w:rPr>
          <w:color w:val="000000" w:themeColor="text1"/>
          <w:sz w:val="24"/>
          <w:szCs w:val="24"/>
        </w:rPr>
        <w:noBreakHyphen/>
        <w:t>DMG mean ± SD steady</w:t>
      </w:r>
      <w:r w:rsidRPr="00513188">
        <w:rPr>
          <w:color w:val="000000" w:themeColor="text1"/>
          <w:sz w:val="24"/>
          <w:szCs w:val="24"/>
        </w:rPr>
        <w:noBreakHyphen/>
        <w:t xml:space="preserve">state </w:t>
      </w:r>
      <w:proofErr w:type="spellStart"/>
      <w:r w:rsidRPr="00513188">
        <w:rPr>
          <w:color w:val="000000" w:themeColor="text1"/>
          <w:sz w:val="24"/>
          <w:szCs w:val="24"/>
        </w:rPr>
        <w:t>CL</w:t>
      </w:r>
      <w:r w:rsidRPr="00513188">
        <w:rPr>
          <w:color w:val="000000" w:themeColor="text1"/>
          <w:sz w:val="24"/>
          <w:szCs w:val="24"/>
          <w:vertAlign w:val="subscript"/>
        </w:rPr>
        <w:t>ss</w:t>
      </w:r>
      <w:proofErr w:type="spellEnd"/>
      <w:r w:rsidRPr="00513188">
        <w:rPr>
          <w:color w:val="000000" w:themeColor="text1"/>
          <w:sz w:val="24"/>
          <w:szCs w:val="24"/>
          <w:vertAlign w:val="subscript"/>
        </w:rPr>
        <w:t xml:space="preserve"> </w:t>
      </w:r>
      <w:r w:rsidRPr="00513188">
        <w:rPr>
          <w:color w:val="000000" w:themeColor="text1"/>
          <w:sz w:val="24"/>
          <w:szCs w:val="24"/>
        </w:rPr>
        <w:t>was 2.1 ± 0.6 mL/h/kg. In rats and monkeys, PEG</w:t>
      </w:r>
      <w:r w:rsidRPr="00513188">
        <w:rPr>
          <w:color w:val="000000" w:themeColor="text1"/>
          <w:sz w:val="24"/>
          <w:szCs w:val="24"/>
          <w:vertAlign w:val="subscript"/>
        </w:rPr>
        <w:t>2000</w:t>
      </w:r>
      <w:r w:rsidRPr="00513188">
        <w:rPr>
          <w:color w:val="000000" w:themeColor="text1"/>
          <w:sz w:val="24"/>
          <w:szCs w:val="24"/>
        </w:rPr>
        <w:noBreakHyphen/>
        <w:t>C</w:t>
      </w:r>
      <w:r w:rsidRPr="00513188">
        <w:rPr>
          <w:color w:val="000000" w:themeColor="text1"/>
          <w:sz w:val="24"/>
          <w:szCs w:val="24"/>
        </w:rPr>
        <w:noBreakHyphen/>
        <w:t>DMG is eliminated unchanged in the bile. PEG</w:t>
      </w:r>
      <w:r w:rsidRPr="00513188">
        <w:rPr>
          <w:color w:val="000000" w:themeColor="text1"/>
          <w:sz w:val="24"/>
          <w:szCs w:val="24"/>
          <w:vertAlign w:val="subscript"/>
        </w:rPr>
        <w:t>2000</w:t>
      </w:r>
      <w:r w:rsidRPr="00513188">
        <w:rPr>
          <w:color w:val="000000" w:themeColor="text1"/>
          <w:sz w:val="24"/>
          <w:szCs w:val="24"/>
        </w:rPr>
        <w:noBreakHyphen/>
        <w:t>C</w:t>
      </w:r>
      <w:r w:rsidRPr="00513188">
        <w:rPr>
          <w:color w:val="000000" w:themeColor="text1"/>
          <w:sz w:val="24"/>
          <w:szCs w:val="24"/>
        </w:rPr>
        <w:noBreakHyphen/>
        <w:t>DMG excretion in humans was not measured.</w:t>
      </w:r>
    </w:p>
    <w:p w14:paraId="4A031620" w14:textId="77777777" w:rsidR="00757CB1" w:rsidRPr="00513188" w:rsidRDefault="00757CB1">
      <w:pPr>
        <w:rPr>
          <w:color w:val="000000" w:themeColor="text1"/>
          <w:sz w:val="24"/>
          <w:szCs w:val="24"/>
        </w:rPr>
      </w:pPr>
    </w:p>
    <w:p w14:paraId="7374B572" w14:textId="77777777" w:rsidR="00757CB1" w:rsidRPr="00513188" w:rsidRDefault="00B616A7">
      <w:pPr>
        <w:rPr>
          <w:b/>
          <w:bCs/>
          <w:color w:val="000000" w:themeColor="text1"/>
          <w:sz w:val="24"/>
          <w:szCs w:val="24"/>
        </w:rPr>
      </w:pPr>
      <w:r w:rsidRPr="00513188">
        <w:rPr>
          <w:b/>
          <w:bCs/>
          <w:color w:val="000000" w:themeColor="text1"/>
          <w:sz w:val="24"/>
          <w:szCs w:val="24"/>
        </w:rPr>
        <w:t>Linearity/non-linearity</w:t>
      </w:r>
    </w:p>
    <w:p w14:paraId="5F61BEDD" w14:textId="77777777" w:rsidR="00757CB1" w:rsidRPr="00513188" w:rsidRDefault="00757CB1">
      <w:pPr>
        <w:rPr>
          <w:color w:val="000000" w:themeColor="text1"/>
          <w:sz w:val="24"/>
          <w:szCs w:val="24"/>
        </w:rPr>
      </w:pPr>
    </w:p>
    <w:p w14:paraId="43E40637" w14:textId="77777777" w:rsidR="00757CB1" w:rsidRPr="00513188" w:rsidRDefault="00B616A7">
      <w:pPr>
        <w:rPr>
          <w:color w:val="000000" w:themeColor="text1"/>
          <w:sz w:val="24"/>
          <w:szCs w:val="24"/>
        </w:rPr>
      </w:pPr>
      <w:r w:rsidRPr="00513188">
        <w:rPr>
          <w:color w:val="000000" w:themeColor="text1"/>
          <w:sz w:val="24"/>
          <w:szCs w:val="24"/>
        </w:rPr>
        <w:t>Exposure to patisiran and the lipid components (DLin</w:t>
      </w:r>
      <w:r w:rsidRPr="00513188">
        <w:rPr>
          <w:color w:val="000000" w:themeColor="text1"/>
          <w:sz w:val="24"/>
          <w:szCs w:val="24"/>
        </w:rPr>
        <w:noBreakHyphen/>
        <w:t>MC3</w:t>
      </w:r>
      <w:r w:rsidRPr="00513188">
        <w:rPr>
          <w:color w:val="000000" w:themeColor="text1"/>
          <w:sz w:val="24"/>
          <w:szCs w:val="24"/>
        </w:rPr>
        <w:noBreakHyphen/>
        <w:t>DMA and PEG</w:t>
      </w:r>
      <w:r w:rsidRPr="00513188">
        <w:rPr>
          <w:color w:val="000000" w:themeColor="text1"/>
          <w:sz w:val="24"/>
          <w:szCs w:val="24"/>
          <w:vertAlign w:val="subscript"/>
        </w:rPr>
        <w:t>2000</w:t>
      </w:r>
      <w:r w:rsidRPr="00513188">
        <w:rPr>
          <w:color w:val="000000" w:themeColor="text1"/>
          <w:sz w:val="24"/>
          <w:szCs w:val="24"/>
        </w:rPr>
        <w:noBreakHyphen/>
        <w:t>C</w:t>
      </w:r>
      <w:r w:rsidRPr="00513188">
        <w:rPr>
          <w:color w:val="000000" w:themeColor="text1"/>
          <w:sz w:val="24"/>
          <w:szCs w:val="24"/>
        </w:rPr>
        <w:noBreakHyphen/>
        <w:t>DMG) increased proportionally with increase in dose over the range evaluated in clinical studies (10 to 500 micrograms per kg). Patisiran and the lipid components exhibit linear and time-independent pharmacokinetics with chronic dosing at the dose regimen of 300 micrograms per kg every 3 weeks.</w:t>
      </w:r>
    </w:p>
    <w:p w14:paraId="1DCF5555" w14:textId="77777777" w:rsidR="00757CB1" w:rsidRPr="00513188" w:rsidRDefault="00757CB1">
      <w:pPr>
        <w:rPr>
          <w:color w:val="000000" w:themeColor="text1"/>
          <w:sz w:val="24"/>
          <w:szCs w:val="24"/>
        </w:rPr>
      </w:pPr>
    </w:p>
    <w:p w14:paraId="36096031" w14:textId="77777777" w:rsidR="00757CB1" w:rsidRPr="00513188" w:rsidRDefault="00B616A7">
      <w:pPr>
        <w:rPr>
          <w:b/>
          <w:bCs/>
          <w:color w:val="000000" w:themeColor="text1"/>
          <w:sz w:val="24"/>
          <w:szCs w:val="24"/>
        </w:rPr>
      </w:pPr>
      <w:r w:rsidRPr="00513188">
        <w:rPr>
          <w:b/>
          <w:bCs/>
          <w:color w:val="000000" w:themeColor="text1"/>
          <w:sz w:val="24"/>
          <w:szCs w:val="24"/>
        </w:rPr>
        <w:t>Pharmacokinetic/pharmacodynamic relationship(s)</w:t>
      </w:r>
    </w:p>
    <w:p w14:paraId="20BC0820" w14:textId="77777777" w:rsidR="00757CB1" w:rsidRPr="00513188" w:rsidRDefault="00757CB1">
      <w:pPr>
        <w:rPr>
          <w:color w:val="000000" w:themeColor="text1"/>
          <w:sz w:val="24"/>
          <w:szCs w:val="24"/>
        </w:rPr>
      </w:pPr>
    </w:p>
    <w:p w14:paraId="689082AC" w14:textId="77777777" w:rsidR="00757CB1" w:rsidRPr="00513188" w:rsidRDefault="00B616A7">
      <w:pPr>
        <w:rPr>
          <w:color w:val="000000" w:themeColor="text1"/>
          <w:sz w:val="24"/>
          <w:szCs w:val="24"/>
        </w:rPr>
      </w:pPr>
      <w:r w:rsidRPr="00513188">
        <w:rPr>
          <w:color w:val="000000" w:themeColor="text1"/>
          <w:sz w:val="24"/>
          <w:szCs w:val="24"/>
        </w:rPr>
        <w:t>Increasing the dose of patisiran resulted in greater TTR reduction, with maximal reductions plateauing at patisiran exposures obtained with 300 micrograms per kg every 3 weeks dosing.</w:t>
      </w:r>
    </w:p>
    <w:p w14:paraId="0AF1F287" w14:textId="77777777" w:rsidR="00757CB1" w:rsidRPr="00513188" w:rsidRDefault="00757CB1">
      <w:pPr>
        <w:rPr>
          <w:color w:val="000000" w:themeColor="text1"/>
          <w:sz w:val="24"/>
          <w:szCs w:val="24"/>
        </w:rPr>
      </w:pPr>
    </w:p>
    <w:p w14:paraId="7EF1EA0C" w14:textId="77777777" w:rsidR="00757CB1" w:rsidRPr="00513188" w:rsidRDefault="00B616A7">
      <w:pPr>
        <w:rPr>
          <w:b/>
          <w:bCs/>
          <w:color w:val="000000" w:themeColor="text1"/>
          <w:sz w:val="24"/>
          <w:szCs w:val="24"/>
        </w:rPr>
      </w:pPr>
      <w:r w:rsidRPr="00513188">
        <w:rPr>
          <w:b/>
          <w:bCs/>
          <w:color w:val="000000" w:themeColor="text1"/>
          <w:sz w:val="24"/>
          <w:szCs w:val="24"/>
        </w:rPr>
        <w:t>Interactions</w:t>
      </w:r>
    </w:p>
    <w:p w14:paraId="21ACD9BA" w14:textId="77777777" w:rsidR="00757CB1" w:rsidRPr="00513188" w:rsidRDefault="00757CB1">
      <w:pPr>
        <w:rPr>
          <w:color w:val="000000" w:themeColor="text1"/>
          <w:sz w:val="24"/>
          <w:szCs w:val="24"/>
        </w:rPr>
      </w:pPr>
    </w:p>
    <w:p w14:paraId="7F2988B6" w14:textId="77777777" w:rsidR="00757CB1" w:rsidRPr="00513188" w:rsidRDefault="00B616A7">
      <w:pPr>
        <w:rPr>
          <w:color w:val="000000" w:themeColor="text1"/>
          <w:sz w:val="24"/>
          <w:szCs w:val="24"/>
        </w:rPr>
      </w:pPr>
      <w:r w:rsidRPr="00513188">
        <w:rPr>
          <w:color w:val="000000" w:themeColor="text1"/>
          <w:sz w:val="24"/>
          <w:szCs w:val="24"/>
        </w:rPr>
        <w:t>The components of Onpattro are not inhibitors or inducers of cytochrome P450 enzymes or transporters, except for CYP2B6 (see Section 4.5</w:t>
      </w:r>
      <w:r w:rsidRPr="00513188">
        <w:t xml:space="preserve"> </w:t>
      </w:r>
      <w:r w:rsidRPr="00513188">
        <w:rPr>
          <w:color w:val="000000" w:themeColor="text1"/>
          <w:sz w:val="24"/>
          <w:szCs w:val="24"/>
        </w:rPr>
        <w:t>Interactions with other Medicines and other Forms of Interactions). Patisiran is not a substrate of cytochrome P450 enzymes.</w:t>
      </w:r>
    </w:p>
    <w:p w14:paraId="776EADA4" w14:textId="77777777" w:rsidR="00757CB1" w:rsidRPr="00513188" w:rsidRDefault="00757CB1">
      <w:pPr>
        <w:rPr>
          <w:color w:val="000000" w:themeColor="text1"/>
          <w:sz w:val="24"/>
          <w:szCs w:val="24"/>
        </w:rPr>
      </w:pPr>
    </w:p>
    <w:p w14:paraId="6C0872C6" w14:textId="77777777" w:rsidR="00757CB1" w:rsidRPr="00513188" w:rsidRDefault="00B616A7">
      <w:pPr>
        <w:rPr>
          <w:b/>
          <w:bCs/>
          <w:color w:val="000000" w:themeColor="text1"/>
          <w:sz w:val="24"/>
          <w:szCs w:val="24"/>
        </w:rPr>
      </w:pPr>
      <w:r w:rsidRPr="00513188">
        <w:rPr>
          <w:b/>
          <w:bCs/>
          <w:color w:val="000000" w:themeColor="text1"/>
          <w:sz w:val="24"/>
          <w:szCs w:val="24"/>
        </w:rPr>
        <w:t>Special populations</w:t>
      </w:r>
    </w:p>
    <w:p w14:paraId="1B27FC0F" w14:textId="77777777" w:rsidR="00757CB1" w:rsidRPr="00513188" w:rsidRDefault="00757CB1">
      <w:pPr>
        <w:rPr>
          <w:color w:val="000000" w:themeColor="text1"/>
          <w:sz w:val="24"/>
          <w:szCs w:val="24"/>
        </w:rPr>
      </w:pPr>
    </w:p>
    <w:p w14:paraId="67FD951A" w14:textId="77777777" w:rsidR="00757CB1" w:rsidRPr="00513188" w:rsidRDefault="00B616A7">
      <w:pPr>
        <w:rPr>
          <w:i/>
          <w:iCs/>
          <w:color w:val="000000" w:themeColor="text1"/>
          <w:sz w:val="24"/>
          <w:szCs w:val="24"/>
        </w:rPr>
      </w:pPr>
      <w:r w:rsidRPr="00513188">
        <w:rPr>
          <w:i/>
          <w:iCs/>
          <w:color w:val="000000" w:themeColor="text1"/>
          <w:sz w:val="24"/>
          <w:szCs w:val="24"/>
        </w:rPr>
        <w:t>Gender and race</w:t>
      </w:r>
    </w:p>
    <w:p w14:paraId="064DF57E" w14:textId="77777777" w:rsidR="00757CB1" w:rsidRPr="00513188" w:rsidRDefault="00B616A7">
      <w:pPr>
        <w:rPr>
          <w:color w:val="000000" w:themeColor="text1"/>
          <w:sz w:val="24"/>
          <w:szCs w:val="24"/>
        </w:rPr>
      </w:pPr>
      <w:r w:rsidRPr="00513188">
        <w:rPr>
          <w:color w:val="000000" w:themeColor="text1"/>
          <w:sz w:val="24"/>
          <w:szCs w:val="24"/>
        </w:rPr>
        <w:t>Clinical studies did not identify significant differences in steady state pharmacokinetic parameters or TTR reduction according to gender or race (non-Caucasian vs. Caucasian).</w:t>
      </w:r>
    </w:p>
    <w:p w14:paraId="77CF9D97" w14:textId="77777777" w:rsidR="00757CB1" w:rsidRPr="00513188" w:rsidRDefault="00757CB1">
      <w:pPr>
        <w:rPr>
          <w:color w:val="000000" w:themeColor="text1"/>
          <w:sz w:val="24"/>
          <w:szCs w:val="24"/>
        </w:rPr>
      </w:pPr>
    </w:p>
    <w:p w14:paraId="72DD9A3F" w14:textId="77777777" w:rsidR="00757CB1" w:rsidRPr="00513188" w:rsidRDefault="00B616A7">
      <w:pPr>
        <w:rPr>
          <w:i/>
          <w:iCs/>
          <w:color w:val="000000" w:themeColor="text1"/>
          <w:sz w:val="24"/>
          <w:szCs w:val="24"/>
        </w:rPr>
      </w:pPr>
      <w:r w:rsidRPr="00513188">
        <w:rPr>
          <w:i/>
          <w:iCs/>
          <w:color w:val="000000" w:themeColor="text1"/>
          <w:sz w:val="24"/>
          <w:szCs w:val="24"/>
        </w:rPr>
        <w:t>Weight</w:t>
      </w:r>
    </w:p>
    <w:p w14:paraId="3A734E69" w14:textId="77777777" w:rsidR="00757CB1" w:rsidRPr="00513188" w:rsidRDefault="00B616A7">
      <w:pPr>
        <w:rPr>
          <w:color w:val="000000" w:themeColor="text1"/>
          <w:sz w:val="24"/>
          <w:szCs w:val="24"/>
        </w:rPr>
      </w:pPr>
      <w:r w:rsidRPr="00513188">
        <w:rPr>
          <w:color w:val="000000" w:themeColor="text1"/>
          <w:sz w:val="24"/>
          <w:szCs w:val="24"/>
        </w:rPr>
        <w:t>No data are available for patients weighing ≥ 110 kg.</w:t>
      </w:r>
    </w:p>
    <w:p w14:paraId="7493DECB" w14:textId="77777777" w:rsidR="00757CB1" w:rsidRPr="00513188" w:rsidRDefault="00757CB1">
      <w:pPr>
        <w:rPr>
          <w:color w:val="000000" w:themeColor="text1"/>
          <w:sz w:val="24"/>
          <w:szCs w:val="24"/>
        </w:rPr>
      </w:pPr>
    </w:p>
    <w:p w14:paraId="67D70AFA" w14:textId="77777777" w:rsidR="00757CB1" w:rsidRPr="00513188" w:rsidRDefault="00B616A7">
      <w:pPr>
        <w:rPr>
          <w:i/>
          <w:iCs/>
          <w:color w:val="000000" w:themeColor="text1"/>
          <w:sz w:val="24"/>
          <w:szCs w:val="24"/>
        </w:rPr>
      </w:pPr>
      <w:r w:rsidRPr="00513188">
        <w:rPr>
          <w:i/>
          <w:iCs/>
          <w:color w:val="000000" w:themeColor="text1"/>
          <w:sz w:val="24"/>
          <w:szCs w:val="24"/>
        </w:rPr>
        <w:t>Elderly patients</w:t>
      </w:r>
    </w:p>
    <w:p w14:paraId="3FCD1520" w14:textId="5C74A07F" w:rsidR="00757CB1" w:rsidRPr="00513188" w:rsidRDefault="00B616A7">
      <w:pPr>
        <w:rPr>
          <w:color w:val="000000" w:themeColor="text1"/>
          <w:sz w:val="24"/>
          <w:szCs w:val="24"/>
        </w:rPr>
      </w:pPr>
      <w:r w:rsidRPr="00513188">
        <w:rPr>
          <w:color w:val="000000" w:themeColor="text1"/>
          <w:sz w:val="24"/>
          <w:szCs w:val="24"/>
        </w:rPr>
        <w:t>In the placebo-controlled study, 62 (41.9</w:t>
      </w:r>
      <w:r w:rsidR="006E7CB7" w:rsidRPr="00513188">
        <w:rPr>
          <w:color w:val="000000" w:themeColor="text1"/>
        </w:rPr>
        <w:t> </w:t>
      </w:r>
      <w:r w:rsidRPr="00513188">
        <w:rPr>
          <w:color w:val="000000" w:themeColor="text1"/>
          <w:sz w:val="24"/>
          <w:szCs w:val="24"/>
        </w:rPr>
        <w:t>%) patients treated with Onpattro were ≥ 65 years of age and 9 (6.1</w:t>
      </w:r>
      <w:r w:rsidR="006E7CB7" w:rsidRPr="00513188">
        <w:rPr>
          <w:color w:val="000000" w:themeColor="text1"/>
        </w:rPr>
        <w:t> </w:t>
      </w:r>
      <w:r w:rsidRPr="00513188">
        <w:rPr>
          <w:color w:val="000000" w:themeColor="text1"/>
          <w:sz w:val="24"/>
          <w:szCs w:val="24"/>
        </w:rPr>
        <w:t>%) patients were ≥ 75 years of age. There were no significant differences in steady state pharmacokinetic parameters or TTR reduction between patients &lt; 65 years of age and ≥ 65 years of age.</w:t>
      </w:r>
    </w:p>
    <w:p w14:paraId="39B05394" w14:textId="77777777" w:rsidR="00757CB1" w:rsidRPr="00513188" w:rsidRDefault="00757CB1">
      <w:pPr>
        <w:rPr>
          <w:color w:val="000000" w:themeColor="text1"/>
          <w:sz w:val="24"/>
          <w:szCs w:val="24"/>
        </w:rPr>
      </w:pPr>
    </w:p>
    <w:p w14:paraId="3C831E45" w14:textId="77777777" w:rsidR="00757CB1" w:rsidRPr="00513188" w:rsidRDefault="00B616A7">
      <w:pPr>
        <w:rPr>
          <w:i/>
          <w:iCs/>
          <w:color w:val="000000" w:themeColor="text1"/>
          <w:sz w:val="24"/>
          <w:szCs w:val="24"/>
        </w:rPr>
      </w:pPr>
      <w:r w:rsidRPr="00513188">
        <w:rPr>
          <w:i/>
          <w:iCs/>
          <w:color w:val="000000" w:themeColor="text1"/>
          <w:sz w:val="24"/>
          <w:szCs w:val="24"/>
        </w:rPr>
        <w:t>Hepatic impairment</w:t>
      </w:r>
    </w:p>
    <w:p w14:paraId="0D2D1E2D" w14:textId="77777777" w:rsidR="00757CB1" w:rsidRPr="00513188" w:rsidRDefault="00B616A7">
      <w:pPr>
        <w:rPr>
          <w:color w:val="000000" w:themeColor="text1"/>
          <w:sz w:val="24"/>
          <w:szCs w:val="24"/>
        </w:rPr>
      </w:pPr>
      <w:r w:rsidRPr="00513188">
        <w:rPr>
          <w:color w:val="000000" w:themeColor="text1"/>
          <w:sz w:val="24"/>
          <w:szCs w:val="24"/>
        </w:rPr>
        <w:t>Population pharmacokinetic and pharmacodynamic analyses indicated no impact of mild hepatic impairment (bilirubin ≤ 1 x ULN and AST &gt; 1 x ULN, or bilirubin &gt; 1.0 to 1.5 x ULN and any AST) on patisiran exposure or TTR reduction compared to patients with normal hepatic function. Onpattro has not been studied in patients with moderate or severe hepatic impairment.</w:t>
      </w:r>
    </w:p>
    <w:p w14:paraId="16EB6769" w14:textId="77777777" w:rsidR="00757CB1" w:rsidRPr="00513188" w:rsidRDefault="00757CB1">
      <w:pPr>
        <w:rPr>
          <w:color w:val="000000" w:themeColor="text1"/>
          <w:sz w:val="24"/>
          <w:szCs w:val="24"/>
        </w:rPr>
      </w:pPr>
    </w:p>
    <w:p w14:paraId="5FEAF06C" w14:textId="77777777" w:rsidR="00757CB1" w:rsidRPr="00513188" w:rsidRDefault="00B616A7">
      <w:pPr>
        <w:rPr>
          <w:i/>
          <w:iCs/>
          <w:color w:val="000000" w:themeColor="text1"/>
          <w:sz w:val="24"/>
          <w:szCs w:val="24"/>
        </w:rPr>
      </w:pPr>
      <w:r w:rsidRPr="00513188">
        <w:rPr>
          <w:i/>
          <w:iCs/>
          <w:color w:val="000000" w:themeColor="text1"/>
          <w:sz w:val="24"/>
          <w:szCs w:val="24"/>
        </w:rPr>
        <w:t>Renal impairment</w:t>
      </w:r>
    </w:p>
    <w:p w14:paraId="531651CD" w14:textId="77777777" w:rsidR="00757CB1" w:rsidRPr="00513188" w:rsidRDefault="00B616A7">
      <w:pPr>
        <w:rPr>
          <w:color w:val="000000" w:themeColor="text1"/>
          <w:sz w:val="24"/>
          <w:szCs w:val="24"/>
        </w:rPr>
      </w:pPr>
      <w:r w:rsidRPr="00513188">
        <w:rPr>
          <w:color w:val="000000" w:themeColor="text1"/>
          <w:sz w:val="24"/>
          <w:szCs w:val="24"/>
        </w:rPr>
        <w:t>Population pharmacokinetic and pharmacodynamic analyses indicated no impact of mild or moderate renal impairment (eGFR ≥ 30 to &lt; 90 mL/min/1.73m</w:t>
      </w:r>
      <w:r w:rsidRPr="00513188">
        <w:rPr>
          <w:color w:val="000000" w:themeColor="text1"/>
          <w:sz w:val="24"/>
          <w:szCs w:val="24"/>
          <w:vertAlign w:val="superscript"/>
        </w:rPr>
        <w:t>2</w:t>
      </w:r>
      <w:r w:rsidRPr="00513188">
        <w:rPr>
          <w:color w:val="000000" w:themeColor="text1"/>
          <w:sz w:val="24"/>
          <w:szCs w:val="24"/>
        </w:rPr>
        <w:t>) on patisiran exposure or TTR reduction compared to subjects with normal renal function. Onpattro has not been studied in patients with severe renal impairment or end-stage renal disease.</w:t>
      </w:r>
    </w:p>
    <w:p w14:paraId="1A4CF4E6" w14:textId="77777777" w:rsidR="00757CB1" w:rsidRPr="00513188" w:rsidRDefault="00757CB1">
      <w:pPr>
        <w:rPr>
          <w:color w:val="000000" w:themeColor="text1"/>
          <w:sz w:val="24"/>
          <w:szCs w:val="24"/>
        </w:rPr>
      </w:pPr>
    </w:p>
    <w:p w14:paraId="155BE3B7" w14:textId="77777777" w:rsidR="00757CB1" w:rsidRPr="00513188" w:rsidRDefault="00B616A7" w:rsidP="00084EA1">
      <w:pPr>
        <w:pStyle w:val="Heading2"/>
      </w:pPr>
      <w:r w:rsidRPr="00513188">
        <w:t>5.3</w:t>
      </w:r>
      <w:r w:rsidRPr="00513188">
        <w:tab/>
        <w:t>PRECLINICAL SAFETY DATA</w:t>
      </w:r>
    </w:p>
    <w:p w14:paraId="20DDFEDD" w14:textId="2E4BBDD1" w:rsidR="00757CB1" w:rsidRPr="00513188" w:rsidRDefault="00757CB1">
      <w:pPr>
        <w:rPr>
          <w:color w:val="000000" w:themeColor="text1"/>
          <w:sz w:val="24"/>
          <w:szCs w:val="24"/>
        </w:rPr>
      </w:pPr>
    </w:p>
    <w:p w14:paraId="7F87301C" w14:textId="77777777" w:rsidR="00757CB1" w:rsidRPr="00513188" w:rsidRDefault="00B616A7">
      <w:pPr>
        <w:rPr>
          <w:b/>
          <w:bCs/>
          <w:color w:val="000000" w:themeColor="text1"/>
          <w:sz w:val="24"/>
          <w:szCs w:val="24"/>
        </w:rPr>
      </w:pPr>
      <w:r w:rsidRPr="00513188">
        <w:rPr>
          <w:b/>
          <w:bCs/>
          <w:color w:val="000000" w:themeColor="text1"/>
          <w:sz w:val="24"/>
          <w:szCs w:val="24"/>
        </w:rPr>
        <w:t xml:space="preserve">Genotoxicity </w:t>
      </w:r>
    </w:p>
    <w:p w14:paraId="004D9B7C" w14:textId="77777777" w:rsidR="00757CB1" w:rsidRPr="00513188" w:rsidRDefault="00757CB1">
      <w:pPr>
        <w:rPr>
          <w:b/>
          <w:bCs/>
          <w:color w:val="000000" w:themeColor="text1"/>
          <w:sz w:val="24"/>
          <w:szCs w:val="24"/>
        </w:rPr>
      </w:pPr>
    </w:p>
    <w:p w14:paraId="3C529A85" w14:textId="77777777" w:rsidR="00757CB1" w:rsidRPr="00513188" w:rsidRDefault="00B616A7">
      <w:pPr>
        <w:rPr>
          <w:color w:val="000000" w:themeColor="text1"/>
          <w:sz w:val="24"/>
          <w:szCs w:val="24"/>
        </w:rPr>
      </w:pPr>
      <w:r w:rsidRPr="00513188">
        <w:rPr>
          <w:color w:val="000000" w:themeColor="text1"/>
          <w:sz w:val="24"/>
          <w:szCs w:val="24"/>
        </w:rPr>
        <w:t xml:space="preserve">Onpattro </w:t>
      </w:r>
      <w:r w:rsidRPr="00513188">
        <w:rPr>
          <w:sz w:val="24"/>
          <w:szCs w:val="24"/>
        </w:rPr>
        <w:t xml:space="preserve">was not mutagenic or clastogenic in the Ames bacterial mutagenicity assay, chromosomal aberration assay in human peripheral blood lymphocytes, or in the </w:t>
      </w:r>
      <w:r w:rsidRPr="00513188">
        <w:rPr>
          <w:rStyle w:val="italics"/>
          <w:i/>
          <w:sz w:val="24"/>
          <w:szCs w:val="24"/>
        </w:rPr>
        <w:t>in vivo</w:t>
      </w:r>
      <w:r w:rsidRPr="00513188">
        <w:rPr>
          <w:sz w:val="24"/>
          <w:szCs w:val="24"/>
        </w:rPr>
        <w:t xml:space="preserve"> mouse micronucleus assay</w:t>
      </w:r>
      <w:r w:rsidRPr="00513188">
        <w:rPr>
          <w:color w:val="000000" w:themeColor="text1"/>
          <w:sz w:val="24"/>
          <w:szCs w:val="24"/>
        </w:rPr>
        <w:t>.</w:t>
      </w:r>
    </w:p>
    <w:p w14:paraId="47FEBC2E" w14:textId="77777777" w:rsidR="00757CB1" w:rsidRPr="00513188" w:rsidRDefault="00757CB1">
      <w:pPr>
        <w:rPr>
          <w:color w:val="000000" w:themeColor="text1"/>
          <w:sz w:val="24"/>
          <w:szCs w:val="24"/>
        </w:rPr>
      </w:pPr>
    </w:p>
    <w:p w14:paraId="12860D1A" w14:textId="77777777" w:rsidR="00757CB1" w:rsidRPr="00513188" w:rsidRDefault="00B616A7">
      <w:pPr>
        <w:rPr>
          <w:b/>
          <w:bCs/>
          <w:color w:val="000000" w:themeColor="text1"/>
          <w:sz w:val="24"/>
          <w:szCs w:val="24"/>
        </w:rPr>
      </w:pPr>
      <w:r w:rsidRPr="00513188">
        <w:rPr>
          <w:b/>
          <w:bCs/>
          <w:color w:val="000000" w:themeColor="text1"/>
          <w:sz w:val="24"/>
          <w:szCs w:val="24"/>
        </w:rPr>
        <w:t>Carcinogenicity</w:t>
      </w:r>
    </w:p>
    <w:p w14:paraId="3BB1507F" w14:textId="77777777" w:rsidR="00757CB1" w:rsidRPr="00513188" w:rsidRDefault="00757CB1">
      <w:pPr>
        <w:rPr>
          <w:color w:val="000000" w:themeColor="text1"/>
          <w:sz w:val="24"/>
          <w:szCs w:val="24"/>
        </w:rPr>
      </w:pPr>
    </w:p>
    <w:p w14:paraId="1C69FEDE" w14:textId="4F111AF4" w:rsidR="00757CB1" w:rsidRPr="00513188" w:rsidRDefault="00B616A7" w:rsidP="00E74709">
      <w:pPr>
        <w:rPr>
          <w:color w:val="000000" w:themeColor="text1"/>
          <w:sz w:val="24"/>
          <w:szCs w:val="24"/>
        </w:rPr>
      </w:pPr>
      <w:r w:rsidRPr="00513188">
        <w:rPr>
          <w:color w:val="000000" w:themeColor="text1"/>
          <w:sz w:val="24"/>
          <w:szCs w:val="24"/>
        </w:rPr>
        <w:t xml:space="preserve">Onpattro was not carcinogenic in transgenic rasH2 mice at doses up to 6 mg/kg every 2 weeks when administered by intravenous bolus for 26 weeks </w:t>
      </w:r>
      <w:r w:rsidRPr="00513188">
        <w:rPr>
          <w:bCs/>
          <w:sz w:val="24"/>
          <w:szCs w:val="24"/>
        </w:rPr>
        <w:t>(</w:t>
      </w:r>
      <w:r w:rsidR="00E74709" w:rsidRPr="00513188">
        <w:rPr>
          <w:sz w:val="24"/>
          <w:szCs w:val="24"/>
        </w:rPr>
        <w:t>≤3-fold the human systemic exposure to Onpattro components at the clinically recommended dose</w:t>
      </w:r>
      <w:r w:rsidRPr="00513188">
        <w:rPr>
          <w:sz w:val="24"/>
          <w:szCs w:val="24"/>
        </w:rPr>
        <w:t>)</w:t>
      </w:r>
      <w:r w:rsidRPr="00513188">
        <w:rPr>
          <w:color w:val="000000" w:themeColor="text1"/>
          <w:sz w:val="24"/>
          <w:szCs w:val="24"/>
        </w:rPr>
        <w:t xml:space="preserve">. </w:t>
      </w:r>
    </w:p>
    <w:p w14:paraId="5F7E415B" w14:textId="77777777" w:rsidR="00757CB1" w:rsidRPr="00513188" w:rsidRDefault="00757CB1">
      <w:pPr>
        <w:rPr>
          <w:color w:val="000000" w:themeColor="text1"/>
          <w:sz w:val="24"/>
          <w:szCs w:val="24"/>
        </w:rPr>
      </w:pPr>
    </w:p>
    <w:p w14:paraId="099E285D"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lastRenderedPageBreak/>
        <w:t>6.</w:t>
      </w:r>
      <w:r w:rsidRPr="00513188">
        <w:rPr>
          <w:rFonts w:ascii="Times New Roman" w:hAnsi="Times New Roman"/>
          <w:color w:val="000000" w:themeColor="text1"/>
          <w:sz w:val="24"/>
          <w:szCs w:val="24"/>
        </w:rPr>
        <w:tab/>
        <w:t>PHARMACEUTICAL PARTICULARS</w:t>
      </w:r>
    </w:p>
    <w:p w14:paraId="137F2545" w14:textId="77777777" w:rsidR="00757CB1" w:rsidRPr="00513188" w:rsidRDefault="00757CB1">
      <w:pPr>
        <w:rPr>
          <w:color w:val="000000" w:themeColor="text1"/>
          <w:sz w:val="24"/>
          <w:szCs w:val="24"/>
        </w:rPr>
      </w:pPr>
    </w:p>
    <w:p w14:paraId="0FC5855C" w14:textId="77777777" w:rsidR="00757CB1" w:rsidRPr="00513188" w:rsidRDefault="00B616A7" w:rsidP="00084EA1">
      <w:pPr>
        <w:pStyle w:val="Heading2"/>
      </w:pPr>
      <w:r w:rsidRPr="00513188">
        <w:t>6.1</w:t>
      </w:r>
      <w:r w:rsidRPr="00513188">
        <w:tab/>
        <w:t>LIST OF EXCIPIENTS</w:t>
      </w:r>
    </w:p>
    <w:p w14:paraId="2799E43A" w14:textId="77777777" w:rsidR="00757CB1" w:rsidRPr="00513188" w:rsidRDefault="00757CB1">
      <w:pPr>
        <w:rPr>
          <w:color w:val="000000" w:themeColor="text1"/>
          <w:sz w:val="24"/>
          <w:szCs w:val="24"/>
        </w:rPr>
      </w:pPr>
    </w:p>
    <w:p w14:paraId="55D55BB0" w14:textId="6EC0624C" w:rsidR="00757CB1" w:rsidRPr="00513188" w:rsidRDefault="00B616A7">
      <w:pPr>
        <w:pStyle w:val="ListParagraph"/>
        <w:ind w:left="426"/>
        <w:rPr>
          <w:color w:val="000000" w:themeColor="text1"/>
          <w:sz w:val="24"/>
          <w:szCs w:val="24"/>
        </w:rPr>
      </w:pPr>
      <w:r w:rsidRPr="00513188">
        <w:rPr>
          <w:color w:val="000000" w:themeColor="text1"/>
          <w:sz w:val="24"/>
          <w:szCs w:val="24"/>
        </w:rPr>
        <w:t>DLin-MC3-DMA ((6Z,9Z,28Z,31</w:t>
      </w:r>
      <w:proofErr w:type="gramStart"/>
      <w:r w:rsidRPr="00513188">
        <w:rPr>
          <w:color w:val="000000" w:themeColor="text1"/>
          <w:sz w:val="24"/>
          <w:szCs w:val="24"/>
        </w:rPr>
        <w:t>Z)</w:t>
      </w:r>
      <w:r w:rsidRPr="00513188">
        <w:rPr>
          <w:color w:val="000000" w:themeColor="text1"/>
          <w:sz w:val="24"/>
          <w:szCs w:val="24"/>
        </w:rPr>
        <w:noBreakHyphen/>
      </w:r>
      <w:proofErr w:type="gramEnd"/>
      <w:r w:rsidRPr="00513188">
        <w:rPr>
          <w:color w:val="000000" w:themeColor="text1"/>
          <w:sz w:val="24"/>
          <w:szCs w:val="24"/>
        </w:rPr>
        <w:t>heptatriaconta</w:t>
      </w:r>
      <w:r w:rsidRPr="00513188">
        <w:rPr>
          <w:color w:val="000000" w:themeColor="text1"/>
          <w:sz w:val="24"/>
          <w:szCs w:val="24"/>
        </w:rPr>
        <w:noBreakHyphen/>
        <w:t>6,9,28,31</w:t>
      </w:r>
      <w:r w:rsidRPr="00513188">
        <w:rPr>
          <w:color w:val="000000" w:themeColor="text1"/>
          <w:sz w:val="24"/>
          <w:szCs w:val="24"/>
        </w:rPr>
        <w:noBreakHyphen/>
        <w:t>tetraen</w:t>
      </w:r>
      <w:r w:rsidRPr="00513188">
        <w:rPr>
          <w:color w:val="000000" w:themeColor="text1"/>
          <w:sz w:val="24"/>
          <w:szCs w:val="24"/>
        </w:rPr>
        <w:noBreakHyphen/>
        <w:t>19</w:t>
      </w:r>
      <w:r w:rsidRPr="00513188">
        <w:rPr>
          <w:color w:val="000000" w:themeColor="text1"/>
          <w:sz w:val="24"/>
          <w:szCs w:val="24"/>
        </w:rPr>
        <w:noBreakHyphen/>
        <w:t>yl</w:t>
      </w:r>
      <w:r w:rsidRPr="00513188">
        <w:rPr>
          <w:color w:val="000000" w:themeColor="text1"/>
          <w:sz w:val="24"/>
          <w:szCs w:val="24"/>
        </w:rPr>
        <w:noBreakHyphen/>
        <w:t>4</w:t>
      </w:r>
      <w:r w:rsidRPr="00513188">
        <w:rPr>
          <w:color w:val="000000" w:themeColor="text1"/>
          <w:sz w:val="24"/>
          <w:szCs w:val="24"/>
        </w:rPr>
        <w:noBreakHyphen/>
      </w:r>
      <w:r w:rsidRPr="00513188">
        <w:rPr>
          <w:color w:val="000000" w:themeColor="text1"/>
          <w:sz w:val="24"/>
          <w:szCs w:val="24"/>
        </w:rPr>
        <w:br/>
        <w:t>(</w:t>
      </w:r>
      <w:proofErr w:type="spellStart"/>
      <w:r w:rsidRPr="00513188">
        <w:rPr>
          <w:color w:val="000000" w:themeColor="text1"/>
          <w:sz w:val="24"/>
          <w:szCs w:val="24"/>
        </w:rPr>
        <w:t>dimethylamino</w:t>
      </w:r>
      <w:proofErr w:type="spellEnd"/>
      <w:r w:rsidRPr="00513188">
        <w:rPr>
          <w:color w:val="000000" w:themeColor="text1"/>
          <w:sz w:val="24"/>
          <w:szCs w:val="24"/>
        </w:rPr>
        <w:t>) butanoate)</w:t>
      </w:r>
    </w:p>
    <w:p w14:paraId="752B47E0" w14:textId="08E25460" w:rsidR="00757CB1" w:rsidRPr="00513188" w:rsidRDefault="00AA3AFD">
      <w:pPr>
        <w:pStyle w:val="ListParagraph"/>
        <w:ind w:left="426"/>
        <w:rPr>
          <w:color w:val="000000" w:themeColor="text1"/>
          <w:sz w:val="24"/>
          <w:szCs w:val="24"/>
        </w:rPr>
      </w:pPr>
      <w:r w:rsidRPr="00513188">
        <w:rPr>
          <w:color w:val="000000"/>
          <w:sz w:val="24"/>
          <w:szCs w:val="24"/>
        </w:rPr>
        <w:t>PEG</w:t>
      </w:r>
      <w:r w:rsidRPr="00513188">
        <w:rPr>
          <w:color w:val="000000"/>
          <w:sz w:val="24"/>
          <w:szCs w:val="24"/>
          <w:vertAlign w:val="subscript"/>
        </w:rPr>
        <w:t>2000</w:t>
      </w:r>
      <w:r w:rsidRPr="00513188">
        <w:rPr>
          <w:color w:val="000000"/>
          <w:sz w:val="24"/>
          <w:szCs w:val="24"/>
        </w:rPr>
        <w:noBreakHyphen/>
        <w:t>C</w:t>
      </w:r>
      <w:r w:rsidRPr="00513188">
        <w:rPr>
          <w:color w:val="000000"/>
          <w:sz w:val="24"/>
          <w:szCs w:val="24"/>
        </w:rPr>
        <w:noBreakHyphen/>
        <w:t>DMG</w:t>
      </w:r>
      <w:r w:rsidRPr="00513188">
        <w:rPr>
          <w:sz w:val="24"/>
          <w:szCs w:val="24"/>
          <w:lang w:val="en-AU" w:eastAsia="ja-JP"/>
        </w:rPr>
        <w:t xml:space="preserve"> (</w:t>
      </w:r>
      <w:r w:rsidR="00B616A7" w:rsidRPr="00513188">
        <w:rPr>
          <w:sz w:val="24"/>
          <w:szCs w:val="24"/>
          <w:lang w:val="en-AU" w:eastAsia="ja-JP"/>
        </w:rPr>
        <w:t>1,2-Dimyristoyl-sn-glycero-3-carboxaminopropylpolyethylene glycol 2000 methyl ether</w:t>
      </w:r>
      <w:r w:rsidRPr="00513188">
        <w:rPr>
          <w:sz w:val="24"/>
          <w:szCs w:val="24"/>
          <w:lang w:val="en-AU" w:eastAsia="ja-JP"/>
        </w:rPr>
        <w:t>)</w:t>
      </w:r>
    </w:p>
    <w:p w14:paraId="18714D85" w14:textId="5C76C7E0" w:rsidR="00757CB1" w:rsidRPr="00513188" w:rsidRDefault="00B616A7">
      <w:pPr>
        <w:pStyle w:val="ListParagraph"/>
        <w:ind w:left="426"/>
        <w:rPr>
          <w:color w:val="000000" w:themeColor="text1"/>
          <w:sz w:val="24"/>
          <w:szCs w:val="24"/>
        </w:rPr>
      </w:pPr>
      <w:r w:rsidRPr="00513188">
        <w:rPr>
          <w:color w:val="000000"/>
          <w:sz w:val="24"/>
          <w:szCs w:val="24"/>
        </w:rPr>
        <w:t>Distearoylphosphatidylcholine [DSPC (1,2-distearoyl-sn-glycero-3-phosphocholine)]</w:t>
      </w:r>
    </w:p>
    <w:p w14:paraId="4DB7A595" w14:textId="77777777" w:rsidR="00757CB1" w:rsidRPr="00513188" w:rsidRDefault="00B616A7">
      <w:pPr>
        <w:pStyle w:val="ListParagraph"/>
        <w:ind w:left="426"/>
        <w:rPr>
          <w:color w:val="000000" w:themeColor="text1"/>
          <w:sz w:val="24"/>
          <w:szCs w:val="24"/>
        </w:rPr>
      </w:pPr>
      <w:r w:rsidRPr="00513188">
        <w:rPr>
          <w:color w:val="000000" w:themeColor="text1"/>
          <w:sz w:val="24"/>
          <w:szCs w:val="24"/>
        </w:rPr>
        <w:t>Cholesterol</w:t>
      </w:r>
    </w:p>
    <w:p w14:paraId="31F2E9A2" w14:textId="77777777" w:rsidR="00757CB1" w:rsidRPr="00513188" w:rsidRDefault="00B616A7">
      <w:pPr>
        <w:pStyle w:val="ListParagraph"/>
        <w:ind w:left="426"/>
        <w:rPr>
          <w:color w:val="000000" w:themeColor="text1"/>
          <w:sz w:val="24"/>
          <w:szCs w:val="24"/>
        </w:rPr>
      </w:pPr>
      <w:r w:rsidRPr="00513188">
        <w:rPr>
          <w:color w:val="000000"/>
          <w:sz w:val="24"/>
          <w:szCs w:val="24"/>
        </w:rPr>
        <w:t>Dibasic sodium phosphate heptahydrate</w:t>
      </w:r>
      <w:bookmarkStart w:id="10" w:name="_Hlk514078885"/>
    </w:p>
    <w:p w14:paraId="19581CCC" w14:textId="5CBF4CD2" w:rsidR="00757CB1" w:rsidRPr="00513188" w:rsidRDefault="00B616A7">
      <w:pPr>
        <w:pStyle w:val="ListParagraph"/>
        <w:ind w:left="426"/>
        <w:rPr>
          <w:color w:val="000000" w:themeColor="text1"/>
          <w:sz w:val="24"/>
          <w:szCs w:val="24"/>
        </w:rPr>
      </w:pPr>
      <w:r w:rsidRPr="00513188">
        <w:rPr>
          <w:color w:val="000000"/>
          <w:sz w:val="24"/>
          <w:szCs w:val="24"/>
        </w:rPr>
        <w:t>Monobasic potassium phosphate</w:t>
      </w:r>
      <w:bookmarkEnd w:id="10"/>
    </w:p>
    <w:p w14:paraId="64558584" w14:textId="77777777" w:rsidR="00757CB1" w:rsidRPr="00513188" w:rsidRDefault="00B616A7">
      <w:pPr>
        <w:pStyle w:val="ListParagraph"/>
        <w:ind w:left="426"/>
        <w:rPr>
          <w:color w:val="000000" w:themeColor="text1"/>
          <w:sz w:val="24"/>
          <w:szCs w:val="24"/>
        </w:rPr>
      </w:pPr>
      <w:r w:rsidRPr="00513188">
        <w:rPr>
          <w:color w:val="000000" w:themeColor="text1"/>
          <w:sz w:val="24"/>
          <w:szCs w:val="24"/>
        </w:rPr>
        <w:t>Sodium chloride</w:t>
      </w:r>
    </w:p>
    <w:p w14:paraId="3FEFF6C4" w14:textId="77777777" w:rsidR="00757CB1" w:rsidRPr="00513188" w:rsidRDefault="00B616A7">
      <w:pPr>
        <w:pStyle w:val="ListParagraph"/>
        <w:ind w:left="426"/>
        <w:rPr>
          <w:color w:val="000000" w:themeColor="text1"/>
          <w:sz w:val="24"/>
          <w:szCs w:val="24"/>
        </w:rPr>
      </w:pPr>
      <w:r w:rsidRPr="00513188">
        <w:rPr>
          <w:color w:val="000000"/>
          <w:sz w:val="24"/>
          <w:szCs w:val="24"/>
        </w:rPr>
        <w:t>Water for injections</w:t>
      </w:r>
    </w:p>
    <w:p w14:paraId="73DA8090" w14:textId="5AD30F36" w:rsidR="007B3811" w:rsidRPr="00513188" w:rsidRDefault="007B3811">
      <w:pPr>
        <w:rPr>
          <w:color w:val="000000" w:themeColor="text1"/>
          <w:sz w:val="24"/>
          <w:szCs w:val="24"/>
        </w:rPr>
      </w:pPr>
    </w:p>
    <w:p w14:paraId="2082F978" w14:textId="77777777" w:rsidR="00757CB1" w:rsidRPr="00513188" w:rsidRDefault="00B616A7" w:rsidP="00CA5E8D">
      <w:pPr>
        <w:pStyle w:val="Heading2"/>
      </w:pPr>
      <w:r w:rsidRPr="00513188">
        <w:t>6.2</w:t>
      </w:r>
      <w:r w:rsidRPr="00513188">
        <w:tab/>
        <w:t>INCOMPATIBILITIES</w:t>
      </w:r>
    </w:p>
    <w:p w14:paraId="5BA92C76" w14:textId="77777777" w:rsidR="00757CB1" w:rsidRPr="00513188" w:rsidRDefault="00757CB1">
      <w:pPr>
        <w:rPr>
          <w:color w:val="000000" w:themeColor="text1"/>
          <w:sz w:val="24"/>
          <w:szCs w:val="24"/>
        </w:rPr>
      </w:pPr>
    </w:p>
    <w:p w14:paraId="041B89BB" w14:textId="77777777" w:rsidR="00757CB1" w:rsidRPr="00513188" w:rsidRDefault="00B616A7">
      <w:pPr>
        <w:rPr>
          <w:color w:val="000000" w:themeColor="text1"/>
          <w:sz w:val="24"/>
          <w:szCs w:val="24"/>
        </w:rPr>
      </w:pPr>
      <w:r w:rsidRPr="00513188">
        <w:rPr>
          <w:color w:val="000000" w:themeColor="text1"/>
          <w:sz w:val="24"/>
          <w:szCs w:val="24"/>
        </w:rPr>
        <w:t xml:space="preserve">This medicinal product must not be mixed with other medicinal products except those mentioned in section 6.6. Special Precautions for Disposal. </w:t>
      </w:r>
    </w:p>
    <w:p w14:paraId="2F7F7CC3" w14:textId="77777777" w:rsidR="00757CB1" w:rsidRPr="00513188" w:rsidRDefault="00757CB1">
      <w:pPr>
        <w:rPr>
          <w:color w:val="000000" w:themeColor="text1"/>
          <w:sz w:val="24"/>
          <w:szCs w:val="24"/>
        </w:rPr>
      </w:pPr>
    </w:p>
    <w:p w14:paraId="48E216A9" w14:textId="77777777" w:rsidR="00757CB1" w:rsidRPr="00513188" w:rsidRDefault="00B616A7" w:rsidP="00084EA1">
      <w:pPr>
        <w:pStyle w:val="Heading2"/>
      </w:pPr>
      <w:r w:rsidRPr="00513188">
        <w:t>6.3</w:t>
      </w:r>
      <w:r w:rsidRPr="00513188">
        <w:tab/>
        <w:t>SHELF LIFE</w:t>
      </w:r>
    </w:p>
    <w:p w14:paraId="248C38B9" w14:textId="77777777" w:rsidR="00757CB1" w:rsidRPr="00513188" w:rsidRDefault="00757CB1">
      <w:pPr>
        <w:rPr>
          <w:color w:val="000000" w:themeColor="text1"/>
          <w:sz w:val="24"/>
          <w:szCs w:val="24"/>
        </w:rPr>
      </w:pPr>
    </w:p>
    <w:p w14:paraId="3268D731" w14:textId="77777777" w:rsidR="00757CB1" w:rsidRPr="00513188" w:rsidRDefault="00B616A7">
      <w:pPr>
        <w:rPr>
          <w:color w:val="000000" w:themeColor="text1"/>
          <w:sz w:val="24"/>
          <w:szCs w:val="24"/>
          <w:u w:val="single"/>
        </w:rPr>
      </w:pPr>
      <w:r w:rsidRPr="00513188">
        <w:rPr>
          <w:color w:val="000000" w:themeColor="text1"/>
          <w:sz w:val="24"/>
          <w:szCs w:val="24"/>
          <w:u w:val="single"/>
        </w:rPr>
        <w:t>Unopened vials</w:t>
      </w:r>
    </w:p>
    <w:p w14:paraId="7B143F4D" w14:textId="77777777" w:rsidR="00757CB1" w:rsidRPr="00513188" w:rsidRDefault="00757CB1">
      <w:pPr>
        <w:rPr>
          <w:color w:val="000000" w:themeColor="text1"/>
          <w:sz w:val="24"/>
          <w:szCs w:val="24"/>
        </w:rPr>
      </w:pPr>
    </w:p>
    <w:p w14:paraId="52CD5845" w14:textId="42552D40" w:rsidR="00757CB1" w:rsidRPr="00513188" w:rsidRDefault="00B616A7">
      <w:pPr>
        <w:rPr>
          <w:color w:val="000000" w:themeColor="text1"/>
          <w:sz w:val="24"/>
          <w:szCs w:val="24"/>
        </w:rPr>
      </w:pPr>
      <w:r w:rsidRPr="00513188">
        <w:rPr>
          <w:color w:val="000000" w:themeColor="text1"/>
          <w:sz w:val="24"/>
          <w:szCs w:val="24"/>
        </w:rPr>
        <w:t xml:space="preserve">36 months. </w:t>
      </w:r>
    </w:p>
    <w:p w14:paraId="2AC02D1A" w14:textId="77777777" w:rsidR="00757CB1" w:rsidRPr="00513188" w:rsidRDefault="00757CB1">
      <w:pPr>
        <w:rPr>
          <w:rFonts w:eastAsia="Yu Mincho"/>
          <w:color w:val="000000" w:themeColor="text1"/>
          <w:sz w:val="24"/>
          <w:szCs w:val="24"/>
          <w:lang w:eastAsia="ja-JP"/>
        </w:rPr>
      </w:pPr>
    </w:p>
    <w:p w14:paraId="298F16B6" w14:textId="77777777" w:rsidR="00757CB1" w:rsidRPr="00513188" w:rsidRDefault="00B616A7">
      <w:pPr>
        <w:rPr>
          <w:color w:val="000000" w:themeColor="text1"/>
          <w:sz w:val="24"/>
          <w:szCs w:val="24"/>
          <w:u w:val="single"/>
        </w:rPr>
      </w:pPr>
      <w:r w:rsidRPr="00513188">
        <w:rPr>
          <w:color w:val="000000" w:themeColor="text1"/>
          <w:sz w:val="24"/>
          <w:szCs w:val="24"/>
          <w:u w:val="single"/>
        </w:rPr>
        <w:t>After dilution</w:t>
      </w:r>
    </w:p>
    <w:p w14:paraId="380DB33F" w14:textId="7A5742DD" w:rsidR="00757CB1" w:rsidRPr="00513188" w:rsidRDefault="00BA41F8">
      <w:pPr>
        <w:rPr>
          <w:color w:val="000000" w:themeColor="text1"/>
          <w:sz w:val="24"/>
          <w:szCs w:val="24"/>
        </w:rPr>
      </w:pPr>
      <w:r w:rsidRPr="00513188">
        <w:rPr>
          <w:color w:val="000000"/>
          <w:sz w:val="24"/>
          <w:szCs w:val="24"/>
        </w:rPr>
        <w:t>To reduce microbiological hazard, use as soon as practicable after reconstitution/preparation. If not used immediately and if storage is necessary, hold at room temperature (15</w:t>
      </w:r>
      <w:r w:rsidRPr="00513188">
        <w:rPr>
          <w:rFonts w:hint="eastAsia"/>
          <w:color w:val="000000"/>
          <w:sz w:val="24"/>
          <w:szCs w:val="24"/>
        </w:rPr>
        <w:t>℃</w:t>
      </w:r>
      <w:r w:rsidRPr="00513188">
        <w:rPr>
          <w:color w:val="000000"/>
          <w:sz w:val="24"/>
          <w:szCs w:val="24"/>
        </w:rPr>
        <w:t xml:space="preserve"> up to 30</w:t>
      </w:r>
      <w:r w:rsidRPr="00513188">
        <w:rPr>
          <w:rFonts w:hint="eastAsia"/>
          <w:color w:val="000000"/>
          <w:sz w:val="24"/>
          <w:szCs w:val="24"/>
        </w:rPr>
        <w:t>℃</w:t>
      </w:r>
      <w:r w:rsidRPr="00513188">
        <w:rPr>
          <w:color w:val="000000"/>
          <w:sz w:val="24"/>
          <w:szCs w:val="24"/>
        </w:rPr>
        <w:t>) for up to 16 hours (including infusion time). Do not freeze.</w:t>
      </w:r>
    </w:p>
    <w:p w14:paraId="1BDA28C5" w14:textId="77777777" w:rsidR="00757CB1" w:rsidRPr="00513188" w:rsidRDefault="00757CB1">
      <w:pPr>
        <w:rPr>
          <w:color w:val="000000" w:themeColor="text1"/>
          <w:sz w:val="24"/>
          <w:szCs w:val="24"/>
        </w:rPr>
      </w:pPr>
    </w:p>
    <w:p w14:paraId="1B5AD68D" w14:textId="77777777" w:rsidR="00757CB1" w:rsidRPr="00513188" w:rsidRDefault="00B616A7" w:rsidP="00084EA1">
      <w:pPr>
        <w:pStyle w:val="Heading2"/>
      </w:pPr>
      <w:r w:rsidRPr="00513188">
        <w:t>6.4</w:t>
      </w:r>
      <w:r w:rsidRPr="00513188">
        <w:tab/>
        <w:t>SPECIAL PRECAUTIONS FOR STORAGE</w:t>
      </w:r>
    </w:p>
    <w:p w14:paraId="06E58F8E" w14:textId="77777777" w:rsidR="00757CB1" w:rsidRPr="00513188" w:rsidRDefault="00757CB1">
      <w:pPr>
        <w:rPr>
          <w:color w:val="000000" w:themeColor="text1"/>
          <w:sz w:val="24"/>
          <w:szCs w:val="24"/>
        </w:rPr>
      </w:pPr>
    </w:p>
    <w:p w14:paraId="2FC0F422" w14:textId="77777777" w:rsidR="00757CB1" w:rsidRPr="00513188" w:rsidRDefault="00B616A7">
      <w:pPr>
        <w:rPr>
          <w:color w:val="000000" w:themeColor="text1"/>
          <w:sz w:val="24"/>
          <w:szCs w:val="24"/>
        </w:rPr>
      </w:pPr>
      <w:r w:rsidRPr="00513188">
        <w:rPr>
          <w:color w:val="000000" w:themeColor="text1"/>
          <w:sz w:val="24"/>
          <w:szCs w:val="24"/>
        </w:rPr>
        <w:t>Store at 2°C to 8°C. (Refrigerate. Do not freeze).</w:t>
      </w:r>
    </w:p>
    <w:p w14:paraId="18628303" w14:textId="77777777" w:rsidR="00757CB1" w:rsidRPr="00513188" w:rsidRDefault="00757CB1">
      <w:pPr>
        <w:rPr>
          <w:color w:val="000000" w:themeColor="text1"/>
          <w:sz w:val="24"/>
          <w:szCs w:val="24"/>
        </w:rPr>
      </w:pPr>
    </w:p>
    <w:p w14:paraId="06831574" w14:textId="6E4A5E3F" w:rsidR="00757CB1" w:rsidRPr="00513188" w:rsidRDefault="00B616A7">
      <w:pPr>
        <w:rPr>
          <w:color w:val="000000" w:themeColor="text1"/>
          <w:sz w:val="24"/>
          <w:szCs w:val="24"/>
        </w:rPr>
      </w:pPr>
      <w:bookmarkStart w:id="11" w:name="_Hlk106051079"/>
      <w:r w:rsidRPr="00513188">
        <w:rPr>
          <w:color w:val="000000"/>
          <w:sz w:val="24"/>
          <w:szCs w:val="24"/>
        </w:rPr>
        <w:t xml:space="preserve">If refrigeration is not available, Onpattro vials can be stored at room temperature up to 25°C for up to 14 days. Onpattro must be discarded if not used within the </w:t>
      </w:r>
      <w:proofErr w:type="gramStart"/>
      <w:r w:rsidRPr="00513188">
        <w:rPr>
          <w:color w:val="000000"/>
          <w:sz w:val="24"/>
          <w:szCs w:val="24"/>
        </w:rPr>
        <w:t>14 day</w:t>
      </w:r>
      <w:proofErr w:type="gramEnd"/>
      <w:r w:rsidRPr="00513188">
        <w:rPr>
          <w:color w:val="000000"/>
          <w:sz w:val="24"/>
          <w:szCs w:val="24"/>
        </w:rPr>
        <w:t xml:space="preserve"> period.</w:t>
      </w:r>
    </w:p>
    <w:bookmarkEnd w:id="11"/>
    <w:p w14:paraId="0143C257" w14:textId="77777777" w:rsidR="00757CB1" w:rsidRPr="00513188" w:rsidRDefault="00757CB1">
      <w:pPr>
        <w:rPr>
          <w:color w:val="000000" w:themeColor="text1"/>
          <w:sz w:val="24"/>
          <w:szCs w:val="24"/>
        </w:rPr>
      </w:pPr>
    </w:p>
    <w:p w14:paraId="1F833EA7" w14:textId="77777777" w:rsidR="00757CB1" w:rsidRPr="00513188" w:rsidRDefault="00B616A7">
      <w:pPr>
        <w:rPr>
          <w:color w:val="000000" w:themeColor="text1"/>
          <w:sz w:val="24"/>
          <w:szCs w:val="24"/>
        </w:rPr>
      </w:pPr>
      <w:r w:rsidRPr="00513188">
        <w:rPr>
          <w:color w:val="000000" w:themeColor="text1"/>
          <w:sz w:val="24"/>
          <w:szCs w:val="24"/>
        </w:rPr>
        <w:t xml:space="preserve">For storage conditions after dilution of the medicinal product, see section 6.3. Shelf Life. </w:t>
      </w:r>
    </w:p>
    <w:p w14:paraId="0907453E" w14:textId="77777777" w:rsidR="00757CB1" w:rsidRPr="00513188" w:rsidRDefault="00757CB1">
      <w:pPr>
        <w:rPr>
          <w:color w:val="000000" w:themeColor="text1"/>
          <w:sz w:val="24"/>
          <w:szCs w:val="24"/>
        </w:rPr>
      </w:pPr>
    </w:p>
    <w:p w14:paraId="76F81FD1" w14:textId="77777777" w:rsidR="00757CB1" w:rsidRPr="00513188" w:rsidRDefault="00B616A7" w:rsidP="00084EA1">
      <w:pPr>
        <w:pStyle w:val="Heading2"/>
      </w:pPr>
      <w:r w:rsidRPr="00513188">
        <w:t>6.5</w:t>
      </w:r>
      <w:r w:rsidRPr="00513188">
        <w:tab/>
        <w:t>NATURE AND CONTENTS OF CONTAINER</w:t>
      </w:r>
    </w:p>
    <w:p w14:paraId="27E997A4" w14:textId="77777777" w:rsidR="00757CB1" w:rsidRPr="00513188" w:rsidRDefault="00757CB1">
      <w:pPr>
        <w:rPr>
          <w:color w:val="000000" w:themeColor="text1"/>
          <w:sz w:val="24"/>
          <w:szCs w:val="24"/>
        </w:rPr>
      </w:pPr>
    </w:p>
    <w:p w14:paraId="476B3071" w14:textId="77777777" w:rsidR="00757CB1" w:rsidRPr="00513188" w:rsidRDefault="00B616A7">
      <w:pPr>
        <w:rPr>
          <w:color w:val="000000" w:themeColor="text1"/>
          <w:sz w:val="24"/>
          <w:szCs w:val="24"/>
        </w:rPr>
      </w:pPr>
      <w:r w:rsidRPr="00513188">
        <w:rPr>
          <w:color w:val="000000" w:themeColor="text1"/>
          <w:sz w:val="24"/>
          <w:szCs w:val="24"/>
        </w:rPr>
        <w:t xml:space="preserve">5 mL concentrate in a Type I glass vial with a </w:t>
      </w:r>
      <w:proofErr w:type="spellStart"/>
      <w:r w:rsidRPr="00513188">
        <w:rPr>
          <w:color w:val="000000" w:themeColor="text1"/>
          <w:sz w:val="24"/>
          <w:szCs w:val="24"/>
        </w:rPr>
        <w:t>chlorobutyl</w:t>
      </w:r>
      <w:proofErr w:type="spellEnd"/>
      <w:r w:rsidRPr="00513188">
        <w:rPr>
          <w:color w:val="000000" w:themeColor="text1"/>
          <w:sz w:val="24"/>
          <w:szCs w:val="24"/>
        </w:rPr>
        <w:t xml:space="preserve"> stopper and an aluminium flip-off cap. Pack size of 1 vial.</w:t>
      </w:r>
    </w:p>
    <w:p w14:paraId="762E2BED" w14:textId="77777777" w:rsidR="00757CB1" w:rsidRPr="00513188" w:rsidRDefault="00757CB1">
      <w:pPr>
        <w:rPr>
          <w:color w:val="000000" w:themeColor="text1"/>
          <w:sz w:val="24"/>
          <w:szCs w:val="24"/>
        </w:rPr>
      </w:pPr>
    </w:p>
    <w:p w14:paraId="64580ADF" w14:textId="77777777" w:rsidR="00757CB1" w:rsidRPr="00513188" w:rsidRDefault="00B616A7" w:rsidP="00084EA1">
      <w:pPr>
        <w:pStyle w:val="Heading2"/>
      </w:pPr>
      <w:r w:rsidRPr="00513188">
        <w:t>6.6</w:t>
      </w:r>
      <w:r w:rsidRPr="00513188">
        <w:tab/>
        <w:t xml:space="preserve">SPECIAL PRECAUTIONS FOR DISPOSAL </w:t>
      </w:r>
    </w:p>
    <w:p w14:paraId="20A5FCE2" w14:textId="77777777" w:rsidR="00757CB1" w:rsidRPr="00513188" w:rsidRDefault="00757CB1">
      <w:pPr>
        <w:rPr>
          <w:color w:val="000000" w:themeColor="text1"/>
          <w:sz w:val="24"/>
          <w:szCs w:val="24"/>
        </w:rPr>
      </w:pPr>
    </w:p>
    <w:p w14:paraId="29CC59F3" w14:textId="7C2D9FB6" w:rsidR="00757CB1" w:rsidRPr="00513188" w:rsidRDefault="00B616A7">
      <w:pPr>
        <w:rPr>
          <w:color w:val="000000" w:themeColor="text1"/>
          <w:sz w:val="24"/>
          <w:szCs w:val="24"/>
        </w:rPr>
      </w:pPr>
      <w:bookmarkStart w:id="12" w:name="_Hlk514497569"/>
      <w:r w:rsidRPr="00513188">
        <w:rPr>
          <w:color w:val="000000" w:themeColor="text1"/>
          <w:sz w:val="24"/>
          <w:szCs w:val="24"/>
        </w:rPr>
        <w:t xml:space="preserve">Product is for single use in one patient only. Discard any residue. </w:t>
      </w:r>
    </w:p>
    <w:bookmarkEnd w:id="12"/>
    <w:p w14:paraId="17CDDB65" w14:textId="77777777" w:rsidR="00757CB1" w:rsidRPr="00513188" w:rsidRDefault="00757CB1">
      <w:pPr>
        <w:rPr>
          <w:color w:val="000000" w:themeColor="text1"/>
          <w:sz w:val="24"/>
          <w:szCs w:val="24"/>
        </w:rPr>
      </w:pPr>
    </w:p>
    <w:p w14:paraId="4F66652B" w14:textId="77777777" w:rsidR="00757CB1" w:rsidRPr="00513188" w:rsidRDefault="00B616A7" w:rsidP="00084EA1">
      <w:pPr>
        <w:pStyle w:val="Heading2"/>
      </w:pPr>
      <w:r w:rsidRPr="00513188">
        <w:t>6.7 PHYSICOCHEMICAL PROPERTIES</w:t>
      </w:r>
    </w:p>
    <w:p w14:paraId="2643F44B" w14:textId="77777777" w:rsidR="00757CB1" w:rsidRPr="00513188" w:rsidRDefault="00757CB1">
      <w:pPr>
        <w:rPr>
          <w:color w:val="000000" w:themeColor="text1"/>
          <w:sz w:val="24"/>
          <w:szCs w:val="24"/>
        </w:rPr>
      </w:pPr>
    </w:p>
    <w:p w14:paraId="17FFBAA3" w14:textId="77777777" w:rsidR="00757CB1" w:rsidRPr="00513188" w:rsidRDefault="00B616A7">
      <w:pPr>
        <w:rPr>
          <w:b/>
          <w:bCs/>
          <w:color w:val="000000" w:themeColor="text1"/>
          <w:sz w:val="24"/>
          <w:szCs w:val="24"/>
        </w:rPr>
      </w:pPr>
      <w:r w:rsidRPr="00513188">
        <w:rPr>
          <w:b/>
          <w:bCs/>
          <w:color w:val="000000" w:themeColor="text1"/>
          <w:sz w:val="24"/>
          <w:szCs w:val="24"/>
        </w:rPr>
        <w:t>Chemical structure</w:t>
      </w:r>
    </w:p>
    <w:p w14:paraId="48A7CD71" w14:textId="77777777" w:rsidR="00757CB1" w:rsidRPr="00513188" w:rsidRDefault="00B616A7">
      <w:pPr>
        <w:rPr>
          <w:color w:val="000000" w:themeColor="text1"/>
          <w:sz w:val="24"/>
          <w:szCs w:val="24"/>
        </w:rPr>
      </w:pPr>
      <w:r w:rsidRPr="00513188">
        <w:rPr>
          <w:noProof/>
          <w:color w:val="000000" w:themeColor="text1"/>
          <w:sz w:val="24"/>
          <w:szCs w:val="24"/>
        </w:rPr>
        <w:drawing>
          <wp:inline distT="0" distB="0" distL="0" distR="0" wp14:anchorId="011D0ADF" wp14:editId="5236AC42">
            <wp:extent cx="5829300" cy="190412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7201" cy="1909974"/>
                    </a:xfrm>
                    <a:prstGeom prst="rect">
                      <a:avLst/>
                    </a:prstGeom>
                    <a:noFill/>
                  </pic:spPr>
                </pic:pic>
              </a:graphicData>
            </a:graphic>
          </wp:inline>
        </w:drawing>
      </w:r>
    </w:p>
    <w:p w14:paraId="688133CD" w14:textId="77777777" w:rsidR="00757CB1" w:rsidRPr="00513188" w:rsidRDefault="00B616A7">
      <w:pPr>
        <w:rPr>
          <w:b/>
          <w:bCs/>
          <w:color w:val="000000" w:themeColor="text1"/>
          <w:sz w:val="24"/>
          <w:szCs w:val="24"/>
        </w:rPr>
      </w:pPr>
      <w:r w:rsidRPr="00513188">
        <w:rPr>
          <w:b/>
          <w:bCs/>
          <w:color w:val="000000" w:themeColor="text1"/>
          <w:sz w:val="24"/>
          <w:szCs w:val="24"/>
        </w:rPr>
        <w:t>CAS number</w:t>
      </w:r>
    </w:p>
    <w:p w14:paraId="3FAD31D0" w14:textId="77777777" w:rsidR="00757CB1" w:rsidRPr="00513188" w:rsidRDefault="00757CB1">
      <w:pPr>
        <w:rPr>
          <w:color w:val="000000" w:themeColor="text1"/>
          <w:sz w:val="24"/>
          <w:szCs w:val="24"/>
        </w:rPr>
      </w:pPr>
    </w:p>
    <w:p w14:paraId="725CD971" w14:textId="77777777" w:rsidR="00757CB1" w:rsidRPr="00513188" w:rsidRDefault="00B616A7">
      <w:pPr>
        <w:rPr>
          <w:color w:val="000000" w:themeColor="text1"/>
          <w:sz w:val="24"/>
          <w:szCs w:val="24"/>
        </w:rPr>
      </w:pPr>
      <w:r w:rsidRPr="00513188">
        <w:rPr>
          <w:color w:val="000000" w:themeColor="text1"/>
          <w:sz w:val="24"/>
          <w:szCs w:val="24"/>
        </w:rPr>
        <w:t>1386913-72-9 (patisiran sodium)</w:t>
      </w:r>
    </w:p>
    <w:p w14:paraId="6F0EBEEE" w14:textId="77777777" w:rsidR="00757CB1" w:rsidRPr="00513188" w:rsidRDefault="00757CB1">
      <w:pPr>
        <w:rPr>
          <w:color w:val="000000" w:themeColor="text1"/>
          <w:sz w:val="24"/>
          <w:szCs w:val="24"/>
        </w:rPr>
      </w:pPr>
    </w:p>
    <w:p w14:paraId="23BFAC78"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t>7.</w:t>
      </w:r>
      <w:r w:rsidRPr="00513188">
        <w:rPr>
          <w:rFonts w:ascii="Times New Roman" w:hAnsi="Times New Roman"/>
          <w:color w:val="000000" w:themeColor="text1"/>
          <w:sz w:val="24"/>
          <w:szCs w:val="24"/>
        </w:rPr>
        <w:tab/>
        <w:t>MEDICINE SCHEDULE (POISONS STANDARD)</w:t>
      </w:r>
    </w:p>
    <w:p w14:paraId="0B4842C0" w14:textId="77777777" w:rsidR="00757CB1" w:rsidRPr="00513188" w:rsidRDefault="00757CB1">
      <w:pPr>
        <w:rPr>
          <w:color w:val="000000" w:themeColor="text1"/>
          <w:sz w:val="24"/>
          <w:szCs w:val="24"/>
        </w:rPr>
      </w:pPr>
    </w:p>
    <w:p w14:paraId="6E357A57" w14:textId="77777777" w:rsidR="00757CB1" w:rsidRPr="00513188" w:rsidRDefault="00B616A7">
      <w:pPr>
        <w:rPr>
          <w:color w:val="000000" w:themeColor="text1"/>
          <w:sz w:val="24"/>
          <w:szCs w:val="24"/>
        </w:rPr>
      </w:pPr>
      <w:r w:rsidRPr="00513188">
        <w:rPr>
          <w:color w:val="000000" w:themeColor="text1"/>
          <w:sz w:val="24"/>
          <w:szCs w:val="24"/>
        </w:rPr>
        <w:t>Schedule 4 – Prescription Only Medicine</w:t>
      </w:r>
    </w:p>
    <w:p w14:paraId="5A452319" w14:textId="77777777" w:rsidR="00757CB1" w:rsidRPr="00513188" w:rsidRDefault="00757CB1">
      <w:pPr>
        <w:rPr>
          <w:color w:val="000000" w:themeColor="text1"/>
          <w:sz w:val="24"/>
          <w:szCs w:val="24"/>
        </w:rPr>
      </w:pPr>
    </w:p>
    <w:p w14:paraId="29606EDE" w14:textId="77777777" w:rsidR="00757CB1" w:rsidRPr="00513188" w:rsidRDefault="00B616A7">
      <w:pPr>
        <w:pStyle w:val="Heading1"/>
      </w:pPr>
      <w:r w:rsidRPr="00513188">
        <w:rPr>
          <w:rFonts w:ascii="Times New Roman" w:hAnsi="Times New Roman"/>
          <w:color w:val="000000" w:themeColor="text1"/>
          <w:sz w:val="24"/>
          <w:szCs w:val="24"/>
        </w:rPr>
        <w:t>8.</w:t>
      </w:r>
      <w:r w:rsidRPr="00513188">
        <w:rPr>
          <w:rFonts w:ascii="Times New Roman" w:hAnsi="Times New Roman"/>
          <w:color w:val="000000" w:themeColor="text1"/>
          <w:sz w:val="24"/>
          <w:szCs w:val="24"/>
        </w:rPr>
        <w:tab/>
        <w:t xml:space="preserve">SPONSOR </w:t>
      </w:r>
    </w:p>
    <w:p w14:paraId="738A0CFE" w14:textId="77777777" w:rsidR="00757CB1" w:rsidRPr="00513188" w:rsidRDefault="00757CB1">
      <w:pPr>
        <w:rPr>
          <w:color w:val="000000" w:themeColor="text1"/>
          <w:sz w:val="24"/>
          <w:szCs w:val="24"/>
        </w:rPr>
      </w:pPr>
    </w:p>
    <w:p w14:paraId="12215E05" w14:textId="77777777" w:rsidR="00757CB1" w:rsidRPr="00513188" w:rsidRDefault="00B616A7">
      <w:pPr>
        <w:rPr>
          <w:color w:val="000000" w:themeColor="text1"/>
          <w:sz w:val="24"/>
          <w:szCs w:val="24"/>
        </w:rPr>
      </w:pPr>
      <w:r w:rsidRPr="00513188">
        <w:rPr>
          <w:color w:val="000000" w:themeColor="text1"/>
          <w:sz w:val="24"/>
          <w:szCs w:val="24"/>
        </w:rPr>
        <w:t>Alnylam Australia Pty Ltd</w:t>
      </w:r>
    </w:p>
    <w:p w14:paraId="12295BE0" w14:textId="77777777" w:rsidR="00AA39E5" w:rsidRDefault="00AA39E5">
      <w:pPr>
        <w:rPr>
          <w:color w:val="000000" w:themeColor="text1"/>
          <w:sz w:val="24"/>
          <w:szCs w:val="24"/>
        </w:rPr>
      </w:pPr>
      <w:r>
        <w:rPr>
          <w:color w:val="000000" w:themeColor="text1"/>
          <w:sz w:val="24"/>
          <w:szCs w:val="24"/>
        </w:rPr>
        <w:t>Level1</w:t>
      </w:r>
      <w:r w:rsidR="00B616A7" w:rsidRPr="00513188">
        <w:rPr>
          <w:color w:val="000000" w:themeColor="text1"/>
          <w:sz w:val="24"/>
          <w:szCs w:val="24"/>
        </w:rPr>
        <w:t>,</w:t>
      </w:r>
    </w:p>
    <w:p w14:paraId="25208F1B" w14:textId="3E1A7DC9" w:rsidR="00757CB1" w:rsidRPr="00513188" w:rsidRDefault="00AA39E5">
      <w:pPr>
        <w:rPr>
          <w:color w:val="000000" w:themeColor="text1"/>
          <w:sz w:val="24"/>
          <w:szCs w:val="24"/>
        </w:rPr>
      </w:pPr>
      <w:r>
        <w:rPr>
          <w:color w:val="000000" w:themeColor="text1"/>
          <w:sz w:val="24"/>
          <w:szCs w:val="24"/>
        </w:rPr>
        <w:t>60 Martin Place,</w:t>
      </w:r>
    </w:p>
    <w:p w14:paraId="6D1EB581" w14:textId="0069B991" w:rsidR="00757CB1" w:rsidRPr="00513188" w:rsidRDefault="00AA39E5">
      <w:pPr>
        <w:rPr>
          <w:color w:val="000000" w:themeColor="text1"/>
          <w:sz w:val="24"/>
          <w:szCs w:val="24"/>
        </w:rPr>
      </w:pPr>
      <w:r>
        <w:rPr>
          <w:color w:val="000000" w:themeColor="text1"/>
          <w:sz w:val="24"/>
          <w:szCs w:val="24"/>
        </w:rPr>
        <w:t>Sydney</w:t>
      </w:r>
      <w:r w:rsidR="00B616A7" w:rsidRPr="00513188">
        <w:rPr>
          <w:color w:val="000000" w:themeColor="text1"/>
          <w:sz w:val="24"/>
          <w:szCs w:val="24"/>
        </w:rPr>
        <w:t xml:space="preserve"> </w:t>
      </w:r>
    </w:p>
    <w:p w14:paraId="4E2606A1" w14:textId="038B8546" w:rsidR="00757CB1" w:rsidRPr="00513188" w:rsidRDefault="00B616A7">
      <w:pPr>
        <w:rPr>
          <w:color w:val="000000" w:themeColor="text1"/>
          <w:sz w:val="24"/>
          <w:szCs w:val="24"/>
        </w:rPr>
      </w:pPr>
      <w:r w:rsidRPr="00513188">
        <w:rPr>
          <w:color w:val="000000" w:themeColor="text1"/>
          <w:sz w:val="24"/>
          <w:szCs w:val="24"/>
        </w:rPr>
        <w:t>NSW 2</w:t>
      </w:r>
      <w:r w:rsidR="00AA39E5">
        <w:rPr>
          <w:color w:val="000000" w:themeColor="text1"/>
          <w:sz w:val="24"/>
          <w:szCs w:val="24"/>
        </w:rPr>
        <w:t>000</w:t>
      </w:r>
    </w:p>
    <w:p w14:paraId="23D93691" w14:textId="77777777" w:rsidR="00757CB1" w:rsidRPr="00513188" w:rsidRDefault="00B616A7">
      <w:pPr>
        <w:rPr>
          <w:color w:val="000000" w:themeColor="text1"/>
          <w:sz w:val="24"/>
          <w:szCs w:val="24"/>
        </w:rPr>
      </w:pPr>
      <w:r w:rsidRPr="00513188">
        <w:rPr>
          <w:color w:val="000000" w:themeColor="text1"/>
          <w:sz w:val="24"/>
          <w:szCs w:val="24"/>
        </w:rPr>
        <w:t>Australia</w:t>
      </w:r>
    </w:p>
    <w:p w14:paraId="5F0F179D" w14:textId="77777777" w:rsidR="00757CB1" w:rsidRPr="00513188" w:rsidRDefault="00757CB1">
      <w:pPr>
        <w:rPr>
          <w:color w:val="000000" w:themeColor="text1"/>
          <w:sz w:val="24"/>
          <w:szCs w:val="24"/>
        </w:rPr>
      </w:pPr>
    </w:p>
    <w:p w14:paraId="6109D20D" w14:textId="77777777" w:rsidR="00757CB1" w:rsidRPr="00513188" w:rsidRDefault="00B616A7">
      <w:pPr>
        <w:rPr>
          <w:color w:val="000000" w:themeColor="text1"/>
          <w:sz w:val="24"/>
          <w:szCs w:val="24"/>
        </w:rPr>
      </w:pPr>
      <w:r w:rsidRPr="00513188">
        <w:rPr>
          <w:rStyle w:val="Heading1Char"/>
          <w:rFonts w:ascii="Times New Roman" w:hAnsi="Times New Roman"/>
          <w:color w:val="000000" w:themeColor="text1"/>
          <w:sz w:val="24"/>
          <w:szCs w:val="24"/>
        </w:rPr>
        <w:t>9.</w:t>
      </w:r>
      <w:r w:rsidRPr="00513188">
        <w:rPr>
          <w:rStyle w:val="Heading1Char"/>
          <w:rFonts w:ascii="Times New Roman" w:hAnsi="Times New Roman"/>
          <w:color w:val="000000" w:themeColor="text1"/>
          <w:sz w:val="24"/>
          <w:szCs w:val="24"/>
        </w:rPr>
        <w:tab/>
        <w:t>DATE OF FIRST APPROVAL</w:t>
      </w:r>
    </w:p>
    <w:p w14:paraId="50CC2BC4" w14:textId="77777777" w:rsidR="00757CB1" w:rsidRPr="00513188" w:rsidRDefault="00757CB1">
      <w:pPr>
        <w:rPr>
          <w:color w:val="000000" w:themeColor="text1"/>
          <w:sz w:val="24"/>
          <w:szCs w:val="24"/>
        </w:rPr>
      </w:pPr>
    </w:p>
    <w:p w14:paraId="43B7DF63" w14:textId="179CDE25" w:rsidR="00757CB1" w:rsidRPr="00513188" w:rsidRDefault="00D11383">
      <w:pPr>
        <w:rPr>
          <w:color w:val="000000" w:themeColor="text1"/>
          <w:sz w:val="24"/>
          <w:szCs w:val="24"/>
        </w:rPr>
      </w:pPr>
      <w:r>
        <w:rPr>
          <w:color w:val="000000" w:themeColor="text1"/>
          <w:sz w:val="24"/>
          <w:szCs w:val="24"/>
        </w:rPr>
        <w:t>21 November 2022</w:t>
      </w:r>
    </w:p>
    <w:p w14:paraId="0001A300" w14:textId="77777777" w:rsidR="00757CB1" w:rsidRPr="00513188" w:rsidRDefault="00B616A7">
      <w:pPr>
        <w:pStyle w:val="Heading1"/>
        <w:rPr>
          <w:rFonts w:ascii="Times New Roman" w:hAnsi="Times New Roman"/>
          <w:color w:val="000000" w:themeColor="text1"/>
          <w:sz w:val="24"/>
          <w:szCs w:val="24"/>
        </w:rPr>
      </w:pPr>
      <w:r w:rsidRPr="00513188">
        <w:rPr>
          <w:rFonts w:ascii="Times New Roman" w:hAnsi="Times New Roman"/>
          <w:color w:val="000000" w:themeColor="text1"/>
          <w:sz w:val="24"/>
          <w:szCs w:val="24"/>
        </w:rPr>
        <w:t>10.</w:t>
      </w:r>
      <w:r w:rsidRPr="00513188">
        <w:rPr>
          <w:rFonts w:ascii="Times New Roman" w:hAnsi="Times New Roman"/>
          <w:color w:val="000000" w:themeColor="text1"/>
          <w:sz w:val="24"/>
          <w:szCs w:val="24"/>
        </w:rPr>
        <w:tab/>
        <w:t xml:space="preserve">DATE OF REVISION </w:t>
      </w:r>
    </w:p>
    <w:p w14:paraId="21D4BFB1" w14:textId="77777777" w:rsidR="00757CB1" w:rsidRPr="00513188" w:rsidRDefault="00757CB1">
      <w:pPr>
        <w:rPr>
          <w:color w:val="000000" w:themeColor="text1"/>
          <w:sz w:val="24"/>
          <w:szCs w:val="24"/>
        </w:rPr>
      </w:pPr>
    </w:p>
    <w:p w14:paraId="79CA9CB3" w14:textId="77777777" w:rsidR="00757CB1" w:rsidRPr="00513188" w:rsidRDefault="00B616A7">
      <w:pPr>
        <w:rPr>
          <w:color w:val="000000" w:themeColor="text1"/>
          <w:sz w:val="24"/>
          <w:szCs w:val="24"/>
        </w:rPr>
      </w:pPr>
      <w:r w:rsidRPr="00513188">
        <w:rPr>
          <w:color w:val="000000" w:themeColor="text1"/>
          <w:sz w:val="24"/>
          <w:szCs w:val="24"/>
        </w:rPr>
        <w:t>Summary table of changes</w:t>
      </w:r>
    </w:p>
    <w:p w14:paraId="6CEA7017" w14:textId="77777777" w:rsidR="00757CB1" w:rsidRPr="00513188" w:rsidRDefault="00757CB1">
      <w:pPr>
        <w:rPr>
          <w:color w:val="000000" w:themeColor="text1"/>
          <w:sz w:val="24"/>
          <w:szCs w:val="24"/>
        </w:rPr>
      </w:pPr>
    </w:p>
    <w:tbl>
      <w:tblPr>
        <w:tblStyle w:val="TableGrid"/>
        <w:tblW w:w="0" w:type="auto"/>
        <w:tblLook w:val="04A0" w:firstRow="1" w:lastRow="0" w:firstColumn="1" w:lastColumn="0" w:noHBand="0" w:noVBand="1"/>
      </w:tblPr>
      <w:tblGrid>
        <w:gridCol w:w="4530"/>
        <w:gridCol w:w="4531"/>
      </w:tblGrid>
      <w:tr w:rsidR="00757CB1" w14:paraId="1FDAD0A2" w14:textId="77777777">
        <w:tc>
          <w:tcPr>
            <w:tcW w:w="4530" w:type="dxa"/>
          </w:tcPr>
          <w:p w14:paraId="78DB264D" w14:textId="77777777" w:rsidR="00757CB1" w:rsidRPr="00513188" w:rsidRDefault="00B616A7">
            <w:pPr>
              <w:rPr>
                <w:color w:val="000000" w:themeColor="text1"/>
                <w:sz w:val="24"/>
                <w:szCs w:val="24"/>
              </w:rPr>
            </w:pPr>
            <w:r w:rsidRPr="00513188">
              <w:rPr>
                <w:color w:val="000000" w:themeColor="text1"/>
                <w:sz w:val="24"/>
                <w:szCs w:val="24"/>
              </w:rPr>
              <w:t>Section changed</w:t>
            </w:r>
          </w:p>
        </w:tc>
        <w:tc>
          <w:tcPr>
            <w:tcW w:w="4531" w:type="dxa"/>
          </w:tcPr>
          <w:p w14:paraId="0A59533C" w14:textId="77777777" w:rsidR="00757CB1" w:rsidRDefault="00B616A7">
            <w:pPr>
              <w:rPr>
                <w:color w:val="000000" w:themeColor="text1"/>
                <w:sz w:val="24"/>
                <w:szCs w:val="24"/>
              </w:rPr>
            </w:pPr>
            <w:r w:rsidRPr="00513188">
              <w:rPr>
                <w:color w:val="000000" w:themeColor="text1"/>
                <w:sz w:val="24"/>
                <w:szCs w:val="24"/>
              </w:rPr>
              <w:t>Summary of new information</w:t>
            </w:r>
          </w:p>
        </w:tc>
      </w:tr>
      <w:tr w:rsidR="00757CB1" w14:paraId="27B43049" w14:textId="77777777">
        <w:tc>
          <w:tcPr>
            <w:tcW w:w="4530" w:type="dxa"/>
          </w:tcPr>
          <w:p w14:paraId="2882944B" w14:textId="77777777" w:rsidR="00757CB1" w:rsidRDefault="00757CB1">
            <w:pPr>
              <w:rPr>
                <w:color w:val="000000" w:themeColor="text1"/>
                <w:sz w:val="24"/>
                <w:szCs w:val="24"/>
              </w:rPr>
            </w:pPr>
          </w:p>
        </w:tc>
        <w:tc>
          <w:tcPr>
            <w:tcW w:w="4531" w:type="dxa"/>
          </w:tcPr>
          <w:p w14:paraId="347FD8FD" w14:textId="77777777" w:rsidR="00757CB1" w:rsidRDefault="00757CB1">
            <w:pPr>
              <w:rPr>
                <w:color w:val="000000" w:themeColor="text1"/>
                <w:sz w:val="24"/>
                <w:szCs w:val="24"/>
              </w:rPr>
            </w:pPr>
          </w:p>
        </w:tc>
      </w:tr>
      <w:tr w:rsidR="00757CB1" w14:paraId="32047754" w14:textId="77777777">
        <w:tc>
          <w:tcPr>
            <w:tcW w:w="4530" w:type="dxa"/>
          </w:tcPr>
          <w:p w14:paraId="46AD3A35" w14:textId="77777777" w:rsidR="00757CB1" w:rsidRDefault="00757CB1">
            <w:pPr>
              <w:rPr>
                <w:color w:val="000000" w:themeColor="text1"/>
                <w:sz w:val="24"/>
                <w:szCs w:val="24"/>
              </w:rPr>
            </w:pPr>
          </w:p>
        </w:tc>
        <w:tc>
          <w:tcPr>
            <w:tcW w:w="4531" w:type="dxa"/>
          </w:tcPr>
          <w:p w14:paraId="7E9EED59" w14:textId="77777777" w:rsidR="00757CB1" w:rsidRDefault="00757CB1">
            <w:pPr>
              <w:rPr>
                <w:color w:val="000000" w:themeColor="text1"/>
                <w:sz w:val="24"/>
                <w:szCs w:val="24"/>
              </w:rPr>
            </w:pPr>
          </w:p>
        </w:tc>
      </w:tr>
    </w:tbl>
    <w:p w14:paraId="70629F10" w14:textId="32427A0E" w:rsidR="00757CB1" w:rsidRDefault="00757CB1">
      <w:pPr>
        <w:rPr>
          <w:color w:val="000000" w:themeColor="text1"/>
          <w:sz w:val="24"/>
          <w:szCs w:val="24"/>
        </w:rPr>
      </w:pPr>
      <w:bookmarkStart w:id="13" w:name="page_total_master7"/>
      <w:bookmarkStart w:id="14" w:name="page_total"/>
      <w:bookmarkEnd w:id="13"/>
      <w:bookmarkEnd w:id="14"/>
    </w:p>
    <w:sectPr w:rsidR="00757CB1">
      <w:headerReference w:type="default"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589F" w14:textId="77777777" w:rsidR="007E54C7" w:rsidRDefault="007E54C7">
      <w:r>
        <w:separator/>
      </w:r>
    </w:p>
  </w:endnote>
  <w:endnote w:type="continuationSeparator" w:id="0">
    <w:p w14:paraId="0C734BA5" w14:textId="77777777" w:rsidR="007E54C7" w:rsidRDefault="007E54C7">
      <w:r>
        <w:continuationSeparator/>
      </w:r>
    </w:p>
  </w:endnote>
  <w:endnote w:type="continuationNotice" w:id="1">
    <w:p w14:paraId="5FF65479" w14:textId="77777777" w:rsidR="007E54C7" w:rsidRDefault="007E5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B829" w14:textId="77777777" w:rsidR="00757CB1" w:rsidRDefault="00B616A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E883" w14:textId="77777777" w:rsidR="00757CB1" w:rsidRDefault="00B616A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4C93" w14:textId="77777777" w:rsidR="007E54C7" w:rsidRDefault="007E54C7">
      <w:r>
        <w:separator/>
      </w:r>
    </w:p>
  </w:footnote>
  <w:footnote w:type="continuationSeparator" w:id="0">
    <w:p w14:paraId="056F9CFF" w14:textId="77777777" w:rsidR="007E54C7" w:rsidRDefault="007E54C7">
      <w:r>
        <w:continuationSeparator/>
      </w:r>
    </w:p>
  </w:footnote>
  <w:footnote w:type="continuationNotice" w:id="1">
    <w:p w14:paraId="18AF7881" w14:textId="77777777" w:rsidR="007E54C7" w:rsidRDefault="007E5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213125" w:rsidRPr="000B2145" w14:paraId="22FD7232" w14:textId="77777777" w:rsidTr="006F60B6">
      <w:trPr>
        <w:trHeight w:val="1012"/>
      </w:trPr>
      <w:tc>
        <w:tcPr>
          <w:tcW w:w="9039" w:type="dxa"/>
          <w:shd w:val="clear" w:color="auto" w:fill="E4F2E0"/>
        </w:tcPr>
        <w:p w14:paraId="671EC877" w14:textId="77777777" w:rsidR="00213125" w:rsidRPr="000E4791" w:rsidRDefault="00213125" w:rsidP="00213125">
          <w:pPr>
            <w:pStyle w:val="Footer"/>
            <w:rPr>
              <w:b/>
              <w:sz w:val="18"/>
              <w:szCs w:val="18"/>
            </w:rPr>
          </w:pPr>
          <w:r w:rsidRPr="00EE2A41">
            <w:rPr>
              <w:b/>
              <w:sz w:val="18"/>
              <w:szCs w:val="18"/>
            </w:rPr>
            <w:t xml:space="preserve">Attachment </w:t>
          </w:r>
          <w:r w:rsidRPr="00482FFF">
            <w:rPr>
              <w:b/>
              <w:sz w:val="18"/>
              <w:szCs w:val="18"/>
            </w:rPr>
            <w:t>AusPAR - Onpattro - patisiran - Alnylam Australia Pty Ltd - PM-2021-05675-1-1</w:t>
          </w:r>
          <w:r>
            <w:rPr>
              <w:b/>
              <w:sz w:val="18"/>
              <w:szCs w:val="18"/>
            </w:rPr>
            <w:t xml:space="preserve"> </w:t>
          </w:r>
          <w:r w:rsidRPr="00482FFF">
            <w:rPr>
              <w:b/>
              <w:sz w:val="18"/>
              <w:szCs w:val="18"/>
            </w:rPr>
            <w:t>FINAL 24 August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rFonts w:eastAsia="Verdana"/>
                <w:b/>
              </w:rPr>
              <w:t>https://www.tga.gov.au/product-information-pi</w:t>
            </w:r>
          </w:hyperlink>
          <w:r w:rsidRPr="000E4791">
            <w:rPr>
              <w:b/>
              <w:sz w:val="18"/>
              <w:szCs w:val="18"/>
              <w:u w:val="single"/>
            </w:rPr>
            <w:t>&gt;</w:t>
          </w:r>
        </w:p>
      </w:tc>
    </w:tr>
  </w:tbl>
  <w:p w14:paraId="7F81A11C" w14:textId="77777777" w:rsidR="00213125" w:rsidRDefault="00213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213125" w:rsidRPr="000B2145" w14:paraId="25DACE97" w14:textId="77777777" w:rsidTr="006F60B6">
      <w:trPr>
        <w:trHeight w:val="1012"/>
      </w:trPr>
      <w:tc>
        <w:tcPr>
          <w:tcW w:w="9039" w:type="dxa"/>
          <w:shd w:val="clear" w:color="auto" w:fill="E4F2E0"/>
        </w:tcPr>
        <w:p w14:paraId="034FC23A" w14:textId="77777777" w:rsidR="00213125" w:rsidRPr="000E4791" w:rsidRDefault="00213125" w:rsidP="00213125">
          <w:pPr>
            <w:pStyle w:val="Footer"/>
            <w:rPr>
              <w:b/>
              <w:sz w:val="18"/>
              <w:szCs w:val="18"/>
            </w:rPr>
          </w:pPr>
          <w:bookmarkStart w:id="15" w:name="_Hlk109054010"/>
          <w:r w:rsidRPr="00EE2A41">
            <w:rPr>
              <w:b/>
              <w:sz w:val="18"/>
              <w:szCs w:val="18"/>
            </w:rPr>
            <w:t xml:space="preserve">Attachment </w:t>
          </w:r>
          <w:r w:rsidRPr="00482FFF">
            <w:rPr>
              <w:b/>
              <w:sz w:val="18"/>
              <w:szCs w:val="18"/>
            </w:rPr>
            <w:t xml:space="preserve">AusPAR - Onpattro - patisiran - Alnylam Australia Pty Ltd - </w:t>
          </w:r>
          <w:bookmarkStart w:id="16" w:name="_Hlk144280224"/>
          <w:r w:rsidRPr="00482FFF">
            <w:rPr>
              <w:b/>
              <w:sz w:val="18"/>
              <w:szCs w:val="18"/>
            </w:rPr>
            <w:t>PM-2021-05675-1-1</w:t>
          </w:r>
          <w:r>
            <w:rPr>
              <w:b/>
              <w:sz w:val="18"/>
              <w:szCs w:val="18"/>
            </w:rPr>
            <w:t xml:space="preserve"> </w:t>
          </w:r>
          <w:bookmarkEnd w:id="16"/>
          <w:r w:rsidRPr="00482FFF">
            <w:rPr>
              <w:b/>
              <w:sz w:val="18"/>
              <w:szCs w:val="18"/>
            </w:rPr>
            <w:t>FINAL 24 August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rFonts w:eastAsia="Verdana"/>
                <w:b/>
              </w:rPr>
              <w:t>https://www.tga.gov.au/product-information-pi</w:t>
            </w:r>
          </w:hyperlink>
          <w:r w:rsidRPr="000E4791">
            <w:rPr>
              <w:b/>
              <w:sz w:val="18"/>
              <w:szCs w:val="18"/>
              <w:u w:val="single"/>
            </w:rPr>
            <w:t>&gt;</w:t>
          </w:r>
        </w:p>
      </w:tc>
    </w:tr>
    <w:bookmarkEnd w:id="15"/>
  </w:tbl>
  <w:p w14:paraId="0746C48F" w14:textId="77777777" w:rsidR="00213125" w:rsidRDefault="00213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65pt;height:13.75pt" o:bullet="t">
        <v:imagedata r:id="rId1" o:title="BT_1000x858px"/>
      </v:shape>
    </w:pict>
  </w:numPicBullet>
  <w:abstractNum w:abstractNumId="0" w15:restartNumberingAfterBreak="0">
    <w:nsid w:val="FFFFFF7C"/>
    <w:multiLevelType w:val="singleLevel"/>
    <w:tmpl w:val="B41880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C98D1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DE58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C8649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901B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9800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C21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018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5C80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2CCA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01333"/>
    <w:multiLevelType w:val="hybridMultilevel"/>
    <w:tmpl w:val="791C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4BF6"/>
    <w:multiLevelType w:val="multilevel"/>
    <w:tmpl w:val="B3E4D8DC"/>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ABB4038"/>
    <w:multiLevelType w:val="hybridMultilevel"/>
    <w:tmpl w:val="C48CB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CD7641"/>
    <w:multiLevelType w:val="hybridMultilevel"/>
    <w:tmpl w:val="B3B842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0A60C1"/>
    <w:multiLevelType w:val="hybridMultilevel"/>
    <w:tmpl w:val="480EB08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482C9E"/>
    <w:multiLevelType w:val="hybridMultilevel"/>
    <w:tmpl w:val="B4CE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47EFD"/>
    <w:multiLevelType w:val="hybridMultilevel"/>
    <w:tmpl w:val="C114BDFE"/>
    <w:lvl w:ilvl="0" w:tplc="9CCCEB9E">
      <w:start w:val="1"/>
      <w:numFmt w:val="upperLetter"/>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7" w15:restartNumberingAfterBreak="0">
    <w:nsid w:val="293106C6"/>
    <w:multiLevelType w:val="hybridMultilevel"/>
    <w:tmpl w:val="A8624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596348"/>
    <w:multiLevelType w:val="multilevel"/>
    <w:tmpl w:val="B3E4D8DC"/>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5D47ED"/>
    <w:multiLevelType w:val="hybridMultilevel"/>
    <w:tmpl w:val="2A82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D54B0"/>
    <w:multiLevelType w:val="hybridMultilevel"/>
    <w:tmpl w:val="6396F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7243E7"/>
    <w:multiLevelType w:val="hybridMultilevel"/>
    <w:tmpl w:val="5CB29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FF1E1E"/>
    <w:multiLevelType w:val="hybridMultilevel"/>
    <w:tmpl w:val="69F8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8C3E1A"/>
    <w:multiLevelType w:val="multilevel"/>
    <w:tmpl w:val="B3E4D8DC"/>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E86755"/>
    <w:multiLevelType w:val="hybridMultilevel"/>
    <w:tmpl w:val="04ACB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161F62"/>
    <w:multiLevelType w:val="hybridMultilevel"/>
    <w:tmpl w:val="65001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487B50"/>
    <w:multiLevelType w:val="hybridMultilevel"/>
    <w:tmpl w:val="E9201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D81CEA"/>
    <w:multiLevelType w:val="multilevel"/>
    <w:tmpl w:val="E9645F3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85450B"/>
    <w:multiLevelType w:val="hybridMultilevel"/>
    <w:tmpl w:val="02001B3A"/>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F94B53"/>
    <w:multiLevelType w:val="hybridMultilevel"/>
    <w:tmpl w:val="E9D66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72AC7A41"/>
    <w:multiLevelType w:val="hybridMultilevel"/>
    <w:tmpl w:val="9F48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638202">
    <w:abstractNumId w:val="15"/>
  </w:num>
  <w:num w:numId="2" w16cid:durableId="253756022">
    <w:abstractNumId w:val="17"/>
  </w:num>
  <w:num w:numId="3" w16cid:durableId="464474079">
    <w:abstractNumId w:val="26"/>
  </w:num>
  <w:num w:numId="4" w16cid:durableId="749892627">
    <w:abstractNumId w:val="21"/>
  </w:num>
  <w:num w:numId="5" w16cid:durableId="764036395">
    <w:abstractNumId w:val="25"/>
  </w:num>
  <w:num w:numId="6" w16cid:durableId="312565353">
    <w:abstractNumId w:val="22"/>
  </w:num>
  <w:num w:numId="7" w16cid:durableId="1275791354">
    <w:abstractNumId w:val="17"/>
  </w:num>
  <w:num w:numId="8" w16cid:durableId="1345782536">
    <w:abstractNumId w:val="20"/>
  </w:num>
  <w:num w:numId="9" w16cid:durableId="421225985">
    <w:abstractNumId w:val="10"/>
  </w:num>
  <w:num w:numId="10" w16cid:durableId="59641380">
    <w:abstractNumId w:val="19"/>
  </w:num>
  <w:num w:numId="11" w16cid:durableId="357120787">
    <w:abstractNumId w:val="14"/>
  </w:num>
  <w:num w:numId="12" w16cid:durableId="1368599160">
    <w:abstractNumId w:val="30"/>
  </w:num>
  <w:num w:numId="13" w16cid:durableId="1751730111">
    <w:abstractNumId w:val="13"/>
  </w:num>
  <w:num w:numId="14" w16cid:durableId="434135659">
    <w:abstractNumId w:val="16"/>
  </w:num>
  <w:num w:numId="15" w16cid:durableId="2123724371">
    <w:abstractNumId w:val="9"/>
  </w:num>
  <w:num w:numId="16" w16cid:durableId="1228228060">
    <w:abstractNumId w:val="7"/>
  </w:num>
  <w:num w:numId="17" w16cid:durableId="2025132181">
    <w:abstractNumId w:val="6"/>
  </w:num>
  <w:num w:numId="18" w16cid:durableId="1856724520">
    <w:abstractNumId w:val="5"/>
  </w:num>
  <w:num w:numId="19" w16cid:durableId="1378966094">
    <w:abstractNumId w:val="4"/>
  </w:num>
  <w:num w:numId="20" w16cid:durableId="1333684673">
    <w:abstractNumId w:val="8"/>
  </w:num>
  <w:num w:numId="21" w16cid:durableId="1523742403">
    <w:abstractNumId w:val="3"/>
  </w:num>
  <w:num w:numId="22" w16cid:durableId="1433086245">
    <w:abstractNumId w:val="2"/>
  </w:num>
  <w:num w:numId="23" w16cid:durableId="1301031605">
    <w:abstractNumId w:val="1"/>
  </w:num>
  <w:num w:numId="24" w16cid:durableId="465706285">
    <w:abstractNumId w:val="0"/>
  </w:num>
  <w:num w:numId="25" w16cid:durableId="218633241">
    <w:abstractNumId w:val="27"/>
  </w:num>
  <w:num w:numId="26" w16cid:durableId="1014573897">
    <w:abstractNumId w:val="24"/>
  </w:num>
  <w:num w:numId="27" w16cid:durableId="1841045510">
    <w:abstractNumId w:val="11"/>
  </w:num>
  <w:num w:numId="28" w16cid:durableId="1662999224">
    <w:abstractNumId w:val="18"/>
  </w:num>
  <w:num w:numId="29" w16cid:durableId="1848204452">
    <w:abstractNumId w:val="28"/>
  </w:num>
  <w:num w:numId="30" w16cid:durableId="1401446686">
    <w:abstractNumId w:val="23"/>
  </w:num>
  <w:num w:numId="31" w16cid:durableId="677316006">
    <w:abstractNumId w:val="29"/>
  </w:num>
  <w:num w:numId="32" w16cid:durableId="414981436">
    <w:abstractNumId w:val="31"/>
  </w:num>
  <w:num w:numId="33" w16cid:durableId="157497428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4581A"/>
    <w:rsid w:val="000017D7"/>
    <w:rsid w:val="00014CE3"/>
    <w:rsid w:val="00017D1C"/>
    <w:rsid w:val="00032E99"/>
    <w:rsid w:val="000423AE"/>
    <w:rsid w:val="00044A2B"/>
    <w:rsid w:val="000505DD"/>
    <w:rsid w:val="00053105"/>
    <w:rsid w:val="0005655B"/>
    <w:rsid w:val="00061714"/>
    <w:rsid w:val="00061EE5"/>
    <w:rsid w:val="00067745"/>
    <w:rsid w:val="0007222F"/>
    <w:rsid w:val="00084EA1"/>
    <w:rsid w:val="000858C5"/>
    <w:rsid w:val="00086261"/>
    <w:rsid w:val="000878DA"/>
    <w:rsid w:val="00090FCB"/>
    <w:rsid w:val="00095DB9"/>
    <w:rsid w:val="000A1466"/>
    <w:rsid w:val="000A2541"/>
    <w:rsid w:val="000A3E5C"/>
    <w:rsid w:val="000A51AF"/>
    <w:rsid w:val="000A56FF"/>
    <w:rsid w:val="000A6DAE"/>
    <w:rsid w:val="000B0303"/>
    <w:rsid w:val="000C0124"/>
    <w:rsid w:val="000C3538"/>
    <w:rsid w:val="000C489A"/>
    <w:rsid w:val="000C48F6"/>
    <w:rsid w:val="000C4B67"/>
    <w:rsid w:val="000D088D"/>
    <w:rsid w:val="000D1A13"/>
    <w:rsid w:val="000D5EE6"/>
    <w:rsid w:val="000D6CD4"/>
    <w:rsid w:val="000E003C"/>
    <w:rsid w:val="000E2CAD"/>
    <w:rsid w:val="000F6EC4"/>
    <w:rsid w:val="00100100"/>
    <w:rsid w:val="001049AA"/>
    <w:rsid w:val="00107C0D"/>
    <w:rsid w:val="0011367B"/>
    <w:rsid w:val="0011564B"/>
    <w:rsid w:val="00115B99"/>
    <w:rsid w:val="00115EE9"/>
    <w:rsid w:val="00117FE7"/>
    <w:rsid w:val="001201B9"/>
    <w:rsid w:val="00121697"/>
    <w:rsid w:val="0012184A"/>
    <w:rsid w:val="00121A76"/>
    <w:rsid w:val="00122984"/>
    <w:rsid w:val="001247FA"/>
    <w:rsid w:val="001266EF"/>
    <w:rsid w:val="0012726D"/>
    <w:rsid w:val="00127466"/>
    <w:rsid w:val="0013357E"/>
    <w:rsid w:val="00135448"/>
    <w:rsid w:val="00136882"/>
    <w:rsid w:val="00137C0B"/>
    <w:rsid w:val="00144F18"/>
    <w:rsid w:val="001458B1"/>
    <w:rsid w:val="00153CDA"/>
    <w:rsid w:val="00154335"/>
    <w:rsid w:val="00163BEF"/>
    <w:rsid w:val="00164544"/>
    <w:rsid w:val="00166397"/>
    <w:rsid w:val="00174AE3"/>
    <w:rsid w:val="001752F4"/>
    <w:rsid w:val="001823F2"/>
    <w:rsid w:val="0018444B"/>
    <w:rsid w:val="00186557"/>
    <w:rsid w:val="001866DC"/>
    <w:rsid w:val="00186FA7"/>
    <w:rsid w:val="001909BA"/>
    <w:rsid w:val="00191714"/>
    <w:rsid w:val="001A1436"/>
    <w:rsid w:val="001A3A8C"/>
    <w:rsid w:val="001A3B25"/>
    <w:rsid w:val="001A44CF"/>
    <w:rsid w:val="001A4C2B"/>
    <w:rsid w:val="001A5420"/>
    <w:rsid w:val="001A6B8D"/>
    <w:rsid w:val="001B0A45"/>
    <w:rsid w:val="001B3928"/>
    <w:rsid w:val="001B3CD5"/>
    <w:rsid w:val="001B3D5E"/>
    <w:rsid w:val="001C47FD"/>
    <w:rsid w:val="001C6521"/>
    <w:rsid w:val="001D0E1E"/>
    <w:rsid w:val="001D4400"/>
    <w:rsid w:val="001D4829"/>
    <w:rsid w:val="001D7CCD"/>
    <w:rsid w:val="001F30CB"/>
    <w:rsid w:val="001F416C"/>
    <w:rsid w:val="001F6DDF"/>
    <w:rsid w:val="002051F3"/>
    <w:rsid w:val="00206C8B"/>
    <w:rsid w:val="00211E2D"/>
    <w:rsid w:val="00212B2C"/>
    <w:rsid w:val="00213125"/>
    <w:rsid w:val="00213DC6"/>
    <w:rsid w:val="00216053"/>
    <w:rsid w:val="00220FBD"/>
    <w:rsid w:val="002228C4"/>
    <w:rsid w:val="00224FC5"/>
    <w:rsid w:val="00226B82"/>
    <w:rsid w:val="002303F1"/>
    <w:rsid w:val="00244DC5"/>
    <w:rsid w:val="00247017"/>
    <w:rsid w:val="002477C1"/>
    <w:rsid w:val="00252AF4"/>
    <w:rsid w:val="002645C1"/>
    <w:rsid w:val="00265F89"/>
    <w:rsid w:val="0027438E"/>
    <w:rsid w:val="00276C70"/>
    <w:rsid w:val="00277E6A"/>
    <w:rsid w:val="00281F10"/>
    <w:rsid w:val="00282336"/>
    <w:rsid w:val="00284832"/>
    <w:rsid w:val="00291487"/>
    <w:rsid w:val="00292ECF"/>
    <w:rsid w:val="0029730F"/>
    <w:rsid w:val="00297BCD"/>
    <w:rsid w:val="002A4ACE"/>
    <w:rsid w:val="002A6AC8"/>
    <w:rsid w:val="002A7EB3"/>
    <w:rsid w:val="002B28B3"/>
    <w:rsid w:val="002B5646"/>
    <w:rsid w:val="002B6A60"/>
    <w:rsid w:val="002C465B"/>
    <w:rsid w:val="002D2324"/>
    <w:rsid w:val="002D2D54"/>
    <w:rsid w:val="002D45C7"/>
    <w:rsid w:val="002D739A"/>
    <w:rsid w:val="002F0FF9"/>
    <w:rsid w:val="002F1780"/>
    <w:rsid w:val="002F42B9"/>
    <w:rsid w:val="002F6E31"/>
    <w:rsid w:val="00301279"/>
    <w:rsid w:val="00301F58"/>
    <w:rsid w:val="00303089"/>
    <w:rsid w:val="003146A0"/>
    <w:rsid w:val="00315895"/>
    <w:rsid w:val="00325859"/>
    <w:rsid w:val="00334815"/>
    <w:rsid w:val="00335272"/>
    <w:rsid w:val="00336210"/>
    <w:rsid w:val="00336E45"/>
    <w:rsid w:val="00337F01"/>
    <w:rsid w:val="0034082E"/>
    <w:rsid w:val="00346E51"/>
    <w:rsid w:val="00350A47"/>
    <w:rsid w:val="00350BFD"/>
    <w:rsid w:val="0035491A"/>
    <w:rsid w:val="003555FE"/>
    <w:rsid w:val="003615CF"/>
    <w:rsid w:val="0036345A"/>
    <w:rsid w:val="00365A84"/>
    <w:rsid w:val="00365CFA"/>
    <w:rsid w:val="0037152E"/>
    <w:rsid w:val="0038121D"/>
    <w:rsid w:val="00382F00"/>
    <w:rsid w:val="00384CFA"/>
    <w:rsid w:val="00386D51"/>
    <w:rsid w:val="00396286"/>
    <w:rsid w:val="003A34BD"/>
    <w:rsid w:val="003A5D66"/>
    <w:rsid w:val="003A6E58"/>
    <w:rsid w:val="003B129F"/>
    <w:rsid w:val="003B2D33"/>
    <w:rsid w:val="003B4413"/>
    <w:rsid w:val="003B7C37"/>
    <w:rsid w:val="003C15E0"/>
    <w:rsid w:val="003C4355"/>
    <w:rsid w:val="003C4657"/>
    <w:rsid w:val="003C471D"/>
    <w:rsid w:val="003C5A9D"/>
    <w:rsid w:val="003C7918"/>
    <w:rsid w:val="003D04F1"/>
    <w:rsid w:val="003D2FB6"/>
    <w:rsid w:val="003D3294"/>
    <w:rsid w:val="003D543E"/>
    <w:rsid w:val="003D5A2D"/>
    <w:rsid w:val="003D7C46"/>
    <w:rsid w:val="003E47E6"/>
    <w:rsid w:val="003E5848"/>
    <w:rsid w:val="003F0A5E"/>
    <w:rsid w:val="003F7F7D"/>
    <w:rsid w:val="004063F5"/>
    <w:rsid w:val="0041004B"/>
    <w:rsid w:val="004120D4"/>
    <w:rsid w:val="004136AB"/>
    <w:rsid w:val="00416076"/>
    <w:rsid w:val="00421988"/>
    <w:rsid w:val="00422734"/>
    <w:rsid w:val="00432D00"/>
    <w:rsid w:val="004337BA"/>
    <w:rsid w:val="00440172"/>
    <w:rsid w:val="00447196"/>
    <w:rsid w:val="00447BC3"/>
    <w:rsid w:val="00451E5F"/>
    <w:rsid w:val="00453C4B"/>
    <w:rsid w:val="00456C05"/>
    <w:rsid w:val="004644E5"/>
    <w:rsid w:val="004668E6"/>
    <w:rsid w:val="00473133"/>
    <w:rsid w:val="00473759"/>
    <w:rsid w:val="00474111"/>
    <w:rsid w:val="00475FAA"/>
    <w:rsid w:val="004769FA"/>
    <w:rsid w:val="00477521"/>
    <w:rsid w:val="004805C8"/>
    <w:rsid w:val="00482416"/>
    <w:rsid w:val="00490CF0"/>
    <w:rsid w:val="004911CD"/>
    <w:rsid w:val="004922E0"/>
    <w:rsid w:val="00494448"/>
    <w:rsid w:val="00495A1D"/>
    <w:rsid w:val="00497287"/>
    <w:rsid w:val="004A05B4"/>
    <w:rsid w:val="004A172A"/>
    <w:rsid w:val="004A53E7"/>
    <w:rsid w:val="004A6ADF"/>
    <w:rsid w:val="004B2CAC"/>
    <w:rsid w:val="004B6E0C"/>
    <w:rsid w:val="004C1851"/>
    <w:rsid w:val="004C5E96"/>
    <w:rsid w:val="004C6373"/>
    <w:rsid w:val="004D05C0"/>
    <w:rsid w:val="004D1351"/>
    <w:rsid w:val="004D138A"/>
    <w:rsid w:val="004D2D31"/>
    <w:rsid w:val="004D7831"/>
    <w:rsid w:val="004E0509"/>
    <w:rsid w:val="004E2B58"/>
    <w:rsid w:val="004E56BC"/>
    <w:rsid w:val="004E5D86"/>
    <w:rsid w:val="004E6FB8"/>
    <w:rsid w:val="004E712B"/>
    <w:rsid w:val="004E7F45"/>
    <w:rsid w:val="004F43B7"/>
    <w:rsid w:val="004F648E"/>
    <w:rsid w:val="00502321"/>
    <w:rsid w:val="005053F6"/>
    <w:rsid w:val="00507995"/>
    <w:rsid w:val="0051186F"/>
    <w:rsid w:val="00513188"/>
    <w:rsid w:val="005212B2"/>
    <w:rsid w:val="00521548"/>
    <w:rsid w:val="005221E0"/>
    <w:rsid w:val="005271A7"/>
    <w:rsid w:val="005357D9"/>
    <w:rsid w:val="00540CA2"/>
    <w:rsid w:val="0054436D"/>
    <w:rsid w:val="0054581A"/>
    <w:rsid w:val="00550C58"/>
    <w:rsid w:val="0055164B"/>
    <w:rsid w:val="005524E4"/>
    <w:rsid w:val="00554B3F"/>
    <w:rsid w:val="00562502"/>
    <w:rsid w:val="0056546F"/>
    <w:rsid w:val="00567197"/>
    <w:rsid w:val="005724A3"/>
    <w:rsid w:val="00575C40"/>
    <w:rsid w:val="00576503"/>
    <w:rsid w:val="00576F7B"/>
    <w:rsid w:val="00577570"/>
    <w:rsid w:val="00580F2F"/>
    <w:rsid w:val="00582514"/>
    <w:rsid w:val="00592EFF"/>
    <w:rsid w:val="00595850"/>
    <w:rsid w:val="00596D15"/>
    <w:rsid w:val="00597698"/>
    <w:rsid w:val="005A31B3"/>
    <w:rsid w:val="005A36D4"/>
    <w:rsid w:val="005A3E27"/>
    <w:rsid w:val="005A4313"/>
    <w:rsid w:val="005A6E7B"/>
    <w:rsid w:val="005A764D"/>
    <w:rsid w:val="005B2E89"/>
    <w:rsid w:val="005B49CD"/>
    <w:rsid w:val="005B7A9D"/>
    <w:rsid w:val="005C211C"/>
    <w:rsid w:val="005C4A9A"/>
    <w:rsid w:val="005C4E76"/>
    <w:rsid w:val="005D198F"/>
    <w:rsid w:val="005D1B01"/>
    <w:rsid w:val="005D5304"/>
    <w:rsid w:val="005D5FEF"/>
    <w:rsid w:val="005D7BA1"/>
    <w:rsid w:val="005F0A80"/>
    <w:rsid w:val="005F31CD"/>
    <w:rsid w:val="00605D07"/>
    <w:rsid w:val="00607DF4"/>
    <w:rsid w:val="006115AA"/>
    <w:rsid w:val="006135DE"/>
    <w:rsid w:val="00613B13"/>
    <w:rsid w:val="00622902"/>
    <w:rsid w:val="006229BB"/>
    <w:rsid w:val="00622A2C"/>
    <w:rsid w:val="00624598"/>
    <w:rsid w:val="00624727"/>
    <w:rsid w:val="00624974"/>
    <w:rsid w:val="00630F09"/>
    <w:rsid w:val="00634E02"/>
    <w:rsid w:val="006418B2"/>
    <w:rsid w:val="00641D53"/>
    <w:rsid w:val="0064242E"/>
    <w:rsid w:val="006443E8"/>
    <w:rsid w:val="00645A8D"/>
    <w:rsid w:val="006501AE"/>
    <w:rsid w:val="006503A2"/>
    <w:rsid w:val="006521F2"/>
    <w:rsid w:val="00656A82"/>
    <w:rsid w:val="00660431"/>
    <w:rsid w:val="0066295B"/>
    <w:rsid w:val="006630EA"/>
    <w:rsid w:val="00667D76"/>
    <w:rsid w:val="0067198E"/>
    <w:rsid w:val="00672125"/>
    <w:rsid w:val="00672673"/>
    <w:rsid w:val="00682875"/>
    <w:rsid w:val="0069506C"/>
    <w:rsid w:val="006A232A"/>
    <w:rsid w:val="006B1F3B"/>
    <w:rsid w:val="006B2788"/>
    <w:rsid w:val="006B417B"/>
    <w:rsid w:val="006B4266"/>
    <w:rsid w:val="006B46BA"/>
    <w:rsid w:val="006B685A"/>
    <w:rsid w:val="006C3897"/>
    <w:rsid w:val="006E7BC6"/>
    <w:rsid w:val="006E7CB7"/>
    <w:rsid w:val="006F1F16"/>
    <w:rsid w:val="006F278A"/>
    <w:rsid w:val="006F7821"/>
    <w:rsid w:val="0070429F"/>
    <w:rsid w:val="007051F7"/>
    <w:rsid w:val="00705AED"/>
    <w:rsid w:val="00711A58"/>
    <w:rsid w:val="00712AB3"/>
    <w:rsid w:val="0071779E"/>
    <w:rsid w:val="00724559"/>
    <w:rsid w:val="0072721B"/>
    <w:rsid w:val="00731BEE"/>
    <w:rsid w:val="0073324D"/>
    <w:rsid w:val="0073381F"/>
    <w:rsid w:val="00734959"/>
    <w:rsid w:val="00734E65"/>
    <w:rsid w:val="00737207"/>
    <w:rsid w:val="00737F56"/>
    <w:rsid w:val="007466F8"/>
    <w:rsid w:val="00752A14"/>
    <w:rsid w:val="00755E94"/>
    <w:rsid w:val="00756743"/>
    <w:rsid w:val="00757CB1"/>
    <w:rsid w:val="00766950"/>
    <w:rsid w:val="00766B09"/>
    <w:rsid w:val="00775B9E"/>
    <w:rsid w:val="00775D44"/>
    <w:rsid w:val="0077672C"/>
    <w:rsid w:val="00781A3F"/>
    <w:rsid w:val="00785649"/>
    <w:rsid w:val="007902CA"/>
    <w:rsid w:val="00791758"/>
    <w:rsid w:val="00792B98"/>
    <w:rsid w:val="00796E00"/>
    <w:rsid w:val="007B112F"/>
    <w:rsid w:val="007B1139"/>
    <w:rsid w:val="007B174F"/>
    <w:rsid w:val="007B3811"/>
    <w:rsid w:val="007B43B1"/>
    <w:rsid w:val="007B72AD"/>
    <w:rsid w:val="007C16CE"/>
    <w:rsid w:val="007C303D"/>
    <w:rsid w:val="007C7BFC"/>
    <w:rsid w:val="007D0D9C"/>
    <w:rsid w:val="007D120D"/>
    <w:rsid w:val="007D3890"/>
    <w:rsid w:val="007D47F7"/>
    <w:rsid w:val="007D7D80"/>
    <w:rsid w:val="007E3874"/>
    <w:rsid w:val="007E53FC"/>
    <w:rsid w:val="007E54C7"/>
    <w:rsid w:val="007E6D81"/>
    <w:rsid w:val="007F2D42"/>
    <w:rsid w:val="00801DD6"/>
    <w:rsid w:val="00810807"/>
    <w:rsid w:val="00811ED6"/>
    <w:rsid w:val="00812738"/>
    <w:rsid w:val="00816B8D"/>
    <w:rsid w:val="0081787E"/>
    <w:rsid w:val="008207A8"/>
    <w:rsid w:val="00826D79"/>
    <w:rsid w:val="0082770B"/>
    <w:rsid w:val="008327DC"/>
    <w:rsid w:val="00832916"/>
    <w:rsid w:val="00835B4B"/>
    <w:rsid w:val="00835C3C"/>
    <w:rsid w:val="00836AA6"/>
    <w:rsid w:val="00841CAF"/>
    <w:rsid w:val="0084412E"/>
    <w:rsid w:val="008463C7"/>
    <w:rsid w:val="00856C2A"/>
    <w:rsid w:val="00857EE4"/>
    <w:rsid w:val="00860EA9"/>
    <w:rsid w:val="0086197B"/>
    <w:rsid w:val="00867BBA"/>
    <w:rsid w:val="00870274"/>
    <w:rsid w:val="00871C23"/>
    <w:rsid w:val="00876024"/>
    <w:rsid w:val="00883D2B"/>
    <w:rsid w:val="00884269"/>
    <w:rsid w:val="008906C6"/>
    <w:rsid w:val="008948C4"/>
    <w:rsid w:val="00896D4A"/>
    <w:rsid w:val="008A5681"/>
    <w:rsid w:val="008A5D1E"/>
    <w:rsid w:val="008A6DC7"/>
    <w:rsid w:val="008A7A2B"/>
    <w:rsid w:val="008B0AC4"/>
    <w:rsid w:val="008B29AE"/>
    <w:rsid w:val="008B376B"/>
    <w:rsid w:val="008B3A79"/>
    <w:rsid w:val="008B77AF"/>
    <w:rsid w:val="008C17E9"/>
    <w:rsid w:val="008D0808"/>
    <w:rsid w:val="008D0BBF"/>
    <w:rsid w:val="008D2EF4"/>
    <w:rsid w:val="008D65B8"/>
    <w:rsid w:val="008D7231"/>
    <w:rsid w:val="008E3E16"/>
    <w:rsid w:val="008E7053"/>
    <w:rsid w:val="008F0312"/>
    <w:rsid w:val="008F16B9"/>
    <w:rsid w:val="008F39CC"/>
    <w:rsid w:val="009005DF"/>
    <w:rsid w:val="009029A3"/>
    <w:rsid w:val="00903DB2"/>
    <w:rsid w:val="0090645F"/>
    <w:rsid w:val="00910679"/>
    <w:rsid w:val="00912655"/>
    <w:rsid w:val="00913AD7"/>
    <w:rsid w:val="00914E86"/>
    <w:rsid w:val="00920CDA"/>
    <w:rsid w:val="0092146E"/>
    <w:rsid w:val="009265EC"/>
    <w:rsid w:val="009269BF"/>
    <w:rsid w:val="009340FB"/>
    <w:rsid w:val="00935141"/>
    <w:rsid w:val="00950B40"/>
    <w:rsid w:val="00955D27"/>
    <w:rsid w:val="00956BAD"/>
    <w:rsid w:val="0095727C"/>
    <w:rsid w:val="0096068A"/>
    <w:rsid w:val="009626B5"/>
    <w:rsid w:val="00962E8A"/>
    <w:rsid w:val="00964572"/>
    <w:rsid w:val="009652E7"/>
    <w:rsid w:val="00966DC4"/>
    <w:rsid w:val="00967DD7"/>
    <w:rsid w:val="00967EC6"/>
    <w:rsid w:val="00970A33"/>
    <w:rsid w:val="0097271C"/>
    <w:rsid w:val="0097668A"/>
    <w:rsid w:val="00977EF3"/>
    <w:rsid w:val="00986ED8"/>
    <w:rsid w:val="00993C3F"/>
    <w:rsid w:val="00997079"/>
    <w:rsid w:val="009A06E4"/>
    <w:rsid w:val="009A20F1"/>
    <w:rsid w:val="009A5BCE"/>
    <w:rsid w:val="009A6543"/>
    <w:rsid w:val="009B0FED"/>
    <w:rsid w:val="009B26D2"/>
    <w:rsid w:val="009C00BC"/>
    <w:rsid w:val="009C1B98"/>
    <w:rsid w:val="009C5236"/>
    <w:rsid w:val="009C5905"/>
    <w:rsid w:val="009C6310"/>
    <w:rsid w:val="009C6577"/>
    <w:rsid w:val="009C6A93"/>
    <w:rsid w:val="009D1BAB"/>
    <w:rsid w:val="009D44E4"/>
    <w:rsid w:val="009D4F69"/>
    <w:rsid w:val="009D6928"/>
    <w:rsid w:val="009E1992"/>
    <w:rsid w:val="009E2E36"/>
    <w:rsid w:val="009E6A11"/>
    <w:rsid w:val="009E6FFD"/>
    <w:rsid w:val="009F2993"/>
    <w:rsid w:val="009F3FF8"/>
    <w:rsid w:val="009F4B48"/>
    <w:rsid w:val="009F657D"/>
    <w:rsid w:val="00A0097B"/>
    <w:rsid w:val="00A0100A"/>
    <w:rsid w:val="00A05832"/>
    <w:rsid w:val="00A079CF"/>
    <w:rsid w:val="00A10858"/>
    <w:rsid w:val="00A112E9"/>
    <w:rsid w:val="00A17DB5"/>
    <w:rsid w:val="00A21C31"/>
    <w:rsid w:val="00A2537C"/>
    <w:rsid w:val="00A31419"/>
    <w:rsid w:val="00A31A28"/>
    <w:rsid w:val="00A332F1"/>
    <w:rsid w:val="00A34B87"/>
    <w:rsid w:val="00A35853"/>
    <w:rsid w:val="00A37092"/>
    <w:rsid w:val="00A4210F"/>
    <w:rsid w:val="00A425F9"/>
    <w:rsid w:val="00A429DB"/>
    <w:rsid w:val="00A43BEB"/>
    <w:rsid w:val="00A45DE0"/>
    <w:rsid w:val="00A4760F"/>
    <w:rsid w:val="00A51A52"/>
    <w:rsid w:val="00A53395"/>
    <w:rsid w:val="00A55C0C"/>
    <w:rsid w:val="00A56734"/>
    <w:rsid w:val="00A6034B"/>
    <w:rsid w:val="00A60DCC"/>
    <w:rsid w:val="00A61923"/>
    <w:rsid w:val="00A6237F"/>
    <w:rsid w:val="00A62A3C"/>
    <w:rsid w:val="00A71165"/>
    <w:rsid w:val="00A725F8"/>
    <w:rsid w:val="00A74999"/>
    <w:rsid w:val="00A77942"/>
    <w:rsid w:val="00A823B7"/>
    <w:rsid w:val="00A835EB"/>
    <w:rsid w:val="00A85425"/>
    <w:rsid w:val="00A91B0D"/>
    <w:rsid w:val="00A9471A"/>
    <w:rsid w:val="00A96125"/>
    <w:rsid w:val="00A973FB"/>
    <w:rsid w:val="00A97587"/>
    <w:rsid w:val="00AA2C97"/>
    <w:rsid w:val="00AA39E5"/>
    <w:rsid w:val="00AA3AFD"/>
    <w:rsid w:val="00AA5FFF"/>
    <w:rsid w:val="00AA7CBE"/>
    <w:rsid w:val="00AB0F78"/>
    <w:rsid w:val="00AB5BDE"/>
    <w:rsid w:val="00AC2177"/>
    <w:rsid w:val="00AC4E1D"/>
    <w:rsid w:val="00AD0C56"/>
    <w:rsid w:val="00AD2C4C"/>
    <w:rsid w:val="00AD6186"/>
    <w:rsid w:val="00AD6F8F"/>
    <w:rsid w:val="00AE131E"/>
    <w:rsid w:val="00AE1A98"/>
    <w:rsid w:val="00AE3CD7"/>
    <w:rsid w:val="00AF0254"/>
    <w:rsid w:val="00AF2D51"/>
    <w:rsid w:val="00AF3315"/>
    <w:rsid w:val="00B02422"/>
    <w:rsid w:val="00B02734"/>
    <w:rsid w:val="00B02D7B"/>
    <w:rsid w:val="00B032E9"/>
    <w:rsid w:val="00B039F8"/>
    <w:rsid w:val="00B0525E"/>
    <w:rsid w:val="00B06BE2"/>
    <w:rsid w:val="00B102E9"/>
    <w:rsid w:val="00B13B1A"/>
    <w:rsid w:val="00B1402D"/>
    <w:rsid w:val="00B150D1"/>
    <w:rsid w:val="00B163E6"/>
    <w:rsid w:val="00B164D5"/>
    <w:rsid w:val="00B204E3"/>
    <w:rsid w:val="00B2347A"/>
    <w:rsid w:val="00B23ACB"/>
    <w:rsid w:val="00B245BC"/>
    <w:rsid w:val="00B268D0"/>
    <w:rsid w:val="00B27DC6"/>
    <w:rsid w:val="00B3302F"/>
    <w:rsid w:val="00B36387"/>
    <w:rsid w:val="00B4468D"/>
    <w:rsid w:val="00B5437D"/>
    <w:rsid w:val="00B57304"/>
    <w:rsid w:val="00B60F6B"/>
    <w:rsid w:val="00B616A7"/>
    <w:rsid w:val="00B625E9"/>
    <w:rsid w:val="00B646AE"/>
    <w:rsid w:val="00B67ECE"/>
    <w:rsid w:val="00B714D8"/>
    <w:rsid w:val="00B71641"/>
    <w:rsid w:val="00B71DD6"/>
    <w:rsid w:val="00B72C8F"/>
    <w:rsid w:val="00B73287"/>
    <w:rsid w:val="00B73A1A"/>
    <w:rsid w:val="00B73DE2"/>
    <w:rsid w:val="00B76104"/>
    <w:rsid w:val="00B7649A"/>
    <w:rsid w:val="00B77740"/>
    <w:rsid w:val="00B834AA"/>
    <w:rsid w:val="00B9090C"/>
    <w:rsid w:val="00B9196F"/>
    <w:rsid w:val="00B92E99"/>
    <w:rsid w:val="00B93984"/>
    <w:rsid w:val="00B9432F"/>
    <w:rsid w:val="00BA41F8"/>
    <w:rsid w:val="00BB395F"/>
    <w:rsid w:val="00BB5868"/>
    <w:rsid w:val="00BB5A55"/>
    <w:rsid w:val="00BB67DA"/>
    <w:rsid w:val="00BC03F0"/>
    <w:rsid w:val="00BC1E28"/>
    <w:rsid w:val="00BC2F0E"/>
    <w:rsid w:val="00BC4547"/>
    <w:rsid w:val="00BD3306"/>
    <w:rsid w:val="00BD461D"/>
    <w:rsid w:val="00BE50C2"/>
    <w:rsid w:val="00BF5E6F"/>
    <w:rsid w:val="00C0191F"/>
    <w:rsid w:val="00C027EE"/>
    <w:rsid w:val="00C03AE1"/>
    <w:rsid w:val="00C0524C"/>
    <w:rsid w:val="00C06891"/>
    <w:rsid w:val="00C116CC"/>
    <w:rsid w:val="00C141F1"/>
    <w:rsid w:val="00C17855"/>
    <w:rsid w:val="00C210C6"/>
    <w:rsid w:val="00C22DFE"/>
    <w:rsid w:val="00C22EB7"/>
    <w:rsid w:val="00C25490"/>
    <w:rsid w:val="00C25FDC"/>
    <w:rsid w:val="00C27C01"/>
    <w:rsid w:val="00C35890"/>
    <w:rsid w:val="00C37644"/>
    <w:rsid w:val="00C376D1"/>
    <w:rsid w:val="00C46309"/>
    <w:rsid w:val="00C4680E"/>
    <w:rsid w:val="00C53C6B"/>
    <w:rsid w:val="00C55300"/>
    <w:rsid w:val="00C575FE"/>
    <w:rsid w:val="00C60357"/>
    <w:rsid w:val="00C610DA"/>
    <w:rsid w:val="00C611EE"/>
    <w:rsid w:val="00C64DDC"/>
    <w:rsid w:val="00C67BC7"/>
    <w:rsid w:val="00C702B0"/>
    <w:rsid w:val="00C7215F"/>
    <w:rsid w:val="00C761AE"/>
    <w:rsid w:val="00C77298"/>
    <w:rsid w:val="00C77C2B"/>
    <w:rsid w:val="00C80D6D"/>
    <w:rsid w:val="00C821C4"/>
    <w:rsid w:val="00C823BA"/>
    <w:rsid w:val="00C91087"/>
    <w:rsid w:val="00C918DD"/>
    <w:rsid w:val="00C951AA"/>
    <w:rsid w:val="00C96B99"/>
    <w:rsid w:val="00C96E2A"/>
    <w:rsid w:val="00CA5746"/>
    <w:rsid w:val="00CA5E8D"/>
    <w:rsid w:val="00CA6481"/>
    <w:rsid w:val="00CB01CF"/>
    <w:rsid w:val="00CB13AE"/>
    <w:rsid w:val="00CB2BFE"/>
    <w:rsid w:val="00CB4367"/>
    <w:rsid w:val="00CB683A"/>
    <w:rsid w:val="00CB6E19"/>
    <w:rsid w:val="00CB78C7"/>
    <w:rsid w:val="00CC3304"/>
    <w:rsid w:val="00CC34B3"/>
    <w:rsid w:val="00CC47D1"/>
    <w:rsid w:val="00CD007F"/>
    <w:rsid w:val="00CD0794"/>
    <w:rsid w:val="00CD0B15"/>
    <w:rsid w:val="00CD1677"/>
    <w:rsid w:val="00CD1FC4"/>
    <w:rsid w:val="00CD7F26"/>
    <w:rsid w:val="00CE28AA"/>
    <w:rsid w:val="00CE3523"/>
    <w:rsid w:val="00CF0FAA"/>
    <w:rsid w:val="00CF208B"/>
    <w:rsid w:val="00CF7DDD"/>
    <w:rsid w:val="00D002AD"/>
    <w:rsid w:val="00D0194D"/>
    <w:rsid w:val="00D02FF8"/>
    <w:rsid w:val="00D035BB"/>
    <w:rsid w:val="00D03B6B"/>
    <w:rsid w:val="00D04C33"/>
    <w:rsid w:val="00D06FFA"/>
    <w:rsid w:val="00D11383"/>
    <w:rsid w:val="00D11470"/>
    <w:rsid w:val="00D15557"/>
    <w:rsid w:val="00D20C36"/>
    <w:rsid w:val="00D223D6"/>
    <w:rsid w:val="00D27EAD"/>
    <w:rsid w:val="00D32548"/>
    <w:rsid w:val="00D334E0"/>
    <w:rsid w:val="00D42974"/>
    <w:rsid w:val="00D446B5"/>
    <w:rsid w:val="00D450DF"/>
    <w:rsid w:val="00D50978"/>
    <w:rsid w:val="00D5144F"/>
    <w:rsid w:val="00D533D7"/>
    <w:rsid w:val="00D54252"/>
    <w:rsid w:val="00D6043E"/>
    <w:rsid w:val="00D612CD"/>
    <w:rsid w:val="00D61A7F"/>
    <w:rsid w:val="00D61C22"/>
    <w:rsid w:val="00D6475A"/>
    <w:rsid w:val="00D6605C"/>
    <w:rsid w:val="00D675D3"/>
    <w:rsid w:val="00D73FC6"/>
    <w:rsid w:val="00D75243"/>
    <w:rsid w:val="00D768C4"/>
    <w:rsid w:val="00D84225"/>
    <w:rsid w:val="00D871E5"/>
    <w:rsid w:val="00D90025"/>
    <w:rsid w:val="00D91295"/>
    <w:rsid w:val="00D913D6"/>
    <w:rsid w:val="00D91903"/>
    <w:rsid w:val="00D92273"/>
    <w:rsid w:val="00D93A9B"/>
    <w:rsid w:val="00D94721"/>
    <w:rsid w:val="00DA3DC7"/>
    <w:rsid w:val="00DA6DC5"/>
    <w:rsid w:val="00DB730E"/>
    <w:rsid w:val="00DC37DB"/>
    <w:rsid w:val="00DD0BE7"/>
    <w:rsid w:val="00DD1BFC"/>
    <w:rsid w:val="00DD245F"/>
    <w:rsid w:val="00DD29E1"/>
    <w:rsid w:val="00DD3AE9"/>
    <w:rsid w:val="00DD64EE"/>
    <w:rsid w:val="00DD6D9E"/>
    <w:rsid w:val="00DE26D3"/>
    <w:rsid w:val="00DE5B1D"/>
    <w:rsid w:val="00E02191"/>
    <w:rsid w:val="00E0462E"/>
    <w:rsid w:val="00E15B48"/>
    <w:rsid w:val="00E2025C"/>
    <w:rsid w:val="00E211F6"/>
    <w:rsid w:val="00E21262"/>
    <w:rsid w:val="00E22532"/>
    <w:rsid w:val="00E26A7F"/>
    <w:rsid w:val="00E270C7"/>
    <w:rsid w:val="00E31409"/>
    <w:rsid w:val="00E35321"/>
    <w:rsid w:val="00E36341"/>
    <w:rsid w:val="00E36696"/>
    <w:rsid w:val="00E44C3D"/>
    <w:rsid w:val="00E55737"/>
    <w:rsid w:val="00E62D89"/>
    <w:rsid w:val="00E6553A"/>
    <w:rsid w:val="00E65879"/>
    <w:rsid w:val="00E65BFD"/>
    <w:rsid w:val="00E65F4D"/>
    <w:rsid w:val="00E676F5"/>
    <w:rsid w:val="00E74709"/>
    <w:rsid w:val="00E747F6"/>
    <w:rsid w:val="00E8131B"/>
    <w:rsid w:val="00E8298F"/>
    <w:rsid w:val="00E857FF"/>
    <w:rsid w:val="00E863BA"/>
    <w:rsid w:val="00E86F37"/>
    <w:rsid w:val="00E92AE1"/>
    <w:rsid w:val="00EA014F"/>
    <w:rsid w:val="00EA1C86"/>
    <w:rsid w:val="00EA5562"/>
    <w:rsid w:val="00EA7521"/>
    <w:rsid w:val="00EC3E97"/>
    <w:rsid w:val="00EC43BF"/>
    <w:rsid w:val="00EC5993"/>
    <w:rsid w:val="00EC61A9"/>
    <w:rsid w:val="00EC6812"/>
    <w:rsid w:val="00ED49BF"/>
    <w:rsid w:val="00EE173D"/>
    <w:rsid w:val="00EE45C5"/>
    <w:rsid w:val="00EE6014"/>
    <w:rsid w:val="00EE727F"/>
    <w:rsid w:val="00EE7DF6"/>
    <w:rsid w:val="00EF2F0B"/>
    <w:rsid w:val="00EF4516"/>
    <w:rsid w:val="00EF49CB"/>
    <w:rsid w:val="00EF62E4"/>
    <w:rsid w:val="00EF63F9"/>
    <w:rsid w:val="00F033B5"/>
    <w:rsid w:val="00F04F06"/>
    <w:rsid w:val="00F054C1"/>
    <w:rsid w:val="00F1006C"/>
    <w:rsid w:val="00F1167A"/>
    <w:rsid w:val="00F16BCF"/>
    <w:rsid w:val="00F23E8D"/>
    <w:rsid w:val="00F250B1"/>
    <w:rsid w:val="00F25FAE"/>
    <w:rsid w:val="00F26396"/>
    <w:rsid w:val="00F279B5"/>
    <w:rsid w:val="00F41826"/>
    <w:rsid w:val="00F42210"/>
    <w:rsid w:val="00F425C5"/>
    <w:rsid w:val="00F445FF"/>
    <w:rsid w:val="00F52CC0"/>
    <w:rsid w:val="00F531FB"/>
    <w:rsid w:val="00F55A9D"/>
    <w:rsid w:val="00F56716"/>
    <w:rsid w:val="00F62DB8"/>
    <w:rsid w:val="00F63127"/>
    <w:rsid w:val="00F65125"/>
    <w:rsid w:val="00F662F9"/>
    <w:rsid w:val="00F70634"/>
    <w:rsid w:val="00F75479"/>
    <w:rsid w:val="00F75C6B"/>
    <w:rsid w:val="00F821C0"/>
    <w:rsid w:val="00F83928"/>
    <w:rsid w:val="00F96CD3"/>
    <w:rsid w:val="00FA79F1"/>
    <w:rsid w:val="00FB03D5"/>
    <w:rsid w:val="00FB0FAF"/>
    <w:rsid w:val="00FB10ED"/>
    <w:rsid w:val="00FB1163"/>
    <w:rsid w:val="00FB1A41"/>
    <w:rsid w:val="00FB44BE"/>
    <w:rsid w:val="00FB6B25"/>
    <w:rsid w:val="00FB7F6A"/>
    <w:rsid w:val="00FC3960"/>
    <w:rsid w:val="00FC3EFC"/>
    <w:rsid w:val="00FC7A1D"/>
    <w:rsid w:val="00FD2681"/>
    <w:rsid w:val="00FD650C"/>
    <w:rsid w:val="00FE2E54"/>
    <w:rsid w:val="00FE3342"/>
    <w:rsid w:val="00FE43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2"/>
    </o:shapelayout>
  </w:shapeDefaults>
  <w:decimalSymbol w:val="."/>
  <w:listSeparator w:val=","/>
  <w14:docId w14:val="5332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eastAsia="en-US"/>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084EA1"/>
    <w:pPr>
      <w:keepNext/>
      <w:keepLines/>
      <w:spacing w:before="40"/>
      <w:outlineLvl w:val="1"/>
    </w:pPr>
    <w:rPr>
      <w:rFonts w:eastAsia="DengXian Light"/>
      <w:b/>
      <w:bCs/>
      <w:color w:val="000000" w:themeColor="text1"/>
      <w:sz w:val="24"/>
      <w:szCs w:val="24"/>
    </w:rPr>
  </w:style>
  <w:style w:type="paragraph" w:styleId="Heading3">
    <w:name w:val="heading 3"/>
    <w:basedOn w:val="Normal"/>
    <w:next w:val="Normal"/>
    <w:link w:val="Heading3Char"/>
    <w:unhideWhenUsed/>
    <w:qFormat/>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Calibri Light" w:eastAsia="DengXian Light" w:hAnsi="Calibri Light"/>
      <w:i/>
      <w:iCs/>
      <w:color w:val="2F5496"/>
    </w:rPr>
  </w:style>
  <w:style w:type="paragraph" w:styleId="Heading5">
    <w:name w:val="heading 5"/>
    <w:basedOn w:val="Normal"/>
    <w:next w:val="Normal"/>
    <w:link w:val="Heading5Char"/>
    <w:semiHidden/>
    <w:unhideWhenUsed/>
    <w:qFormat/>
    <w:pPr>
      <w:keepNext/>
      <w:keepLines/>
      <w:spacing w:before="40"/>
      <w:outlineLvl w:val="4"/>
    </w:pPr>
    <w:rPr>
      <w:rFonts w:ascii="Calibri Light" w:eastAsia="DengXian Light" w:hAnsi="Calibri Light"/>
      <w:color w:val="2F5496"/>
    </w:rPr>
  </w:style>
  <w:style w:type="paragraph" w:styleId="Heading6">
    <w:name w:val="heading 6"/>
    <w:basedOn w:val="Normal"/>
    <w:next w:val="Normal"/>
    <w:link w:val="Heading6Char"/>
    <w:semiHidden/>
    <w:unhideWhenUsed/>
    <w:qFormat/>
    <w:pPr>
      <w:keepNext/>
      <w:keepLines/>
      <w:spacing w:before="40"/>
      <w:outlineLvl w:val="5"/>
    </w:pPr>
    <w:rPr>
      <w:rFonts w:ascii="Calibri Light" w:eastAsia="DengXian Light" w:hAnsi="Calibri Light"/>
      <w:color w:val="1F3763"/>
    </w:rPr>
  </w:style>
  <w:style w:type="paragraph" w:styleId="Heading7">
    <w:name w:val="heading 7"/>
    <w:basedOn w:val="Normal"/>
    <w:next w:val="Normal"/>
    <w:link w:val="Heading7Char"/>
    <w:semiHidden/>
    <w:unhideWhenUsed/>
    <w:qFormat/>
    <w:pPr>
      <w:keepNext/>
      <w:keepLines/>
      <w:spacing w:before="40"/>
      <w:outlineLvl w:val="6"/>
    </w:pPr>
    <w:rPr>
      <w:rFonts w:ascii="Calibri Light" w:eastAsia="DengXian Light" w:hAnsi="Calibri Light"/>
      <w:i/>
      <w:iCs/>
      <w:color w:val="1F3763"/>
    </w:rPr>
  </w:style>
  <w:style w:type="paragraph" w:styleId="Heading8">
    <w:name w:val="heading 8"/>
    <w:basedOn w:val="Normal"/>
    <w:next w:val="Normal"/>
    <w:link w:val="Heading8Char"/>
    <w:semiHidden/>
    <w:unhideWhenUsed/>
    <w:qFormat/>
    <w:pPr>
      <w:keepNext/>
      <w:keepLines/>
      <w:spacing w:before="40"/>
      <w:outlineLvl w:val="7"/>
    </w:pPr>
    <w:rPr>
      <w:rFonts w:ascii="Calibri Light" w:eastAsia="DengXian Light" w:hAnsi="Calibri Light"/>
      <w:color w:val="272727"/>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Calibri Light" w:eastAsia="DengXian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rPr>
  </w:style>
  <w:style w:type="paragraph" w:styleId="CommentText">
    <w:name w:val="annotation text"/>
    <w:basedOn w:val="Normal"/>
    <w:link w:val="CommentTextChar"/>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C-BodyTextChar">
    <w:name w:val="C-Body Text Char"/>
    <w:link w:val="C-BodyText"/>
    <w:locked/>
    <w:rPr>
      <w:sz w:val="24"/>
    </w:rPr>
  </w:style>
  <w:style w:type="paragraph" w:customStyle="1" w:styleId="C-BodyText">
    <w:name w:val="C-Body Text"/>
    <w:link w:val="C-BodyTextChar"/>
    <w:pPr>
      <w:spacing w:before="120" w:after="120" w:line="280" w:lineRule="atLeast"/>
    </w:pPr>
    <w:rPr>
      <w:sz w:val="24"/>
      <w:lang w:val="en-US" w:eastAsia="en-US"/>
    </w:rPr>
  </w:style>
  <w:style w:type="character" w:styleId="FollowedHyperlink">
    <w:name w:val="FollowedHyperlink"/>
    <w:rPr>
      <w:color w:val="954F72"/>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Calibri Light" w:eastAsia="Times New Roman" w:hAnsi="Calibri Light" w:cs="Times New Roman"/>
      <w:b/>
      <w:bCs/>
      <w:kern w:val="32"/>
      <w:sz w:val="32"/>
      <w:szCs w:val="32"/>
      <w:lang w:val="en-GB"/>
    </w:rPr>
  </w:style>
  <w:style w:type="paragraph" w:customStyle="1" w:styleId="C-TableText">
    <w:name w:val="C-Table Text"/>
    <w:pPr>
      <w:spacing w:before="60" w:after="60"/>
    </w:pPr>
    <w:rPr>
      <w:rFonts w:eastAsia="Times New Roman"/>
      <w:sz w:val="22"/>
      <w:lang w:val="en-US" w:eastAsia="en-US"/>
    </w:rPr>
  </w:style>
  <w:style w:type="paragraph" w:customStyle="1" w:styleId="C-TableHeader">
    <w:name w:val="C-Table Header"/>
    <w:next w:val="C-TableText"/>
    <w:pPr>
      <w:keepNext/>
      <w:spacing w:before="60" w:after="60"/>
    </w:pPr>
    <w:rPr>
      <w:rFonts w:eastAsia="Times New Roman"/>
      <w:b/>
      <w:sz w:val="22"/>
      <w:lang w:val="en-US" w:eastAsia="en-US"/>
    </w:rPr>
  </w:style>
  <w:style w:type="paragraph" w:styleId="NormalWeb">
    <w:name w:val="Normal (Web)"/>
    <w:basedOn w:val="Normal"/>
    <w:uiPriority w:val="99"/>
    <w:unhideWhenUsed/>
    <w:pPr>
      <w:tabs>
        <w:tab w:val="clear" w:pos="567"/>
      </w:tabs>
      <w:spacing w:before="100" w:beforeAutospacing="1" w:after="100" w:afterAutospacing="1"/>
    </w:pPr>
    <w:rPr>
      <w:sz w:val="24"/>
      <w:szCs w:val="24"/>
      <w:lang w:val="en-US"/>
    </w:rPr>
  </w:style>
  <w:style w:type="paragraph" w:customStyle="1" w:styleId="GlobalPatientLeaflettext">
    <w:name w:val="Global Patient Leaflet text"/>
    <w:basedOn w:val="C-BodyText"/>
    <w:link w:val="GlobalPatientLeaflettextChar"/>
    <w:qFormat/>
    <w:pPr>
      <w:spacing w:before="0" w:after="0" w:line="240" w:lineRule="auto"/>
    </w:pPr>
    <w:rPr>
      <w:rFonts w:eastAsia="Times New Roman"/>
      <w:szCs w:val="24"/>
    </w:rPr>
  </w:style>
  <w:style w:type="character" w:customStyle="1" w:styleId="GlobalPatientLeaflettextChar">
    <w:name w:val="Global Patient Leaflet text Char"/>
    <w:link w:val="GlobalPatientLeaflettext"/>
    <w:rPr>
      <w:rFonts w:eastAsia="Times New Roman"/>
      <w:sz w:val="24"/>
      <w:szCs w:val="24"/>
    </w:rPr>
  </w:style>
  <w:style w:type="character" w:styleId="FootnoteReference">
    <w:name w:val="footnote reference"/>
    <w:rPr>
      <w:rFonts w:ascii="Times New Roman" w:eastAsia="MS Mincho" w:hAnsi="Times New Roman"/>
      <w:color w:val="0000FF"/>
      <w:sz w:val="18"/>
      <w:vertAlign w:val="superscript"/>
    </w:rPr>
  </w:style>
  <w:style w:type="paragraph" w:styleId="FootnoteText">
    <w:name w:val="footnote text"/>
    <w:basedOn w:val="Normal"/>
    <w:link w:val="FootnoteTextChar"/>
    <w:pPr>
      <w:tabs>
        <w:tab w:val="clear" w:pos="567"/>
      </w:tabs>
      <w:spacing w:before="20"/>
      <w:ind w:left="113" w:hanging="113"/>
    </w:pPr>
    <w:rPr>
      <w:rFonts w:cs="Arial"/>
      <w:sz w:val="24"/>
      <w:lang w:val="en-US"/>
    </w:rPr>
  </w:style>
  <w:style w:type="character" w:customStyle="1" w:styleId="FootnoteTextChar">
    <w:name w:val="Footnote Text Char"/>
    <w:link w:val="FootnoteText"/>
    <w:rPr>
      <w:rFonts w:eastAsia="Times New Roman" w:cs="Arial"/>
      <w:sz w:val="24"/>
    </w:rPr>
  </w:style>
  <w:style w:type="paragraph" w:styleId="EndnoteText">
    <w:name w:val="endnote text"/>
    <w:basedOn w:val="Normal"/>
    <w:link w:val="EndnoteTextChar"/>
    <w:unhideWhenUsed/>
  </w:style>
  <w:style w:type="character" w:customStyle="1" w:styleId="EndnoteTextChar">
    <w:name w:val="Endnote Text Char"/>
    <w:link w:val="EndnoteText"/>
    <w:rPr>
      <w:rFonts w:eastAsia="Times New Roman"/>
      <w:sz w:val="22"/>
      <w:lang w:eastAsia="en-US"/>
    </w:rPr>
  </w:style>
  <w:style w:type="paragraph" w:customStyle="1" w:styleId="BodytextEMA">
    <w:name w:val="Body text (EMA)"/>
    <w:basedOn w:val="Normal"/>
    <w:uiPriority w:val="99"/>
    <w:pPr>
      <w:tabs>
        <w:tab w:val="clear" w:pos="567"/>
      </w:tabs>
      <w:spacing w:after="140" w:line="280" w:lineRule="atLeast"/>
    </w:pPr>
    <w:rPr>
      <w:rFonts w:ascii="Verdana" w:eastAsia="Calibri" w:hAnsi="Verdana"/>
      <w:sz w:val="18"/>
      <w:szCs w:val="18"/>
      <w:lang w:eastAsia="en-GB"/>
    </w:rPr>
  </w:style>
  <w:style w:type="paragraph" w:customStyle="1" w:styleId="TitleB">
    <w:name w:val="Title B"/>
    <w:basedOn w:val="Normal"/>
    <w:qFormat/>
    <w:pPr>
      <w:keepNext/>
      <w:widowControl w:val="0"/>
      <w:tabs>
        <w:tab w:val="clear" w:pos="567"/>
      </w:tabs>
      <w:autoSpaceDE w:val="0"/>
      <w:autoSpaceDN w:val="0"/>
      <w:adjustRightInd w:val="0"/>
      <w:spacing w:before="280"/>
      <w:ind w:left="900" w:right="120"/>
    </w:pPr>
    <w:rPr>
      <w:b/>
      <w:bCs/>
      <w:color w:val="000000"/>
      <w:szCs w:val="22"/>
    </w:rPr>
  </w:style>
  <w:style w:type="paragraph" w:customStyle="1" w:styleId="TitleA">
    <w:name w:val="Title A"/>
    <w:basedOn w:val="Normal"/>
    <w:qFormat/>
    <w:pPr>
      <w:jc w:val="center"/>
      <w:outlineLvl w:val="0"/>
    </w:pPr>
    <w:rPr>
      <w: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cs="Arial"/>
      <w:i/>
      <w:iCs/>
      <w:color w:val="4472C4"/>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link w:val="BodyText2"/>
    <w:semiHidden/>
    <w:rPr>
      <w:rFonts w:eastAsia="Times New Roman"/>
      <w:sz w:val="22"/>
      <w:lang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link w:val="BodyText3"/>
    <w:semiHidden/>
    <w:rPr>
      <w:rFonts w:eastAsia="Times New Roman"/>
      <w:sz w:val="16"/>
      <w:szCs w:val="16"/>
      <w:lang w:eastAsia="en-US"/>
    </w:rPr>
  </w:style>
  <w:style w:type="paragraph" w:styleId="BodyTextFirstIndent">
    <w:name w:val="Body Text First Indent"/>
    <w:basedOn w:val="BodyText"/>
    <w:link w:val="BodyTextFirstIndentChar"/>
    <w:semiHidden/>
    <w:unhideWhenUsed/>
    <w:pPr>
      <w:tabs>
        <w:tab w:val="left" w:pos="567"/>
      </w:tabs>
      <w:ind w:firstLine="360"/>
    </w:pPr>
    <w:rPr>
      <w:i w:val="0"/>
      <w:color w:val="auto"/>
    </w:rPr>
  </w:style>
  <w:style w:type="character" w:customStyle="1" w:styleId="BodyTextChar">
    <w:name w:val="Body Text Char"/>
    <w:link w:val="BodyText"/>
    <w:rPr>
      <w:rFonts w:eastAsia="Times New Roman"/>
      <w:i/>
      <w:color w:val="008000"/>
      <w:sz w:val="22"/>
      <w:lang w:eastAsia="en-US"/>
    </w:rPr>
  </w:style>
  <w:style w:type="character" w:customStyle="1" w:styleId="BodyTextFirstIndentChar">
    <w:name w:val="Body Text First Indent Char"/>
    <w:link w:val="BodyTextFirstIndent"/>
    <w:semiHidden/>
    <w:rPr>
      <w:rFonts w:eastAsia="Times New Roman"/>
      <w:i w:val="0"/>
      <w:color w:val="008000"/>
      <w:sz w:val="22"/>
      <w:lang w:eastAsia="en-US"/>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link w:val="BodyTextIndent"/>
    <w:semiHidden/>
    <w:rPr>
      <w:rFonts w:eastAsia="Times New Roman"/>
      <w:sz w:val="22"/>
      <w:lang w:eastAsia="en-US"/>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link w:val="BodyTextFirstIndent2"/>
    <w:semiHidden/>
    <w:rPr>
      <w:rFonts w:eastAsia="Times New Roman"/>
      <w:sz w:val="22"/>
      <w:lang w:eastAsia="en-US"/>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link w:val="BodyTextIndent2"/>
    <w:semiHidden/>
    <w:rPr>
      <w:rFonts w:eastAsia="Times New Roman"/>
      <w:sz w:val="22"/>
      <w:lang w:eastAsia="en-US"/>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link w:val="BodyTextIndent3"/>
    <w:semiHidden/>
    <w:rPr>
      <w:rFonts w:eastAsia="Times New Roman"/>
      <w:sz w:val="16"/>
      <w:szCs w:val="16"/>
      <w:lang w:eastAsia="en-US"/>
    </w:rPr>
  </w:style>
  <w:style w:type="paragraph" w:styleId="Caption">
    <w:name w:val="caption"/>
    <w:basedOn w:val="Normal"/>
    <w:next w:val="Normal"/>
    <w:semiHidden/>
    <w:unhideWhenUsed/>
    <w:qFormat/>
    <w:pPr>
      <w:spacing w:after="200"/>
    </w:pPr>
    <w:rPr>
      <w:i/>
      <w:iCs/>
      <w:color w:val="44546A"/>
      <w:sz w:val="18"/>
      <w:szCs w:val="18"/>
    </w:rPr>
  </w:style>
  <w:style w:type="paragraph" w:styleId="Closing">
    <w:name w:val="Closing"/>
    <w:basedOn w:val="Normal"/>
    <w:link w:val="ClosingChar"/>
    <w:semiHidden/>
    <w:unhideWhenUsed/>
    <w:pPr>
      <w:ind w:left="4320"/>
    </w:pPr>
  </w:style>
  <w:style w:type="character" w:customStyle="1" w:styleId="ClosingChar">
    <w:name w:val="Closing Char"/>
    <w:link w:val="Closing"/>
    <w:semiHidden/>
    <w:rPr>
      <w:rFonts w:eastAsia="Times New Roman"/>
      <w:sz w:val="22"/>
      <w:lang w:eastAsia="en-US"/>
    </w:rPr>
  </w:style>
  <w:style w:type="paragraph" w:styleId="Date">
    <w:name w:val="Date"/>
    <w:basedOn w:val="Normal"/>
    <w:next w:val="Normal"/>
    <w:link w:val="DateChar"/>
    <w:semiHidden/>
    <w:unhideWhenUsed/>
  </w:style>
  <w:style w:type="character" w:customStyle="1" w:styleId="DateChar">
    <w:name w:val="Date Char"/>
    <w:link w:val="Date"/>
    <w:semiHidden/>
    <w:rPr>
      <w:rFonts w:eastAsia="Times New Roman"/>
      <w:sz w:val="22"/>
      <w:lang w:eastAsia="en-US"/>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link w:val="DocumentMap"/>
    <w:semiHidden/>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style>
  <w:style w:type="character" w:customStyle="1" w:styleId="E-mailSignatureChar">
    <w:name w:val="E-mail Signature Char"/>
    <w:link w:val="E-mailSignature"/>
    <w:semiHidden/>
    <w:rPr>
      <w:rFonts w:eastAsia="Times New Roman"/>
      <w:sz w:val="22"/>
      <w:lang w:eastAsia="en-US"/>
    </w:rPr>
  </w:style>
  <w:style w:type="paragraph" w:styleId="EnvelopeAddress">
    <w:name w:val="envelope address"/>
    <w:basedOn w:val="Normal"/>
    <w:semiHidden/>
    <w:unhideWhenUsed/>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Pr>
      <w:rFonts w:ascii="Calibri Light" w:eastAsia="DengXian Light" w:hAnsi="Calibri Light"/>
      <w:sz w:val="20"/>
    </w:rPr>
  </w:style>
  <w:style w:type="character" w:customStyle="1" w:styleId="Heading2Char">
    <w:name w:val="Heading 2 Char"/>
    <w:link w:val="Heading2"/>
    <w:rsid w:val="00084EA1"/>
    <w:rPr>
      <w:rFonts w:eastAsia="DengXian Light"/>
      <w:b/>
      <w:bCs/>
      <w:color w:val="000000" w:themeColor="text1"/>
      <w:sz w:val="24"/>
      <w:szCs w:val="24"/>
      <w:lang w:eastAsia="en-US"/>
    </w:rPr>
  </w:style>
  <w:style w:type="character" w:customStyle="1" w:styleId="Heading3Char">
    <w:name w:val="Heading 3 Char"/>
    <w:link w:val="Heading3"/>
    <w:rPr>
      <w:rFonts w:ascii="Calibri Light" w:eastAsia="DengXian Light" w:hAnsi="Calibri Light" w:cs="Times New Roman"/>
      <w:color w:val="1F3763"/>
      <w:sz w:val="24"/>
      <w:szCs w:val="24"/>
      <w:lang w:eastAsia="en-US"/>
    </w:rPr>
  </w:style>
  <w:style w:type="character" w:customStyle="1" w:styleId="Heading4Char">
    <w:name w:val="Heading 4 Char"/>
    <w:link w:val="Heading4"/>
    <w:semiHidden/>
    <w:rPr>
      <w:rFonts w:ascii="Calibri Light" w:eastAsia="DengXian Light" w:hAnsi="Calibri Light" w:cs="Times New Roman"/>
      <w:i/>
      <w:iCs/>
      <w:color w:val="2F5496"/>
      <w:sz w:val="22"/>
      <w:lang w:eastAsia="en-US"/>
    </w:rPr>
  </w:style>
  <w:style w:type="character" w:customStyle="1" w:styleId="Heading5Char">
    <w:name w:val="Heading 5 Char"/>
    <w:link w:val="Heading5"/>
    <w:semiHidden/>
    <w:rPr>
      <w:rFonts w:ascii="Calibri Light" w:eastAsia="DengXian Light" w:hAnsi="Calibri Light" w:cs="Times New Roman"/>
      <w:color w:val="2F5496"/>
      <w:sz w:val="22"/>
      <w:lang w:eastAsia="en-US"/>
    </w:rPr>
  </w:style>
  <w:style w:type="character" w:customStyle="1" w:styleId="Heading6Char">
    <w:name w:val="Heading 6 Char"/>
    <w:link w:val="Heading6"/>
    <w:semiHidden/>
    <w:rPr>
      <w:rFonts w:ascii="Calibri Light" w:eastAsia="DengXian Light" w:hAnsi="Calibri Light" w:cs="Times New Roman"/>
      <w:color w:val="1F3763"/>
      <w:sz w:val="22"/>
      <w:lang w:eastAsia="en-US"/>
    </w:rPr>
  </w:style>
  <w:style w:type="character" w:customStyle="1" w:styleId="Heading7Char">
    <w:name w:val="Heading 7 Char"/>
    <w:link w:val="Heading7"/>
    <w:semiHidden/>
    <w:rPr>
      <w:rFonts w:ascii="Calibri Light" w:eastAsia="DengXian Light" w:hAnsi="Calibri Light" w:cs="Times New Roman"/>
      <w:i/>
      <w:iCs/>
      <w:color w:val="1F3763"/>
      <w:sz w:val="22"/>
      <w:lang w:eastAsia="en-US"/>
    </w:rPr>
  </w:style>
  <w:style w:type="character" w:customStyle="1" w:styleId="Heading8Char">
    <w:name w:val="Heading 8 Char"/>
    <w:link w:val="Heading8"/>
    <w:semiHidden/>
    <w:rPr>
      <w:rFonts w:ascii="Calibri Light" w:eastAsia="DengXian Light" w:hAnsi="Calibri Light" w:cs="Times New Roman"/>
      <w:color w:val="272727"/>
      <w:sz w:val="21"/>
      <w:szCs w:val="21"/>
      <w:lang w:eastAsia="en-US"/>
    </w:rPr>
  </w:style>
  <w:style w:type="character" w:customStyle="1" w:styleId="Heading9Char">
    <w:name w:val="Heading 9 Char"/>
    <w:link w:val="Heading9"/>
    <w:semiHidden/>
    <w:rPr>
      <w:rFonts w:ascii="Calibri Light" w:eastAsia="DengXian Light" w:hAnsi="Calibri Light" w:cs="Times New Roman"/>
      <w:i/>
      <w:iCs/>
      <w:color w:val="272727"/>
      <w:sz w:val="21"/>
      <w:szCs w:val="21"/>
      <w:lang w:eastAsia="en-US"/>
    </w:rPr>
  </w:style>
  <w:style w:type="paragraph" w:styleId="HTMLAddress">
    <w:name w:val="HTML Address"/>
    <w:basedOn w:val="Normal"/>
    <w:link w:val="HTMLAddressChar"/>
    <w:semiHidden/>
    <w:unhideWhenUsed/>
    <w:rPr>
      <w:i/>
      <w:iCs/>
    </w:rPr>
  </w:style>
  <w:style w:type="character" w:customStyle="1" w:styleId="HTMLAddressChar">
    <w:name w:val="HTML Address Char"/>
    <w:link w:val="HTMLAddress"/>
    <w:semiHidden/>
    <w:rPr>
      <w:rFonts w:eastAsia="Times New Roman"/>
      <w:i/>
      <w:iCs/>
      <w:sz w:val="22"/>
      <w:lang w:eastAsia="en-US"/>
    </w:rPr>
  </w:style>
  <w:style w:type="paragraph" w:styleId="HTMLPreformatted">
    <w:name w:val="HTML Preformatted"/>
    <w:basedOn w:val="Normal"/>
    <w:link w:val="HTMLPreformattedChar"/>
    <w:semiHidden/>
    <w:unhideWhenUsed/>
    <w:rPr>
      <w:rFonts w:ascii="Consolas" w:hAnsi="Consolas"/>
      <w:sz w:val="20"/>
    </w:rPr>
  </w:style>
  <w:style w:type="character" w:customStyle="1" w:styleId="HTMLPreformattedChar">
    <w:name w:val="HTML Preformatted Char"/>
    <w:link w:val="HTMLPreformatted"/>
    <w:semiHidden/>
    <w:rPr>
      <w:rFonts w:ascii="Consolas" w:eastAsia="Times New Roman" w:hAnsi="Consolas"/>
      <w:lang w:eastAsia="en-US"/>
    </w:rPr>
  </w:style>
  <w:style w:type="paragraph" w:styleId="Index1">
    <w:name w:val="index 1"/>
    <w:basedOn w:val="Normal"/>
    <w:next w:val="Normal"/>
    <w:autoRedefine/>
    <w:semiHidden/>
    <w:unhideWhenUsed/>
    <w:pPr>
      <w:tabs>
        <w:tab w:val="clear" w:pos="567"/>
      </w:tabs>
      <w:ind w:left="220" w:hanging="220"/>
    </w:pPr>
  </w:style>
  <w:style w:type="paragraph" w:styleId="Index2">
    <w:name w:val="index 2"/>
    <w:basedOn w:val="Normal"/>
    <w:next w:val="Normal"/>
    <w:autoRedefine/>
    <w:semiHidden/>
    <w:unhideWhenUsed/>
    <w:pPr>
      <w:tabs>
        <w:tab w:val="clear" w:pos="567"/>
      </w:tabs>
      <w:ind w:left="440" w:hanging="220"/>
    </w:pPr>
  </w:style>
  <w:style w:type="paragraph" w:styleId="Index3">
    <w:name w:val="index 3"/>
    <w:basedOn w:val="Normal"/>
    <w:next w:val="Normal"/>
    <w:autoRedefine/>
    <w:semiHidden/>
    <w:unhideWhenUsed/>
    <w:pPr>
      <w:tabs>
        <w:tab w:val="clear" w:pos="567"/>
      </w:tabs>
      <w:ind w:left="660" w:hanging="220"/>
    </w:pPr>
  </w:style>
  <w:style w:type="paragraph" w:styleId="Index4">
    <w:name w:val="index 4"/>
    <w:basedOn w:val="Normal"/>
    <w:next w:val="Normal"/>
    <w:autoRedefine/>
    <w:semiHidden/>
    <w:unhideWhenUsed/>
    <w:pPr>
      <w:tabs>
        <w:tab w:val="clear" w:pos="567"/>
      </w:tabs>
      <w:ind w:left="880" w:hanging="220"/>
    </w:pPr>
  </w:style>
  <w:style w:type="paragraph" w:styleId="Index5">
    <w:name w:val="index 5"/>
    <w:basedOn w:val="Normal"/>
    <w:next w:val="Normal"/>
    <w:autoRedefine/>
    <w:semiHidden/>
    <w:unhideWhenUsed/>
    <w:pPr>
      <w:tabs>
        <w:tab w:val="clear" w:pos="567"/>
      </w:tabs>
      <w:ind w:left="1100" w:hanging="220"/>
    </w:pPr>
  </w:style>
  <w:style w:type="paragraph" w:styleId="Index6">
    <w:name w:val="index 6"/>
    <w:basedOn w:val="Normal"/>
    <w:next w:val="Normal"/>
    <w:autoRedefine/>
    <w:semiHidden/>
    <w:unhideWhenUsed/>
    <w:pPr>
      <w:tabs>
        <w:tab w:val="clear" w:pos="567"/>
      </w:tabs>
      <w:ind w:left="1320" w:hanging="220"/>
    </w:pPr>
  </w:style>
  <w:style w:type="paragraph" w:styleId="Index7">
    <w:name w:val="index 7"/>
    <w:basedOn w:val="Normal"/>
    <w:next w:val="Normal"/>
    <w:autoRedefine/>
    <w:semiHidden/>
    <w:unhideWhenUsed/>
    <w:pPr>
      <w:tabs>
        <w:tab w:val="clear" w:pos="567"/>
      </w:tabs>
      <w:ind w:left="1540" w:hanging="220"/>
    </w:pPr>
  </w:style>
  <w:style w:type="paragraph" w:styleId="Index8">
    <w:name w:val="index 8"/>
    <w:basedOn w:val="Normal"/>
    <w:next w:val="Normal"/>
    <w:autoRedefine/>
    <w:semiHidden/>
    <w:unhideWhenUsed/>
    <w:pPr>
      <w:tabs>
        <w:tab w:val="clear" w:pos="567"/>
      </w:tabs>
      <w:ind w:left="1760" w:hanging="220"/>
    </w:pPr>
  </w:style>
  <w:style w:type="paragraph" w:styleId="Index9">
    <w:name w:val="index 9"/>
    <w:basedOn w:val="Normal"/>
    <w:next w:val="Normal"/>
    <w:autoRedefine/>
    <w:semiHidden/>
    <w:unhideWhenUsed/>
    <w:pPr>
      <w:tabs>
        <w:tab w:val="clear" w:pos="567"/>
      </w:tabs>
      <w:ind w:left="1980" w:hanging="220"/>
    </w:pPr>
  </w:style>
  <w:style w:type="paragraph" w:styleId="IndexHeading">
    <w:name w:val="index heading"/>
    <w:basedOn w:val="Normal"/>
    <w:next w:val="Index1"/>
    <w:semiHidden/>
    <w:unhideWhenUsed/>
    <w:rPr>
      <w:rFonts w:ascii="Calibri Light" w:eastAsia="DengXian Light" w:hAnsi="Calibri Light"/>
      <w:b/>
      <w:bC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eastAsia="Times New Roman"/>
      <w:i/>
      <w:iCs/>
      <w:color w:val="4472C4"/>
      <w:sz w:val="22"/>
      <w:lang w:eastAsia="en-US"/>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15"/>
      </w:numPr>
      <w:contextualSpacing/>
    </w:pPr>
  </w:style>
  <w:style w:type="paragraph" w:styleId="ListBullet2">
    <w:name w:val="List Bullet 2"/>
    <w:basedOn w:val="Normal"/>
    <w:semiHidden/>
    <w:unhideWhenUsed/>
    <w:pPr>
      <w:numPr>
        <w:numId w:val="16"/>
      </w:numPr>
      <w:contextualSpacing/>
    </w:pPr>
  </w:style>
  <w:style w:type="paragraph" w:styleId="ListBullet3">
    <w:name w:val="List Bullet 3"/>
    <w:basedOn w:val="Normal"/>
    <w:semiHidden/>
    <w:unhideWhenUsed/>
    <w:pPr>
      <w:numPr>
        <w:numId w:val="17"/>
      </w:numPr>
      <w:contextualSpacing/>
    </w:pPr>
  </w:style>
  <w:style w:type="paragraph" w:styleId="ListBullet4">
    <w:name w:val="List Bullet 4"/>
    <w:basedOn w:val="Normal"/>
    <w:semiHidden/>
    <w:unhideWhenUsed/>
    <w:pPr>
      <w:numPr>
        <w:numId w:val="18"/>
      </w:numPr>
      <w:contextualSpacing/>
    </w:pPr>
  </w:style>
  <w:style w:type="paragraph" w:styleId="ListBullet5">
    <w:name w:val="List Bullet 5"/>
    <w:basedOn w:val="Normal"/>
    <w:semiHidden/>
    <w:unhideWhenUsed/>
    <w:pPr>
      <w:numPr>
        <w:numId w:val="19"/>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20"/>
      </w:numPr>
      <w:contextualSpacing/>
    </w:pPr>
  </w:style>
  <w:style w:type="paragraph" w:styleId="ListNumber2">
    <w:name w:val="List Number 2"/>
    <w:basedOn w:val="Normal"/>
    <w:semiHidden/>
    <w:unhideWhenUsed/>
    <w:pPr>
      <w:numPr>
        <w:numId w:val="21"/>
      </w:numPr>
      <w:contextualSpacing/>
    </w:pPr>
  </w:style>
  <w:style w:type="paragraph" w:styleId="ListNumber3">
    <w:name w:val="List Number 3"/>
    <w:basedOn w:val="Normal"/>
    <w:semiHidden/>
    <w:unhideWhenUsed/>
    <w:pPr>
      <w:numPr>
        <w:numId w:val="22"/>
      </w:numPr>
      <w:contextualSpacing/>
    </w:pPr>
  </w:style>
  <w:style w:type="paragraph" w:styleId="ListNumber4">
    <w:name w:val="List Number 4"/>
    <w:basedOn w:val="Normal"/>
    <w:semiHidden/>
    <w:unhideWhenUsed/>
    <w:pPr>
      <w:numPr>
        <w:numId w:val="23"/>
      </w:numPr>
      <w:contextualSpacing/>
    </w:pPr>
  </w:style>
  <w:style w:type="paragraph" w:styleId="ListNumber5">
    <w:name w:val="List Number 5"/>
    <w:basedOn w:val="Normal"/>
    <w:semiHidden/>
    <w:unhideWhenUsed/>
    <w:pPr>
      <w:numPr>
        <w:numId w:val="24"/>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link w:val="MacroText"/>
    <w:rPr>
      <w:rFonts w:ascii="Consolas" w:eastAsia="Times New Roman" w:hAnsi="Consolas"/>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rPr>
      <w:rFonts w:ascii="Calibri Light" w:eastAsia="DengXian Light" w:hAnsi="Calibri Light" w:cs="Times New Roman"/>
      <w:sz w:val="24"/>
      <w:szCs w:val="24"/>
      <w:shd w:val="pct20" w:color="auto" w:fill="auto"/>
      <w:lang w:eastAsia="en-US"/>
    </w:rPr>
  </w:style>
  <w:style w:type="paragraph" w:styleId="NoSpacing">
    <w:name w:val="No Spacing"/>
    <w:uiPriority w:val="1"/>
    <w:qFormat/>
    <w:pPr>
      <w:tabs>
        <w:tab w:val="left" w:pos="567"/>
      </w:tabs>
    </w:pPr>
    <w:rPr>
      <w:rFonts w:eastAsia="Times New Roman"/>
      <w:sz w:val="22"/>
      <w:lang w:eastAsia="en-US"/>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link w:val="NoteHeading"/>
    <w:semiHidden/>
    <w:rPr>
      <w:rFonts w:eastAsia="Times New Roman"/>
      <w:sz w:val="22"/>
      <w:lang w:eastAsia="en-US"/>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link w:val="PlainText"/>
    <w:semiHidden/>
    <w:rPr>
      <w:rFonts w:ascii="Consolas" w:eastAsia="Times New Roman"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eastAsia="Times New Roman"/>
      <w:i/>
      <w:iCs/>
      <w:color w:val="404040"/>
      <w:sz w:val="22"/>
      <w:lang w:eastAsia="en-US"/>
    </w:rPr>
  </w:style>
  <w:style w:type="paragraph" w:styleId="Salutation">
    <w:name w:val="Salutation"/>
    <w:basedOn w:val="Normal"/>
    <w:next w:val="Normal"/>
    <w:link w:val="SalutationChar"/>
    <w:semiHidden/>
    <w:unhideWhenUsed/>
  </w:style>
  <w:style w:type="character" w:customStyle="1" w:styleId="SalutationChar">
    <w:name w:val="Salutation Char"/>
    <w:link w:val="Salutation"/>
    <w:semiHidden/>
    <w:rPr>
      <w:rFonts w:eastAsia="Times New Roman"/>
      <w:sz w:val="22"/>
      <w:lang w:eastAsia="en-US"/>
    </w:rPr>
  </w:style>
  <w:style w:type="paragraph" w:styleId="Signature">
    <w:name w:val="Signature"/>
    <w:basedOn w:val="Normal"/>
    <w:link w:val="SignatureChar"/>
    <w:semiHidden/>
    <w:unhideWhenUsed/>
    <w:pPr>
      <w:ind w:left="4320"/>
    </w:pPr>
  </w:style>
  <w:style w:type="character" w:customStyle="1" w:styleId="SignatureChar">
    <w:name w:val="Signature Char"/>
    <w:link w:val="Signature"/>
    <w:semiHidden/>
    <w:rPr>
      <w:rFonts w:eastAsia="Times New Roman"/>
      <w:sz w:val="22"/>
      <w:lang w:eastAsia="en-US"/>
    </w:rPr>
  </w:style>
  <w:style w:type="paragraph" w:styleId="Subtitle">
    <w:name w:val="Subtitle"/>
    <w:basedOn w:val="Normal"/>
    <w:next w:val="Normal"/>
    <w:link w:val="SubtitleChar"/>
    <w:qFormat/>
    <w:pPr>
      <w:numPr>
        <w:ilvl w:val="1"/>
      </w:numPr>
      <w:spacing w:after="160"/>
    </w:pPr>
    <w:rPr>
      <w:rFonts w:ascii="Calibri" w:eastAsia="DengXian" w:hAnsi="Calibri" w:cs="Arial"/>
      <w:color w:val="5A5A5A"/>
      <w:spacing w:val="15"/>
      <w:szCs w:val="22"/>
    </w:rPr>
  </w:style>
  <w:style w:type="character" w:customStyle="1" w:styleId="SubtitleChar">
    <w:name w:val="Subtitle Char"/>
    <w:link w:val="Subtitle"/>
    <w:rPr>
      <w:rFonts w:ascii="Calibri" w:eastAsia="DengXian" w:hAnsi="Calibri" w:cs="Arial"/>
      <w:color w:val="5A5A5A"/>
      <w:spacing w:val="15"/>
      <w:sz w:val="22"/>
      <w:szCs w:val="22"/>
      <w:lang w:eastAsia="en-US"/>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Keep"/>
    <w:link w:val="TitleChar"/>
    <w:uiPriority w:val="10"/>
    <w:qFormat/>
    <w:pPr>
      <w:keepNext/>
      <w:keepLines/>
      <w:contextualSpacing/>
      <w:jc w:val="center"/>
    </w:pPr>
    <w:rPr>
      <w:rFonts w:eastAsia="DengXian Light"/>
      <w:b/>
      <w:spacing w:val="-10"/>
      <w:kern w:val="28"/>
      <w:szCs w:val="56"/>
    </w:rPr>
  </w:style>
  <w:style w:type="character" w:customStyle="1" w:styleId="TitleChar">
    <w:name w:val="Title Char"/>
    <w:link w:val="Title"/>
    <w:uiPriority w:val="10"/>
    <w:rPr>
      <w:rFonts w:eastAsia="DengXian Light" w:cs="Times New Roman"/>
      <w:b/>
      <w:spacing w:val="-10"/>
      <w:kern w:val="28"/>
      <w:sz w:val="22"/>
      <w:szCs w:val="56"/>
      <w:lang w:eastAsia="en-US"/>
    </w:rPr>
  </w:style>
  <w:style w:type="paragraph" w:styleId="TOAHeading">
    <w:name w:val="toa heading"/>
    <w:basedOn w:val="Normal"/>
    <w:next w:val="Normal"/>
    <w:semiHidden/>
    <w:unhideWhenUsed/>
    <w:pPr>
      <w:spacing w:before="120"/>
    </w:pPr>
    <w:rPr>
      <w:rFonts w:ascii="Calibri Light" w:eastAsia="DengXian Light" w:hAnsi="Calibri Light"/>
      <w:b/>
      <w:bCs/>
      <w:sz w:val="24"/>
      <w:szCs w:val="24"/>
    </w:rPr>
  </w:style>
  <w:style w:type="paragraph" w:styleId="TOC1">
    <w:name w:val="toc 1"/>
    <w:basedOn w:val="Normal"/>
    <w:next w:val="Normal"/>
    <w:autoRedefine/>
    <w:semiHidden/>
    <w:unhideWhenUsed/>
    <w:pPr>
      <w:tabs>
        <w:tab w:val="clear" w:pos="567"/>
      </w:tabs>
      <w:spacing w:after="100"/>
    </w:p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spacing w:after="0"/>
      <w:outlineLvl w:val="9"/>
    </w:pPr>
    <w:rPr>
      <w:rFonts w:eastAsia="DengXian Light"/>
      <w:b w:val="0"/>
      <w:bCs w:val="0"/>
      <w:color w:val="2F5496"/>
      <w:kern w:val="0"/>
    </w:rPr>
  </w:style>
  <w:style w:type="character" w:styleId="LineNumber">
    <w:name w:val="line number"/>
    <w:basedOn w:val="DefaultParagraphFont"/>
    <w:semiHidden/>
    <w:unhideWhenUsed/>
  </w:style>
  <w:style w:type="paragraph" w:customStyle="1" w:styleId="NormalKeep">
    <w:name w:val="Normal Keep"/>
    <w:basedOn w:val="Normal"/>
    <w:link w:val="NormalKeepChar"/>
    <w:qFormat/>
    <w:pPr>
      <w:keepNext/>
      <w:tabs>
        <w:tab w:val="clear" w:pos="567"/>
      </w:tabs>
      <w:suppressAutoHyphens/>
    </w:pPr>
    <w:rPr>
      <w:rFonts w:eastAsia="SimSun"/>
      <w:szCs w:val="22"/>
      <w:lang w:eastAsia="zh-CN"/>
    </w:rPr>
  </w:style>
  <w:style w:type="character" w:styleId="Strong">
    <w:name w:val="Strong"/>
    <w:uiPriority w:val="22"/>
    <w:qFormat/>
    <w:rPr>
      <w:b/>
      <w:bCs/>
    </w:rPr>
  </w:style>
  <w:style w:type="paragraph" w:customStyle="1" w:styleId="HeadingStrong">
    <w:name w:val="Heading Strong"/>
    <w:basedOn w:val="NormalKeep"/>
    <w:next w:val="NormalKeep"/>
    <w:link w:val="HeadingStrongChar"/>
    <w:qFormat/>
    <w:pPr>
      <w:keepLines/>
    </w:pPr>
    <w:rPr>
      <w:b/>
      <w:bCs/>
    </w:rPr>
  </w:style>
  <w:style w:type="character" w:customStyle="1" w:styleId="NormalKeepChar">
    <w:name w:val="Normal Keep Char"/>
    <w:link w:val="NormalKeep"/>
    <w:locked/>
    <w:rPr>
      <w:sz w:val="22"/>
      <w:szCs w:val="22"/>
      <w:lang w:eastAsia="zh-CN"/>
    </w:rPr>
  </w:style>
  <w:style w:type="character" w:customStyle="1" w:styleId="HeadingStrongChar">
    <w:name w:val="Heading Strong Char"/>
    <w:link w:val="HeadingStrong"/>
    <w:locked/>
    <w:rPr>
      <w:b/>
      <w:bCs/>
      <w:sz w:val="22"/>
      <w:szCs w:val="22"/>
      <w:lang w:eastAsia="zh-CN"/>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italics">
    <w:name w:val="italics"/>
  </w:style>
  <w:style w:type="character" w:customStyle="1" w:styleId="FooterChar">
    <w:name w:val="Footer Char"/>
    <w:basedOn w:val="DefaultParagraphFont"/>
    <w:link w:val="Footer"/>
    <w:rsid w:val="00213125"/>
    <w:rPr>
      <w:rFonts w:ascii="Arial" w:eastAsia="Times New Roman"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4406">
      <w:bodyDiv w:val="1"/>
      <w:marLeft w:val="0"/>
      <w:marRight w:val="0"/>
      <w:marTop w:val="0"/>
      <w:marBottom w:val="0"/>
      <w:divBdr>
        <w:top w:val="none" w:sz="0" w:space="0" w:color="auto"/>
        <w:left w:val="none" w:sz="0" w:space="0" w:color="auto"/>
        <w:bottom w:val="none" w:sz="0" w:space="0" w:color="auto"/>
        <w:right w:val="none" w:sz="0" w:space="0" w:color="auto"/>
      </w:divBdr>
    </w:div>
    <w:div w:id="211507736">
      <w:bodyDiv w:val="1"/>
      <w:marLeft w:val="0"/>
      <w:marRight w:val="0"/>
      <w:marTop w:val="0"/>
      <w:marBottom w:val="0"/>
      <w:divBdr>
        <w:top w:val="none" w:sz="0" w:space="0" w:color="auto"/>
        <w:left w:val="none" w:sz="0" w:space="0" w:color="auto"/>
        <w:bottom w:val="none" w:sz="0" w:space="0" w:color="auto"/>
        <w:right w:val="none" w:sz="0" w:space="0" w:color="auto"/>
      </w:divBdr>
    </w:div>
    <w:div w:id="397480839">
      <w:bodyDiv w:val="1"/>
      <w:marLeft w:val="0"/>
      <w:marRight w:val="0"/>
      <w:marTop w:val="0"/>
      <w:marBottom w:val="0"/>
      <w:divBdr>
        <w:top w:val="none" w:sz="0" w:space="0" w:color="auto"/>
        <w:left w:val="none" w:sz="0" w:space="0" w:color="auto"/>
        <w:bottom w:val="none" w:sz="0" w:space="0" w:color="auto"/>
        <w:right w:val="none" w:sz="0" w:space="0" w:color="auto"/>
      </w:divBdr>
    </w:div>
    <w:div w:id="450636306">
      <w:bodyDiv w:val="1"/>
      <w:marLeft w:val="0"/>
      <w:marRight w:val="0"/>
      <w:marTop w:val="0"/>
      <w:marBottom w:val="0"/>
      <w:divBdr>
        <w:top w:val="none" w:sz="0" w:space="0" w:color="auto"/>
        <w:left w:val="none" w:sz="0" w:space="0" w:color="auto"/>
        <w:bottom w:val="none" w:sz="0" w:space="0" w:color="auto"/>
        <w:right w:val="none" w:sz="0" w:space="0" w:color="auto"/>
      </w:divBdr>
    </w:div>
    <w:div w:id="56649523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1822401">
      <w:bodyDiv w:val="1"/>
      <w:marLeft w:val="0"/>
      <w:marRight w:val="0"/>
      <w:marTop w:val="0"/>
      <w:marBottom w:val="0"/>
      <w:divBdr>
        <w:top w:val="none" w:sz="0" w:space="0" w:color="auto"/>
        <w:left w:val="none" w:sz="0" w:space="0" w:color="auto"/>
        <w:bottom w:val="none" w:sz="0" w:space="0" w:color="auto"/>
        <w:right w:val="none" w:sz="0" w:space="0" w:color="auto"/>
      </w:divBdr>
    </w:div>
    <w:div w:id="80265118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9837461">
      <w:bodyDiv w:val="1"/>
      <w:marLeft w:val="0"/>
      <w:marRight w:val="0"/>
      <w:marTop w:val="0"/>
      <w:marBottom w:val="0"/>
      <w:divBdr>
        <w:top w:val="none" w:sz="0" w:space="0" w:color="auto"/>
        <w:left w:val="none" w:sz="0" w:space="0" w:color="auto"/>
        <w:bottom w:val="none" w:sz="0" w:space="0" w:color="auto"/>
        <w:right w:val="none" w:sz="0" w:space="0" w:color="auto"/>
      </w:divBdr>
    </w:div>
    <w:div w:id="1154104383">
      <w:bodyDiv w:val="1"/>
      <w:marLeft w:val="0"/>
      <w:marRight w:val="0"/>
      <w:marTop w:val="0"/>
      <w:marBottom w:val="0"/>
      <w:divBdr>
        <w:top w:val="none" w:sz="0" w:space="0" w:color="auto"/>
        <w:left w:val="none" w:sz="0" w:space="0" w:color="auto"/>
        <w:bottom w:val="none" w:sz="0" w:space="0" w:color="auto"/>
        <w:right w:val="none" w:sz="0" w:space="0" w:color="auto"/>
      </w:divBdr>
    </w:div>
    <w:div w:id="148199712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537696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587021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4E1B08B8D7D4FB5A47EB4E1879719" ma:contentTypeVersion="4" ma:contentTypeDescription="Create a new document." ma:contentTypeScope="" ma:versionID="1d94084665a830dd8400f8ce54216f37">
  <xsd:schema xmlns:xsd="http://www.w3.org/2001/XMLSchema" xmlns:xs="http://www.w3.org/2001/XMLSchema" xmlns:p="http://schemas.microsoft.com/office/2006/metadata/properties" xmlns:ns2="e616636a-41ca-4b00-8a2e-1ba60d727da6" targetNamespace="http://schemas.microsoft.com/office/2006/metadata/properties" ma:root="true" ma:fieldsID="f9ecf168115e7b296b91e45fe6979a04" ns2:_="">
    <xsd:import namespace="e616636a-41ca-4b00-8a2e-1ba60d727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636a-41ca-4b00-8a2e-1ba60d727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3684E-DF35-4953-9EAB-232C17295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636a-41ca-4b00-8a2e-1ba60d727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595CD-F84E-45D9-933A-07F5123C55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882B5D-4EA7-4046-A6B6-313DF01B8876}">
  <ds:schemaRefs>
    <ds:schemaRef ds:uri="http://schemas.openxmlformats.org/officeDocument/2006/bibliography"/>
  </ds:schemaRefs>
</ds:datastoreItem>
</file>

<file path=customXml/itemProps4.xml><?xml version="1.0" encoding="utf-8"?>
<ds:datastoreItem xmlns:ds="http://schemas.openxmlformats.org/officeDocument/2006/customXml" ds:itemID="{E3B4030F-660B-44A5-B480-812E4086C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5575</Words>
  <Characters>32332</Characters>
  <Application>Microsoft Office Word</Application>
  <DocSecurity>0</DocSecurity>
  <Lines>898</Lines>
  <Paragraphs>430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Attachment-Product information for Onpattro</vt:lpstr>
      <vt:lpstr/>
    </vt:vector>
  </TitlesOfParts>
  <Manager/>
  <Company/>
  <LinksUpToDate>false</LinksUpToDate>
  <CharactersWithSpaces>37477</CharactersWithSpaces>
  <SharedDoc>false</SharedDoc>
  <HLinks>
    <vt:vector size="12" baseType="variant">
      <vt:variant>
        <vt:i4>5570626</vt:i4>
      </vt:variant>
      <vt:variant>
        <vt:i4>0</vt:i4>
      </vt:variant>
      <vt:variant>
        <vt:i4>0</vt:i4>
      </vt:variant>
      <vt:variant>
        <vt:i4>5</vt:i4>
      </vt:variant>
      <vt:variant>
        <vt:lpwstr>https://www.tga.gov.au/reporting-problems</vt:lpwstr>
      </vt:variant>
      <vt:variant>
        <vt:lpwstr/>
      </vt:variant>
      <vt:variant>
        <vt:i4>3211321</vt:i4>
      </vt:variant>
      <vt:variant>
        <vt:i4>0</vt:i4>
      </vt:variant>
      <vt:variant>
        <vt:i4>0</vt:i4>
      </vt:variant>
      <vt:variant>
        <vt:i4>5</vt:i4>
      </vt:variant>
      <vt:variant>
        <vt:lpwstr>https://www.tga.gov.au/australian-categorisation-system-prescribing-medicines-pregnancy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Onpattro</dc:title>
  <dc:subject>prescription medicines</dc:subject>
  <dc:creator/>
  <cp:keywords/>
  <cp:lastModifiedBy/>
  <cp:revision>1</cp:revision>
  <dcterms:created xsi:type="dcterms:W3CDTF">2024-04-04T02:27:00Z</dcterms:created>
  <dcterms:modified xsi:type="dcterms:W3CDTF">2024-04-04T02:27:00Z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0x01010045A4E1B08B8D7D4FB5A47EB4E1879719</vt:lpwstr>
  </property>
  <property fmtid="{D5CDD505-2E9C-101B-9397-08002B2CF9AE}" pid="3" name="Order">
    <vt:r8>31600</vt:r8>
  </property>
</Properties>
</file>