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72DFA074" w:rsidR="00F02AEC" w:rsidRPr="00215D48" w:rsidRDefault="00346EC2" w:rsidP="007452E8">
            <w:pPr>
              <w:pStyle w:val="Title"/>
            </w:pPr>
            <w:bookmarkStart w:id="0" w:name="_Hlk131084834"/>
            <w:bookmarkEnd w:id="0"/>
            <w:r w:rsidRPr="00346EC2">
              <w:t>Australian Public Assessment Report for</w:t>
            </w:r>
            <w:r w:rsidR="00367A0A">
              <w:t xml:space="preserve"> </w:t>
            </w:r>
            <w:r w:rsidR="00472EEA">
              <w:t>Ultomiris</w:t>
            </w:r>
          </w:p>
        </w:tc>
      </w:tr>
      <w:tr w:rsidR="00F02AEC" w:rsidRPr="00215D48" w14:paraId="318A40A3" w14:textId="77777777" w:rsidTr="00346EC2">
        <w:trPr>
          <w:trHeight w:val="995"/>
        </w:trPr>
        <w:tc>
          <w:tcPr>
            <w:tcW w:w="8720" w:type="dxa"/>
          </w:tcPr>
          <w:p w14:paraId="1AA7C701" w14:textId="1B0B4BF2" w:rsidR="00F02AEC" w:rsidRPr="00215D48" w:rsidRDefault="00346EC2" w:rsidP="007452E8">
            <w:pPr>
              <w:pStyle w:val="Subtitle"/>
              <w:ind w:left="0"/>
            </w:pPr>
            <w:r w:rsidRPr="00346EC2">
              <w:t>Active ingredient:</w:t>
            </w:r>
            <w:r w:rsidR="00367A0A">
              <w:t xml:space="preserve"> </w:t>
            </w:r>
            <w:r w:rsidR="00A04E5B">
              <w:t>R</w:t>
            </w:r>
            <w:r w:rsidR="00367A0A" w:rsidRPr="00367A0A">
              <w:t>avulizumab</w:t>
            </w:r>
          </w:p>
        </w:tc>
      </w:tr>
      <w:tr w:rsidR="00346EC2" w:rsidRPr="00215D48" w14:paraId="362CCAE4" w14:textId="77777777" w:rsidTr="007452E8">
        <w:trPr>
          <w:trHeight w:val="1916"/>
        </w:trPr>
        <w:tc>
          <w:tcPr>
            <w:tcW w:w="8720" w:type="dxa"/>
          </w:tcPr>
          <w:p w14:paraId="709C45C0" w14:textId="66587B09" w:rsidR="00346EC2" w:rsidRPr="00215D48" w:rsidRDefault="00893B21" w:rsidP="007452E8">
            <w:pPr>
              <w:pStyle w:val="Subtitle"/>
              <w:ind w:left="0"/>
            </w:pPr>
            <w:r>
              <w:t>S</w:t>
            </w:r>
            <w:r w:rsidR="00856026">
              <w:t>ponsor</w:t>
            </w:r>
            <w:r w:rsidR="00346EC2" w:rsidRPr="00346EC2">
              <w:t>:</w:t>
            </w:r>
            <w:r w:rsidR="00367A0A">
              <w:t xml:space="preserve"> </w:t>
            </w:r>
            <w:r w:rsidR="00367A0A" w:rsidRPr="00367A0A">
              <w:t>Alexion Pharmaceuticals Australasia Pty Ltd</w:t>
            </w:r>
          </w:p>
        </w:tc>
      </w:tr>
      <w:tr w:rsidR="00F02AEC" w:rsidRPr="00215D48" w14:paraId="37F2AA1F" w14:textId="77777777" w:rsidTr="007452E8">
        <w:tc>
          <w:tcPr>
            <w:tcW w:w="8720" w:type="dxa"/>
          </w:tcPr>
          <w:p w14:paraId="1FDE8DCD" w14:textId="1B6D380A" w:rsidR="00F02AEC" w:rsidRPr="00215D48" w:rsidRDefault="00A04E5B" w:rsidP="007452E8">
            <w:pPr>
              <w:pStyle w:val="Date"/>
            </w:pPr>
            <w:r>
              <w:t>May</w:t>
            </w:r>
            <w:r w:rsidR="00367A0A">
              <w:t xml:space="preserve"> 2023</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1BD56BED" w:rsidR="00346EC2" w:rsidRPr="003C6D1F" w:rsidRDefault="00346EC2" w:rsidP="00346EC2">
      <w:pPr>
        <w:pStyle w:val="ListBullet"/>
      </w:pPr>
      <w:r w:rsidRPr="003C6D1F">
        <w:t xml:space="preserve">The work of the TGA is based on applying scientific and clinical expertise to </w:t>
      </w:r>
      <w:r w:rsidR="007E513E">
        <w:t>Decision</w:t>
      </w:r>
      <w:r w:rsidRPr="003C6D1F">
        <w:t xml:space="preserve">-making,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405F2954"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6" w:history="1">
        <w:r w:rsidRPr="000F15B4">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1DC1531C"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7"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67B6652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w:t>
      </w:r>
      <w:r w:rsidR="007E513E">
        <w:t>Decision</w:t>
      </w:r>
      <w:r>
        <w:t>-making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AE2DDA">
      <w:pPr>
        <w:pStyle w:val="LegalSubheading"/>
        <w:spacing w:before="3120"/>
      </w:pPr>
      <w:r w:rsidRPr="00BA0DFC">
        <w:t>Copyright</w:t>
      </w:r>
    </w:p>
    <w:p w14:paraId="170A8A5D" w14:textId="1C9E199D"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8"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6BEED587" w14:textId="60690D5B" w:rsidR="0084036E"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35662368" w:history="1">
            <w:r w:rsidR="0084036E" w:rsidRPr="00211639">
              <w:rPr>
                <w:rStyle w:val="Hyperlink"/>
                <w:noProof/>
              </w:rPr>
              <w:t>List of abbreviations</w:t>
            </w:r>
            <w:r w:rsidR="0084036E">
              <w:rPr>
                <w:noProof/>
                <w:webHidden/>
              </w:rPr>
              <w:tab/>
            </w:r>
            <w:r w:rsidR="0084036E">
              <w:rPr>
                <w:noProof/>
                <w:webHidden/>
              </w:rPr>
              <w:fldChar w:fldCharType="begin"/>
            </w:r>
            <w:r w:rsidR="0084036E">
              <w:rPr>
                <w:noProof/>
                <w:webHidden/>
              </w:rPr>
              <w:instrText xml:space="preserve"> PAGEREF _Toc135662368 \h </w:instrText>
            </w:r>
            <w:r w:rsidR="0084036E">
              <w:rPr>
                <w:noProof/>
                <w:webHidden/>
              </w:rPr>
            </w:r>
            <w:r w:rsidR="0084036E">
              <w:rPr>
                <w:noProof/>
                <w:webHidden/>
              </w:rPr>
              <w:fldChar w:fldCharType="separate"/>
            </w:r>
            <w:r w:rsidR="00857D8C">
              <w:rPr>
                <w:noProof/>
                <w:webHidden/>
              </w:rPr>
              <w:t>4</w:t>
            </w:r>
            <w:r w:rsidR="0084036E">
              <w:rPr>
                <w:noProof/>
                <w:webHidden/>
              </w:rPr>
              <w:fldChar w:fldCharType="end"/>
            </w:r>
          </w:hyperlink>
        </w:p>
        <w:p w14:paraId="44829B59" w14:textId="4F1B92CF" w:rsidR="0084036E" w:rsidRDefault="00857D8C">
          <w:pPr>
            <w:pStyle w:val="TOC1"/>
            <w:rPr>
              <w:rFonts w:asciiTheme="minorHAnsi" w:eastAsiaTheme="minorEastAsia" w:hAnsiTheme="minorHAnsi" w:cstheme="minorBidi"/>
              <w:b w:val="0"/>
              <w:noProof/>
              <w:color w:val="auto"/>
              <w:sz w:val="22"/>
              <w:szCs w:val="22"/>
              <w:lang w:eastAsia="en-AU"/>
            </w:rPr>
          </w:pPr>
          <w:hyperlink w:anchor="_Toc135662369" w:history="1">
            <w:r w:rsidR="0084036E" w:rsidRPr="00211639">
              <w:rPr>
                <w:rStyle w:val="Hyperlink"/>
                <w:noProof/>
              </w:rPr>
              <w:t>Product submission</w:t>
            </w:r>
            <w:r w:rsidR="0084036E">
              <w:rPr>
                <w:noProof/>
                <w:webHidden/>
              </w:rPr>
              <w:tab/>
            </w:r>
            <w:r w:rsidR="0084036E">
              <w:rPr>
                <w:noProof/>
                <w:webHidden/>
              </w:rPr>
              <w:fldChar w:fldCharType="begin"/>
            </w:r>
            <w:r w:rsidR="0084036E">
              <w:rPr>
                <w:noProof/>
                <w:webHidden/>
              </w:rPr>
              <w:instrText xml:space="preserve"> PAGEREF _Toc135662369 \h </w:instrText>
            </w:r>
            <w:r w:rsidR="0084036E">
              <w:rPr>
                <w:noProof/>
                <w:webHidden/>
              </w:rPr>
            </w:r>
            <w:r w:rsidR="0084036E">
              <w:rPr>
                <w:noProof/>
                <w:webHidden/>
              </w:rPr>
              <w:fldChar w:fldCharType="separate"/>
            </w:r>
            <w:r>
              <w:rPr>
                <w:noProof/>
                <w:webHidden/>
              </w:rPr>
              <w:t>6</w:t>
            </w:r>
            <w:r w:rsidR="0084036E">
              <w:rPr>
                <w:noProof/>
                <w:webHidden/>
              </w:rPr>
              <w:fldChar w:fldCharType="end"/>
            </w:r>
          </w:hyperlink>
        </w:p>
        <w:p w14:paraId="618E702F" w14:textId="37D8827C" w:rsidR="0084036E" w:rsidRDefault="00857D8C">
          <w:pPr>
            <w:pStyle w:val="TOC2"/>
            <w:rPr>
              <w:rFonts w:asciiTheme="minorHAnsi" w:eastAsiaTheme="minorEastAsia" w:hAnsiTheme="minorHAnsi" w:cstheme="minorBidi"/>
              <w:b w:val="0"/>
              <w:noProof/>
              <w:color w:val="auto"/>
              <w:sz w:val="22"/>
              <w:szCs w:val="22"/>
              <w:lang w:eastAsia="en-AU"/>
            </w:rPr>
          </w:pPr>
          <w:hyperlink w:anchor="_Toc135662370" w:history="1">
            <w:r w:rsidR="0084036E" w:rsidRPr="00211639">
              <w:rPr>
                <w:rStyle w:val="Hyperlink"/>
                <w:noProof/>
                <w:lang w:eastAsia="en-AU"/>
              </w:rPr>
              <w:t>Submission details</w:t>
            </w:r>
            <w:r w:rsidR="0084036E">
              <w:rPr>
                <w:noProof/>
                <w:webHidden/>
              </w:rPr>
              <w:tab/>
            </w:r>
            <w:r w:rsidR="0084036E">
              <w:rPr>
                <w:noProof/>
                <w:webHidden/>
              </w:rPr>
              <w:fldChar w:fldCharType="begin"/>
            </w:r>
            <w:r w:rsidR="0084036E">
              <w:rPr>
                <w:noProof/>
                <w:webHidden/>
              </w:rPr>
              <w:instrText xml:space="preserve"> PAGEREF _Toc135662370 \h </w:instrText>
            </w:r>
            <w:r w:rsidR="0084036E">
              <w:rPr>
                <w:noProof/>
                <w:webHidden/>
              </w:rPr>
            </w:r>
            <w:r w:rsidR="0084036E">
              <w:rPr>
                <w:noProof/>
                <w:webHidden/>
              </w:rPr>
              <w:fldChar w:fldCharType="separate"/>
            </w:r>
            <w:r>
              <w:rPr>
                <w:noProof/>
                <w:webHidden/>
              </w:rPr>
              <w:t>6</w:t>
            </w:r>
            <w:r w:rsidR="0084036E">
              <w:rPr>
                <w:noProof/>
                <w:webHidden/>
              </w:rPr>
              <w:fldChar w:fldCharType="end"/>
            </w:r>
          </w:hyperlink>
        </w:p>
        <w:p w14:paraId="3072A686" w14:textId="3634C63F" w:rsidR="0084036E" w:rsidRDefault="00857D8C">
          <w:pPr>
            <w:pStyle w:val="TOC2"/>
            <w:rPr>
              <w:rFonts w:asciiTheme="minorHAnsi" w:eastAsiaTheme="minorEastAsia" w:hAnsiTheme="minorHAnsi" w:cstheme="minorBidi"/>
              <w:b w:val="0"/>
              <w:noProof/>
              <w:color w:val="auto"/>
              <w:sz w:val="22"/>
              <w:szCs w:val="22"/>
              <w:lang w:eastAsia="en-AU"/>
            </w:rPr>
          </w:pPr>
          <w:hyperlink w:anchor="_Toc135662371" w:history="1">
            <w:r w:rsidR="0084036E" w:rsidRPr="00211639">
              <w:rPr>
                <w:rStyle w:val="Hyperlink"/>
                <w:noProof/>
              </w:rPr>
              <w:t>Product background</w:t>
            </w:r>
            <w:r w:rsidR="0084036E">
              <w:rPr>
                <w:noProof/>
                <w:webHidden/>
              </w:rPr>
              <w:tab/>
            </w:r>
            <w:r w:rsidR="0084036E">
              <w:rPr>
                <w:noProof/>
                <w:webHidden/>
              </w:rPr>
              <w:fldChar w:fldCharType="begin"/>
            </w:r>
            <w:r w:rsidR="0084036E">
              <w:rPr>
                <w:noProof/>
                <w:webHidden/>
              </w:rPr>
              <w:instrText xml:space="preserve"> PAGEREF _Toc135662371 \h </w:instrText>
            </w:r>
            <w:r w:rsidR="0084036E">
              <w:rPr>
                <w:noProof/>
                <w:webHidden/>
              </w:rPr>
            </w:r>
            <w:r w:rsidR="0084036E">
              <w:rPr>
                <w:noProof/>
                <w:webHidden/>
              </w:rPr>
              <w:fldChar w:fldCharType="separate"/>
            </w:r>
            <w:r>
              <w:rPr>
                <w:noProof/>
                <w:webHidden/>
              </w:rPr>
              <w:t>8</w:t>
            </w:r>
            <w:r w:rsidR="0084036E">
              <w:rPr>
                <w:noProof/>
                <w:webHidden/>
              </w:rPr>
              <w:fldChar w:fldCharType="end"/>
            </w:r>
          </w:hyperlink>
        </w:p>
        <w:p w14:paraId="396B284A" w14:textId="46BD7491" w:rsidR="0084036E" w:rsidRDefault="00857D8C">
          <w:pPr>
            <w:pStyle w:val="TOC3"/>
            <w:rPr>
              <w:rFonts w:asciiTheme="minorHAnsi" w:eastAsiaTheme="minorEastAsia" w:hAnsiTheme="minorHAnsi" w:cstheme="minorBidi"/>
              <w:b w:val="0"/>
              <w:noProof/>
              <w:color w:val="auto"/>
              <w:szCs w:val="22"/>
              <w:lang w:eastAsia="en-AU"/>
            </w:rPr>
          </w:pPr>
          <w:hyperlink w:anchor="_Toc135662372" w:history="1">
            <w:r w:rsidR="0084036E" w:rsidRPr="00211639">
              <w:rPr>
                <w:rStyle w:val="Hyperlink"/>
                <w:noProof/>
              </w:rPr>
              <w:t>Ravulizumab</w:t>
            </w:r>
            <w:r w:rsidR="0084036E">
              <w:rPr>
                <w:noProof/>
                <w:webHidden/>
              </w:rPr>
              <w:tab/>
            </w:r>
            <w:r w:rsidR="0084036E">
              <w:rPr>
                <w:noProof/>
                <w:webHidden/>
              </w:rPr>
              <w:fldChar w:fldCharType="begin"/>
            </w:r>
            <w:r w:rsidR="0084036E">
              <w:rPr>
                <w:noProof/>
                <w:webHidden/>
              </w:rPr>
              <w:instrText xml:space="preserve"> PAGEREF _Toc135662372 \h </w:instrText>
            </w:r>
            <w:r w:rsidR="0084036E">
              <w:rPr>
                <w:noProof/>
                <w:webHidden/>
              </w:rPr>
            </w:r>
            <w:r w:rsidR="0084036E">
              <w:rPr>
                <w:noProof/>
                <w:webHidden/>
              </w:rPr>
              <w:fldChar w:fldCharType="separate"/>
            </w:r>
            <w:r>
              <w:rPr>
                <w:noProof/>
                <w:webHidden/>
              </w:rPr>
              <w:t>9</w:t>
            </w:r>
            <w:r w:rsidR="0084036E">
              <w:rPr>
                <w:noProof/>
                <w:webHidden/>
              </w:rPr>
              <w:fldChar w:fldCharType="end"/>
            </w:r>
          </w:hyperlink>
        </w:p>
        <w:p w14:paraId="5EF56EE8" w14:textId="1467EE4A" w:rsidR="0084036E" w:rsidRDefault="00857D8C">
          <w:pPr>
            <w:pStyle w:val="TOC3"/>
            <w:rPr>
              <w:rFonts w:asciiTheme="minorHAnsi" w:eastAsiaTheme="minorEastAsia" w:hAnsiTheme="minorHAnsi" w:cstheme="minorBidi"/>
              <w:b w:val="0"/>
              <w:noProof/>
              <w:color w:val="auto"/>
              <w:szCs w:val="22"/>
              <w:lang w:eastAsia="en-AU"/>
            </w:rPr>
          </w:pPr>
          <w:hyperlink w:anchor="_Toc135662373" w:history="1">
            <w:r w:rsidR="0084036E" w:rsidRPr="00211639">
              <w:rPr>
                <w:rStyle w:val="Hyperlink"/>
                <w:noProof/>
              </w:rPr>
              <w:t>Current treatment options</w:t>
            </w:r>
            <w:r w:rsidR="0084036E">
              <w:rPr>
                <w:noProof/>
                <w:webHidden/>
              </w:rPr>
              <w:tab/>
            </w:r>
            <w:r w:rsidR="0084036E">
              <w:rPr>
                <w:noProof/>
                <w:webHidden/>
              </w:rPr>
              <w:fldChar w:fldCharType="begin"/>
            </w:r>
            <w:r w:rsidR="0084036E">
              <w:rPr>
                <w:noProof/>
                <w:webHidden/>
              </w:rPr>
              <w:instrText xml:space="preserve"> PAGEREF _Toc135662373 \h </w:instrText>
            </w:r>
            <w:r w:rsidR="0084036E">
              <w:rPr>
                <w:noProof/>
                <w:webHidden/>
              </w:rPr>
            </w:r>
            <w:r w:rsidR="0084036E">
              <w:rPr>
                <w:noProof/>
                <w:webHidden/>
              </w:rPr>
              <w:fldChar w:fldCharType="separate"/>
            </w:r>
            <w:r>
              <w:rPr>
                <w:noProof/>
                <w:webHidden/>
              </w:rPr>
              <w:t>10</w:t>
            </w:r>
            <w:r w:rsidR="0084036E">
              <w:rPr>
                <w:noProof/>
                <w:webHidden/>
              </w:rPr>
              <w:fldChar w:fldCharType="end"/>
            </w:r>
          </w:hyperlink>
        </w:p>
        <w:p w14:paraId="08AC93D3" w14:textId="2659F8FD" w:rsidR="0084036E" w:rsidRDefault="00857D8C">
          <w:pPr>
            <w:pStyle w:val="TOC2"/>
            <w:rPr>
              <w:rFonts w:asciiTheme="minorHAnsi" w:eastAsiaTheme="minorEastAsia" w:hAnsiTheme="minorHAnsi" w:cstheme="minorBidi"/>
              <w:b w:val="0"/>
              <w:noProof/>
              <w:color w:val="auto"/>
              <w:sz w:val="22"/>
              <w:szCs w:val="22"/>
              <w:lang w:eastAsia="en-AU"/>
            </w:rPr>
          </w:pPr>
          <w:hyperlink w:anchor="_Toc135662374" w:history="1">
            <w:r w:rsidR="0084036E" w:rsidRPr="00211639">
              <w:rPr>
                <w:rStyle w:val="Hyperlink"/>
                <w:noProof/>
              </w:rPr>
              <w:t>Regulatory status</w:t>
            </w:r>
            <w:r w:rsidR="0084036E">
              <w:rPr>
                <w:noProof/>
                <w:webHidden/>
              </w:rPr>
              <w:tab/>
            </w:r>
            <w:r w:rsidR="0084036E">
              <w:rPr>
                <w:noProof/>
                <w:webHidden/>
              </w:rPr>
              <w:fldChar w:fldCharType="begin"/>
            </w:r>
            <w:r w:rsidR="0084036E">
              <w:rPr>
                <w:noProof/>
                <w:webHidden/>
              </w:rPr>
              <w:instrText xml:space="preserve"> PAGEREF _Toc135662374 \h </w:instrText>
            </w:r>
            <w:r w:rsidR="0084036E">
              <w:rPr>
                <w:noProof/>
                <w:webHidden/>
              </w:rPr>
            </w:r>
            <w:r w:rsidR="0084036E">
              <w:rPr>
                <w:noProof/>
                <w:webHidden/>
              </w:rPr>
              <w:fldChar w:fldCharType="separate"/>
            </w:r>
            <w:r>
              <w:rPr>
                <w:noProof/>
                <w:webHidden/>
              </w:rPr>
              <w:t>12</w:t>
            </w:r>
            <w:r w:rsidR="0084036E">
              <w:rPr>
                <w:noProof/>
                <w:webHidden/>
              </w:rPr>
              <w:fldChar w:fldCharType="end"/>
            </w:r>
          </w:hyperlink>
        </w:p>
        <w:p w14:paraId="5FAFBB73" w14:textId="536F7863" w:rsidR="0084036E" w:rsidRDefault="00857D8C">
          <w:pPr>
            <w:pStyle w:val="TOC2"/>
            <w:rPr>
              <w:rFonts w:asciiTheme="minorHAnsi" w:eastAsiaTheme="minorEastAsia" w:hAnsiTheme="minorHAnsi" w:cstheme="minorBidi"/>
              <w:b w:val="0"/>
              <w:noProof/>
              <w:color w:val="auto"/>
              <w:sz w:val="22"/>
              <w:szCs w:val="22"/>
              <w:lang w:eastAsia="en-AU"/>
            </w:rPr>
          </w:pPr>
          <w:hyperlink w:anchor="_Toc135662375" w:history="1">
            <w:r w:rsidR="0084036E" w:rsidRPr="00211639">
              <w:rPr>
                <w:rStyle w:val="Hyperlink"/>
                <w:noProof/>
              </w:rPr>
              <w:t>Product Information</w:t>
            </w:r>
            <w:r w:rsidR="0084036E">
              <w:rPr>
                <w:noProof/>
                <w:webHidden/>
              </w:rPr>
              <w:tab/>
            </w:r>
            <w:r w:rsidR="0084036E">
              <w:rPr>
                <w:noProof/>
                <w:webHidden/>
              </w:rPr>
              <w:fldChar w:fldCharType="begin"/>
            </w:r>
            <w:r w:rsidR="0084036E">
              <w:rPr>
                <w:noProof/>
                <w:webHidden/>
              </w:rPr>
              <w:instrText xml:space="preserve"> PAGEREF _Toc135662375 \h </w:instrText>
            </w:r>
            <w:r w:rsidR="0084036E">
              <w:rPr>
                <w:noProof/>
                <w:webHidden/>
              </w:rPr>
            </w:r>
            <w:r w:rsidR="0084036E">
              <w:rPr>
                <w:noProof/>
                <w:webHidden/>
              </w:rPr>
              <w:fldChar w:fldCharType="separate"/>
            </w:r>
            <w:r>
              <w:rPr>
                <w:noProof/>
                <w:webHidden/>
              </w:rPr>
              <w:t>15</w:t>
            </w:r>
            <w:r w:rsidR="0084036E">
              <w:rPr>
                <w:noProof/>
                <w:webHidden/>
              </w:rPr>
              <w:fldChar w:fldCharType="end"/>
            </w:r>
          </w:hyperlink>
        </w:p>
        <w:p w14:paraId="73B714A6" w14:textId="3B88D766" w:rsidR="0084036E" w:rsidRDefault="00857D8C">
          <w:pPr>
            <w:pStyle w:val="TOC1"/>
            <w:rPr>
              <w:rFonts w:asciiTheme="minorHAnsi" w:eastAsiaTheme="minorEastAsia" w:hAnsiTheme="minorHAnsi" w:cstheme="minorBidi"/>
              <w:b w:val="0"/>
              <w:noProof/>
              <w:color w:val="auto"/>
              <w:sz w:val="22"/>
              <w:szCs w:val="22"/>
              <w:lang w:eastAsia="en-AU"/>
            </w:rPr>
          </w:pPr>
          <w:hyperlink w:anchor="_Toc135662376" w:history="1">
            <w:r w:rsidR="0084036E" w:rsidRPr="00211639">
              <w:rPr>
                <w:rStyle w:val="Hyperlink"/>
                <w:noProof/>
              </w:rPr>
              <w:t>Registration timeline</w:t>
            </w:r>
            <w:r w:rsidR="0084036E">
              <w:rPr>
                <w:noProof/>
                <w:webHidden/>
              </w:rPr>
              <w:tab/>
            </w:r>
            <w:r w:rsidR="0084036E">
              <w:rPr>
                <w:noProof/>
                <w:webHidden/>
              </w:rPr>
              <w:fldChar w:fldCharType="begin"/>
            </w:r>
            <w:r w:rsidR="0084036E">
              <w:rPr>
                <w:noProof/>
                <w:webHidden/>
              </w:rPr>
              <w:instrText xml:space="preserve"> PAGEREF _Toc135662376 \h </w:instrText>
            </w:r>
            <w:r w:rsidR="0084036E">
              <w:rPr>
                <w:noProof/>
                <w:webHidden/>
              </w:rPr>
            </w:r>
            <w:r w:rsidR="0084036E">
              <w:rPr>
                <w:noProof/>
                <w:webHidden/>
              </w:rPr>
              <w:fldChar w:fldCharType="separate"/>
            </w:r>
            <w:r>
              <w:rPr>
                <w:noProof/>
                <w:webHidden/>
              </w:rPr>
              <w:t>15</w:t>
            </w:r>
            <w:r w:rsidR="0084036E">
              <w:rPr>
                <w:noProof/>
                <w:webHidden/>
              </w:rPr>
              <w:fldChar w:fldCharType="end"/>
            </w:r>
          </w:hyperlink>
        </w:p>
        <w:p w14:paraId="51A01765" w14:textId="374C3C88" w:rsidR="0084036E" w:rsidRDefault="00857D8C">
          <w:pPr>
            <w:pStyle w:val="TOC1"/>
            <w:rPr>
              <w:rFonts w:asciiTheme="minorHAnsi" w:eastAsiaTheme="minorEastAsia" w:hAnsiTheme="minorHAnsi" w:cstheme="minorBidi"/>
              <w:b w:val="0"/>
              <w:noProof/>
              <w:color w:val="auto"/>
              <w:sz w:val="22"/>
              <w:szCs w:val="22"/>
              <w:lang w:eastAsia="en-AU"/>
            </w:rPr>
          </w:pPr>
          <w:hyperlink w:anchor="_Toc135662377" w:history="1">
            <w:r w:rsidR="0084036E" w:rsidRPr="00211639">
              <w:rPr>
                <w:rStyle w:val="Hyperlink"/>
                <w:noProof/>
              </w:rPr>
              <w:t>Submission overview and risk/benefit assessment</w:t>
            </w:r>
            <w:r w:rsidR="0084036E">
              <w:rPr>
                <w:noProof/>
                <w:webHidden/>
              </w:rPr>
              <w:tab/>
            </w:r>
            <w:r w:rsidR="0084036E">
              <w:rPr>
                <w:noProof/>
                <w:webHidden/>
              </w:rPr>
              <w:fldChar w:fldCharType="begin"/>
            </w:r>
            <w:r w:rsidR="0084036E">
              <w:rPr>
                <w:noProof/>
                <w:webHidden/>
              </w:rPr>
              <w:instrText xml:space="preserve"> PAGEREF _Toc135662377 \h </w:instrText>
            </w:r>
            <w:r w:rsidR="0084036E">
              <w:rPr>
                <w:noProof/>
                <w:webHidden/>
              </w:rPr>
            </w:r>
            <w:r w:rsidR="0084036E">
              <w:rPr>
                <w:noProof/>
                <w:webHidden/>
              </w:rPr>
              <w:fldChar w:fldCharType="separate"/>
            </w:r>
            <w:r>
              <w:rPr>
                <w:noProof/>
                <w:webHidden/>
              </w:rPr>
              <w:t>15</w:t>
            </w:r>
            <w:r w:rsidR="0084036E">
              <w:rPr>
                <w:noProof/>
                <w:webHidden/>
              </w:rPr>
              <w:fldChar w:fldCharType="end"/>
            </w:r>
          </w:hyperlink>
        </w:p>
        <w:p w14:paraId="05AE5789" w14:textId="2CCF8894" w:rsidR="0084036E" w:rsidRDefault="00857D8C">
          <w:pPr>
            <w:pStyle w:val="TOC2"/>
            <w:rPr>
              <w:rFonts w:asciiTheme="minorHAnsi" w:eastAsiaTheme="minorEastAsia" w:hAnsiTheme="minorHAnsi" w:cstheme="minorBidi"/>
              <w:b w:val="0"/>
              <w:noProof/>
              <w:color w:val="auto"/>
              <w:sz w:val="22"/>
              <w:szCs w:val="22"/>
              <w:lang w:eastAsia="en-AU"/>
            </w:rPr>
          </w:pPr>
          <w:hyperlink w:anchor="_Toc135662378" w:history="1">
            <w:r w:rsidR="0084036E" w:rsidRPr="00211639">
              <w:rPr>
                <w:rStyle w:val="Hyperlink"/>
                <w:noProof/>
              </w:rPr>
              <w:t>Quality</w:t>
            </w:r>
            <w:r w:rsidR="0084036E">
              <w:rPr>
                <w:noProof/>
                <w:webHidden/>
              </w:rPr>
              <w:tab/>
            </w:r>
            <w:r w:rsidR="0084036E">
              <w:rPr>
                <w:noProof/>
                <w:webHidden/>
              </w:rPr>
              <w:fldChar w:fldCharType="begin"/>
            </w:r>
            <w:r w:rsidR="0084036E">
              <w:rPr>
                <w:noProof/>
                <w:webHidden/>
              </w:rPr>
              <w:instrText xml:space="preserve"> PAGEREF _Toc135662378 \h </w:instrText>
            </w:r>
            <w:r w:rsidR="0084036E">
              <w:rPr>
                <w:noProof/>
                <w:webHidden/>
              </w:rPr>
            </w:r>
            <w:r w:rsidR="0084036E">
              <w:rPr>
                <w:noProof/>
                <w:webHidden/>
              </w:rPr>
              <w:fldChar w:fldCharType="separate"/>
            </w:r>
            <w:r>
              <w:rPr>
                <w:noProof/>
                <w:webHidden/>
              </w:rPr>
              <w:t>15</w:t>
            </w:r>
            <w:r w:rsidR="0084036E">
              <w:rPr>
                <w:noProof/>
                <w:webHidden/>
              </w:rPr>
              <w:fldChar w:fldCharType="end"/>
            </w:r>
          </w:hyperlink>
        </w:p>
        <w:p w14:paraId="0C60CE15" w14:textId="5516BD31" w:rsidR="0084036E" w:rsidRDefault="00857D8C">
          <w:pPr>
            <w:pStyle w:val="TOC2"/>
            <w:rPr>
              <w:rFonts w:asciiTheme="minorHAnsi" w:eastAsiaTheme="minorEastAsia" w:hAnsiTheme="minorHAnsi" w:cstheme="minorBidi"/>
              <w:b w:val="0"/>
              <w:noProof/>
              <w:color w:val="auto"/>
              <w:sz w:val="22"/>
              <w:szCs w:val="22"/>
              <w:lang w:eastAsia="en-AU"/>
            </w:rPr>
          </w:pPr>
          <w:hyperlink w:anchor="_Toc135662379" w:history="1">
            <w:r w:rsidR="0084036E" w:rsidRPr="00211639">
              <w:rPr>
                <w:rStyle w:val="Hyperlink"/>
                <w:noProof/>
              </w:rPr>
              <w:t>Nonclinical</w:t>
            </w:r>
            <w:r w:rsidR="0084036E">
              <w:rPr>
                <w:noProof/>
                <w:webHidden/>
              </w:rPr>
              <w:tab/>
            </w:r>
            <w:r w:rsidR="0084036E">
              <w:rPr>
                <w:noProof/>
                <w:webHidden/>
              </w:rPr>
              <w:fldChar w:fldCharType="begin"/>
            </w:r>
            <w:r w:rsidR="0084036E">
              <w:rPr>
                <w:noProof/>
                <w:webHidden/>
              </w:rPr>
              <w:instrText xml:space="preserve"> PAGEREF _Toc135662379 \h </w:instrText>
            </w:r>
            <w:r w:rsidR="0084036E">
              <w:rPr>
                <w:noProof/>
                <w:webHidden/>
              </w:rPr>
            </w:r>
            <w:r w:rsidR="0084036E">
              <w:rPr>
                <w:noProof/>
                <w:webHidden/>
              </w:rPr>
              <w:fldChar w:fldCharType="separate"/>
            </w:r>
            <w:r>
              <w:rPr>
                <w:noProof/>
                <w:webHidden/>
              </w:rPr>
              <w:t>16</w:t>
            </w:r>
            <w:r w:rsidR="0084036E">
              <w:rPr>
                <w:noProof/>
                <w:webHidden/>
              </w:rPr>
              <w:fldChar w:fldCharType="end"/>
            </w:r>
          </w:hyperlink>
        </w:p>
        <w:p w14:paraId="78CEAEA7" w14:textId="66C661B8" w:rsidR="0084036E" w:rsidRDefault="00857D8C">
          <w:pPr>
            <w:pStyle w:val="TOC2"/>
            <w:rPr>
              <w:rFonts w:asciiTheme="minorHAnsi" w:eastAsiaTheme="minorEastAsia" w:hAnsiTheme="minorHAnsi" w:cstheme="minorBidi"/>
              <w:b w:val="0"/>
              <w:noProof/>
              <w:color w:val="auto"/>
              <w:sz w:val="22"/>
              <w:szCs w:val="22"/>
              <w:lang w:eastAsia="en-AU"/>
            </w:rPr>
          </w:pPr>
          <w:hyperlink w:anchor="_Toc135662380" w:history="1">
            <w:r w:rsidR="0084036E" w:rsidRPr="00211639">
              <w:rPr>
                <w:rStyle w:val="Hyperlink"/>
                <w:noProof/>
              </w:rPr>
              <w:t>Clinical</w:t>
            </w:r>
            <w:r w:rsidR="0084036E">
              <w:rPr>
                <w:noProof/>
                <w:webHidden/>
              </w:rPr>
              <w:tab/>
            </w:r>
            <w:r w:rsidR="0084036E">
              <w:rPr>
                <w:noProof/>
                <w:webHidden/>
              </w:rPr>
              <w:fldChar w:fldCharType="begin"/>
            </w:r>
            <w:r w:rsidR="0084036E">
              <w:rPr>
                <w:noProof/>
                <w:webHidden/>
              </w:rPr>
              <w:instrText xml:space="preserve"> PAGEREF _Toc135662380 \h </w:instrText>
            </w:r>
            <w:r w:rsidR="0084036E">
              <w:rPr>
                <w:noProof/>
                <w:webHidden/>
              </w:rPr>
            </w:r>
            <w:r w:rsidR="0084036E">
              <w:rPr>
                <w:noProof/>
                <w:webHidden/>
              </w:rPr>
              <w:fldChar w:fldCharType="separate"/>
            </w:r>
            <w:r>
              <w:rPr>
                <w:noProof/>
                <w:webHidden/>
              </w:rPr>
              <w:t>16</w:t>
            </w:r>
            <w:r w:rsidR="0084036E">
              <w:rPr>
                <w:noProof/>
                <w:webHidden/>
              </w:rPr>
              <w:fldChar w:fldCharType="end"/>
            </w:r>
          </w:hyperlink>
        </w:p>
        <w:p w14:paraId="2C0F3142" w14:textId="724D4BA2" w:rsidR="0084036E" w:rsidRDefault="00857D8C">
          <w:pPr>
            <w:pStyle w:val="TOC3"/>
            <w:rPr>
              <w:rFonts w:asciiTheme="minorHAnsi" w:eastAsiaTheme="minorEastAsia" w:hAnsiTheme="minorHAnsi" w:cstheme="minorBidi"/>
              <w:b w:val="0"/>
              <w:noProof/>
              <w:color w:val="auto"/>
              <w:szCs w:val="22"/>
              <w:lang w:eastAsia="en-AU"/>
            </w:rPr>
          </w:pPr>
          <w:hyperlink w:anchor="_Toc135662381" w:history="1">
            <w:r w:rsidR="0084036E" w:rsidRPr="00211639">
              <w:rPr>
                <w:rStyle w:val="Hyperlink"/>
                <w:noProof/>
              </w:rPr>
              <w:t>Summary of clinical studies</w:t>
            </w:r>
            <w:r w:rsidR="0084036E">
              <w:rPr>
                <w:noProof/>
                <w:webHidden/>
              </w:rPr>
              <w:tab/>
            </w:r>
            <w:r w:rsidR="0084036E">
              <w:rPr>
                <w:noProof/>
                <w:webHidden/>
              </w:rPr>
              <w:fldChar w:fldCharType="begin"/>
            </w:r>
            <w:r w:rsidR="0084036E">
              <w:rPr>
                <w:noProof/>
                <w:webHidden/>
              </w:rPr>
              <w:instrText xml:space="preserve"> PAGEREF _Toc135662381 \h </w:instrText>
            </w:r>
            <w:r w:rsidR="0084036E">
              <w:rPr>
                <w:noProof/>
                <w:webHidden/>
              </w:rPr>
            </w:r>
            <w:r w:rsidR="0084036E">
              <w:rPr>
                <w:noProof/>
                <w:webHidden/>
              </w:rPr>
              <w:fldChar w:fldCharType="separate"/>
            </w:r>
            <w:r>
              <w:rPr>
                <w:noProof/>
                <w:webHidden/>
              </w:rPr>
              <w:t>16</w:t>
            </w:r>
            <w:r w:rsidR="0084036E">
              <w:rPr>
                <w:noProof/>
                <w:webHidden/>
              </w:rPr>
              <w:fldChar w:fldCharType="end"/>
            </w:r>
          </w:hyperlink>
        </w:p>
        <w:p w14:paraId="5DE17CBA" w14:textId="688A3D44" w:rsidR="0084036E" w:rsidRDefault="00857D8C">
          <w:pPr>
            <w:pStyle w:val="TOC3"/>
            <w:rPr>
              <w:rFonts w:asciiTheme="minorHAnsi" w:eastAsiaTheme="minorEastAsia" w:hAnsiTheme="minorHAnsi" w:cstheme="minorBidi"/>
              <w:b w:val="0"/>
              <w:noProof/>
              <w:color w:val="auto"/>
              <w:szCs w:val="22"/>
              <w:lang w:eastAsia="en-AU"/>
            </w:rPr>
          </w:pPr>
          <w:hyperlink w:anchor="_Toc135662382" w:history="1">
            <w:r w:rsidR="0084036E" w:rsidRPr="00211639">
              <w:rPr>
                <w:rStyle w:val="Hyperlink"/>
                <w:noProof/>
              </w:rPr>
              <w:t>Pharmacology</w:t>
            </w:r>
            <w:r w:rsidR="0084036E">
              <w:rPr>
                <w:noProof/>
                <w:webHidden/>
              </w:rPr>
              <w:tab/>
            </w:r>
            <w:r w:rsidR="0084036E">
              <w:rPr>
                <w:noProof/>
                <w:webHidden/>
              </w:rPr>
              <w:fldChar w:fldCharType="begin"/>
            </w:r>
            <w:r w:rsidR="0084036E">
              <w:rPr>
                <w:noProof/>
                <w:webHidden/>
              </w:rPr>
              <w:instrText xml:space="preserve"> PAGEREF _Toc135662382 \h </w:instrText>
            </w:r>
            <w:r w:rsidR="0084036E">
              <w:rPr>
                <w:noProof/>
                <w:webHidden/>
              </w:rPr>
            </w:r>
            <w:r w:rsidR="0084036E">
              <w:rPr>
                <w:noProof/>
                <w:webHidden/>
              </w:rPr>
              <w:fldChar w:fldCharType="separate"/>
            </w:r>
            <w:r>
              <w:rPr>
                <w:noProof/>
                <w:webHidden/>
              </w:rPr>
              <w:t>17</w:t>
            </w:r>
            <w:r w:rsidR="0084036E">
              <w:rPr>
                <w:noProof/>
                <w:webHidden/>
              </w:rPr>
              <w:fldChar w:fldCharType="end"/>
            </w:r>
          </w:hyperlink>
        </w:p>
        <w:p w14:paraId="2E7ADDEA" w14:textId="263EE760" w:rsidR="0084036E" w:rsidRDefault="00857D8C">
          <w:pPr>
            <w:pStyle w:val="TOC3"/>
            <w:rPr>
              <w:rFonts w:asciiTheme="minorHAnsi" w:eastAsiaTheme="minorEastAsia" w:hAnsiTheme="minorHAnsi" w:cstheme="minorBidi"/>
              <w:b w:val="0"/>
              <w:noProof/>
              <w:color w:val="auto"/>
              <w:szCs w:val="22"/>
              <w:lang w:eastAsia="en-AU"/>
            </w:rPr>
          </w:pPr>
          <w:hyperlink w:anchor="_Toc135662383" w:history="1">
            <w:r w:rsidR="0084036E" w:rsidRPr="00211639">
              <w:rPr>
                <w:rStyle w:val="Hyperlink"/>
                <w:noProof/>
              </w:rPr>
              <w:t>Efficacy</w:t>
            </w:r>
            <w:r w:rsidR="0084036E">
              <w:rPr>
                <w:noProof/>
                <w:webHidden/>
              </w:rPr>
              <w:tab/>
            </w:r>
            <w:r w:rsidR="0084036E">
              <w:rPr>
                <w:noProof/>
                <w:webHidden/>
              </w:rPr>
              <w:fldChar w:fldCharType="begin"/>
            </w:r>
            <w:r w:rsidR="0084036E">
              <w:rPr>
                <w:noProof/>
                <w:webHidden/>
              </w:rPr>
              <w:instrText xml:space="preserve"> PAGEREF _Toc135662383 \h </w:instrText>
            </w:r>
            <w:r w:rsidR="0084036E">
              <w:rPr>
                <w:noProof/>
                <w:webHidden/>
              </w:rPr>
            </w:r>
            <w:r w:rsidR="0084036E">
              <w:rPr>
                <w:noProof/>
                <w:webHidden/>
              </w:rPr>
              <w:fldChar w:fldCharType="separate"/>
            </w:r>
            <w:r>
              <w:rPr>
                <w:noProof/>
                <w:webHidden/>
              </w:rPr>
              <w:t>27</w:t>
            </w:r>
            <w:r w:rsidR="0084036E">
              <w:rPr>
                <w:noProof/>
                <w:webHidden/>
              </w:rPr>
              <w:fldChar w:fldCharType="end"/>
            </w:r>
          </w:hyperlink>
        </w:p>
        <w:p w14:paraId="3AA01487" w14:textId="09E4223A" w:rsidR="0084036E" w:rsidRDefault="00857D8C">
          <w:pPr>
            <w:pStyle w:val="TOC3"/>
            <w:rPr>
              <w:rFonts w:asciiTheme="minorHAnsi" w:eastAsiaTheme="minorEastAsia" w:hAnsiTheme="minorHAnsi" w:cstheme="minorBidi"/>
              <w:b w:val="0"/>
              <w:noProof/>
              <w:color w:val="auto"/>
              <w:szCs w:val="22"/>
              <w:lang w:eastAsia="en-AU"/>
            </w:rPr>
          </w:pPr>
          <w:hyperlink w:anchor="_Toc135662384" w:history="1">
            <w:r w:rsidR="0084036E" w:rsidRPr="00211639">
              <w:rPr>
                <w:rStyle w:val="Hyperlink"/>
                <w:noProof/>
              </w:rPr>
              <w:t>Safety</w:t>
            </w:r>
            <w:r w:rsidR="0084036E">
              <w:rPr>
                <w:noProof/>
                <w:webHidden/>
              </w:rPr>
              <w:tab/>
            </w:r>
            <w:r w:rsidR="0084036E">
              <w:rPr>
                <w:noProof/>
                <w:webHidden/>
              </w:rPr>
              <w:fldChar w:fldCharType="begin"/>
            </w:r>
            <w:r w:rsidR="0084036E">
              <w:rPr>
                <w:noProof/>
                <w:webHidden/>
              </w:rPr>
              <w:instrText xml:space="preserve"> PAGEREF _Toc135662384 \h </w:instrText>
            </w:r>
            <w:r w:rsidR="0084036E">
              <w:rPr>
                <w:noProof/>
                <w:webHidden/>
              </w:rPr>
            </w:r>
            <w:r w:rsidR="0084036E">
              <w:rPr>
                <w:noProof/>
                <w:webHidden/>
              </w:rPr>
              <w:fldChar w:fldCharType="separate"/>
            </w:r>
            <w:r>
              <w:rPr>
                <w:noProof/>
                <w:webHidden/>
              </w:rPr>
              <w:t>47</w:t>
            </w:r>
            <w:r w:rsidR="0084036E">
              <w:rPr>
                <w:noProof/>
                <w:webHidden/>
              </w:rPr>
              <w:fldChar w:fldCharType="end"/>
            </w:r>
          </w:hyperlink>
        </w:p>
        <w:p w14:paraId="2A405390" w14:textId="3271721E" w:rsidR="0084036E" w:rsidRDefault="00857D8C">
          <w:pPr>
            <w:pStyle w:val="TOC2"/>
            <w:rPr>
              <w:rFonts w:asciiTheme="minorHAnsi" w:eastAsiaTheme="minorEastAsia" w:hAnsiTheme="minorHAnsi" w:cstheme="minorBidi"/>
              <w:b w:val="0"/>
              <w:noProof/>
              <w:color w:val="auto"/>
              <w:sz w:val="22"/>
              <w:szCs w:val="22"/>
              <w:lang w:eastAsia="en-AU"/>
            </w:rPr>
          </w:pPr>
          <w:hyperlink w:anchor="_Toc135662385" w:history="1">
            <w:r w:rsidR="0084036E" w:rsidRPr="00211639">
              <w:rPr>
                <w:rStyle w:val="Hyperlink"/>
                <w:noProof/>
                <w:lang w:eastAsia="en-AU"/>
              </w:rPr>
              <w:t>Risk management plan</w:t>
            </w:r>
            <w:r w:rsidR="0084036E">
              <w:rPr>
                <w:noProof/>
                <w:webHidden/>
              </w:rPr>
              <w:tab/>
            </w:r>
            <w:r w:rsidR="0084036E">
              <w:rPr>
                <w:noProof/>
                <w:webHidden/>
              </w:rPr>
              <w:fldChar w:fldCharType="begin"/>
            </w:r>
            <w:r w:rsidR="0084036E">
              <w:rPr>
                <w:noProof/>
                <w:webHidden/>
              </w:rPr>
              <w:instrText xml:space="preserve"> PAGEREF _Toc135662385 \h </w:instrText>
            </w:r>
            <w:r w:rsidR="0084036E">
              <w:rPr>
                <w:noProof/>
                <w:webHidden/>
              </w:rPr>
            </w:r>
            <w:r w:rsidR="0084036E">
              <w:rPr>
                <w:noProof/>
                <w:webHidden/>
              </w:rPr>
              <w:fldChar w:fldCharType="separate"/>
            </w:r>
            <w:r>
              <w:rPr>
                <w:noProof/>
                <w:webHidden/>
              </w:rPr>
              <w:t>57</w:t>
            </w:r>
            <w:r w:rsidR="0084036E">
              <w:rPr>
                <w:noProof/>
                <w:webHidden/>
              </w:rPr>
              <w:fldChar w:fldCharType="end"/>
            </w:r>
          </w:hyperlink>
        </w:p>
        <w:p w14:paraId="00D290F6" w14:textId="0787F1CA" w:rsidR="0084036E" w:rsidRDefault="00857D8C">
          <w:pPr>
            <w:pStyle w:val="TOC2"/>
            <w:rPr>
              <w:rFonts w:asciiTheme="minorHAnsi" w:eastAsiaTheme="minorEastAsia" w:hAnsiTheme="minorHAnsi" w:cstheme="minorBidi"/>
              <w:b w:val="0"/>
              <w:noProof/>
              <w:color w:val="auto"/>
              <w:sz w:val="22"/>
              <w:szCs w:val="22"/>
              <w:lang w:eastAsia="en-AU"/>
            </w:rPr>
          </w:pPr>
          <w:hyperlink w:anchor="_Toc135662386" w:history="1">
            <w:r w:rsidR="0084036E" w:rsidRPr="00211639">
              <w:rPr>
                <w:rStyle w:val="Hyperlink"/>
                <w:noProof/>
              </w:rPr>
              <w:t>Risk-benefit analysis</w:t>
            </w:r>
            <w:r w:rsidR="0084036E">
              <w:rPr>
                <w:noProof/>
                <w:webHidden/>
              </w:rPr>
              <w:tab/>
            </w:r>
            <w:r w:rsidR="0084036E">
              <w:rPr>
                <w:noProof/>
                <w:webHidden/>
              </w:rPr>
              <w:fldChar w:fldCharType="begin"/>
            </w:r>
            <w:r w:rsidR="0084036E">
              <w:rPr>
                <w:noProof/>
                <w:webHidden/>
              </w:rPr>
              <w:instrText xml:space="preserve"> PAGEREF _Toc135662386 \h </w:instrText>
            </w:r>
            <w:r w:rsidR="0084036E">
              <w:rPr>
                <w:noProof/>
                <w:webHidden/>
              </w:rPr>
            </w:r>
            <w:r w:rsidR="0084036E">
              <w:rPr>
                <w:noProof/>
                <w:webHidden/>
              </w:rPr>
              <w:fldChar w:fldCharType="separate"/>
            </w:r>
            <w:r>
              <w:rPr>
                <w:noProof/>
                <w:webHidden/>
              </w:rPr>
              <w:t>58</w:t>
            </w:r>
            <w:r w:rsidR="0084036E">
              <w:rPr>
                <w:noProof/>
                <w:webHidden/>
              </w:rPr>
              <w:fldChar w:fldCharType="end"/>
            </w:r>
          </w:hyperlink>
        </w:p>
        <w:p w14:paraId="290FD215" w14:textId="3FAD94EC" w:rsidR="0084036E" w:rsidRDefault="00857D8C">
          <w:pPr>
            <w:pStyle w:val="TOC3"/>
            <w:rPr>
              <w:rFonts w:asciiTheme="minorHAnsi" w:eastAsiaTheme="minorEastAsia" w:hAnsiTheme="minorHAnsi" w:cstheme="minorBidi"/>
              <w:b w:val="0"/>
              <w:noProof/>
              <w:color w:val="auto"/>
              <w:szCs w:val="22"/>
              <w:lang w:eastAsia="en-AU"/>
            </w:rPr>
          </w:pPr>
          <w:hyperlink w:anchor="_Toc135662387" w:history="1">
            <w:r w:rsidR="0084036E" w:rsidRPr="00211639">
              <w:rPr>
                <w:rStyle w:val="Hyperlink"/>
                <w:noProof/>
              </w:rPr>
              <w:t>Delegate’s considerations</w:t>
            </w:r>
            <w:r w:rsidR="0084036E">
              <w:rPr>
                <w:noProof/>
                <w:webHidden/>
              </w:rPr>
              <w:tab/>
            </w:r>
            <w:r w:rsidR="0084036E">
              <w:rPr>
                <w:noProof/>
                <w:webHidden/>
              </w:rPr>
              <w:fldChar w:fldCharType="begin"/>
            </w:r>
            <w:r w:rsidR="0084036E">
              <w:rPr>
                <w:noProof/>
                <w:webHidden/>
              </w:rPr>
              <w:instrText xml:space="preserve"> PAGEREF _Toc135662387 \h </w:instrText>
            </w:r>
            <w:r w:rsidR="0084036E">
              <w:rPr>
                <w:noProof/>
                <w:webHidden/>
              </w:rPr>
            </w:r>
            <w:r w:rsidR="0084036E">
              <w:rPr>
                <w:noProof/>
                <w:webHidden/>
              </w:rPr>
              <w:fldChar w:fldCharType="separate"/>
            </w:r>
            <w:r>
              <w:rPr>
                <w:noProof/>
                <w:webHidden/>
              </w:rPr>
              <w:t>58</w:t>
            </w:r>
            <w:r w:rsidR="0084036E">
              <w:rPr>
                <w:noProof/>
                <w:webHidden/>
              </w:rPr>
              <w:fldChar w:fldCharType="end"/>
            </w:r>
          </w:hyperlink>
        </w:p>
        <w:p w14:paraId="5EFB499E" w14:textId="1C9072B5" w:rsidR="0084036E" w:rsidRDefault="00857D8C">
          <w:pPr>
            <w:pStyle w:val="TOC3"/>
            <w:rPr>
              <w:rFonts w:asciiTheme="minorHAnsi" w:eastAsiaTheme="minorEastAsia" w:hAnsiTheme="minorHAnsi" w:cstheme="minorBidi"/>
              <w:b w:val="0"/>
              <w:noProof/>
              <w:color w:val="auto"/>
              <w:szCs w:val="22"/>
              <w:lang w:eastAsia="en-AU"/>
            </w:rPr>
          </w:pPr>
          <w:hyperlink w:anchor="_Toc135662388" w:history="1">
            <w:r w:rsidR="0084036E" w:rsidRPr="00211639">
              <w:rPr>
                <w:rStyle w:val="Hyperlink"/>
                <w:noProof/>
              </w:rPr>
              <w:t>Proposed action</w:t>
            </w:r>
            <w:r w:rsidR="0084036E">
              <w:rPr>
                <w:noProof/>
                <w:webHidden/>
              </w:rPr>
              <w:tab/>
            </w:r>
            <w:r w:rsidR="0084036E">
              <w:rPr>
                <w:noProof/>
                <w:webHidden/>
              </w:rPr>
              <w:fldChar w:fldCharType="begin"/>
            </w:r>
            <w:r w:rsidR="0084036E">
              <w:rPr>
                <w:noProof/>
                <w:webHidden/>
              </w:rPr>
              <w:instrText xml:space="preserve"> PAGEREF _Toc135662388 \h </w:instrText>
            </w:r>
            <w:r w:rsidR="0084036E">
              <w:rPr>
                <w:noProof/>
                <w:webHidden/>
              </w:rPr>
            </w:r>
            <w:r w:rsidR="0084036E">
              <w:rPr>
                <w:noProof/>
                <w:webHidden/>
              </w:rPr>
              <w:fldChar w:fldCharType="separate"/>
            </w:r>
            <w:r>
              <w:rPr>
                <w:noProof/>
                <w:webHidden/>
              </w:rPr>
              <w:t>61</w:t>
            </w:r>
            <w:r w:rsidR="0084036E">
              <w:rPr>
                <w:noProof/>
                <w:webHidden/>
              </w:rPr>
              <w:fldChar w:fldCharType="end"/>
            </w:r>
          </w:hyperlink>
        </w:p>
        <w:p w14:paraId="69441D82" w14:textId="1159CD9A" w:rsidR="0084036E" w:rsidRDefault="00857D8C">
          <w:pPr>
            <w:pStyle w:val="TOC3"/>
            <w:rPr>
              <w:rFonts w:asciiTheme="minorHAnsi" w:eastAsiaTheme="minorEastAsia" w:hAnsiTheme="minorHAnsi" w:cstheme="minorBidi"/>
              <w:b w:val="0"/>
              <w:noProof/>
              <w:color w:val="auto"/>
              <w:szCs w:val="22"/>
              <w:lang w:eastAsia="en-AU"/>
            </w:rPr>
          </w:pPr>
          <w:hyperlink w:anchor="_Toc135662389" w:history="1">
            <w:r w:rsidR="0084036E" w:rsidRPr="00211639">
              <w:rPr>
                <w:rStyle w:val="Hyperlink"/>
                <w:noProof/>
              </w:rPr>
              <w:t>Independent expert advice</w:t>
            </w:r>
            <w:r w:rsidR="0084036E">
              <w:rPr>
                <w:noProof/>
                <w:webHidden/>
              </w:rPr>
              <w:tab/>
            </w:r>
            <w:r w:rsidR="0084036E">
              <w:rPr>
                <w:noProof/>
                <w:webHidden/>
              </w:rPr>
              <w:fldChar w:fldCharType="begin"/>
            </w:r>
            <w:r w:rsidR="0084036E">
              <w:rPr>
                <w:noProof/>
                <w:webHidden/>
              </w:rPr>
              <w:instrText xml:space="preserve"> PAGEREF _Toc135662389 \h </w:instrText>
            </w:r>
            <w:r w:rsidR="0084036E">
              <w:rPr>
                <w:noProof/>
                <w:webHidden/>
              </w:rPr>
            </w:r>
            <w:r w:rsidR="0084036E">
              <w:rPr>
                <w:noProof/>
                <w:webHidden/>
              </w:rPr>
              <w:fldChar w:fldCharType="separate"/>
            </w:r>
            <w:r>
              <w:rPr>
                <w:noProof/>
                <w:webHidden/>
              </w:rPr>
              <w:t>62</w:t>
            </w:r>
            <w:r w:rsidR="0084036E">
              <w:rPr>
                <w:noProof/>
                <w:webHidden/>
              </w:rPr>
              <w:fldChar w:fldCharType="end"/>
            </w:r>
          </w:hyperlink>
        </w:p>
        <w:p w14:paraId="752CE3FB" w14:textId="3CE503B9" w:rsidR="0084036E" w:rsidRDefault="00857D8C">
          <w:pPr>
            <w:pStyle w:val="TOC3"/>
            <w:rPr>
              <w:rFonts w:asciiTheme="minorHAnsi" w:eastAsiaTheme="minorEastAsia" w:hAnsiTheme="minorHAnsi" w:cstheme="minorBidi"/>
              <w:b w:val="0"/>
              <w:noProof/>
              <w:color w:val="auto"/>
              <w:szCs w:val="22"/>
              <w:lang w:eastAsia="en-AU"/>
            </w:rPr>
          </w:pPr>
          <w:hyperlink w:anchor="_Toc135662390" w:history="1">
            <w:r w:rsidR="0084036E" w:rsidRPr="00211639">
              <w:rPr>
                <w:rStyle w:val="Hyperlink"/>
                <w:noProof/>
              </w:rPr>
              <w:t>Advisory Committee considerations</w:t>
            </w:r>
            <w:r w:rsidR="0084036E">
              <w:rPr>
                <w:noProof/>
                <w:webHidden/>
              </w:rPr>
              <w:tab/>
            </w:r>
            <w:r w:rsidR="0084036E">
              <w:rPr>
                <w:noProof/>
                <w:webHidden/>
              </w:rPr>
              <w:fldChar w:fldCharType="begin"/>
            </w:r>
            <w:r w:rsidR="0084036E">
              <w:rPr>
                <w:noProof/>
                <w:webHidden/>
              </w:rPr>
              <w:instrText xml:space="preserve"> PAGEREF _Toc135662390 \h </w:instrText>
            </w:r>
            <w:r w:rsidR="0084036E">
              <w:rPr>
                <w:noProof/>
                <w:webHidden/>
              </w:rPr>
            </w:r>
            <w:r w:rsidR="0084036E">
              <w:rPr>
                <w:noProof/>
                <w:webHidden/>
              </w:rPr>
              <w:fldChar w:fldCharType="separate"/>
            </w:r>
            <w:r>
              <w:rPr>
                <w:noProof/>
                <w:webHidden/>
              </w:rPr>
              <w:t>62</w:t>
            </w:r>
            <w:r w:rsidR="0084036E">
              <w:rPr>
                <w:noProof/>
                <w:webHidden/>
              </w:rPr>
              <w:fldChar w:fldCharType="end"/>
            </w:r>
          </w:hyperlink>
        </w:p>
        <w:p w14:paraId="563319A1" w14:textId="041A36DA" w:rsidR="0084036E" w:rsidRDefault="00857D8C">
          <w:pPr>
            <w:pStyle w:val="TOC1"/>
            <w:rPr>
              <w:rFonts w:asciiTheme="minorHAnsi" w:eastAsiaTheme="minorEastAsia" w:hAnsiTheme="minorHAnsi" w:cstheme="minorBidi"/>
              <w:b w:val="0"/>
              <w:noProof/>
              <w:color w:val="auto"/>
              <w:sz w:val="22"/>
              <w:szCs w:val="22"/>
              <w:lang w:eastAsia="en-AU"/>
            </w:rPr>
          </w:pPr>
          <w:hyperlink w:anchor="_Toc135662391" w:history="1">
            <w:r w:rsidR="0084036E" w:rsidRPr="00211639">
              <w:rPr>
                <w:rStyle w:val="Hyperlink"/>
                <w:noProof/>
              </w:rPr>
              <w:t>Outcome</w:t>
            </w:r>
            <w:r w:rsidR="0084036E">
              <w:rPr>
                <w:noProof/>
                <w:webHidden/>
              </w:rPr>
              <w:tab/>
            </w:r>
            <w:r w:rsidR="0084036E">
              <w:rPr>
                <w:noProof/>
                <w:webHidden/>
              </w:rPr>
              <w:fldChar w:fldCharType="begin"/>
            </w:r>
            <w:r w:rsidR="0084036E">
              <w:rPr>
                <w:noProof/>
                <w:webHidden/>
              </w:rPr>
              <w:instrText xml:space="preserve"> PAGEREF _Toc135662391 \h </w:instrText>
            </w:r>
            <w:r w:rsidR="0084036E">
              <w:rPr>
                <w:noProof/>
                <w:webHidden/>
              </w:rPr>
            </w:r>
            <w:r w:rsidR="0084036E">
              <w:rPr>
                <w:noProof/>
                <w:webHidden/>
              </w:rPr>
              <w:fldChar w:fldCharType="separate"/>
            </w:r>
            <w:r>
              <w:rPr>
                <w:noProof/>
                <w:webHidden/>
              </w:rPr>
              <w:t>64</w:t>
            </w:r>
            <w:r w:rsidR="0084036E">
              <w:rPr>
                <w:noProof/>
                <w:webHidden/>
              </w:rPr>
              <w:fldChar w:fldCharType="end"/>
            </w:r>
          </w:hyperlink>
        </w:p>
        <w:p w14:paraId="016B22AA" w14:textId="01A39BC2" w:rsidR="0084036E" w:rsidRDefault="00857D8C">
          <w:pPr>
            <w:pStyle w:val="TOC2"/>
            <w:rPr>
              <w:rFonts w:asciiTheme="minorHAnsi" w:eastAsiaTheme="minorEastAsia" w:hAnsiTheme="minorHAnsi" w:cstheme="minorBidi"/>
              <w:b w:val="0"/>
              <w:noProof/>
              <w:color w:val="auto"/>
              <w:sz w:val="22"/>
              <w:szCs w:val="22"/>
              <w:lang w:eastAsia="en-AU"/>
            </w:rPr>
          </w:pPr>
          <w:hyperlink w:anchor="_Toc135662392" w:history="1">
            <w:r w:rsidR="0084036E" w:rsidRPr="00211639">
              <w:rPr>
                <w:rStyle w:val="Hyperlink"/>
                <w:noProof/>
              </w:rPr>
              <w:t>Specific conditions of registration applying to these goods</w:t>
            </w:r>
            <w:r w:rsidR="0084036E">
              <w:rPr>
                <w:noProof/>
                <w:webHidden/>
              </w:rPr>
              <w:tab/>
            </w:r>
            <w:r w:rsidR="0084036E">
              <w:rPr>
                <w:noProof/>
                <w:webHidden/>
              </w:rPr>
              <w:fldChar w:fldCharType="begin"/>
            </w:r>
            <w:r w:rsidR="0084036E">
              <w:rPr>
                <w:noProof/>
                <w:webHidden/>
              </w:rPr>
              <w:instrText xml:space="preserve"> PAGEREF _Toc135662392 \h </w:instrText>
            </w:r>
            <w:r w:rsidR="0084036E">
              <w:rPr>
                <w:noProof/>
                <w:webHidden/>
              </w:rPr>
            </w:r>
            <w:r w:rsidR="0084036E">
              <w:rPr>
                <w:noProof/>
                <w:webHidden/>
              </w:rPr>
              <w:fldChar w:fldCharType="separate"/>
            </w:r>
            <w:r>
              <w:rPr>
                <w:noProof/>
                <w:webHidden/>
              </w:rPr>
              <w:t>64</w:t>
            </w:r>
            <w:r w:rsidR="0084036E">
              <w:rPr>
                <w:noProof/>
                <w:webHidden/>
              </w:rPr>
              <w:fldChar w:fldCharType="end"/>
            </w:r>
          </w:hyperlink>
        </w:p>
        <w:p w14:paraId="061D79D3" w14:textId="590889AC" w:rsidR="0084036E" w:rsidRDefault="00857D8C">
          <w:pPr>
            <w:pStyle w:val="TOC1"/>
            <w:rPr>
              <w:rFonts w:asciiTheme="minorHAnsi" w:eastAsiaTheme="minorEastAsia" w:hAnsiTheme="minorHAnsi" w:cstheme="minorBidi"/>
              <w:b w:val="0"/>
              <w:noProof/>
              <w:color w:val="auto"/>
              <w:sz w:val="22"/>
              <w:szCs w:val="22"/>
              <w:lang w:eastAsia="en-AU"/>
            </w:rPr>
          </w:pPr>
          <w:hyperlink w:anchor="_Toc135662393" w:history="1">
            <w:r w:rsidR="0084036E" w:rsidRPr="00211639">
              <w:rPr>
                <w:rStyle w:val="Hyperlink"/>
                <w:noProof/>
              </w:rPr>
              <w:t>Attachment 1. Product Information</w:t>
            </w:r>
            <w:r w:rsidR="0084036E">
              <w:rPr>
                <w:noProof/>
                <w:webHidden/>
              </w:rPr>
              <w:tab/>
            </w:r>
            <w:r w:rsidR="0084036E">
              <w:rPr>
                <w:noProof/>
                <w:webHidden/>
              </w:rPr>
              <w:fldChar w:fldCharType="begin"/>
            </w:r>
            <w:r w:rsidR="0084036E">
              <w:rPr>
                <w:noProof/>
                <w:webHidden/>
              </w:rPr>
              <w:instrText xml:space="preserve"> PAGEREF _Toc135662393 \h </w:instrText>
            </w:r>
            <w:r w:rsidR="0084036E">
              <w:rPr>
                <w:noProof/>
                <w:webHidden/>
              </w:rPr>
            </w:r>
            <w:r w:rsidR="0084036E">
              <w:rPr>
                <w:noProof/>
                <w:webHidden/>
              </w:rPr>
              <w:fldChar w:fldCharType="separate"/>
            </w:r>
            <w:r>
              <w:rPr>
                <w:noProof/>
                <w:webHidden/>
              </w:rPr>
              <w:t>65</w:t>
            </w:r>
            <w:r w:rsidR="0084036E">
              <w:rPr>
                <w:noProof/>
                <w:webHidden/>
              </w:rPr>
              <w:fldChar w:fldCharType="end"/>
            </w:r>
          </w:hyperlink>
        </w:p>
        <w:p w14:paraId="77659F2D" w14:textId="33D7519F"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1" w:name="_Toc98931917"/>
      <w:bookmarkStart w:id="2" w:name="_Toc103679287"/>
      <w:bookmarkStart w:id="3" w:name="_Toc135662368"/>
      <w:bookmarkStart w:id="4" w:name="_Toc323739589"/>
      <w:bookmarkStart w:id="5" w:name="_Toc356305216"/>
      <w:r>
        <w:lastRenderedPageBreak/>
        <w:t>List of abbreviations</w:t>
      </w:r>
      <w:bookmarkEnd w:id="1"/>
      <w:bookmarkEnd w:id="2"/>
      <w:bookmarkEnd w:id="3"/>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1700D5" w:rsidRPr="00D01DDB" w14:paraId="31AF48F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FCCDA0" w14:textId="428C08B3" w:rsidR="001700D5" w:rsidRPr="00D01DDB" w:rsidRDefault="001700D5" w:rsidP="00324B33">
            <w:pPr>
              <w:rPr>
                <w:szCs w:val="22"/>
              </w:rPr>
            </w:pPr>
            <w:r>
              <w:rPr>
                <w:szCs w:val="22"/>
              </w:rPr>
              <w:t>aHUS</w:t>
            </w:r>
          </w:p>
        </w:tc>
        <w:tc>
          <w:tcPr>
            <w:tcW w:w="3800" w:type="pct"/>
          </w:tcPr>
          <w:p w14:paraId="05693F55" w14:textId="68FCB120" w:rsidR="001700D5" w:rsidRPr="00D01DDB" w:rsidRDefault="001700D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Atypical </w:t>
            </w:r>
            <w:r w:rsidRPr="001700D5">
              <w:rPr>
                <w:szCs w:val="22"/>
              </w:rPr>
              <w:t>h</w:t>
            </w:r>
            <w:r w:rsidR="004537EB">
              <w:rPr>
                <w:szCs w:val="22"/>
              </w:rPr>
              <w:t>a</w:t>
            </w:r>
            <w:r w:rsidRPr="001700D5">
              <w:rPr>
                <w:szCs w:val="22"/>
              </w:rPr>
              <w:t>emolytic uraemic syndrome</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49FC5D2E"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 specific annex</w:t>
            </w:r>
          </w:p>
        </w:tc>
      </w:tr>
      <w:tr w:rsidR="005D46B2" w:rsidRPr="00D01DDB" w14:paraId="0C0D7DE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59E757" w14:textId="4D83D4B1" w:rsidR="005D46B2" w:rsidRDefault="005D46B2" w:rsidP="00324B33">
            <w:pPr>
              <w:rPr>
                <w:szCs w:val="22"/>
              </w:rPr>
            </w:pPr>
            <w:r>
              <w:rPr>
                <w:szCs w:val="22"/>
              </w:rPr>
              <w:t>CI</w:t>
            </w:r>
          </w:p>
        </w:tc>
        <w:tc>
          <w:tcPr>
            <w:tcW w:w="3800" w:type="pct"/>
          </w:tcPr>
          <w:p w14:paraId="5F0CE080" w14:textId="5BC63AB1" w:rsidR="005D46B2" w:rsidRDefault="005D46B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Confidence interval</w:t>
            </w:r>
          </w:p>
        </w:tc>
      </w:tr>
      <w:tr w:rsidR="007B4C10" w:rsidRPr="00D01DDB" w14:paraId="3E8FA21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56E934" w14:textId="20B43403" w:rsidR="007B4C10" w:rsidRPr="00D01DDB" w:rsidRDefault="007B4C10" w:rsidP="00324B33">
            <w:pPr>
              <w:rPr>
                <w:szCs w:val="22"/>
              </w:rPr>
            </w:pPr>
            <w:r>
              <w:rPr>
                <w:szCs w:val="22"/>
              </w:rPr>
              <w:t>CKD</w:t>
            </w:r>
          </w:p>
        </w:tc>
        <w:tc>
          <w:tcPr>
            <w:tcW w:w="3800" w:type="pct"/>
          </w:tcPr>
          <w:p w14:paraId="1A3D5918" w14:textId="32056B3D" w:rsidR="007B4C10" w:rsidRPr="00D01DDB" w:rsidRDefault="007B4C1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Chronic kidney disease</w:t>
            </w:r>
          </w:p>
        </w:tc>
      </w:tr>
      <w:tr w:rsidR="00384CA5" w:rsidRPr="00D01DDB" w14:paraId="0729988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009108" w14:textId="0EA04165" w:rsidR="00384CA5" w:rsidRPr="00D01DDB" w:rsidRDefault="00384CA5" w:rsidP="00324B33">
            <w:pPr>
              <w:rPr>
                <w:szCs w:val="22"/>
              </w:rPr>
            </w:pPr>
            <w:r>
              <w:rPr>
                <w:szCs w:val="22"/>
              </w:rPr>
              <w:t>C</w:t>
            </w:r>
            <w:r w:rsidRPr="00384CA5">
              <w:rPr>
                <w:szCs w:val="22"/>
                <w:vertAlign w:val="subscript"/>
              </w:rPr>
              <w:t>max</w:t>
            </w:r>
          </w:p>
        </w:tc>
        <w:tc>
          <w:tcPr>
            <w:tcW w:w="3800" w:type="pct"/>
          </w:tcPr>
          <w:p w14:paraId="0CC89C87" w14:textId="480BA928" w:rsidR="00384CA5" w:rsidRPr="00D01DDB" w:rsidRDefault="00E61A9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M</w:t>
            </w:r>
            <w:r w:rsidRPr="00E61A9C">
              <w:rPr>
                <w:szCs w:val="22"/>
              </w:rPr>
              <w:t>aximum concentration</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553D74" w:rsidRPr="00D01DDB" w14:paraId="54C31EE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711B32A" w14:textId="50936297" w:rsidR="00553D74" w:rsidRPr="00D01DDB" w:rsidRDefault="00553D74" w:rsidP="00324B33">
            <w:pPr>
              <w:rPr>
                <w:szCs w:val="22"/>
              </w:rPr>
            </w:pPr>
            <w:r>
              <w:rPr>
                <w:szCs w:val="22"/>
              </w:rPr>
              <w:t>CSR</w:t>
            </w:r>
          </w:p>
        </w:tc>
        <w:tc>
          <w:tcPr>
            <w:tcW w:w="3800" w:type="pct"/>
          </w:tcPr>
          <w:p w14:paraId="2D13341E" w14:textId="7DC90BC5" w:rsidR="00553D74" w:rsidRPr="00D01DDB" w:rsidRDefault="00553D7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Clinical study report</w:t>
            </w:r>
          </w:p>
        </w:tc>
      </w:tr>
      <w:tr w:rsidR="00384CA5" w:rsidRPr="00D01DDB" w14:paraId="05DC71C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2DF898" w14:textId="564B4A67" w:rsidR="00384CA5" w:rsidRPr="00D01DDB" w:rsidRDefault="00384CA5" w:rsidP="00324B33">
            <w:pPr>
              <w:rPr>
                <w:szCs w:val="22"/>
              </w:rPr>
            </w:pPr>
            <w:proofErr w:type="spellStart"/>
            <w:r>
              <w:rPr>
                <w:szCs w:val="22"/>
              </w:rPr>
              <w:t>C</w:t>
            </w:r>
            <w:r w:rsidRPr="00384CA5">
              <w:rPr>
                <w:szCs w:val="22"/>
                <w:vertAlign w:val="subscript"/>
              </w:rPr>
              <w:t>trough</w:t>
            </w:r>
            <w:proofErr w:type="spellEnd"/>
          </w:p>
        </w:tc>
        <w:tc>
          <w:tcPr>
            <w:tcW w:w="3800" w:type="pct"/>
          </w:tcPr>
          <w:p w14:paraId="51A6C4E5" w14:textId="02652EFD" w:rsidR="00384CA5" w:rsidRPr="00D01DDB" w:rsidRDefault="00E61A9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Minimum</w:t>
            </w:r>
            <w:r w:rsidRPr="00E61A9C">
              <w:rPr>
                <w:szCs w:val="22"/>
              </w:rPr>
              <w:t xml:space="preserve"> concentration</w:t>
            </w:r>
          </w:p>
        </w:tc>
      </w:tr>
      <w:tr w:rsidR="00324B33"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324B33" w:rsidRPr="00D01DDB" w:rsidRDefault="00324B33" w:rsidP="00324B33">
            <w:pPr>
              <w:rPr>
                <w:szCs w:val="22"/>
              </w:rPr>
            </w:pPr>
            <w:r w:rsidRPr="00D01DDB">
              <w:rPr>
                <w:szCs w:val="22"/>
              </w:rPr>
              <w:t>DLP</w:t>
            </w:r>
          </w:p>
        </w:tc>
        <w:tc>
          <w:tcPr>
            <w:tcW w:w="3800" w:type="pct"/>
          </w:tcPr>
          <w:p w14:paraId="26109D0B" w14:textId="4AE8F60A"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856026" w:rsidRPr="00D01DDB" w14:paraId="1BB395B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7D6C8A" w14:textId="35F2DAE4" w:rsidR="00856026" w:rsidRDefault="00856026" w:rsidP="00324B33">
            <w:pPr>
              <w:rPr>
                <w:szCs w:val="22"/>
              </w:rPr>
            </w:pPr>
            <w:r>
              <w:rPr>
                <w:szCs w:val="22"/>
              </w:rPr>
              <w:t>eGFR</w:t>
            </w:r>
          </w:p>
        </w:tc>
        <w:tc>
          <w:tcPr>
            <w:tcW w:w="3800" w:type="pct"/>
          </w:tcPr>
          <w:p w14:paraId="53B9D880" w14:textId="04C0A601" w:rsidR="00856026" w:rsidRDefault="007B4C1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w:t>
            </w:r>
            <w:r w:rsidRPr="007B4C10">
              <w:rPr>
                <w:szCs w:val="22"/>
              </w:rPr>
              <w:t>stimated glomerular filtration rate</w:t>
            </w:r>
          </w:p>
        </w:tc>
      </w:tr>
      <w:tr w:rsidR="00922228" w:rsidRPr="00D01DDB" w14:paraId="3BF81D6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7BEA85" w14:textId="0556741D" w:rsidR="00922228" w:rsidRPr="00D01DDB" w:rsidRDefault="00922228" w:rsidP="00324B33">
            <w:pPr>
              <w:rPr>
                <w:szCs w:val="22"/>
              </w:rPr>
            </w:pPr>
            <w:r>
              <w:rPr>
                <w:szCs w:val="22"/>
              </w:rPr>
              <w:t>EMA</w:t>
            </w:r>
          </w:p>
        </w:tc>
        <w:tc>
          <w:tcPr>
            <w:tcW w:w="3800" w:type="pct"/>
          </w:tcPr>
          <w:p w14:paraId="79E0B120" w14:textId="7D157BBF" w:rsidR="00922228" w:rsidRPr="00D01DDB" w:rsidRDefault="0092222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European Medicines </w:t>
            </w:r>
            <w:r w:rsidR="00E6771E">
              <w:rPr>
                <w:szCs w:val="22"/>
              </w:rPr>
              <w:t>Authority</w:t>
            </w:r>
            <w:r w:rsidR="002F63B1">
              <w:rPr>
                <w:szCs w:val="22"/>
              </w:rPr>
              <w:t xml:space="preserve"> (European Union)</w:t>
            </w:r>
          </w:p>
        </w:tc>
      </w:tr>
      <w:tr w:rsidR="002F63B1" w:rsidRPr="00D01DDB" w14:paraId="38EA892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4EE770" w14:textId="12835598" w:rsidR="002F63B1" w:rsidRDefault="002F63B1" w:rsidP="00324B33">
            <w:pPr>
              <w:rPr>
                <w:szCs w:val="22"/>
              </w:rPr>
            </w:pPr>
            <w:r>
              <w:rPr>
                <w:szCs w:val="22"/>
              </w:rPr>
              <w:t>EU</w:t>
            </w:r>
          </w:p>
        </w:tc>
        <w:tc>
          <w:tcPr>
            <w:tcW w:w="3800" w:type="pct"/>
          </w:tcPr>
          <w:p w14:paraId="42119E16" w14:textId="6188ADF4" w:rsidR="002F63B1" w:rsidRDefault="002F63B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European Union</w:t>
            </w:r>
          </w:p>
        </w:tc>
      </w:tr>
      <w:tr w:rsidR="005D46B2" w:rsidRPr="00D01DDB" w14:paraId="5B5FDB8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1E9A2B7" w14:textId="7C330C21" w:rsidR="005D46B2" w:rsidRDefault="005D46B2" w:rsidP="00324B33">
            <w:pPr>
              <w:rPr>
                <w:szCs w:val="22"/>
              </w:rPr>
            </w:pPr>
            <w:r>
              <w:rPr>
                <w:szCs w:val="22"/>
              </w:rPr>
              <w:t>FAS</w:t>
            </w:r>
          </w:p>
        </w:tc>
        <w:tc>
          <w:tcPr>
            <w:tcW w:w="3800" w:type="pct"/>
          </w:tcPr>
          <w:p w14:paraId="4B140DBD" w14:textId="16D2FF16" w:rsidR="005D46B2" w:rsidRDefault="005D46B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Full analysis set</w:t>
            </w:r>
          </w:p>
        </w:tc>
      </w:tr>
      <w:tr w:rsidR="007B4C10" w:rsidRPr="00D01DDB" w14:paraId="207EC42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FAEFE7" w14:textId="74FCA6B7" w:rsidR="007B4C10" w:rsidRDefault="007B4C10" w:rsidP="00324B33">
            <w:pPr>
              <w:rPr>
                <w:szCs w:val="22"/>
              </w:rPr>
            </w:pPr>
            <w:r>
              <w:rPr>
                <w:szCs w:val="22"/>
              </w:rPr>
              <w:t>Hb</w:t>
            </w:r>
          </w:p>
        </w:tc>
        <w:tc>
          <w:tcPr>
            <w:tcW w:w="3800" w:type="pct"/>
          </w:tcPr>
          <w:p w14:paraId="0BD25E77" w14:textId="059C6F52" w:rsidR="007B4C10" w:rsidRDefault="007B4C1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Haemoglobin</w:t>
            </w:r>
          </w:p>
        </w:tc>
      </w:tr>
      <w:tr w:rsidR="004537EB" w:rsidRPr="00D01DDB" w14:paraId="6CEB19A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DB4E23" w14:textId="01FC584B" w:rsidR="004537EB" w:rsidRDefault="004537EB" w:rsidP="00324B33">
            <w:pPr>
              <w:rPr>
                <w:szCs w:val="22"/>
              </w:rPr>
            </w:pPr>
            <w:r>
              <w:rPr>
                <w:szCs w:val="22"/>
              </w:rPr>
              <w:t>HUS</w:t>
            </w:r>
          </w:p>
        </w:tc>
        <w:tc>
          <w:tcPr>
            <w:tcW w:w="3800" w:type="pct"/>
          </w:tcPr>
          <w:p w14:paraId="4C517B11" w14:textId="03B95CB7" w:rsidR="004537EB" w:rsidRDefault="004537E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H</w:t>
            </w:r>
            <w:r w:rsidRPr="004537EB">
              <w:rPr>
                <w:szCs w:val="22"/>
              </w:rPr>
              <w:t>aemolytic uraemic syndrome</w:t>
            </w:r>
          </w:p>
        </w:tc>
      </w:tr>
      <w:tr w:rsidR="007B4C10" w:rsidRPr="00D01DDB" w14:paraId="3A438B1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B3FEBB" w14:textId="0C9C8650" w:rsidR="007B4C10" w:rsidRDefault="007B4C10" w:rsidP="00324B33">
            <w:pPr>
              <w:rPr>
                <w:szCs w:val="22"/>
              </w:rPr>
            </w:pPr>
            <w:r>
              <w:rPr>
                <w:szCs w:val="22"/>
              </w:rPr>
              <w:t>LDH</w:t>
            </w:r>
          </w:p>
        </w:tc>
        <w:tc>
          <w:tcPr>
            <w:tcW w:w="3800" w:type="pct"/>
          </w:tcPr>
          <w:p w14:paraId="6A4027CB" w14:textId="1CD9ACD3" w:rsidR="007B4C10" w:rsidRDefault="007B4C1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L</w:t>
            </w:r>
            <w:r w:rsidRPr="007B4C10">
              <w:rPr>
                <w:szCs w:val="22"/>
              </w:rPr>
              <w:t>actate dehydrogenase</w:t>
            </w:r>
          </w:p>
        </w:tc>
      </w:tr>
      <w:tr w:rsidR="00384CA5" w:rsidRPr="00D01DDB" w14:paraId="36F2CD7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359B5E" w14:textId="5FB614A6" w:rsidR="00384CA5" w:rsidRPr="00D01DDB" w:rsidRDefault="00384CA5" w:rsidP="00324B33">
            <w:pPr>
              <w:rPr>
                <w:szCs w:val="22"/>
              </w:rPr>
            </w:pPr>
            <w:proofErr w:type="spellStart"/>
            <w:r>
              <w:rPr>
                <w:szCs w:val="22"/>
              </w:rPr>
              <w:t>pcVPC</w:t>
            </w:r>
            <w:proofErr w:type="spellEnd"/>
          </w:p>
        </w:tc>
        <w:tc>
          <w:tcPr>
            <w:tcW w:w="3800" w:type="pct"/>
          </w:tcPr>
          <w:p w14:paraId="6D963817" w14:textId="37C72802" w:rsidR="00384CA5" w:rsidRPr="00D01DDB" w:rsidRDefault="00384CA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384CA5">
              <w:rPr>
                <w:szCs w:val="22"/>
              </w:rPr>
              <w:t>rediction-corrected visual predictive check</w:t>
            </w:r>
          </w:p>
        </w:tc>
      </w:tr>
      <w:tr w:rsidR="00395140"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D01DDB" w:rsidRDefault="00395140" w:rsidP="00324B33">
            <w:pPr>
              <w:rPr>
                <w:szCs w:val="22"/>
              </w:rPr>
            </w:pPr>
            <w:r w:rsidRPr="00D01DDB">
              <w:rPr>
                <w:szCs w:val="22"/>
              </w:rPr>
              <w:t>PI</w:t>
            </w:r>
          </w:p>
        </w:tc>
        <w:tc>
          <w:tcPr>
            <w:tcW w:w="3800" w:type="pct"/>
          </w:tcPr>
          <w:p w14:paraId="354B5DB5" w14:textId="3DAE38C1"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1700D5" w:rsidRPr="00D01DDB" w14:paraId="35B096D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A1A01D" w14:textId="4E32D97B" w:rsidR="001700D5" w:rsidRPr="00D01DDB" w:rsidRDefault="001700D5" w:rsidP="00324B33">
            <w:pPr>
              <w:rPr>
                <w:szCs w:val="22"/>
              </w:rPr>
            </w:pPr>
            <w:r>
              <w:rPr>
                <w:szCs w:val="22"/>
              </w:rPr>
              <w:t>PNH</w:t>
            </w:r>
          </w:p>
        </w:tc>
        <w:tc>
          <w:tcPr>
            <w:tcW w:w="3800" w:type="pct"/>
          </w:tcPr>
          <w:p w14:paraId="7B884449" w14:textId="6B1F4C1C" w:rsidR="001700D5" w:rsidRPr="00D01DDB" w:rsidRDefault="001700D5" w:rsidP="00324B33">
            <w:pPr>
              <w:cnfStyle w:val="000000000000" w:firstRow="0" w:lastRow="0" w:firstColumn="0" w:lastColumn="0" w:oddVBand="0" w:evenVBand="0" w:oddHBand="0" w:evenHBand="0" w:firstRowFirstColumn="0" w:firstRowLastColumn="0" w:lastRowFirstColumn="0" w:lastRowLastColumn="0"/>
              <w:rPr>
                <w:szCs w:val="22"/>
              </w:rPr>
            </w:pPr>
            <w:r>
              <w:t>P</w:t>
            </w:r>
            <w:r w:rsidRPr="001700D5">
              <w:rPr>
                <w:szCs w:val="22"/>
              </w:rPr>
              <w:t>aroxysmal nocturnal haemoglobinuria</w:t>
            </w:r>
          </w:p>
        </w:tc>
      </w:tr>
      <w:tr w:rsidR="005D46B2" w:rsidRPr="00D01DDB" w14:paraId="721CD2A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DFDF24" w14:textId="18961BAF" w:rsidR="005D46B2" w:rsidRDefault="005D46B2" w:rsidP="00324B33">
            <w:pPr>
              <w:rPr>
                <w:szCs w:val="22"/>
              </w:rPr>
            </w:pPr>
            <w:r>
              <w:rPr>
                <w:szCs w:val="22"/>
              </w:rPr>
              <w:t>PP</w:t>
            </w:r>
          </w:p>
        </w:tc>
        <w:tc>
          <w:tcPr>
            <w:tcW w:w="3800" w:type="pct"/>
          </w:tcPr>
          <w:p w14:paraId="41804D28" w14:textId="60824D57" w:rsidR="005D46B2" w:rsidRDefault="005D46B2" w:rsidP="00324B33">
            <w:pPr>
              <w:cnfStyle w:val="000000000000" w:firstRow="0" w:lastRow="0" w:firstColumn="0" w:lastColumn="0" w:oddVBand="0" w:evenVBand="0" w:oddHBand="0" w:evenHBand="0" w:firstRowFirstColumn="0" w:firstRowLastColumn="0" w:lastRowFirstColumn="0" w:lastRowLastColumn="0"/>
            </w:pPr>
            <w:r>
              <w:t>Per protocol</w:t>
            </w:r>
          </w:p>
        </w:tc>
      </w:tr>
      <w:tr w:rsidR="00AE2DDA" w:rsidRPr="00D01DDB" w14:paraId="6C37BB3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A25BA86" w14:textId="449A2EB2" w:rsidR="00AE2DDA" w:rsidRPr="00D01DDB" w:rsidRDefault="00AE2DDA" w:rsidP="00AE2DDA">
            <w:pPr>
              <w:rPr>
                <w:szCs w:val="22"/>
              </w:rPr>
            </w:pPr>
            <w:r w:rsidRPr="00D01DDB">
              <w:rPr>
                <w:szCs w:val="22"/>
              </w:rPr>
              <w:t>PSUR</w:t>
            </w:r>
          </w:p>
        </w:tc>
        <w:tc>
          <w:tcPr>
            <w:tcW w:w="3800" w:type="pct"/>
          </w:tcPr>
          <w:p w14:paraId="64715E33" w14:textId="69FE3BE7" w:rsidR="00AE2DDA" w:rsidRPr="00D01DDB" w:rsidRDefault="00AE2DDA" w:rsidP="00AE2DDA">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324B33"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324B33" w:rsidRPr="00D01DDB" w:rsidRDefault="00324B33" w:rsidP="00324B33">
            <w:pPr>
              <w:rPr>
                <w:szCs w:val="22"/>
              </w:rPr>
            </w:pPr>
            <w:r w:rsidRPr="00D01DDB">
              <w:rPr>
                <w:szCs w:val="22"/>
              </w:rPr>
              <w:t>RMP</w:t>
            </w:r>
          </w:p>
        </w:tc>
        <w:tc>
          <w:tcPr>
            <w:tcW w:w="3800" w:type="pct"/>
          </w:tcPr>
          <w:p w14:paraId="2C862F75" w14:textId="2355E842"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553D74" w:rsidRPr="00D01DDB" w14:paraId="23537A8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5427CB" w14:textId="204DDF72" w:rsidR="00553D74" w:rsidRPr="00D01DDB" w:rsidRDefault="00553D74" w:rsidP="00324B33">
            <w:pPr>
              <w:rPr>
                <w:szCs w:val="22"/>
              </w:rPr>
            </w:pPr>
            <w:r>
              <w:rPr>
                <w:szCs w:val="22"/>
              </w:rPr>
              <w:t>SAE</w:t>
            </w:r>
          </w:p>
        </w:tc>
        <w:tc>
          <w:tcPr>
            <w:tcW w:w="3800" w:type="pct"/>
          </w:tcPr>
          <w:p w14:paraId="4B875EFA" w14:textId="7EC85003" w:rsidR="00553D74" w:rsidRPr="00D01DDB" w:rsidRDefault="00553D7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Serious adverse event</w:t>
            </w:r>
          </w:p>
        </w:tc>
      </w:tr>
      <w:tr w:rsidR="001C1826" w:rsidRPr="00D01DDB" w14:paraId="2F57A9D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EFE285" w14:textId="53F7E149" w:rsidR="001C1826" w:rsidRDefault="001C1826" w:rsidP="00324B33">
            <w:pPr>
              <w:rPr>
                <w:szCs w:val="22"/>
              </w:rPr>
            </w:pPr>
            <w:r>
              <w:rPr>
                <w:szCs w:val="22"/>
              </w:rPr>
              <w:t>TEAE</w:t>
            </w:r>
          </w:p>
        </w:tc>
        <w:tc>
          <w:tcPr>
            <w:tcW w:w="3800" w:type="pct"/>
          </w:tcPr>
          <w:p w14:paraId="5ED1BD4A" w14:textId="0A2A9688" w:rsidR="001C1826" w:rsidRDefault="001C182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Treatment</w:t>
            </w:r>
            <w:r w:rsidR="002F63B1">
              <w:rPr>
                <w:szCs w:val="22"/>
              </w:rPr>
              <w:t>-</w:t>
            </w:r>
            <w:r>
              <w:rPr>
                <w:szCs w:val="22"/>
              </w:rPr>
              <w:t>emergent adverse event</w:t>
            </w:r>
          </w:p>
        </w:tc>
      </w:tr>
      <w:tr w:rsidR="005F3F4F" w:rsidRPr="00D01DDB" w14:paraId="0B96407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7D63C9" w14:textId="0AD264A7" w:rsidR="005F3F4F" w:rsidRDefault="005F3F4F" w:rsidP="00324B33">
            <w:pPr>
              <w:rPr>
                <w:szCs w:val="22"/>
              </w:rPr>
            </w:pPr>
            <w:r>
              <w:rPr>
                <w:szCs w:val="22"/>
              </w:rPr>
              <w:t>TRAE</w:t>
            </w:r>
          </w:p>
        </w:tc>
        <w:tc>
          <w:tcPr>
            <w:tcW w:w="3800" w:type="pct"/>
          </w:tcPr>
          <w:p w14:paraId="666A0031" w14:textId="3578585A" w:rsidR="005F3F4F" w:rsidRDefault="005F3F4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Treatment</w:t>
            </w:r>
            <w:r w:rsidR="002F63B1">
              <w:rPr>
                <w:szCs w:val="22"/>
              </w:rPr>
              <w:t>-</w:t>
            </w:r>
            <w:r>
              <w:rPr>
                <w:szCs w:val="22"/>
              </w:rPr>
              <w:t>related adverse event</w:t>
            </w:r>
          </w:p>
        </w:tc>
      </w:tr>
      <w:tr w:rsidR="00324B33"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324B33" w:rsidRPr="00D01DDB" w:rsidRDefault="00324B33" w:rsidP="00324B33">
            <w:pPr>
              <w:rPr>
                <w:szCs w:val="22"/>
              </w:rPr>
            </w:pPr>
            <w:r w:rsidRPr="00D01DDB">
              <w:rPr>
                <w:szCs w:val="22"/>
              </w:rPr>
              <w:t>TGA</w:t>
            </w:r>
          </w:p>
        </w:tc>
        <w:tc>
          <w:tcPr>
            <w:tcW w:w="3800" w:type="pct"/>
          </w:tcPr>
          <w:p w14:paraId="29EA6BA3" w14:textId="6F99059F"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1700D5" w:rsidRPr="00D01DDB" w14:paraId="449B8FA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7ADFCF" w14:textId="171AE7D4" w:rsidR="001700D5" w:rsidRPr="00D01DDB" w:rsidRDefault="001700D5" w:rsidP="00324B33">
            <w:pPr>
              <w:rPr>
                <w:szCs w:val="22"/>
              </w:rPr>
            </w:pPr>
            <w:r>
              <w:rPr>
                <w:szCs w:val="22"/>
              </w:rPr>
              <w:lastRenderedPageBreak/>
              <w:t>TMA</w:t>
            </w:r>
          </w:p>
        </w:tc>
        <w:tc>
          <w:tcPr>
            <w:tcW w:w="3800" w:type="pct"/>
          </w:tcPr>
          <w:p w14:paraId="35E8F213" w14:textId="177207FC" w:rsidR="001700D5" w:rsidRPr="00D01DDB" w:rsidRDefault="001700D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T</w:t>
            </w:r>
            <w:r w:rsidRPr="001700D5">
              <w:rPr>
                <w:szCs w:val="22"/>
              </w:rPr>
              <w:t>hrombotic microangiopathy</w:t>
            </w:r>
          </w:p>
        </w:tc>
      </w:tr>
      <w:tr w:rsidR="005D4971" w:rsidRPr="00D01DDB" w14:paraId="4B6A234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6E75A09" w14:textId="5AB508BD" w:rsidR="005D4971" w:rsidRDefault="005D4971" w:rsidP="00324B33">
            <w:pPr>
              <w:rPr>
                <w:szCs w:val="22"/>
              </w:rPr>
            </w:pPr>
            <w:r>
              <w:rPr>
                <w:szCs w:val="22"/>
              </w:rPr>
              <w:t>ULN</w:t>
            </w:r>
          </w:p>
        </w:tc>
        <w:tc>
          <w:tcPr>
            <w:tcW w:w="3800" w:type="pct"/>
          </w:tcPr>
          <w:p w14:paraId="5475EF4C" w14:textId="144DEB1E" w:rsidR="005D4971" w:rsidRDefault="005D497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Upper limit of normal</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6" w:name="_Toc103679288"/>
      <w:bookmarkStart w:id="7" w:name="_Toc135662369"/>
      <w:r>
        <w:lastRenderedPageBreak/>
        <w:t>Product submission</w:t>
      </w:r>
      <w:bookmarkEnd w:id="6"/>
      <w:bookmarkEnd w:id="7"/>
    </w:p>
    <w:p w14:paraId="21D559DF" w14:textId="77777777" w:rsidR="00324B33" w:rsidRDefault="00324B33" w:rsidP="00324B33">
      <w:pPr>
        <w:pStyle w:val="Heading3"/>
        <w:rPr>
          <w:lang w:eastAsia="en-AU"/>
        </w:rPr>
      </w:pPr>
      <w:bookmarkStart w:id="8" w:name="_Toc247691502"/>
      <w:bookmarkStart w:id="9" w:name="_Toc314842483"/>
      <w:bookmarkStart w:id="10" w:name="_Toc103679289"/>
      <w:bookmarkStart w:id="11" w:name="_Toc135662370"/>
      <w:r>
        <w:rPr>
          <w:lang w:eastAsia="en-AU"/>
        </w:rPr>
        <w:t>Submission details</w:t>
      </w:r>
      <w:bookmarkEnd w:id="8"/>
      <w:bookmarkEnd w:id="9"/>
      <w:bookmarkEnd w:id="10"/>
      <w:bookmarkEnd w:id="11"/>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408F5BC1" w:rsidR="00324B33" w:rsidRPr="00BD5DBD" w:rsidRDefault="00367A0A" w:rsidP="007452E8">
            <w:pPr>
              <w:rPr>
                <w:szCs w:val="22"/>
              </w:rPr>
            </w:pPr>
            <w:r>
              <w:rPr>
                <w:szCs w:val="22"/>
              </w:rPr>
              <w:t>Extension of indications</w:t>
            </w:r>
          </w:p>
        </w:tc>
      </w:tr>
      <w:tr w:rsidR="00324B33" w:rsidRPr="00BD5DBD" w14:paraId="13482B61" w14:textId="77777777" w:rsidTr="00F865A7">
        <w:tc>
          <w:tcPr>
            <w:tcW w:w="1577" w:type="pct"/>
          </w:tcPr>
          <w:p w14:paraId="2C427FCF" w14:textId="574BCCD6" w:rsidR="00324B33" w:rsidRPr="00BD5DBD" w:rsidRDefault="00324B33" w:rsidP="007452E8">
            <w:pPr>
              <w:rPr>
                <w:i/>
                <w:szCs w:val="22"/>
              </w:rPr>
            </w:pPr>
            <w:r w:rsidRPr="00BD5DBD">
              <w:rPr>
                <w:i/>
                <w:szCs w:val="22"/>
              </w:rPr>
              <w:t>Product name:</w:t>
            </w:r>
          </w:p>
        </w:tc>
        <w:tc>
          <w:tcPr>
            <w:tcW w:w="3423" w:type="pct"/>
          </w:tcPr>
          <w:p w14:paraId="0E2DEF76" w14:textId="06EB2327" w:rsidR="00324B33" w:rsidRPr="00BD5DBD" w:rsidRDefault="00472EEA" w:rsidP="007452E8">
            <w:pPr>
              <w:rPr>
                <w:szCs w:val="22"/>
              </w:rPr>
            </w:pPr>
            <w:r>
              <w:rPr>
                <w:szCs w:val="22"/>
              </w:rPr>
              <w:t>Ultomiris</w:t>
            </w:r>
          </w:p>
        </w:tc>
      </w:tr>
      <w:tr w:rsidR="00367A0A" w:rsidRPr="00BD5DBD" w14:paraId="01255B5B" w14:textId="77777777" w:rsidTr="00F865A7">
        <w:tc>
          <w:tcPr>
            <w:tcW w:w="1577" w:type="pct"/>
          </w:tcPr>
          <w:p w14:paraId="52B4F3D7" w14:textId="3331B8E1" w:rsidR="00367A0A" w:rsidRPr="00BD5DBD" w:rsidRDefault="00367A0A" w:rsidP="00367A0A">
            <w:pPr>
              <w:rPr>
                <w:i/>
                <w:szCs w:val="22"/>
              </w:rPr>
            </w:pPr>
            <w:r w:rsidRPr="00BD5DBD">
              <w:rPr>
                <w:i/>
                <w:szCs w:val="22"/>
              </w:rPr>
              <w:t>Active ingredient:</w:t>
            </w:r>
          </w:p>
        </w:tc>
        <w:tc>
          <w:tcPr>
            <w:tcW w:w="3423" w:type="pct"/>
          </w:tcPr>
          <w:p w14:paraId="02FB6383" w14:textId="02FAA2A0" w:rsidR="00367A0A" w:rsidRPr="00BD5DBD" w:rsidRDefault="00367A0A" w:rsidP="00367A0A">
            <w:pPr>
              <w:rPr>
                <w:szCs w:val="22"/>
              </w:rPr>
            </w:pPr>
            <w:r>
              <w:t xml:space="preserve">Ravulizumab </w:t>
            </w:r>
          </w:p>
        </w:tc>
      </w:tr>
      <w:tr w:rsidR="00367A0A" w:rsidRPr="00BD5DBD" w14:paraId="219A281B" w14:textId="77777777" w:rsidTr="00F865A7">
        <w:tc>
          <w:tcPr>
            <w:tcW w:w="1577" w:type="pct"/>
          </w:tcPr>
          <w:p w14:paraId="112E5F78" w14:textId="752C9FBA" w:rsidR="00367A0A" w:rsidRPr="00BD5DBD" w:rsidRDefault="007E513E" w:rsidP="00367A0A">
            <w:pPr>
              <w:rPr>
                <w:i/>
                <w:szCs w:val="22"/>
              </w:rPr>
            </w:pPr>
            <w:r>
              <w:rPr>
                <w:i/>
                <w:szCs w:val="22"/>
              </w:rPr>
              <w:t>Decision</w:t>
            </w:r>
            <w:r w:rsidR="00367A0A" w:rsidRPr="00BD5DBD">
              <w:rPr>
                <w:i/>
                <w:szCs w:val="22"/>
              </w:rPr>
              <w:t>:</w:t>
            </w:r>
          </w:p>
        </w:tc>
        <w:tc>
          <w:tcPr>
            <w:tcW w:w="3423" w:type="pct"/>
          </w:tcPr>
          <w:p w14:paraId="3B114BEA" w14:textId="158E6DED" w:rsidR="00367A0A" w:rsidRPr="00BD5DBD" w:rsidRDefault="00367A0A" w:rsidP="00367A0A">
            <w:pPr>
              <w:rPr>
                <w:szCs w:val="22"/>
              </w:rPr>
            </w:pPr>
            <w:r w:rsidRPr="00BD5DBD">
              <w:rPr>
                <w:szCs w:val="22"/>
              </w:rPr>
              <w:t xml:space="preserve">Approved </w:t>
            </w:r>
          </w:p>
        </w:tc>
      </w:tr>
      <w:tr w:rsidR="00367A0A" w:rsidRPr="00BD5DBD" w14:paraId="32B72632" w14:textId="77777777" w:rsidTr="00F865A7">
        <w:tc>
          <w:tcPr>
            <w:tcW w:w="1577" w:type="pct"/>
          </w:tcPr>
          <w:p w14:paraId="332A5CD5" w14:textId="1BAEE182" w:rsidR="00367A0A" w:rsidRPr="00367A0A" w:rsidRDefault="00367A0A" w:rsidP="00367A0A">
            <w:pPr>
              <w:rPr>
                <w:i/>
                <w:szCs w:val="22"/>
              </w:rPr>
            </w:pPr>
            <w:r w:rsidRPr="00BD5DBD">
              <w:rPr>
                <w:i/>
                <w:szCs w:val="22"/>
              </w:rPr>
              <w:t xml:space="preserve">Date of </w:t>
            </w:r>
            <w:r w:rsidR="007E513E">
              <w:rPr>
                <w:i/>
                <w:szCs w:val="22"/>
              </w:rPr>
              <w:t>Decision</w:t>
            </w:r>
            <w:r w:rsidRPr="00BD5DBD">
              <w:rPr>
                <w:i/>
                <w:szCs w:val="22"/>
              </w:rPr>
              <w:t>:</w:t>
            </w:r>
          </w:p>
        </w:tc>
        <w:tc>
          <w:tcPr>
            <w:tcW w:w="3423" w:type="pct"/>
          </w:tcPr>
          <w:p w14:paraId="7B381CD6" w14:textId="6D212D0E" w:rsidR="00367A0A" w:rsidRPr="00BD5DBD" w:rsidRDefault="00367A0A" w:rsidP="00367A0A">
            <w:pPr>
              <w:rPr>
                <w:szCs w:val="22"/>
              </w:rPr>
            </w:pPr>
            <w:r>
              <w:rPr>
                <w:szCs w:val="22"/>
              </w:rPr>
              <w:t>11 August 2022</w:t>
            </w:r>
          </w:p>
        </w:tc>
      </w:tr>
      <w:tr w:rsidR="00367A0A" w:rsidRPr="00BD5DBD" w14:paraId="60A25F5A" w14:textId="77777777" w:rsidTr="00F865A7">
        <w:tc>
          <w:tcPr>
            <w:tcW w:w="1577" w:type="pct"/>
          </w:tcPr>
          <w:p w14:paraId="5C5E4CBA" w14:textId="77777777" w:rsidR="00367A0A" w:rsidRPr="00BD5DBD" w:rsidRDefault="00367A0A" w:rsidP="00367A0A">
            <w:pPr>
              <w:rPr>
                <w:i/>
                <w:szCs w:val="22"/>
              </w:rPr>
            </w:pPr>
            <w:r w:rsidRPr="00BD5DBD">
              <w:rPr>
                <w:i/>
                <w:szCs w:val="22"/>
              </w:rPr>
              <w:t>Date of entry onto ARTG:</w:t>
            </w:r>
          </w:p>
        </w:tc>
        <w:tc>
          <w:tcPr>
            <w:tcW w:w="3423" w:type="pct"/>
          </w:tcPr>
          <w:p w14:paraId="28B270E9" w14:textId="01D50970" w:rsidR="00367A0A" w:rsidRPr="00BD5DBD" w:rsidRDefault="00367A0A" w:rsidP="00367A0A">
            <w:pPr>
              <w:rPr>
                <w:szCs w:val="22"/>
              </w:rPr>
            </w:pPr>
            <w:r>
              <w:rPr>
                <w:szCs w:val="22"/>
              </w:rPr>
              <w:t>16 August 2022</w:t>
            </w:r>
            <w:r w:rsidRPr="00BD5DBD">
              <w:rPr>
                <w:szCs w:val="22"/>
              </w:rPr>
              <w:t xml:space="preserve"> </w:t>
            </w:r>
          </w:p>
        </w:tc>
      </w:tr>
      <w:tr w:rsidR="00367A0A" w:rsidRPr="00BD5DBD" w14:paraId="547E08D7" w14:textId="77777777" w:rsidTr="00F865A7">
        <w:tc>
          <w:tcPr>
            <w:tcW w:w="1577" w:type="pct"/>
          </w:tcPr>
          <w:p w14:paraId="5030EF30" w14:textId="24293EA7" w:rsidR="00367A0A" w:rsidRPr="00BD5DBD" w:rsidRDefault="00367A0A" w:rsidP="00367A0A">
            <w:pPr>
              <w:rPr>
                <w:i/>
                <w:szCs w:val="22"/>
              </w:rPr>
            </w:pPr>
            <w:r w:rsidRPr="00BD5DBD">
              <w:rPr>
                <w:i/>
                <w:szCs w:val="22"/>
              </w:rPr>
              <w:t>ARTG number</w:t>
            </w:r>
            <w:r w:rsidR="005811AB">
              <w:rPr>
                <w:i/>
                <w:szCs w:val="22"/>
              </w:rPr>
              <w:t>s</w:t>
            </w:r>
            <w:r w:rsidRPr="00BD5DBD">
              <w:rPr>
                <w:i/>
                <w:szCs w:val="22"/>
              </w:rPr>
              <w:t>:</w:t>
            </w:r>
          </w:p>
        </w:tc>
        <w:tc>
          <w:tcPr>
            <w:tcW w:w="3423" w:type="pct"/>
          </w:tcPr>
          <w:p w14:paraId="0054E912" w14:textId="16D9CB2B" w:rsidR="00367A0A" w:rsidRPr="00BD5DBD" w:rsidRDefault="005811AB" w:rsidP="00367A0A">
            <w:pPr>
              <w:rPr>
                <w:szCs w:val="22"/>
              </w:rPr>
            </w:pPr>
            <w:r>
              <w:rPr>
                <w:szCs w:val="22"/>
              </w:rPr>
              <w:t>311926, 330566, 336710</w:t>
            </w:r>
          </w:p>
        </w:tc>
      </w:tr>
      <w:tr w:rsidR="00367A0A" w:rsidRPr="00BD5DBD" w14:paraId="7618393F" w14:textId="77777777" w:rsidTr="00F865A7">
        <w:tc>
          <w:tcPr>
            <w:tcW w:w="1577" w:type="pct"/>
          </w:tcPr>
          <w:p w14:paraId="6C24CEB6" w14:textId="0F9390BD" w:rsidR="00367A0A" w:rsidRPr="00BD5DBD" w:rsidRDefault="00367A0A" w:rsidP="00367A0A">
            <w:pPr>
              <w:rPr>
                <w:rStyle w:val="Hyperlink"/>
                <w:i/>
                <w:szCs w:val="22"/>
              </w:rPr>
            </w:pPr>
            <w:r w:rsidRPr="00BD5DBD">
              <w:rPr>
                <w:rFonts w:ascii="Wingdings 3" w:hAnsi="Wingdings 3"/>
                <w:szCs w:val="22"/>
                <w:lang w:eastAsia="en-AU"/>
              </w:rPr>
              <w:t></w:t>
            </w:r>
            <w:hyperlink r:id="rId19" w:history="1">
              <w:r w:rsidRPr="00BD5DBD">
                <w:rPr>
                  <w:rStyle w:val="Hyperlink"/>
                  <w:i/>
                  <w:szCs w:val="22"/>
                </w:rPr>
                <w:t>Black Triangle Scheme</w:t>
              </w:r>
            </w:hyperlink>
          </w:p>
          <w:p w14:paraId="02260DE2" w14:textId="1FC334AE" w:rsidR="00367A0A" w:rsidRPr="00BD5DBD" w:rsidRDefault="00367A0A" w:rsidP="00367A0A">
            <w:pPr>
              <w:rPr>
                <w:i/>
                <w:szCs w:val="22"/>
              </w:rPr>
            </w:pPr>
            <w:r w:rsidRPr="00BD5DBD">
              <w:rPr>
                <w:i/>
                <w:szCs w:val="22"/>
              </w:rPr>
              <w:t>for the current submission:</w:t>
            </w:r>
          </w:p>
        </w:tc>
        <w:tc>
          <w:tcPr>
            <w:tcW w:w="3423" w:type="pct"/>
          </w:tcPr>
          <w:p w14:paraId="11935EEC" w14:textId="77E716C4" w:rsidR="005811AB" w:rsidRDefault="00367A0A" w:rsidP="00367A0A">
            <w:pPr>
              <w:rPr>
                <w:szCs w:val="22"/>
              </w:rPr>
            </w:pPr>
            <w:r w:rsidRPr="00BD5DBD">
              <w:rPr>
                <w:szCs w:val="22"/>
              </w:rPr>
              <w:t>Yes</w:t>
            </w:r>
          </w:p>
          <w:p w14:paraId="6FF3C6A2" w14:textId="469B9A9F" w:rsidR="00367A0A" w:rsidRPr="00BD5DBD" w:rsidRDefault="00367A0A" w:rsidP="00367A0A">
            <w:pPr>
              <w:rPr>
                <w:szCs w:val="22"/>
              </w:rPr>
            </w:pPr>
            <w:r w:rsidRPr="00BD5DBD">
              <w:rPr>
                <w:szCs w:val="22"/>
              </w:rPr>
              <w:t xml:space="preserve">This product will remain in the scheme for </w:t>
            </w:r>
            <w:r w:rsidR="005811AB">
              <w:rPr>
                <w:szCs w:val="22"/>
              </w:rPr>
              <w:t>five</w:t>
            </w:r>
            <w:r w:rsidRPr="00BD5DBD">
              <w:rPr>
                <w:szCs w:val="22"/>
              </w:rPr>
              <w:t xml:space="preserve"> years, starting on the date the new indication was approved</w:t>
            </w:r>
            <w:r w:rsidR="005811AB">
              <w:rPr>
                <w:szCs w:val="22"/>
              </w:rPr>
              <w:t>.</w:t>
            </w:r>
          </w:p>
        </w:tc>
      </w:tr>
      <w:tr w:rsidR="00367A0A" w:rsidRPr="00BD5DBD" w14:paraId="179E09FE" w14:textId="77777777" w:rsidTr="00F865A7">
        <w:tc>
          <w:tcPr>
            <w:tcW w:w="1577" w:type="pct"/>
          </w:tcPr>
          <w:p w14:paraId="1A592498" w14:textId="54CF04E8" w:rsidR="00367A0A" w:rsidRPr="00BD5DBD" w:rsidRDefault="004537EB" w:rsidP="00367A0A">
            <w:pPr>
              <w:rPr>
                <w:i/>
                <w:szCs w:val="22"/>
              </w:rPr>
            </w:pPr>
            <w:r>
              <w:rPr>
                <w:i/>
                <w:szCs w:val="22"/>
              </w:rPr>
              <w:t>S</w:t>
            </w:r>
            <w:r w:rsidR="00856026">
              <w:rPr>
                <w:i/>
                <w:szCs w:val="22"/>
              </w:rPr>
              <w:t>ponsor</w:t>
            </w:r>
            <w:r w:rsidR="00367A0A" w:rsidRPr="00BD5DBD">
              <w:rPr>
                <w:i/>
                <w:szCs w:val="22"/>
              </w:rPr>
              <w:t>’s name and address:</w:t>
            </w:r>
          </w:p>
        </w:tc>
        <w:tc>
          <w:tcPr>
            <w:tcW w:w="3423" w:type="pct"/>
          </w:tcPr>
          <w:p w14:paraId="5B2E5EE7" w14:textId="77777777" w:rsidR="005811AB" w:rsidRPr="005811AB" w:rsidRDefault="005811AB" w:rsidP="005811AB">
            <w:pPr>
              <w:rPr>
                <w:szCs w:val="22"/>
              </w:rPr>
            </w:pPr>
            <w:r w:rsidRPr="005811AB">
              <w:rPr>
                <w:szCs w:val="22"/>
              </w:rPr>
              <w:t>Alexion Pharmaceuticals Australasia Pty Ltd</w:t>
            </w:r>
          </w:p>
          <w:p w14:paraId="1CFB9EBC" w14:textId="77777777" w:rsidR="005811AB" w:rsidRPr="005811AB" w:rsidRDefault="005811AB" w:rsidP="005811AB">
            <w:pPr>
              <w:rPr>
                <w:szCs w:val="22"/>
              </w:rPr>
            </w:pPr>
            <w:r w:rsidRPr="005811AB">
              <w:rPr>
                <w:szCs w:val="22"/>
              </w:rPr>
              <w:t>Suite 401, Level 4, Building A</w:t>
            </w:r>
          </w:p>
          <w:p w14:paraId="7C054B77" w14:textId="77777777" w:rsidR="005811AB" w:rsidRPr="005811AB" w:rsidRDefault="005811AB" w:rsidP="005811AB">
            <w:pPr>
              <w:rPr>
                <w:szCs w:val="22"/>
              </w:rPr>
            </w:pPr>
            <w:r w:rsidRPr="005811AB">
              <w:rPr>
                <w:szCs w:val="22"/>
              </w:rPr>
              <w:t>20 Rodborough Road</w:t>
            </w:r>
          </w:p>
          <w:p w14:paraId="68DD94B0" w14:textId="722D04C5" w:rsidR="00367A0A" w:rsidRPr="00BD5DBD" w:rsidRDefault="005811AB" w:rsidP="005811AB">
            <w:pPr>
              <w:rPr>
                <w:szCs w:val="22"/>
              </w:rPr>
            </w:pPr>
            <w:r w:rsidRPr="005811AB">
              <w:rPr>
                <w:szCs w:val="22"/>
              </w:rPr>
              <w:t>Frenchs Forest NSW 2086</w:t>
            </w:r>
          </w:p>
        </w:tc>
      </w:tr>
      <w:tr w:rsidR="00367A0A" w:rsidRPr="00BD5DBD" w14:paraId="5322B989" w14:textId="77777777" w:rsidTr="00F865A7">
        <w:tc>
          <w:tcPr>
            <w:tcW w:w="1577" w:type="pct"/>
          </w:tcPr>
          <w:p w14:paraId="24F217E3" w14:textId="1DFD20BD" w:rsidR="00367A0A" w:rsidRPr="00BD5DBD" w:rsidRDefault="00367A0A" w:rsidP="00367A0A">
            <w:pPr>
              <w:rPr>
                <w:i/>
                <w:szCs w:val="22"/>
              </w:rPr>
            </w:pPr>
            <w:r w:rsidRPr="00BD5DBD">
              <w:rPr>
                <w:i/>
                <w:szCs w:val="22"/>
              </w:rPr>
              <w:t>Dose form:</w:t>
            </w:r>
          </w:p>
        </w:tc>
        <w:tc>
          <w:tcPr>
            <w:tcW w:w="3423" w:type="pct"/>
          </w:tcPr>
          <w:p w14:paraId="768B254C" w14:textId="213BBFFD" w:rsidR="00367A0A" w:rsidRPr="00BD5DBD" w:rsidRDefault="005811AB" w:rsidP="00367A0A">
            <w:pPr>
              <w:rPr>
                <w:szCs w:val="22"/>
              </w:rPr>
            </w:pPr>
            <w:r>
              <w:rPr>
                <w:szCs w:val="22"/>
              </w:rPr>
              <w:t>Concentrated solution for intravenous infusion</w:t>
            </w:r>
          </w:p>
        </w:tc>
      </w:tr>
      <w:tr w:rsidR="00367A0A" w:rsidRPr="00BD5DBD" w14:paraId="115243E6" w14:textId="77777777" w:rsidTr="00F865A7">
        <w:tc>
          <w:tcPr>
            <w:tcW w:w="1577" w:type="pct"/>
          </w:tcPr>
          <w:p w14:paraId="7634B062" w14:textId="0DF6A901" w:rsidR="00367A0A" w:rsidRPr="00BD5DBD" w:rsidRDefault="00367A0A" w:rsidP="00367A0A">
            <w:pPr>
              <w:rPr>
                <w:i/>
                <w:szCs w:val="22"/>
              </w:rPr>
            </w:pPr>
            <w:r w:rsidRPr="00BD5DBD">
              <w:rPr>
                <w:i/>
                <w:szCs w:val="22"/>
              </w:rPr>
              <w:t>Strength</w:t>
            </w:r>
            <w:r w:rsidR="005811AB">
              <w:rPr>
                <w:i/>
                <w:szCs w:val="22"/>
              </w:rPr>
              <w:t>s</w:t>
            </w:r>
            <w:r w:rsidRPr="00BD5DBD">
              <w:rPr>
                <w:i/>
                <w:szCs w:val="22"/>
              </w:rPr>
              <w:t>:</w:t>
            </w:r>
          </w:p>
        </w:tc>
        <w:tc>
          <w:tcPr>
            <w:tcW w:w="3423" w:type="pct"/>
          </w:tcPr>
          <w:p w14:paraId="0C6964DE" w14:textId="7B74AA24" w:rsidR="005811AB" w:rsidRDefault="00A3792D" w:rsidP="00367A0A">
            <w:pPr>
              <w:rPr>
                <w:szCs w:val="22"/>
              </w:rPr>
            </w:pPr>
            <w:r w:rsidRPr="00A3792D">
              <w:rPr>
                <w:szCs w:val="22"/>
              </w:rPr>
              <w:t>300 mg in 30 mL (</w:t>
            </w:r>
            <w:r w:rsidR="005811AB" w:rsidRPr="00A3792D">
              <w:rPr>
                <w:szCs w:val="22"/>
              </w:rPr>
              <w:t>10 mg/mL</w:t>
            </w:r>
            <w:r w:rsidRPr="00A3792D">
              <w:rPr>
                <w:szCs w:val="22"/>
              </w:rPr>
              <w:t>)</w:t>
            </w:r>
          </w:p>
          <w:p w14:paraId="73B87BBC" w14:textId="424F502C" w:rsidR="005811AB" w:rsidRDefault="005811AB" w:rsidP="00367A0A">
            <w:pPr>
              <w:rPr>
                <w:szCs w:val="22"/>
              </w:rPr>
            </w:pPr>
            <w:r>
              <w:rPr>
                <w:szCs w:val="22"/>
              </w:rPr>
              <w:t>300 mg in 3 mL (100 mg/mL)</w:t>
            </w:r>
          </w:p>
          <w:p w14:paraId="5E5F83DB" w14:textId="7C2006F9" w:rsidR="00367A0A" w:rsidRPr="00BD5DBD" w:rsidRDefault="005811AB" w:rsidP="00367A0A">
            <w:pPr>
              <w:rPr>
                <w:szCs w:val="22"/>
              </w:rPr>
            </w:pPr>
            <w:r>
              <w:rPr>
                <w:szCs w:val="22"/>
              </w:rPr>
              <w:t>1100 mg in 11 mL (100 mg/mL)</w:t>
            </w:r>
          </w:p>
        </w:tc>
      </w:tr>
      <w:tr w:rsidR="00367A0A" w:rsidRPr="00BD5DBD" w14:paraId="34B07BA6" w14:textId="77777777" w:rsidTr="00F865A7">
        <w:tc>
          <w:tcPr>
            <w:tcW w:w="1577" w:type="pct"/>
          </w:tcPr>
          <w:p w14:paraId="1C039224" w14:textId="7CAB5BB8" w:rsidR="00367A0A" w:rsidRPr="00BD5DBD" w:rsidRDefault="00367A0A" w:rsidP="00367A0A">
            <w:pPr>
              <w:rPr>
                <w:i/>
                <w:szCs w:val="22"/>
              </w:rPr>
            </w:pPr>
            <w:r w:rsidRPr="00BD5DBD">
              <w:rPr>
                <w:i/>
                <w:szCs w:val="22"/>
              </w:rPr>
              <w:t>Container:</w:t>
            </w:r>
          </w:p>
        </w:tc>
        <w:tc>
          <w:tcPr>
            <w:tcW w:w="3423" w:type="pct"/>
          </w:tcPr>
          <w:p w14:paraId="500A42C6" w14:textId="2CDB6221" w:rsidR="00367A0A" w:rsidRPr="00BD5DBD" w:rsidRDefault="005811AB" w:rsidP="00367A0A">
            <w:pPr>
              <w:rPr>
                <w:szCs w:val="22"/>
              </w:rPr>
            </w:pPr>
            <w:r>
              <w:rPr>
                <w:szCs w:val="22"/>
              </w:rPr>
              <w:t>Vial</w:t>
            </w:r>
          </w:p>
        </w:tc>
      </w:tr>
      <w:tr w:rsidR="00367A0A" w:rsidRPr="00BD5DBD" w14:paraId="176B6773" w14:textId="77777777" w:rsidTr="00F865A7">
        <w:tc>
          <w:tcPr>
            <w:tcW w:w="1577" w:type="pct"/>
          </w:tcPr>
          <w:p w14:paraId="71846159" w14:textId="08EDCA17" w:rsidR="00367A0A" w:rsidRPr="00BD5DBD" w:rsidRDefault="00367A0A" w:rsidP="00367A0A">
            <w:pPr>
              <w:rPr>
                <w:i/>
                <w:szCs w:val="22"/>
              </w:rPr>
            </w:pPr>
            <w:r w:rsidRPr="00BD5DBD">
              <w:rPr>
                <w:i/>
                <w:szCs w:val="22"/>
              </w:rPr>
              <w:t>Pack size:</w:t>
            </w:r>
          </w:p>
        </w:tc>
        <w:tc>
          <w:tcPr>
            <w:tcW w:w="3423" w:type="pct"/>
          </w:tcPr>
          <w:p w14:paraId="7E978F8F" w14:textId="328C901F" w:rsidR="00367A0A" w:rsidRPr="00BD5DBD" w:rsidRDefault="005811AB" w:rsidP="00367A0A">
            <w:pPr>
              <w:rPr>
                <w:szCs w:val="22"/>
              </w:rPr>
            </w:pPr>
            <w:r>
              <w:rPr>
                <w:szCs w:val="22"/>
              </w:rPr>
              <w:t>Single vial packs</w:t>
            </w:r>
          </w:p>
        </w:tc>
      </w:tr>
      <w:tr w:rsidR="005811AB" w:rsidRPr="00BD5DBD" w14:paraId="19A2544A" w14:textId="77777777" w:rsidTr="00F865A7">
        <w:tc>
          <w:tcPr>
            <w:tcW w:w="1577" w:type="pct"/>
          </w:tcPr>
          <w:p w14:paraId="0E6C5C0E" w14:textId="7DB3FC66" w:rsidR="005811AB" w:rsidRPr="00BD5DBD" w:rsidRDefault="005811AB" w:rsidP="005811AB">
            <w:pPr>
              <w:rPr>
                <w:i/>
                <w:szCs w:val="22"/>
              </w:rPr>
            </w:pPr>
            <w:r w:rsidRPr="00BD5DBD">
              <w:rPr>
                <w:i/>
                <w:szCs w:val="22"/>
              </w:rPr>
              <w:t>Approved therapeutic use for the current submission:</w:t>
            </w:r>
          </w:p>
        </w:tc>
        <w:tc>
          <w:tcPr>
            <w:tcW w:w="3423" w:type="pct"/>
          </w:tcPr>
          <w:p w14:paraId="3021F6E1" w14:textId="54CE9310" w:rsidR="005811AB" w:rsidRPr="005811AB" w:rsidRDefault="00472EEA" w:rsidP="005811AB">
            <w:pPr>
              <w:rPr>
                <w:i/>
                <w:iCs/>
                <w:szCs w:val="22"/>
              </w:rPr>
            </w:pPr>
            <w:r>
              <w:rPr>
                <w:i/>
                <w:iCs/>
                <w:szCs w:val="22"/>
              </w:rPr>
              <w:t>Ultomiris</w:t>
            </w:r>
            <w:r w:rsidR="005811AB" w:rsidRPr="005811AB">
              <w:rPr>
                <w:i/>
                <w:iCs/>
                <w:szCs w:val="22"/>
              </w:rPr>
              <w:t xml:space="preserve"> is indicated for the treatment of patients with:</w:t>
            </w:r>
          </w:p>
          <w:p w14:paraId="009EAEDC" w14:textId="77777777" w:rsidR="005811AB" w:rsidRPr="004537EB" w:rsidRDefault="005811AB" w:rsidP="004537EB">
            <w:pPr>
              <w:pStyle w:val="ListBullet"/>
              <w:rPr>
                <w:i/>
                <w:iCs/>
                <w:szCs w:val="22"/>
              </w:rPr>
            </w:pPr>
            <w:r w:rsidRPr="004537EB">
              <w:rPr>
                <w:i/>
                <w:iCs/>
              </w:rPr>
              <w:t>Paroxysmal Nocturnal Haemoglobinuria (PNH)</w:t>
            </w:r>
          </w:p>
          <w:p w14:paraId="6E143E2E" w14:textId="561BB940" w:rsidR="005811AB" w:rsidRPr="00BD5DBD" w:rsidRDefault="005811AB" w:rsidP="005811AB">
            <w:pPr>
              <w:pStyle w:val="ListBullet"/>
              <w:rPr>
                <w:szCs w:val="22"/>
              </w:rPr>
            </w:pPr>
            <w:r w:rsidRPr="005811AB">
              <w:rPr>
                <w:i/>
                <w:iCs/>
              </w:rPr>
              <w:t>Atypical Haemolytic Uraemic Syndrome (aHUS)</w:t>
            </w:r>
          </w:p>
        </w:tc>
      </w:tr>
      <w:tr w:rsidR="005811AB" w:rsidRPr="00BD5DBD" w14:paraId="5AFDEED3" w14:textId="77777777" w:rsidTr="00F865A7">
        <w:tc>
          <w:tcPr>
            <w:tcW w:w="1577" w:type="pct"/>
          </w:tcPr>
          <w:p w14:paraId="03884BD1" w14:textId="779B13DC" w:rsidR="005811AB" w:rsidRPr="00BD5DBD" w:rsidRDefault="005811AB" w:rsidP="005811AB">
            <w:pPr>
              <w:rPr>
                <w:i/>
                <w:szCs w:val="22"/>
              </w:rPr>
            </w:pPr>
            <w:r w:rsidRPr="00BD5DBD">
              <w:rPr>
                <w:i/>
                <w:szCs w:val="22"/>
              </w:rPr>
              <w:t>Route of administration:</w:t>
            </w:r>
          </w:p>
        </w:tc>
        <w:tc>
          <w:tcPr>
            <w:tcW w:w="3423" w:type="pct"/>
          </w:tcPr>
          <w:p w14:paraId="1ED1357E" w14:textId="7CE9C1BA" w:rsidR="005811AB" w:rsidRPr="00BD5DBD" w:rsidRDefault="005811AB" w:rsidP="005811AB">
            <w:r>
              <w:t>I</w:t>
            </w:r>
            <w:r w:rsidRPr="005811AB">
              <w:t>ntravenous infusion</w:t>
            </w:r>
          </w:p>
        </w:tc>
      </w:tr>
      <w:tr w:rsidR="005811AB" w:rsidRPr="00BD5DBD" w14:paraId="70D7E9FA" w14:textId="77777777" w:rsidTr="00F865A7">
        <w:tc>
          <w:tcPr>
            <w:tcW w:w="1577" w:type="pct"/>
          </w:tcPr>
          <w:p w14:paraId="5ABFFC80" w14:textId="77777777" w:rsidR="005811AB" w:rsidRPr="00BD5DBD" w:rsidRDefault="005811AB" w:rsidP="005811AB">
            <w:pPr>
              <w:rPr>
                <w:i/>
                <w:szCs w:val="22"/>
              </w:rPr>
            </w:pPr>
            <w:r w:rsidRPr="00BD5DBD">
              <w:rPr>
                <w:i/>
                <w:szCs w:val="22"/>
              </w:rPr>
              <w:t>Dosage:</w:t>
            </w:r>
          </w:p>
        </w:tc>
        <w:tc>
          <w:tcPr>
            <w:tcW w:w="3423" w:type="pct"/>
          </w:tcPr>
          <w:p w14:paraId="4FBBD65A" w14:textId="79ADDBBB" w:rsidR="00415377" w:rsidRDefault="00415377" w:rsidP="005811AB">
            <w:pPr>
              <w:pStyle w:val="Default"/>
              <w:rPr>
                <w:sz w:val="23"/>
                <w:szCs w:val="23"/>
              </w:rPr>
            </w:pPr>
            <w:r w:rsidRPr="00415377">
              <w:rPr>
                <w:sz w:val="23"/>
                <w:szCs w:val="23"/>
              </w:rPr>
              <w:t xml:space="preserve">Life-threatening meningococcal infections/sepsis have occurred in patients treated with </w:t>
            </w:r>
            <w:r w:rsidR="00472EEA">
              <w:rPr>
                <w:sz w:val="23"/>
                <w:szCs w:val="23"/>
              </w:rPr>
              <w:t>Ultomiris</w:t>
            </w:r>
            <w:r>
              <w:rPr>
                <w:sz w:val="23"/>
                <w:szCs w:val="23"/>
              </w:rPr>
              <w:t>.</w:t>
            </w:r>
            <w:r w:rsidR="00A3792D">
              <w:rPr>
                <w:sz w:val="23"/>
                <w:szCs w:val="23"/>
              </w:rPr>
              <w:t xml:space="preserve"> </w:t>
            </w:r>
            <w:r>
              <w:rPr>
                <w:sz w:val="23"/>
                <w:szCs w:val="23"/>
              </w:rPr>
              <w:t>Refer to the Product Information for vaccination requirements.</w:t>
            </w:r>
          </w:p>
          <w:p w14:paraId="10D533C3" w14:textId="77777777" w:rsidR="00415377" w:rsidRPr="00415377" w:rsidRDefault="00415377" w:rsidP="005811AB">
            <w:pPr>
              <w:pStyle w:val="Default"/>
              <w:rPr>
                <w:i/>
                <w:iCs/>
                <w:sz w:val="22"/>
                <w:szCs w:val="22"/>
              </w:rPr>
            </w:pPr>
          </w:p>
          <w:p w14:paraId="6EC0FEF7" w14:textId="77777777" w:rsidR="00A3792D" w:rsidRPr="00A3792D" w:rsidRDefault="005811AB" w:rsidP="00A3792D">
            <w:pPr>
              <w:rPr>
                <w:i/>
                <w:iCs/>
              </w:rPr>
            </w:pPr>
            <w:r w:rsidRPr="00A3792D">
              <w:rPr>
                <w:i/>
                <w:iCs/>
              </w:rPr>
              <w:lastRenderedPageBreak/>
              <w:t>Adult patients</w:t>
            </w:r>
          </w:p>
          <w:p w14:paraId="517DE70E" w14:textId="772C04CC" w:rsidR="005811AB" w:rsidRDefault="005811AB" w:rsidP="00A3792D">
            <w:r>
              <w:t xml:space="preserve">The recommended dosing regimen consists of a loading dose followed by maintenance dosing, administered by intravenous infusion. The doses to be administered are based on the patient’s body weight: </w:t>
            </w:r>
          </w:p>
          <w:tbl>
            <w:tblPr>
              <w:tblStyle w:val="TableGrid1"/>
              <w:tblW w:w="0" w:type="auto"/>
              <w:tblLook w:val="0000" w:firstRow="0" w:lastRow="0" w:firstColumn="0" w:lastColumn="0" w:noHBand="0" w:noVBand="0"/>
            </w:tblPr>
            <w:tblGrid>
              <w:gridCol w:w="1527"/>
              <w:gridCol w:w="1128"/>
              <w:gridCol w:w="1523"/>
              <w:gridCol w:w="1805"/>
            </w:tblGrid>
            <w:tr w:rsidR="005811AB" w14:paraId="1A270113" w14:textId="77777777" w:rsidTr="00A3792D">
              <w:trPr>
                <w:trHeight w:val="239"/>
              </w:trPr>
              <w:tc>
                <w:tcPr>
                  <w:tcW w:w="1644" w:type="dxa"/>
                </w:tcPr>
                <w:p w14:paraId="4AAEB0F2" w14:textId="77777777" w:rsidR="005811AB" w:rsidRDefault="005811AB" w:rsidP="005811AB">
                  <w:pPr>
                    <w:pStyle w:val="Default"/>
                    <w:rPr>
                      <w:sz w:val="22"/>
                      <w:szCs w:val="22"/>
                    </w:rPr>
                  </w:pPr>
                  <w:r>
                    <w:rPr>
                      <w:b/>
                      <w:bCs/>
                      <w:sz w:val="22"/>
                      <w:szCs w:val="22"/>
                    </w:rPr>
                    <w:t xml:space="preserve">Body Weight Range (kg) </w:t>
                  </w:r>
                </w:p>
              </w:tc>
              <w:tc>
                <w:tcPr>
                  <w:tcW w:w="1148" w:type="dxa"/>
                </w:tcPr>
                <w:p w14:paraId="2AC70B0F" w14:textId="77777777" w:rsidR="005811AB" w:rsidRDefault="005811AB" w:rsidP="005811AB">
                  <w:pPr>
                    <w:pStyle w:val="Default"/>
                    <w:rPr>
                      <w:sz w:val="22"/>
                      <w:szCs w:val="22"/>
                    </w:rPr>
                  </w:pPr>
                  <w:r>
                    <w:rPr>
                      <w:b/>
                      <w:bCs/>
                      <w:sz w:val="22"/>
                      <w:szCs w:val="22"/>
                    </w:rPr>
                    <w:t xml:space="preserve">Loading Dose (mg) </w:t>
                  </w:r>
                </w:p>
              </w:tc>
              <w:tc>
                <w:tcPr>
                  <w:tcW w:w="1120" w:type="dxa"/>
                </w:tcPr>
                <w:p w14:paraId="30FFFB71" w14:textId="77777777" w:rsidR="005811AB" w:rsidRDefault="005811AB" w:rsidP="005811AB">
                  <w:pPr>
                    <w:pStyle w:val="Default"/>
                    <w:rPr>
                      <w:sz w:val="22"/>
                      <w:szCs w:val="22"/>
                    </w:rPr>
                  </w:pPr>
                  <w:r>
                    <w:rPr>
                      <w:b/>
                      <w:bCs/>
                      <w:sz w:val="22"/>
                      <w:szCs w:val="22"/>
                    </w:rPr>
                    <w:t xml:space="preserve">Maintenance Dose (mg) </w:t>
                  </w:r>
                </w:p>
              </w:tc>
              <w:tc>
                <w:tcPr>
                  <w:tcW w:w="1961" w:type="dxa"/>
                </w:tcPr>
                <w:p w14:paraId="675DF258" w14:textId="77777777" w:rsidR="005811AB" w:rsidRDefault="005811AB" w:rsidP="005811AB">
                  <w:pPr>
                    <w:pStyle w:val="Default"/>
                    <w:rPr>
                      <w:sz w:val="22"/>
                      <w:szCs w:val="22"/>
                    </w:rPr>
                  </w:pPr>
                  <w:r>
                    <w:rPr>
                      <w:b/>
                      <w:bCs/>
                      <w:sz w:val="22"/>
                      <w:szCs w:val="22"/>
                    </w:rPr>
                    <w:t xml:space="preserve">Dosing interval </w:t>
                  </w:r>
                </w:p>
              </w:tc>
            </w:tr>
            <w:tr w:rsidR="005811AB" w14:paraId="02DDF216" w14:textId="77777777" w:rsidTr="00A3792D">
              <w:trPr>
                <w:trHeight w:val="110"/>
              </w:trPr>
              <w:tc>
                <w:tcPr>
                  <w:tcW w:w="1644" w:type="dxa"/>
                </w:tcPr>
                <w:p w14:paraId="6560E6FA" w14:textId="77777777" w:rsidR="005811AB" w:rsidRDefault="005811AB" w:rsidP="005811AB">
                  <w:pPr>
                    <w:pStyle w:val="Default"/>
                    <w:rPr>
                      <w:sz w:val="22"/>
                      <w:szCs w:val="22"/>
                    </w:rPr>
                  </w:pPr>
                  <w:r>
                    <w:rPr>
                      <w:sz w:val="22"/>
                      <w:szCs w:val="22"/>
                    </w:rPr>
                    <w:t xml:space="preserve">≥ 40 to &lt; 60 </w:t>
                  </w:r>
                </w:p>
              </w:tc>
              <w:tc>
                <w:tcPr>
                  <w:tcW w:w="1148" w:type="dxa"/>
                </w:tcPr>
                <w:p w14:paraId="518A040C" w14:textId="77777777" w:rsidR="005811AB" w:rsidRDefault="005811AB" w:rsidP="005811AB">
                  <w:pPr>
                    <w:pStyle w:val="Default"/>
                    <w:rPr>
                      <w:sz w:val="22"/>
                      <w:szCs w:val="22"/>
                    </w:rPr>
                  </w:pPr>
                  <w:r>
                    <w:rPr>
                      <w:sz w:val="22"/>
                      <w:szCs w:val="22"/>
                    </w:rPr>
                    <w:t xml:space="preserve">2400 </w:t>
                  </w:r>
                </w:p>
              </w:tc>
              <w:tc>
                <w:tcPr>
                  <w:tcW w:w="1120" w:type="dxa"/>
                </w:tcPr>
                <w:p w14:paraId="36CA2A89" w14:textId="77777777" w:rsidR="005811AB" w:rsidRDefault="005811AB" w:rsidP="005811AB">
                  <w:pPr>
                    <w:pStyle w:val="Default"/>
                    <w:rPr>
                      <w:sz w:val="22"/>
                      <w:szCs w:val="22"/>
                    </w:rPr>
                  </w:pPr>
                  <w:r>
                    <w:rPr>
                      <w:sz w:val="22"/>
                      <w:szCs w:val="22"/>
                    </w:rPr>
                    <w:t xml:space="preserve">3000 </w:t>
                  </w:r>
                </w:p>
              </w:tc>
              <w:tc>
                <w:tcPr>
                  <w:tcW w:w="1961" w:type="dxa"/>
                </w:tcPr>
                <w:p w14:paraId="04CE8C03" w14:textId="77777777" w:rsidR="005811AB" w:rsidRDefault="005811AB" w:rsidP="005811AB">
                  <w:pPr>
                    <w:pStyle w:val="Default"/>
                    <w:rPr>
                      <w:sz w:val="22"/>
                      <w:szCs w:val="22"/>
                    </w:rPr>
                  </w:pPr>
                  <w:r>
                    <w:rPr>
                      <w:sz w:val="22"/>
                      <w:szCs w:val="22"/>
                    </w:rPr>
                    <w:t xml:space="preserve">Every 8 weeks </w:t>
                  </w:r>
                </w:p>
              </w:tc>
            </w:tr>
            <w:tr w:rsidR="005811AB" w14:paraId="24E72E22" w14:textId="77777777" w:rsidTr="00A3792D">
              <w:trPr>
                <w:trHeight w:val="110"/>
              </w:trPr>
              <w:tc>
                <w:tcPr>
                  <w:tcW w:w="1644" w:type="dxa"/>
                </w:tcPr>
                <w:p w14:paraId="179CE2CD" w14:textId="77777777" w:rsidR="005811AB" w:rsidRDefault="005811AB" w:rsidP="005811AB">
                  <w:pPr>
                    <w:pStyle w:val="Default"/>
                    <w:rPr>
                      <w:sz w:val="22"/>
                      <w:szCs w:val="22"/>
                    </w:rPr>
                  </w:pPr>
                  <w:r>
                    <w:rPr>
                      <w:sz w:val="22"/>
                      <w:szCs w:val="22"/>
                    </w:rPr>
                    <w:t xml:space="preserve">≥ 60 to &lt; 100 </w:t>
                  </w:r>
                </w:p>
              </w:tc>
              <w:tc>
                <w:tcPr>
                  <w:tcW w:w="1148" w:type="dxa"/>
                </w:tcPr>
                <w:p w14:paraId="78B59DC6" w14:textId="77777777" w:rsidR="005811AB" w:rsidRDefault="005811AB" w:rsidP="005811AB">
                  <w:pPr>
                    <w:pStyle w:val="Default"/>
                    <w:rPr>
                      <w:sz w:val="22"/>
                      <w:szCs w:val="22"/>
                    </w:rPr>
                  </w:pPr>
                  <w:r>
                    <w:rPr>
                      <w:sz w:val="22"/>
                      <w:szCs w:val="22"/>
                    </w:rPr>
                    <w:t xml:space="preserve">2700 </w:t>
                  </w:r>
                </w:p>
              </w:tc>
              <w:tc>
                <w:tcPr>
                  <w:tcW w:w="1120" w:type="dxa"/>
                </w:tcPr>
                <w:p w14:paraId="6A72BAD3" w14:textId="77777777" w:rsidR="005811AB" w:rsidRDefault="005811AB" w:rsidP="005811AB">
                  <w:pPr>
                    <w:pStyle w:val="Default"/>
                    <w:rPr>
                      <w:sz w:val="22"/>
                      <w:szCs w:val="22"/>
                    </w:rPr>
                  </w:pPr>
                  <w:r>
                    <w:rPr>
                      <w:sz w:val="22"/>
                      <w:szCs w:val="22"/>
                    </w:rPr>
                    <w:t xml:space="preserve">3300 </w:t>
                  </w:r>
                </w:p>
              </w:tc>
              <w:tc>
                <w:tcPr>
                  <w:tcW w:w="1961" w:type="dxa"/>
                </w:tcPr>
                <w:p w14:paraId="4E762145" w14:textId="77777777" w:rsidR="005811AB" w:rsidRDefault="005811AB" w:rsidP="005811AB">
                  <w:pPr>
                    <w:pStyle w:val="Default"/>
                    <w:rPr>
                      <w:sz w:val="22"/>
                      <w:szCs w:val="22"/>
                    </w:rPr>
                  </w:pPr>
                  <w:r>
                    <w:rPr>
                      <w:sz w:val="22"/>
                      <w:szCs w:val="22"/>
                    </w:rPr>
                    <w:t xml:space="preserve">Every 8 weeks </w:t>
                  </w:r>
                </w:p>
              </w:tc>
            </w:tr>
            <w:tr w:rsidR="005811AB" w14:paraId="41FA9D81" w14:textId="77777777" w:rsidTr="00A3792D">
              <w:trPr>
                <w:trHeight w:val="110"/>
              </w:trPr>
              <w:tc>
                <w:tcPr>
                  <w:tcW w:w="1644" w:type="dxa"/>
                </w:tcPr>
                <w:p w14:paraId="53E18E90" w14:textId="77777777" w:rsidR="005811AB" w:rsidRDefault="005811AB" w:rsidP="005811AB">
                  <w:pPr>
                    <w:pStyle w:val="Default"/>
                    <w:rPr>
                      <w:sz w:val="22"/>
                      <w:szCs w:val="22"/>
                    </w:rPr>
                  </w:pPr>
                  <w:r>
                    <w:rPr>
                      <w:sz w:val="22"/>
                      <w:szCs w:val="22"/>
                    </w:rPr>
                    <w:t xml:space="preserve">≥ 100 </w:t>
                  </w:r>
                </w:p>
              </w:tc>
              <w:tc>
                <w:tcPr>
                  <w:tcW w:w="1148" w:type="dxa"/>
                </w:tcPr>
                <w:p w14:paraId="0F271DB5" w14:textId="77777777" w:rsidR="005811AB" w:rsidRDefault="005811AB" w:rsidP="005811AB">
                  <w:pPr>
                    <w:pStyle w:val="Default"/>
                    <w:rPr>
                      <w:sz w:val="22"/>
                      <w:szCs w:val="22"/>
                    </w:rPr>
                  </w:pPr>
                  <w:r>
                    <w:rPr>
                      <w:sz w:val="22"/>
                      <w:szCs w:val="22"/>
                    </w:rPr>
                    <w:t xml:space="preserve">3000 </w:t>
                  </w:r>
                </w:p>
              </w:tc>
              <w:tc>
                <w:tcPr>
                  <w:tcW w:w="1120" w:type="dxa"/>
                </w:tcPr>
                <w:p w14:paraId="6AAB51BD" w14:textId="77777777" w:rsidR="005811AB" w:rsidRDefault="005811AB" w:rsidP="005811AB">
                  <w:pPr>
                    <w:pStyle w:val="Default"/>
                    <w:rPr>
                      <w:sz w:val="22"/>
                      <w:szCs w:val="22"/>
                    </w:rPr>
                  </w:pPr>
                  <w:r>
                    <w:rPr>
                      <w:sz w:val="22"/>
                      <w:szCs w:val="22"/>
                    </w:rPr>
                    <w:t xml:space="preserve">3600 </w:t>
                  </w:r>
                </w:p>
              </w:tc>
              <w:tc>
                <w:tcPr>
                  <w:tcW w:w="1961" w:type="dxa"/>
                </w:tcPr>
                <w:p w14:paraId="496BA736" w14:textId="0E6C4728" w:rsidR="005811AB" w:rsidRDefault="005811AB" w:rsidP="005811AB">
                  <w:pPr>
                    <w:pStyle w:val="Default"/>
                    <w:rPr>
                      <w:sz w:val="22"/>
                      <w:szCs w:val="22"/>
                    </w:rPr>
                  </w:pPr>
                  <w:r>
                    <w:rPr>
                      <w:sz w:val="22"/>
                      <w:szCs w:val="22"/>
                    </w:rPr>
                    <w:t>Every 8 we</w:t>
                  </w:r>
                  <w:r w:rsidR="00415377">
                    <w:rPr>
                      <w:sz w:val="22"/>
                      <w:szCs w:val="22"/>
                    </w:rPr>
                    <w:t>eks</w:t>
                  </w:r>
                </w:p>
              </w:tc>
            </w:tr>
          </w:tbl>
          <w:p w14:paraId="1246B144" w14:textId="64E2471D" w:rsidR="005811AB" w:rsidRDefault="005811AB" w:rsidP="00A3792D">
            <w:r>
              <w:t>Maintenance doses should be administered at a once every 8</w:t>
            </w:r>
            <w:r w:rsidR="002F63B1">
              <w:noBreakHyphen/>
            </w:r>
            <w:r>
              <w:t>week interval, starting 2 weeks after loading dose administration</w:t>
            </w:r>
          </w:p>
          <w:p w14:paraId="36F0B146" w14:textId="77777777" w:rsidR="00856026" w:rsidRDefault="005811AB" w:rsidP="005811AB">
            <w:pPr>
              <w:pStyle w:val="Default"/>
              <w:rPr>
                <w:i/>
                <w:iCs/>
                <w:sz w:val="22"/>
                <w:szCs w:val="22"/>
              </w:rPr>
            </w:pPr>
            <w:r>
              <w:rPr>
                <w:i/>
                <w:iCs/>
                <w:sz w:val="22"/>
                <w:szCs w:val="22"/>
              </w:rPr>
              <w:t>Paediatric patients</w:t>
            </w:r>
          </w:p>
          <w:p w14:paraId="5BC312CC" w14:textId="660DB549" w:rsidR="005811AB" w:rsidRDefault="005811AB" w:rsidP="005811AB">
            <w:pPr>
              <w:rPr>
                <w:szCs w:val="22"/>
              </w:rPr>
            </w:pPr>
            <w:r>
              <w:rPr>
                <w:szCs w:val="22"/>
              </w:rPr>
              <w:t>Paediatric patients who weigh 40 kg</w:t>
            </w:r>
            <w:r w:rsidR="00A3792D">
              <w:rPr>
                <w:szCs w:val="22"/>
              </w:rPr>
              <w:t xml:space="preserve"> or more</w:t>
            </w:r>
            <w:r>
              <w:rPr>
                <w:szCs w:val="22"/>
              </w:rPr>
              <w:t xml:space="preserve"> are treated with the adult dosing recommendations above. The weight-based dosing recommendation and dosing interval for paediatric patients </w:t>
            </w:r>
            <w:r w:rsidR="00415377">
              <w:rPr>
                <w:szCs w:val="22"/>
              </w:rPr>
              <w:t xml:space="preserve">less than </w:t>
            </w:r>
            <w:r>
              <w:rPr>
                <w:szCs w:val="22"/>
              </w:rPr>
              <w:t>40 kg are</w:t>
            </w:r>
            <w:r w:rsidR="00415377">
              <w:rPr>
                <w:szCs w:val="22"/>
              </w:rPr>
              <w:t>:</w:t>
            </w:r>
          </w:p>
          <w:tbl>
            <w:tblPr>
              <w:tblStyle w:val="TableGrid1"/>
              <w:tblW w:w="0" w:type="auto"/>
              <w:tblLook w:val="0000" w:firstRow="0" w:lastRow="0" w:firstColumn="0" w:lastColumn="0" w:noHBand="0" w:noVBand="0"/>
            </w:tblPr>
            <w:tblGrid>
              <w:gridCol w:w="1483"/>
              <w:gridCol w:w="1121"/>
              <w:gridCol w:w="1523"/>
              <w:gridCol w:w="1746"/>
            </w:tblGrid>
            <w:tr w:rsidR="00415377" w14:paraId="69308930" w14:textId="77777777" w:rsidTr="00A3792D">
              <w:trPr>
                <w:trHeight w:val="239"/>
              </w:trPr>
              <w:tc>
                <w:tcPr>
                  <w:tcW w:w="1483" w:type="dxa"/>
                </w:tcPr>
                <w:p w14:paraId="3767CE10" w14:textId="77777777" w:rsidR="00415377" w:rsidRDefault="00415377" w:rsidP="00415377">
                  <w:pPr>
                    <w:pStyle w:val="Default"/>
                    <w:rPr>
                      <w:sz w:val="22"/>
                      <w:szCs w:val="22"/>
                    </w:rPr>
                  </w:pPr>
                  <w:r>
                    <w:rPr>
                      <w:b/>
                      <w:bCs/>
                      <w:sz w:val="22"/>
                      <w:szCs w:val="22"/>
                    </w:rPr>
                    <w:t xml:space="preserve">Body Weight Range (kg) </w:t>
                  </w:r>
                </w:p>
              </w:tc>
              <w:tc>
                <w:tcPr>
                  <w:tcW w:w="1121" w:type="dxa"/>
                </w:tcPr>
                <w:p w14:paraId="2459191A" w14:textId="77777777" w:rsidR="00415377" w:rsidRDefault="00415377" w:rsidP="00415377">
                  <w:pPr>
                    <w:pStyle w:val="Default"/>
                    <w:rPr>
                      <w:sz w:val="22"/>
                      <w:szCs w:val="22"/>
                    </w:rPr>
                  </w:pPr>
                  <w:r>
                    <w:rPr>
                      <w:b/>
                      <w:bCs/>
                      <w:sz w:val="22"/>
                      <w:szCs w:val="22"/>
                    </w:rPr>
                    <w:t xml:space="preserve">Loading Dose (mg) </w:t>
                  </w:r>
                </w:p>
              </w:tc>
              <w:tc>
                <w:tcPr>
                  <w:tcW w:w="1523" w:type="dxa"/>
                </w:tcPr>
                <w:p w14:paraId="0924B365" w14:textId="77777777" w:rsidR="00415377" w:rsidRDefault="00415377" w:rsidP="00415377">
                  <w:pPr>
                    <w:pStyle w:val="Default"/>
                    <w:rPr>
                      <w:sz w:val="22"/>
                      <w:szCs w:val="22"/>
                    </w:rPr>
                  </w:pPr>
                  <w:r>
                    <w:rPr>
                      <w:b/>
                      <w:bCs/>
                      <w:sz w:val="22"/>
                      <w:szCs w:val="22"/>
                    </w:rPr>
                    <w:t xml:space="preserve">Maintenance Dose (mg) </w:t>
                  </w:r>
                </w:p>
              </w:tc>
              <w:tc>
                <w:tcPr>
                  <w:tcW w:w="1746" w:type="dxa"/>
                </w:tcPr>
                <w:p w14:paraId="6002DEF7" w14:textId="77777777" w:rsidR="00415377" w:rsidRDefault="00415377" w:rsidP="00415377">
                  <w:pPr>
                    <w:pStyle w:val="Default"/>
                    <w:rPr>
                      <w:sz w:val="22"/>
                      <w:szCs w:val="22"/>
                    </w:rPr>
                  </w:pPr>
                  <w:r>
                    <w:rPr>
                      <w:b/>
                      <w:bCs/>
                      <w:sz w:val="22"/>
                      <w:szCs w:val="22"/>
                    </w:rPr>
                    <w:t xml:space="preserve">Dosing interval </w:t>
                  </w:r>
                </w:p>
              </w:tc>
            </w:tr>
            <w:tr w:rsidR="00415377" w14:paraId="15169528" w14:textId="77777777" w:rsidTr="00A3792D">
              <w:trPr>
                <w:trHeight w:val="110"/>
              </w:trPr>
              <w:tc>
                <w:tcPr>
                  <w:tcW w:w="1483" w:type="dxa"/>
                </w:tcPr>
                <w:p w14:paraId="060BE004" w14:textId="5C0A7F7B" w:rsidR="00415377" w:rsidRDefault="00415377" w:rsidP="00415377">
                  <w:pPr>
                    <w:pStyle w:val="Default"/>
                    <w:rPr>
                      <w:sz w:val="22"/>
                      <w:szCs w:val="22"/>
                    </w:rPr>
                  </w:pPr>
                  <w:r w:rsidRPr="005811AB">
                    <w:rPr>
                      <w:szCs w:val="22"/>
                    </w:rPr>
                    <w:t xml:space="preserve">≥ 5 to &lt; 10 </w:t>
                  </w:r>
                </w:p>
              </w:tc>
              <w:tc>
                <w:tcPr>
                  <w:tcW w:w="1121" w:type="dxa"/>
                </w:tcPr>
                <w:p w14:paraId="109DAA4F" w14:textId="19C972DE" w:rsidR="00415377" w:rsidRDefault="00415377" w:rsidP="00415377">
                  <w:pPr>
                    <w:pStyle w:val="Default"/>
                    <w:rPr>
                      <w:sz w:val="22"/>
                      <w:szCs w:val="22"/>
                    </w:rPr>
                  </w:pPr>
                  <w:r w:rsidRPr="005811AB">
                    <w:rPr>
                      <w:szCs w:val="22"/>
                    </w:rPr>
                    <w:t xml:space="preserve">600 </w:t>
                  </w:r>
                </w:p>
              </w:tc>
              <w:tc>
                <w:tcPr>
                  <w:tcW w:w="1523" w:type="dxa"/>
                </w:tcPr>
                <w:p w14:paraId="0B9B5CAA" w14:textId="604878AD" w:rsidR="00415377" w:rsidRDefault="00415377" w:rsidP="00415377">
                  <w:pPr>
                    <w:pStyle w:val="Default"/>
                    <w:rPr>
                      <w:sz w:val="22"/>
                      <w:szCs w:val="22"/>
                    </w:rPr>
                  </w:pPr>
                  <w:r w:rsidRPr="005811AB">
                    <w:rPr>
                      <w:szCs w:val="22"/>
                    </w:rPr>
                    <w:t xml:space="preserve">300 </w:t>
                  </w:r>
                </w:p>
              </w:tc>
              <w:tc>
                <w:tcPr>
                  <w:tcW w:w="1746" w:type="dxa"/>
                </w:tcPr>
                <w:p w14:paraId="623E8F91" w14:textId="574A705E" w:rsidR="00415377" w:rsidRDefault="00415377" w:rsidP="00415377">
                  <w:pPr>
                    <w:pStyle w:val="Default"/>
                    <w:rPr>
                      <w:sz w:val="22"/>
                      <w:szCs w:val="22"/>
                    </w:rPr>
                  </w:pPr>
                  <w:r w:rsidRPr="005811AB">
                    <w:rPr>
                      <w:szCs w:val="22"/>
                    </w:rPr>
                    <w:t xml:space="preserve">Every 4 weeks </w:t>
                  </w:r>
                </w:p>
              </w:tc>
            </w:tr>
            <w:tr w:rsidR="00415377" w14:paraId="0727EB2F" w14:textId="77777777" w:rsidTr="00A3792D">
              <w:trPr>
                <w:trHeight w:val="110"/>
              </w:trPr>
              <w:tc>
                <w:tcPr>
                  <w:tcW w:w="1483" w:type="dxa"/>
                </w:tcPr>
                <w:p w14:paraId="1E64CD17" w14:textId="5DC5B916" w:rsidR="00415377" w:rsidRDefault="00415377" w:rsidP="00415377">
                  <w:pPr>
                    <w:pStyle w:val="Default"/>
                    <w:rPr>
                      <w:sz w:val="22"/>
                      <w:szCs w:val="22"/>
                    </w:rPr>
                  </w:pPr>
                  <w:r w:rsidRPr="005811AB">
                    <w:rPr>
                      <w:szCs w:val="22"/>
                    </w:rPr>
                    <w:t xml:space="preserve">≥ 10 to &lt; 20 </w:t>
                  </w:r>
                </w:p>
              </w:tc>
              <w:tc>
                <w:tcPr>
                  <w:tcW w:w="1121" w:type="dxa"/>
                </w:tcPr>
                <w:p w14:paraId="1C1CAF9E" w14:textId="055A7343" w:rsidR="00415377" w:rsidRDefault="00415377" w:rsidP="00415377">
                  <w:pPr>
                    <w:pStyle w:val="Default"/>
                    <w:rPr>
                      <w:sz w:val="22"/>
                      <w:szCs w:val="22"/>
                    </w:rPr>
                  </w:pPr>
                  <w:r w:rsidRPr="005811AB">
                    <w:rPr>
                      <w:szCs w:val="22"/>
                    </w:rPr>
                    <w:t xml:space="preserve">600 </w:t>
                  </w:r>
                </w:p>
              </w:tc>
              <w:tc>
                <w:tcPr>
                  <w:tcW w:w="1523" w:type="dxa"/>
                </w:tcPr>
                <w:p w14:paraId="138A0616" w14:textId="7A0484E3" w:rsidR="00415377" w:rsidRDefault="00415377" w:rsidP="00415377">
                  <w:pPr>
                    <w:pStyle w:val="Default"/>
                    <w:rPr>
                      <w:sz w:val="22"/>
                      <w:szCs w:val="22"/>
                    </w:rPr>
                  </w:pPr>
                  <w:r w:rsidRPr="005811AB">
                    <w:rPr>
                      <w:szCs w:val="22"/>
                    </w:rPr>
                    <w:t xml:space="preserve">600 </w:t>
                  </w:r>
                </w:p>
              </w:tc>
              <w:tc>
                <w:tcPr>
                  <w:tcW w:w="1746" w:type="dxa"/>
                </w:tcPr>
                <w:p w14:paraId="31182A9F" w14:textId="1A6AF779" w:rsidR="00415377" w:rsidRDefault="00415377" w:rsidP="00415377">
                  <w:pPr>
                    <w:pStyle w:val="Default"/>
                    <w:rPr>
                      <w:sz w:val="22"/>
                      <w:szCs w:val="22"/>
                    </w:rPr>
                  </w:pPr>
                  <w:r w:rsidRPr="005811AB">
                    <w:rPr>
                      <w:szCs w:val="22"/>
                    </w:rPr>
                    <w:t xml:space="preserve">Every 4 weeks </w:t>
                  </w:r>
                </w:p>
              </w:tc>
            </w:tr>
            <w:tr w:rsidR="00415377" w14:paraId="16647319" w14:textId="77777777" w:rsidTr="00A3792D">
              <w:trPr>
                <w:trHeight w:val="110"/>
              </w:trPr>
              <w:tc>
                <w:tcPr>
                  <w:tcW w:w="1483" w:type="dxa"/>
                </w:tcPr>
                <w:p w14:paraId="21762040" w14:textId="14A48BF1" w:rsidR="00415377" w:rsidRDefault="00415377" w:rsidP="00415377">
                  <w:pPr>
                    <w:pStyle w:val="Default"/>
                    <w:rPr>
                      <w:sz w:val="22"/>
                      <w:szCs w:val="22"/>
                    </w:rPr>
                  </w:pPr>
                  <w:r w:rsidRPr="005811AB">
                    <w:rPr>
                      <w:szCs w:val="22"/>
                    </w:rPr>
                    <w:t xml:space="preserve">≥ 20 to &lt; 30 </w:t>
                  </w:r>
                </w:p>
              </w:tc>
              <w:tc>
                <w:tcPr>
                  <w:tcW w:w="1121" w:type="dxa"/>
                </w:tcPr>
                <w:p w14:paraId="4BBFF73D" w14:textId="07994BC2" w:rsidR="00415377" w:rsidRDefault="00415377" w:rsidP="00415377">
                  <w:pPr>
                    <w:pStyle w:val="Default"/>
                    <w:rPr>
                      <w:sz w:val="22"/>
                      <w:szCs w:val="22"/>
                    </w:rPr>
                  </w:pPr>
                  <w:r w:rsidRPr="005811AB">
                    <w:rPr>
                      <w:szCs w:val="22"/>
                    </w:rPr>
                    <w:t xml:space="preserve">900 </w:t>
                  </w:r>
                </w:p>
              </w:tc>
              <w:tc>
                <w:tcPr>
                  <w:tcW w:w="1523" w:type="dxa"/>
                </w:tcPr>
                <w:p w14:paraId="1E7CBDA6" w14:textId="1EFC1597" w:rsidR="00415377" w:rsidRDefault="00415377" w:rsidP="00415377">
                  <w:pPr>
                    <w:pStyle w:val="Default"/>
                    <w:rPr>
                      <w:sz w:val="22"/>
                      <w:szCs w:val="22"/>
                    </w:rPr>
                  </w:pPr>
                  <w:r w:rsidRPr="005811AB">
                    <w:rPr>
                      <w:szCs w:val="22"/>
                    </w:rPr>
                    <w:t xml:space="preserve">2100 </w:t>
                  </w:r>
                </w:p>
              </w:tc>
              <w:tc>
                <w:tcPr>
                  <w:tcW w:w="1746" w:type="dxa"/>
                </w:tcPr>
                <w:p w14:paraId="32843EA8" w14:textId="47D4F99A" w:rsidR="00415377" w:rsidRDefault="00415377" w:rsidP="00415377">
                  <w:pPr>
                    <w:pStyle w:val="Default"/>
                    <w:rPr>
                      <w:sz w:val="22"/>
                      <w:szCs w:val="22"/>
                    </w:rPr>
                  </w:pPr>
                  <w:r w:rsidRPr="005811AB">
                    <w:rPr>
                      <w:szCs w:val="22"/>
                    </w:rPr>
                    <w:t xml:space="preserve">Every 8 weeks </w:t>
                  </w:r>
                </w:p>
              </w:tc>
            </w:tr>
            <w:tr w:rsidR="00415377" w14:paraId="542DF84C" w14:textId="77777777" w:rsidTr="00A3792D">
              <w:trPr>
                <w:trHeight w:val="110"/>
              </w:trPr>
              <w:tc>
                <w:tcPr>
                  <w:tcW w:w="1483" w:type="dxa"/>
                </w:tcPr>
                <w:p w14:paraId="60C7DB49" w14:textId="5078682E" w:rsidR="00415377" w:rsidRDefault="00415377" w:rsidP="00415377">
                  <w:pPr>
                    <w:pStyle w:val="Default"/>
                    <w:rPr>
                      <w:sz w:val="22"/>
                      <w:szCs w:val="22"/>
                    </w:rPr>
                  </w:pPr>
                  <w:r w:rsidRPr="005811AB">
                    <w:rPr>
                      <w:szCs w:val="22"/>
                    </w:rPr>
                    <w:t xml:space="preserve">≥ 30 to &lt; 40 </w:t>
                  </w:r>
                </w:p>
              </w:tc>
              <w:tc>
                <w:tcPr>
                  <w:tcW w:w="1121" w:type="dxa"/>
                </w:tcPr>
                <w:p w14:paraId="6E347C1F" w14:textId="36418161" w:rsidR="00415377" w:rsidRDefault="00415377" w:rsidP="00415377">
                  <w:pPr>
                    <w:pStyle w:val="Default"/>
                    <w:rPr>
                      <w:sz w:val="22"/>
                      <w:szCs w:val="22"/>
                    </w:rPr>
                  </w:pPr>
                  <w:r w:rsidRPr="005811AB">
                    <w:rPr>
                      <w:szCs w:val="22"/>
                    </w:rPr>
                    <w:t xml:space="preserve">1200 </w:t>
                  </w:r>
                </w:p>
              </w:tc>
              <w:tc>
                <w:tcPr>
                  <w:tcW w:w="1523" w:type="dxa"/>
                </w:tcPr>
                <w:p w14:paraId="6E8AB416" w14:textId="0A0D49D2" w:rsidR="00415377" w:rsidRDefault="00415377" w:rsidP="00415377">
                  <w:pPr>
                    <w:pStyle w:val="Default"/>
                    <w:rPr>
                      <w:sz w:val="22"/>
                      <w:szCs w:val="22"/>
                    </w:rPr>
                  </w:pPr>
                  <w:r w:rsidRPr="005811AB">
                    <w:rPr>
                      <w:szCs w:val="22"/>
                    </w:rPr>
                    <w:t xml:space="preserve">2700 </w:t>
                  </w:r>
                </w:p>
              </w:tc>
              <w:tc>
                <w:tcPr>
                  <w:tcW w:w="1746" w:type="dxa"/>
                </w:tcPr>
                <w:p w14:paraId="5A2B8F86" w14:textId="3AD5C020" w:rsidR="00415377" w:rsidRDefault="00415377" w:rsidP="00415377">
                  <w:pPr>
                    <w:pStyle w:val="Default"/>
                    <w:rPr>
                      <w:sz w:val="22"/>
                      <w:szCs w:val="22"/>
                    </w:rPr>
                  </w:pPr>
                  <w:r w:rsidRPr="005811AB">
                    <w:rPr>
                      <w:szCs w:val="22"/>
                    </w:rPr>
                    <w:t xml:space="preserve">Every 8 weeks </w:t>
                  </w:r>
                </w:p>
              </w:tc>
            </w:tr>
          </w:tbl>
          <w:p w14:paraId="3D0B2D5C" w14:textId="77777777" w:rsidR="005811AB" w:rsidRPr="00BD5DBD" w:rsidRDefault="005811AB" w:rsidP="005811AB">
            <w:pPr>
              <w:rPr>
                <w:szCs w:val="22"/>
              </w:rPr>
            </w:pPr>
            <w:r w:rsidRPr="00BD5DBD">
              <w:rPr>
                <w:szCs w:val="22"/>
              </w:rPr>
              <w:t>For further information regarding dosage, refer to the Product Information.</w:t>
            </w:r>
          </w:p>
        </w:tc>
      </w:tr>
    </w:tbl>
    <w:p w14:paraId="28697DCB" w14:textId="5FBBE61B" w:rsidR="002F63B1" w:rsidRPr="008F6E08" w:rsidRDefault="002F63B1" w:rsidP="0035187D">
      <w:pPr>
        <w:spacing w:before="0"/>
      </w:pPr>
      <w:bookmarkStart w:id="12" w:name="_Toc247691503"/>
      <w:bookmarkStart w:id="13" w:name="_Toc314842484"/>
      <w:bookmarkStart w:id="14" w:name="_Toc103679290"/>
      <w:r>
        <w:lastRenderedPageBreak/>
        <w:br w:type="page"/>
      </w:r>
    </w:p>
    <w:p w14:paraId="51F2479F" w14:textId="65CAD850" w:rsidR="00324B33" w:rsidRDefault="00324B33" w:rsidP="00324B33">
      <w:pPr>
        <w:pStyle w:val="Heading3"/>
      </w:pPr>
      <w:bookmarkStart w:id="15" w:name="_Toc135662371"/>
      <w:r>
        <w:lastRenderedPageBreak/>
        <w:t>Product background</w:t>
      </w:r>
      <w:bookmarkEnd w:id="12"/>
      <w:bookmarkEnd w:id="13"/>
      <w:bookmarkEnd w:id="14"/>
      <w:bookmarkEnd w:id="15"/>
    </w:p>
    <w:p w14:paraId="56B27CF2" w14:textId="4B55E299" w:rsidR="00324B33" w:rsidRPr="00BD5DBD" w:rsidRDefault="00324B33" w:rsidP="001700D5">
      <w:r w:rsidRPr="00BD5DBD">
        <w:t xml:space="preserve">This AusPAR describes the submission by </w:t>
      </w:r>
      <w:r w:rsidR="00415377" w:rsidRPr="00415377">
        <w:t>Alexion Pharmaceuticals Australasia Pty Ltd</w:t>
      </w:r>
      <w:r w:rsidR="00A3792D">
        <w:t xml:space="preserve"> </w:t>
      </w:r>
      <w:r w:rsidRPr="00BD5DBD">
        <w:t xml:space="preserve">(the sponsor) to register </w:t>
      </w:r>
      <w:r w:rsidR="00472EEA">
        <w:t>Ultomiris</w:t>
      </w:r>
      <w:r w:rsidR="00415377" w:rsidRPr="00415377">
        <w:t xml:space="preserve"> </w:t>
      </w:r>
      <w:r w:rsidR="00A3792D">
        <w:t>r</w:t>
      </w:r>
      <w:r w:rsidR="00415377" w:rsidRPr="00415377">
        <w:t xml:space="preserve">avulizumab </w:t>
      </w:r>
      <w:r w:rsidR="00A3792D">
        <w:t>300 mg in 30 mL (</w:t>
      </w:r>
      <w:r w:rsidR="00415377">
        <w:t>10 mg/mL</w:t>
      </w:r>
      <w:r w:rsidR="00A3792D">
        <w:t>)</w:t>
      </w:r>
      <w:r w:rsidR="00415377">
        <w:t>, 300 mg in 3 mL (100</w:t>
      </w:r>
      <w:r w:rsidR="00A3792D">
        <w:t> </w:t>
      </w:r>
      <w:r w:rsidR="00415377">
        <w:t xml:space="preserve">mg/mL), </w:t>
      </w:r>
      <w:r w:rsidR="002F63B1">
        <w:t xml:space="preserve">and </w:t>
      </w:r>
      <w:r w:rsidR="00415377">
        <w:t>1100 mg in 11 mL (100 mg/mL) concentrated solution for injection by intravenous infusion vial for</w:t>
      </w:r>
      <w:r w:rsidRPr="00BD5DBD">
        <w:t xml:space="preserve"> </w:t>
      </w:r>
      <w:r w:rsidR="002F63B1">
        <w:t>an</w:t>
      </w:r>
      <w:r w:rsidRPr="00BD5DBD">
        <w:t xml:space="preserve"> extension of indication</w:t>
      </w:r>
      <w:r w:rsidR="00415377">
        <w:t xml:space="preserve">s to </w:t>
      </w:r>
      <w:r w:rsidR="002F63B1">
        <w:t xml:space="preserve">include treatment of </w:t>
      </w:r>
      <w:r w:rsidR="00415377">
        <w:t>paediatric patients with paroxysmal nocturnal haemoglobinuria (PNH)</w:t>
      </w:r>
      <w:r w:rsidR="00EE060E">
        <w:t xml:space="preserve"> and for the treatment of patients with </w:t>
      </w:r>
      <w:r w:rsidR="001700D5">
        <w:t>a</w:t>
      </w:r>
      <w:r w:rsidR="00EE060E">
        <w:t>typical h</w:t>
      </w:r>
      <w:r w:rsidR="004537EB">
        <w:t>a</w:t>
      </w:r>
      <w:r w:rsidR="00EE060E">
        <w:t>emolytic uraemic syndrome (aHUS) as follows</w:t>
      </w:r>
      <w:r w:rsidRPr="00BD5DBD">
        <w:t>:</w:t>
      </w:r>
      <w:r w:rsidR="00D63760" w:rsidRPr="00BD5DBD">
        <w:rPr>
          <w:rStyle w:val="FootnoteReference"/>
          <w:szCs w:val="22"/>
        </w:rPr>
        <w:footnoteReference w:id="2"/>
      </w:r>
    </w:p>
    <w:p w14:paraId="16719ED3" w14:textId="655EB9D4" w:rsidR="00415377" w:rsidRPr="00415377" w:rsidRDefault="00472EEA" w:rsidP="00415377">
      <w:pPr>
        <w:ind w:left="360"/>
        <w:rPr>
          <w:i/>
          <w:iCs/>
        </w:rPr>
      </w:pPr>
      <w:r>
        <w:rPr>
          <w:i/>
          <w:iCs/>
        </w:rPr>
        <w:t>Ultomiris</w:t>
      </w:r>
      <w:r w:rsidR="00415377" w:rsidRPr="00415377">
        <w:rPr>
          <w:i/>
          <w:iCs/>
        </w:rPr>
        <w:t xml:space="preserve"> is indicated for the treatment of patients </w:t>
      </w:r>
      <w:proofErr w:type="gramStart"/>
      <w:r w:rsidR="00415377" w:rsidRPr="00415377">
        <w:rPr>
          <w:i/>
          <w:iCs/>
        </w:rPr>
        <w:t>with;</w:t>
      </w:r>
      <w:proofErr w:type="gramEnd"/>
    </w:p>
    <w:p w14:paraId="1FE6BAAE" w14:textId="6525312E" w:rsidR="00415377" w:rsidRPr="00415377" w:rsidRDefault="00415377" w:rsidP="00415377">
      <w:pPr>
        <w:pStyle w:val="ListBullet"/>
        <w:ind w:left="720"/>
        <w:rPr>
          <w:i/>
          <w:iCs/>
        </w:rPr>
      </w:pPr>
      <w:r w:rsidRPr="00415377">
        <w:rPr>
          <w:i/>
          <w:iCs/>
        </w:rPr>
        <w:t>Paroxysmal Nocturnal Haemoglobinuria (PNH)</w:t>
      </w:r>
    </w:p>
    <w:p w14:paraId="74DE4336" w14:textId="5945B5C9" w:rsidR="00415377" w:rsidRPr="00415377" w:rsidRDefault="00415377" w:rsidP="00415377">
      <w:pPr>
        <w:pStyle w:val="ListBullet"/>
        <w:ind w:left="720"/>
        <w:rPr>
          <w:i/>
          <w:iCs/>
        </w:rPr>
      </w:pPr>
      <w:r w:rsidRPr="00415377">
        <w:rPr>
          <w:i/>
          <w:iCs/>
        </w:rPr>
        <w:t>Atypical Haemolytic Uraemic Syndrome (aHUS)</w:t>
      </w:r>
    </w:p>
    <w:p w14:paraId="5C03A9EC" w14:textId="23C1EEAD" w:rsidR="00EE060E" w:rsidRDefault="00EE060E" w:rsidP="001700D5">
      <w:bookmarkStart w:id="16" w:name="_Toc314842485"/>
      <w:bookmarkStart w:id="17" w:name="_Toc247691504"/>
      <w:r>
        <w:t>Paroxysmal nocturnal haemoglobinuria (PNH) is a rare, progressive, life-threatening disease</w:t>
      </w:r>
      <w:r w:rsidR="001700D5">
        <w:t xml:space="preserve"> </w:t>
      </w:r>
      <w:r>
        <w:t xml:space="preserve">characterised by complement-mediated haemolysis, thrombosis, and bone marrow failure. PNH is almost always caused by a somatic mutation in the </w:t>
      </w:r>
      <w:r w:rsidRPr="00EE060E">
        <w:rPr>
          <w:i/>
          <w:iCs/>
        </w:rPr>
        <w:t xml:space="preserve">PIGA </w:t>
      </w:r>
      <w:r>
        <w:t xml:space="preserve">gene, resulting in deficiency of the complement-inhibitory proteins CD55 and CD59 on haematopoietic stem cell surfaces and </w:t>
      </w:r>
      <w:r w:rsidRPr="00EE060E">
        <w:t>consequent uncontrolled complement activation that accounts for intravascular haemolysis and other PNH manifestations.</w:t>
      </w:r>
      <w:bookmarkStart w:id="18" w:name="_Ref131079257"/>
      <w:r>
        <w:rPr>
          <w:rStyle w:val="FootnoteReference"/>
        </w:rPr>
        <w:footnoteReference w:id="3"/>
      </w:r>
      <w:bookmarkEnd w:id="18"/>
    </w:p>
    <w:p w14:paraId="2442DFE6" w14:textId="389EA8D6" w:rsidR="00EE060E" w:rsidRDefault="00EE060E" w:rsidP="001700D5">
      <w:r>
        <w:t>The estimated worldwide incidence of PNH is 1.3 per million population.</w:t>
      </w:r>
      <w:r>
        <w:rPr>
          <w:rStyle w:val="FootnoteReference"/>
        </w:rPr>
        <w:footnoteReference w:id="4"/>
      </w:r>
      <w:r>
        <w:t xml:space="preserve"> PNH primarily affects adults, with a median age on onset in the thirties.</w:t>
      </w:r>
      <w:bookmarkStart w:id="19" w:name="_Ref131079221"/>
      <w:r>
        <w:rPr>
          <w:rStyle w:val="FootnoteReference"/>
        </w:rPr>
        <w:footnoteReference w:id="5"/>
      </w:r>
      <w:bookmarkEnd w:id="19"/>
      <w:r>
        <w:t xml:space="preserve"> Paediatric cases account for 5</w:t>
      </w:r>
      <w:r w:rsidR="004537EB">
        <w:t xml:space="preserve"> to </w:t>
      </w:r>
      <w:r>
        <w:t>10% of reported cases of PNH.</w:t>
      </w:r>
    </w:p>
    <w:p w14:paraId="209D4D05" w14:textId="0D06167C" w:rsidR="00A3792D" w:rsidRDefault="005F3F4F" w:rsidP="001700D5">
      <w:r w:rsidRPr="005F3F4F">
        <w:t>Paroxysmal nocturnal haemoglobinuria</w:t>
      </w:r>
      <w:r w:rsidR="00EE060E" w:rsidRPr="005B44DC">
        <w:t xml:space="preserve"> can present with symptoms and signs relating to anaemia, bone marrow dysfunction, thrombosis, smooth muscle </w:t>
      </w:r>
      <w:proofErr w:type="spellStart"/>
      <w:r w:rsidR="00EE060E" w:rsidRPr="005B44DC">
        <w:t>dystonias</w:t>
      </w:r>
      <w:proofErr w:type="spellEnd"/>
      <w:r w:rsidR="00EE060E">
        <w:t xml:space="preserve"> (including abdominal pain, dysphagia,</w:t>
      </w:r>
      <w:r w:rsidR="002F63B1">
        <w:t xml:space="preserve"> and</w:t>
      </w:r>
      <w:r w:rsidR="00EE060E">
        <w:t xml:space="preserve"> erectile dysfunction)</w:t>
      </w:r>
      <w:r w:rsidR="00EE060E" w:rsidRPr="005B44DC">
        <w:t xml:space="preserve"> and renal insufficiency. </w:t>
      </w:r>
      <w:r w:rsidR="00EE060E">
        <w:t>Children with PNH usually present with symptoms of underlying bone marrow disorder, with bone marrow failure syndromes, such as aplastic anaemia and refractory cytopenia, more frequent in children.</w:t>
      </w:r>
      <w:r w:rsidR="00EE060E">
        <w:rPr>
          <w:rStyle w:val="FootnoteReference"/>
        </w:rPr>
        <w:footnoteReference w:id="6"/>
      </w:r>
    </w:p>
    <w:p w14:paraId="57752553" w14:textId="4619D33B" w:rsidR="001700D5" w:rsidRDefault="00EE060E" w:rsidP="001700D5">
      <w:r w:rsidRPr="00EE060E">
        <w:t>Diagnosis is based on clinical findings and flow cytometry. PNH can be classified as</w:t>
      </w:r>
      <w:r w:rsidR="001700D5">
        <w:t>:</w:t>
      </w:r>
      <w:r w:rsidR="001700D5">
        <w:fldChar w:fldCharType="begin"/>
      </w:r>
      <w:r w:rsidR="001700D5">
        <w:instrText xml:space="preserve"> NOTEREF _Ref131079221 \f \h  \* MERGEFORMAT </w:instrText>
      </w:r>
      <w:r w:rsidR="001700D5">
        <w:fldChar w:fldCharType="separate"/>
      </w:r>
      <w:r w:rsidR="004C7A29" w:rsidRPr="002F6A97">
        <w:rPr>
          <w:rStyle w:val="FootnoteReference"/>
        </w:rPr>
        <w:t>4</w:t>
      </w:r>
      <w:r w:rsidR="001700D5">
        <w:fldChar w:fldCharType="end"/>
      </w:r>
    </w:p>
    <w:p w14:paraId="7AA82439" w14:textId="6D100F60" w:rsidR="001700D5" w:rsidRDefault="001700D5" w:rsidP="001700D5">
      <w:pPr>
        <w:pStyle w:val="Numberbullet0"/>
      </w:pPr>
      <w:r>
        <w:t>C</w:t>
      </w:r>
      <w:r w:rsidR="00EE060E" w:rsidRPr="00EE060E">
        <w:t>lassical PNH (findings of intravascular haemolysis with mild or no evidence of bone marrow failure)</w:t>
      </w:r>
    </w:p>
    <w:p w14:paraId="08C55D4D" w14:textId="0F895064" w:rsidR="001700D5" w:rsidRDefault="001700D5" w:rsidP="001700D5">
      <w:pPr>
        <w:pStyle w:val="Numberbullet0"/>
      </w:pPr>
      <w:r>
        <w:t>S</w:t>
      </w:r>
      <w:r w:rsidR="00EE060E" w:rsidRPr="00EE060E">
        <w:t>ubclinical PNH (PNH detected however no substantial clinical findings and no bone marrow abnormalities)</w:t>
      </w:r>
    </w:p>
    <w:p w14:paraId="3A7C231C" w14:textId="0CA9016D" w:rsidR="00EE060E" w:rsidRDefault="00EE060E" w:rsidP="001700D5">
      <w:pPr>
        <w:pStyle w:val="Numberbullet0"/>
      </w:pPr>
      <w:r w:rsidRPr="00EE060E">
        <w:t>PNH with bone marrow failure</w:t>
      </w:r>
    </w:p>
    <w:p w14:paraId="6EFCE60D" w14:textId="757E206B" w:rsidR="00D567DC" w:rsidRPr="00E14BA7" w:rsidRDefault="00D567DC" w:rsidP="001700D5">
      <w:r w:rsidRPr="005B44DC">
        <w:t xml:space="preserve">Median survival is approximately </w:t>
      </w:r>
      <w:r w:rsidR="001700D5">
        <w:t>10</w:t>
      </w:r>
      <w:r w:rsidRPr="005B44DC">
        <w:t xml:space="preserve"> years in adults and 13.5 years in paediatric patients. Thrombosis is the leading cause of morbidity and mortality </w:t>
      </w:r>
      <w:r w:rsidR="002F63B1">
        <w:t>for patients with</w:t>
      </w:r>
      <w:r w:rsidRPr="005B44DC">
        <w:t xml:space="preserve"> PNH</w:t>
      </w:r>
      <w:r w:rsidR="002F63B1">
        <w:t>.</w:t>
      </w:r>
      <w:r>
        <w:fldChar w:fldCharType="begin"/>
      </w:r>
      <w:r>
        <w:instrText xml:space="preserve"> NOTEREF _Ref131079257 \f \h </w:instrText>
      </w:r>
      <w:r w:rsidR="001700D5">
        <w:instrText xml:space="preserve"> \* MERGEFORMAT </w:instrText>
      </w:r>
      <w:r>
        <w:fldChar w:fldCharType="separate"/>
      </w:r>
      <w:r w:rsidR="004C7A29" w:rsidRPr="002F6A97">
        <w:rPr>
          <w:rStyle w:val="FootnoteReference"/>
        </w:rPr>
        <w:t>2</w:t>
      </w:r>
      <w:r>
        <w:fldChar w:fldCharType="end"/>
      </w:r>
      <w:r w:rsidRPr="00D567DC">
        <w:rPr>
          <w:vertAlign w:val="superscript"/>
        </w:rPr>
        <w:t>,</w:t>
      </w:r>
      <w:r>
        <w:fldChar w:fldCharType="begin"/>
      </w:r>
      <w:r>
        <w:instrText xml:space="preserve"> NOTEREF _Ref131079221 \f \h </w:instrText>
      </w:r>
      <w:r w:rsidR="001700D5">
        <w:instrText xml:space="preserve"> \* MERGEFORMAT </w:instrText>
      </w:r>
      <w:r>
        <w:fldChar w:fldCharType="separate"/>
      </w:r>
      <w:r w:rsidR="004C7A29" w:rsidRPr="002F6A97">
        <w:rPr>
          <w:rStyle w:val="FootnoteReference"/>
        </w:rPr>
        <w:t>4</w:t>
      </w:r>
      <w:r>
        <w:fldChar w:fldCharType="end"/>
      </w:r>
      <w:r w:rsidRPr="00291695">
        <w:rPr>
          <w:rFonts w:ascii="Helvetica" w:hAnsi="Helvetica" w:cs="Helvetica"/>
          <w:color w:val="232323"/>
          <w:shd w:val="clear" w:color="auto" w:fill="FFFFFF"/>
        </w:rPr>
        <w:t xml:space="preserve"> </w:t>
      </w:r>
      <w:r w:rsidRPr="00D55519">
        <w:t xml:space="preserve">Mortality </w:t>
      </w:r>
      <w:r w:rsidRPr="00D55519">
        <w:lastRenderedPageBreak/>
        <w:t xml:space="preserve">rates in paediatric patients are often difficult to establish due to the challenges in identifying the </w:t>
      </w:r>
      <w:r w:rsidR="002F63B1">
        <w:t xml:space="preserve">underlying </w:t>
      </w:r>
      <w:r w:rsidRPr="00D55519">
        <w:t>thrombosis leading to death as a consequence of PNH.</w:t>
      </w:r>
    </w:p>
    <w:p w14:paraId="4A17734F" w14:textId="0F16207C" w:rsidR="00D567DC" w:rsidRDefault="00D567DC" w:rsidP="001700D5">
      <w:r w:rsidRPr="00230A48">
        <w:rPr>
          <w:lang w:eastAsia="ja-JP"/>
        </w:rPr>
        <w:t>Atypical haemolytic ur</w:t>
      </w:r>
      <w:r>
        <w:rPr>
          <w:lang w:eastAsia="ja-JP"/>
        </w:rPr>
        <w:t>a</w:t>
      </w:r>
      <w:r w:rsidRPr="00230A48">
        <w:rPr>
          <w:lang w:eastAsia="ja-JP"/>
        </w:rPr>
        <w:t>emic syndrome (aHUS) is a rare, progressive, life-threatening disorder characterised by haemolytic anaemia, throm</w:t>
      </w:r>
      <w:r>
        <w:rPr>
          <w:lang w:eastAsia="ja-JP"/>
        </w:rPr>
        <w:t xml:space="preserve">bocytopenia, acute renal </w:t>
      </w:r>
      <w:proofErr w:type="gramStart"/>
      <w:r>
        <w:rPr>
          <w:lang w:eastAsia="ja-JP"/>
        </w:rPr>
        <w:t>injury</w:t>
      </w:r>
      <w:proofErr w:type="gramEnd"/>
      <w:r w:rsidRPr="00230A48">
        <w:rPr>
          <w:lang w:eastAsia="ja-JP"/>
        </w:rPr>
        <w:t xml:space="preserve"> and extra-renal complications. The predominant underlying cause of aHUS is dysregulation of the alt</w:t>
      </w:r>
      <w:r>
        <w:rPr>
          <w:lang w:eastAsia="ja-JP"/>
        </w:rPr>
        <w:t xml:space="preserve">ernative pathway of complement leading to </w:t>
      </w:r>
      <w:r w:rsidRPr="00230A48">
        <w:rPr>
          <w:lang w:eastAsia="ja-JP"/>
        </w:rPr>
        <w:t xml:space="preserve">uncontrolled complement activation. This causes inflammation, endothelial </w:t>
      </w:r>
      <w:proofErr w:type="gramStart"/>
      <w:r w:rsidRPr="00230A48">
        <w:rPr>
          <w:lang w:eastAsia="ja-JP"/>
        </w:rPr>
        <w:t>activation</w:t>
      </w:r>
      <w:proofErr w:type="gramEnd"/>
      <w:r w:rsidRPr="00230A48">
        <w:rPr>
          <w:lang w:eastAsia="ja-JP"/>
        </w:rPr>
        <w:t xml:space="preserve"> and damage, and a prothrombotic/procoagulant state resulting in systemic thrombotic microangiopathy (TMA). </w:t>
      </w:r>
      <w:r w:rsidRPr="00230A48">
        <w:t>Uncontrolled complement activation may be due to genetic mutations or acquired autoantibodies in the alternative pathway of complement.</w:t>
      </w:r>
      <w:r w:rsidRPr="00085E6B">
        <w:t xml:space="preserve"> </w:t>
      </w:r>
      <w:r>
        <w:t xml:space="preserve">In some cases, </w:t>
      </w:r>
      <w:r w:rsidRPr="00085E6B">
        <w:t>aHUS may be caused by a triggering event</w:t>
      </w:r>
      <w:r>
        <w:t>, including autoimmune disease, pregnancy, infection, organ or tissue transplant and certain medications</w:t>
      </w:r>
      <w:r w:rsidRPr="00906ECF">
        <w:t>.</w:t>
      </w:r>
      <w:bookmarkStart w:id="20" w:name="_Ref131084452"/>
      <w:r>
        <w:rPr>
          <w:rStyle w:val="FootnoteReference"/>
        </w:rPr>
        <w:footnoteReference w:id="7"/>
      </w:r>
      <w:bookmarkEnd w:id="20"/>
      <w:r w:rsidRPr="00D567DC">
        <w:rPr>
          <w:vertAlign w:val="superscript"/>
        </w:rPr>
        <w:t>,</w:t>
      </w:r>
      <w:bookmarkStart w:id="21" w:name="_Ref131084616"/>
      <w:r>
        <w:rPr>
          <w:rStyle w:val="FootnoteReference"/>
        </w:rPr>
        <w:footnoteReference w:id="8"/>
      </w:r>
      <w:bookmarkEnd w:id="21"/>
      <w:r w:rsidRPr="00D567DC">
        <w:rPr>
          <w:vertAlign w:val="superscript"/>
        </w:rPr>
        <w:t>,</w:t>
      </w:r>
      <w:r>
        <w:rPr>
          <w:rStyle w:val="FootnoteReference"/>
        </w:rPr>
        <w:footnoteReference w:id="9"/>
      </w:r>
    </w:p>
    <w:p w14:paraId="2ABF70BD" w14:textId="2F82C1B5" w:rsidR="007B0A6A" w:rsidRDefault="007B0A6A" w:rsidP="001700D5">
      <w:pPr>
        <w:rPr>
          <w:lang w:eastAsia="ja-JP"/>
        </w:rPr>
      </w:pPr>
      <w:r>
        <w:t xml:space="preserve">The estimated </w:t>
      </w:r>
      <w:r w:rsidRPr="00230A48">
        <w:rPr>
          <w:lang w:eastAsia="ja-JP"/>
        </w:rPr>
        <w:t>incidence of</w:t>
      </w:r>
      <w:r>
        <w:rPr>
          <w:lang w:eastAsia="ja-JP"/>
        </w:rPr>
        <w:t xml:space="preserve"> aHUS is </w:t>
      </w:r>
      <w:r w:rsidR="001700D5">
        <w:rPr>
          <w:lang w:eastAsia="ja-JP"/>
        </w:rPr>
        <w:t>one to two</w:t>
      </w:r>
      <w:r w:rsidRPr="00230A48">
        <w:rPr>
          <w:lang w:eastAsia="ja-JP"/>
        </w:rPr>
        <w:t xml:space="preserve"> cases per million in the USA</w:t>
      </w:r>
      <w:r>
        <w:rPr>
          <w:lang w:eastAsia="ja-JP"/>
        </w:rPr>
        <w:t>.</w:t>
      </w:r>
      <w:r>
        <w:rPr>
          <w:lang w:eastAsia="ja-JP"/>
        </w:rPr>
        <w:fldChar w:fldCharType="begin"/>
      </w:r>
      <w:r>
        <w:rPr>
          <w:lang w:eastAsia="ja-JP"/>
        </w:rPr>
        <w:instrText xml:space="preserve"> NOTEREF _Ref131084452 \f \h </w:instrText>
      </w:r>
      <w:r w:rsidR="001700D5">
        <w:rPr>
          <w:lang w:eastAsia="ja-JP"/>
        </w:rPr>
        <w:instrText xml:space="preserve"> \* MERGEFORMAT </w:instrText>
      </w:r>
      <w:r>
        <w:rPr>
          <w:lang w:eastAsia="ja-JP"/>
        </w:rPr>
      </w:r>
      <w:r>
        <w:rPr>
          <w:lang w:eastAsia="ja-JP"/>
        </w:rPr>
        <w:fldChar w:fldCharType="separate"/>
      </w:r>
      <w:r w:rsidR="004C7A29" w:rsidRPr="004C7A29">
        <w:rPr>
          <w:rStyle w:val="FootnoteReference"/>
        </w:rPr>
        <w:t>6</w:t>
      </w:r>
      <w:r>
        <w:rPr>
          <w:lang w:eastAsia="ja-JP"/>
        </w:rPr>
        <w:fldChar w:fldCharType="end"/>
      </w:r>
      <w:r>
        <w:rPr>
          <w:lang w:eastAsia="ja-JP"/>
        </w:rPr>
        <w:t xml:space="preserve"> In approximately 40% patients, d</w:t>
      </w:r>
      <w:r w:rsidRPr="00230A48">
        <w:rPr>
          <w:lang w:eastAsia="ja-JP"/>
        </w:rPr>
        <w:t>isease onset occurs before 18 years of age</w:t>
      </w:r>
      <w:r>
        <w:rPr>
          <w:lang w:eastAsia="ja-JP"/>
        </w:rPr>
        <w:t>.</w:t>
      </w:r>
      <w:bookmarkStart w:id="22" w:name="_Ref131084569"/>
      <w:r>
        <w:rPr>
          <w:rStyle w:val="FootnoteReference"/>
          <w:lang w:eastAsia="ja-JP"/>
        </w:rPr>
        <w:footnoteReference w:id="10"/>
      </w:r>
      <w:bookmarkEnd w:id="22"/>
    </w:p>
    <w:p w14:paraId="674C6CF0" w14:textId="3CBCF747" w:rsidR="007B0A6A" w:rsidRDefault="007B0A6A" w:rsidP="001700D5">
      <w:pPr>
        <w:rPr>
          <w:lang w:eastAsia="ja-JP"/>
        </w:rPr>
      </w:pPr>
      <w:r w:rsidRPr="007B0A6A">
        <w:rPr>
          <w:lang w:eastAsia="ja-JP"/>
        </w:rPr>
        <w:t xml:space="preserve">Patients with aHUS typically present with the triad of thrombocytopenia, haemolytic </w:t>
      </w:r>
      <w:proofErr w:type="gramStart"/>
      <w:r w:rsidRPr="007B0A6A">
        <w:rPr>
          <w:lang w:eastAsia="ja-JP"/>
        </w:rPr>
        <w:t>anaemia</w:t>
      </w:r>
      <w:proofErr w:type="gramEnd"/>
      <w:r w:rsidRPr="007B0A6A">
        <w:rPr>
          <w:lang w:eastAsia="ja-JP"/>
        </w:rPr>
        <w:t xml:space="preserve"> and acute kidney injury. Although end-organ damage is most common in the kidneys, the central nervous system (CNS), cardiovascular, gastrointestinal, </w:t>
      </w:r>
      <w:proofErr w:type="gramStart"/>
      <w:r w:rsidRPr="007B0A6A">
        <w:rPr>
          <w:lang w:eastAsia="ja-JP"/>
        </w:rPr>
        <w:t>pulmonary</w:t>
      </w:r>
      <w:proofErr w:type="gramEnd"/>
      <w:r w:rsidRPr="007B0A6A">
        <w:rPr>
          <w:lang w:eastAsia="ja-JP"/>
        </w:rPr>
        <w:t xml:space="preserve"> and other organ systems may be involved. At presentation, approximately 20% to 48% of patients have signs and symptoms of extra-renal manifestations, including elevated liver enzymes, pancreatitis, pericarditis, seizures and focal neurologic deficits.</w:t>
      </w:r>
      <w:r>
        <w:rPr>
          <w:lang w:eastAsia="ja-JP"/>
        </w:rPr>
        <w:fldChar w:fldCharType="begin"/>
      </w:r>
      <w:r>
        <w:rPr>
          <w:lang w:eastAsia="ja-JP"/>
        </w:rPr>
        <w:instrText xml:space="preserve"> NOTEREF _Ref131084452 \f \h </w:instrText>
      </w:r>
      <w:r w:rsidR="001700D5">
        <w:rPr>
          <w:lang w:eastAsia="ja-JP"/>
        </w:rPr>
        <w:instrText xml:space="preserve"> \* MERGEFORMAT </w:instrText>
      </w:r>
      <w:r>
        <w:rPr>
          <w:lang w:eastAsia="ja-JP"/>
        </w:rPr>
      </w:r>
      <w:r>
        <w:rPr>
          <w:lang w:eastAsia="ja-JP"/>
        </w:rPr>
        <w:fldChar w:fldCharType="separate"/>
      </w:r>
      <w:r w:rsidR="004C7A29" w:rsidRPr="004C7A29">
        <w:rPr>
          <w:rStyle w:val="FootnoteReference"/>
        </w:rPr>
        <w:t>6</w:t>
      </w:r>
      <w:r>
        <w:rPr>
          <w:lang w:eastAsia="ja-JP"/>
        </w:rPr>
        <w:fldChar w:fldCharType="end"/>
      </w:r>
      <w:r w:rsidRPr="007B0A6A">
        <w:rPr>
          <w:vertAlign w:val="superscript"/>
          <w:lang w:eastAsia="ja-JP"/>
        </w:rPr>
        <w:t>,</w:t>
      </w:r>
      <w:r>
        <w:rPr>
          <w:lang w:eastAsia="ja-JP"/>
        </w:rPr>
        <w:fldChar w:fldCharType="begin"/>
      </w:r>
      <w:r>
        <w:rPr>
          <w:lang w:eastAsia="ja-JP"/>
        </w:rPr>
        <w:instrText xml:space="preserve"> NOTEREF _Ref131084569 \f \h </w:instrText>
      </w:r>
      <w:r w:rsidR="001700D5">
        <w:rPr>
          <w:lang w:eastAsia="ja-JP"/>
        </w:rPr>
        <w:instrText xml:space="preserve"> \* MERGEFORMAT </w:instrText>
      </w:r>
      <w:r>
        <w:rPr>
          <w:lang w:eastAsia="ja-JP"/>
        </w:rPr>
      </w:r>
      <w:r>
        <w:rPr>
          <w:lang w:eastAsia="ja-JP"/>
        </w:rPr>
        <w:fldChar w:fldCharType="separate"/>
      </w:r>
      <w:r w:rsidR="004C7A29" w:rsidRPr="004C7A29">
        <w:rPr>
          <w:rStyle w:val="FootnoteReference"/>
        </w:rPr>
        <w:t>9</w:t>
      </w:r>
      <w:r>
        <w:rPr>
          <w:lang w:eastAsia="ja-JP"/>
        </w:rPr>
        <w:fldChar w:fldCharType="end"/>
      </w:r>
    </w:p>
    <w:p w14:paraId="1DFCC95E" w14:textId="2B4D763B" w:rsidR="007B0A6A" w:rsidRDefault="007B0A6A" w:rsidP="001700D5">
      <w:r>
        <w:t xml:space="preserve">Diagnosis of </w:t>
      </w:r>
      <w:r w:rsidRPr="008D74A3">
        <w:t>aHUS is</w:t>
      </w:r>
      <w:r>
        <w:t xml:space="preserve"> </w:t>
      </w:r>
      <w:proofErr w:type="gramStart"/>
      <w:r>
        <w:t>clinical,</w:t>
      </w:r>
      <w:r w:rsidRPr="008D74A3">
        <w:t xml:space="preserve"> and</w:t>
      </w:r>
      <w:proofErr w:type="gramEnd"/>
      <w:r>
        <w:t xml:space="preserve"> is made by excluding other causes of </w:t>
      </w:r>
      <w:r w:rsidR="005F3F4F" w:rsidRPr="005F3F4F">
        <w:t>thrombotic microangiopathy</w:t>
      </w:r>
      <w:r>
        <w:t xml:space="preserve"> that are primarily not related to complement in origin. The main differential diagnoses are thrombotic thrombocytopenic purpura</w:t>
      </w:r>
      <w:r w:rsidR="002F63B1">
        <w:t>,</w:t>
      </w:r>
      <w:r>
        <w:t xml:space="preserve"> and Shiga toxin-producing </w:t>
      </w:r>
      <w:r w:rsidRPr="004F03C5">
        <w:rPr>
          <w:i/>
        </w:rPr>
        <w:t>Escherichia coli</w:t>
      </w:r>
      <w:r w:rsidR="004537EB">
        <w:t xml:space="preserve"> haemolytic uraemic syndrome (</w:t>
      </w:r>
      <w:r w:rsidR="00082A18">
        <w:t>STEC-</w:t>
      </w:r>
      <w:r w:rsidR="004537EB">
        <w:t>HUS)</w:t>
      </w:r>
      <w:r>
        <w:t>.</w:t>
      </w:r>
      <w:r>
        <w:fldChar w:fldCharType="begin"/>
      </w:r>
      <w:r>
        <w:instrText xml:space="preserve"> NOTEREF _Ref131084452 \f \h </w:instrText>
      </w:r>
      <w:r w:rsidR="001700D5">
        <w:instrText xml:space="preserve"> \* MERGEFORMAT </w:instrText>
      </w:r>
      <w:r>
        <w:fldChar w:fldCharType="separate"/>
      </w:r>
      <w:r w:rsidR="004C7A29" w:rsidRPr="004C7A29">
        <w:rPr>
          <w:rStyle w:val="FootnoteReference"/>
        </w:rPr>
        <w:t>6</w:t>
      </w:r>
      <w:r>
        <w:fldChar w:fldCharType="end"/>
      </w:r>
      <w:r w:rsidRPr="007B0A6A">
        <w:rPr>
          <w:vertAlign w:val="superscript"/>
        </w:rPr>
        <w:t>,</w:t>
      </w:r>
      <w:r>
        <w:fldChar w:fldCharType="begin"/>
      </w:r>
      <w:r>
        <w:instrText xml:space="preserve"> NOTEREF _Ref131084616 \f \h </w:instrText>
      </w:r>
      <w:r w:rsidR="001700D5">
        <w:instrText xml:space="preserve"> \* MERGEFORMAT </w:instrText>
      </w:r>
      <w:r>
        <w:fldChar w:fldCharType="separate"/>
      </w:r>
      <w:r w:rsidR="004C7A29" w:rsidRPr="004C7A29">
        <w:rPr>
          <w:rStyle w:val="FootnoteReference"/>
        </w:rPr>
        <w:t>7</w:t>
      </w:r>
      <w:r>
        <w:fldChar w:fldCharType="end"/>
      </w:r>
    </w:p>
    <w:p w14:paraId="69535D26" w14:textId="02AE95BF" w:rsidR="007B0A6A" w:rsidRDefault="007B0A6A" w:rsidP="001700D5">
      <w:pPr>
        <w:rPr>
          <w:lang w:eastAsia="ja-JP"/>
        </w:rPr>
      </w:pPr>
      <w:r w:rsidRPr="00230A48">
        <w:rPr>
          <w:lang w:eastAsia="ja-JP"/>
        </w:rPr>
        <w:t>The prognosis of aHUS is poor in the absence of complement inhibitor therapy. In a nationwide study of French paediatric and adu</w:t>
      </w:r>
      <w:r>
        <w:rPr>
          <w:lang w:eastAsia="ja-JP"/>
        </w:rPr>
        <w:t xml:space="preserve">lt patients with </w:t>
      </w:r>
      <w:proofErr w:type="spellStart"/>
      <w:r>
        <w:rPr>
          <w:lang w:eastAsia="ja-JP"/>
        </w:rPr>
        <w:t>aHUS</w:t>
      </w:r>
      <w:proofErr w:type="spellEnd"/>
      <w:r>
        <w:rPr>
          <w:lang w:eastAsia="ja-JP"/>
        </w:rPr>
        <w:t xml:space="preserve">, </w:t>
      </w:r>
      <w:proofErr w:type="spellStart"/>
      <w:r>
        <w:rPr>
          <w:lang w:eastAsia="ja-JP"/>
        </w:rPr>
        <w:t>Fremeaux-Bacchi</w:t>
      </w:r>
      <w:proofErr w:type="spellEnd"/>
      <w:r>
        <w:rPr>
          <w:lang w:eastAsia="ja-JP"/>
        </w:rPr>
        <w:t xml:space="preserve"> </w:t>
      </w:r>
      <w:r w:rsidRPr="008B35A2">
        <w:rPr>
          <w:i/>
          <w:lang w:eastAsia="ja-JP"/>
        </w:rPr>
        <w:t>et al</w:t>
      </w:r>
      <w:r>
        <w:rPr>
          <w:lang w:eastAsia="ja-JP"/>
        </w:rPr>
        <w:t>.</w:t>
      </w:r>
      <w:r w:rsidR="00082A18">
        <w:rPr>
          <w:lang w:eastAsia="ja-JP"/>
        </w:rPr>
        <w:t>,</w:t>
      </w:r>
      <w:r>
        <w:rPr>
          <w:lang w:eastAsia="ja-JP"/>
        </w:rPr>
        <w:fldChar w:fldCharType="begin"/>
      </w:r>
      <w:r>
        <w:rPr>
          <w:lang w:eastAsia="ja-JP"/>
        </w:rPr>
        <w:instrText xml:space="preserve"> NOTEREF _Ref131084569 \f \h </w:instrText>
      </w:r>
      <w:r w:rsidR="001700D5">
        <w:rPr>
          <w:lang w:eastAsia="ja-JP"/>
        </w:rPr>
        <w:instrText xml:space="preserve"> \* MERGEFORMAT </w:instrText>
      </w:r>
      <w:r>
        <w:rPr>
          <w:lang w:eastAsia="ja-JP"/>
        </w:rPr>
      </w:r>
      <w:r>
        <w:rPr>
          <w:lang w:eastAsia="ja-JP"/>
        </w:rPr>
        <w:fldChar w:fldCharType="separate"/>
      </w:r>
      <w:r w:rsidR="004C7A29" w:rsidRPr="004C7A29">
        <w:rPr>
          <w:rStyle w:val="FootnoteReference"/>
        </w:rPr>
        <w:t>9</w:t>
      </w:r>
      <w:r>
        <w:rPr>
          <w:lang w:eastAsia="ja-JP"/>
        </w:rPr>
        <w:fldChar w:fldCharType="end"/>
      </w:r>
      <w:r>
        <w:rPr>
          <w:lang w:eastAsia="ja-JP"/>
        </w:rPr>
        <w:t xml:space="preserve"> </w:t>
      </w:r>
      <w:r w:rsidRPr="00230A48">
        <w:rPr>
          <w:lang w:eastAsia="ja-JP"/>
        </w:rPr>
        <w:t>reported 56%</w:t>
      </w:r>
      <w:r w:rsidR="00082A18">
        <w:rPr>
          <w:lang w:eastAsia="ja-JP"/>
        </w:rPr>
        <w:t> </w:t>
      </w:r>
      <w:r w:rsidRPr="00230A48">
        <w:rPr>
          <w:lang w:eastAsia="ja-JP"/>
        </w:rPr>
        <w:t xml:space="preserve">of adults and 29% of children progressed to </w:t>
      </w:r>
      <w:r>
        <w:rPr>
          <w:lang w:eastAsia="ja-JP"/>
        </w:rPr>
        <w:t>end-stage kidney disease</w:t>
      </w:r>
      <w:r w:rsidRPr="00230A48">
        <w:rPr>
          <w:lang w:eastAsia="ja-JP"/>
        </w:rPr>
        <w:t xml:space="preserve"> or death within the first year of the disease.</w:t>
      </w:r>
    </w:p>
    <w:p w14:paraId="22DC8619" w14:textId="77777777" w:rsidR="007B0A6A" w:rsidRPr="007B30A8" w:rsidRDefault="007B0A6A" w:rsidP="001700D5">
      <w:pPr>
        <w:pStyle w:val="Heading4"/>
      </w:pPr>
      <w:bookmarkStart w:id="23" w:name="_Toc135662372"/>
      <w:r w:rsidRPr="007B30A8">
        <w:t>Ravulizumab</w:t>
      </w:r>
      <w:bookmarkEnd w:id="23"/>
    </w:p>
    <w:p w14:paraId="6385E62F" w14:textId="45037BE0" w:rsidR="007B0A6A" w:rsidRDefault="007B0A6A" w:rsidP="007B0A6A">
      <w:pPr>
        <w:rPr>
          <w:rFonts w:eastAsia="MS Mincho"/>
          <w:lang w:eastAsia="ja-JP"/>
        </w:rPr>
      </w:pPr>
      <w:r>
        <w:rPr>
          <w:rFonts w:eastAsia="MS Mincho"/>
          <w:lang w:eastAsia="ja-JP"/>
        </w:rPr>
        <w:t>Ravulizumab is a</w:t>
      </w:r>
      <w:r w:rsidRPr="00634CD1">
        <w:rPr>
          <w:rFonts w:eastAsia="MS Mincho"/>
          <w:lang w:eastAsia="ja-JP"/>
        </w:rPr>
        <w:t xml:space="preserve"> </w:t>
      </w:r>
      <w:r>
        <w:rPr>
          <w:rFonts w:eastAsia="MS Mincho"/>
          <w:lang w:eastAsia="ja-JP"/>
        </w:rPr>
        <w:t>long-</w:t>
      </w:r>
      <w:r w:rsidRPr="00634CD1">
        <w:rPr>
          <w:rFonts w:eastAsia="MS Mincho"/>
          <w:lang w:eastAsia="ja-JP"/>
        </w:rPr>
        <w:t>acting humanised monoclonal IgG2/4K antibody pro</w:t>
      </w:r>
      <w:r>
        <w:rPr>
          <w:rFonts w:eastAsia="MS Mincho"/>
          <w:lang w:eastAsia="ja-JP"/>
        </w:rPr>
        <w:t xml:space="preserve">duced in Chinese hamster ovary </w:t>
      </w:r>
      <w:r w:rsidRPr="00634CD1">
        <w:rPr>
          <w:rFonts w:eastAsia="MS Mincho"/>
          <w:lang w:eastAsia="ja-JP"/>
        </w:rPr>
        <w:t xml:space="preserve">cell culture by recombinant DNA technology. </w:t>
      </w:r>
      <w:r>
        <w:rPr>
          <w:rFonts w:eastAsia="MS Mincho"/>
          <w:lang w:eastAsia="ja-JP"/>
        </w:rPr>
        <w:t>Ravulizumab</w:t>
      </w:r>
      <w:r w:rsidRPr="007B30A8">
        <w:rPr>
          <w:rFonts w:eastAsia="MS Mincho"/>
          <w:lang w:eastAsia="ja-JP"/>
        </w:rPr>
        <w:t xml:space="preserve"> binds to complement component 5 (C5)</w:t>
      </w:r>
      <w:r w:rsidRPr="007B30A8">
        <w:t xml:space="preserve"> with high affinity, inhibiting the enzymatic cleavage of C5 into C5a (the pro</w:t>
      </w:r>
      <w:r w:rsidR="003E6597">
        <w:noBreakHyphen/>
      </w:r>
      <w:r w:rsidRPr="007B30A8">
        <w:t xml:space="preserve">inflammatory anaphylatoxin) and C5b (the initiating subunit of the terminal complement membrane attack complex </w:t>
      </w:r>
      <w:r w:rsidR="00082A18">
        <w:t>(</w:t>
      </w:r>
      <w:r w:rsidRPr="007B30A8">
        <w:t>C5b-9</w:t>
      </w:r>
      <w:r w:rsidR="00082A18">
        <w:t xml:space="preserve"> complex)</w:t>
      </w:r>
      <w:r w:rsidRPr="007B30A8">
        <w:t>).</w:t>
      </w:r>
    </w:p>
    <w:p w14:paraId="4C6630C9" w14:textId="5C200416" w:rsidR="00856026" w:rsidRDefault="007B0A6A" w:rsidP="007B0A6A">
      <w:r w:rsidRPr="007B30A8">
        <w:lastRenderedPageBreak/>
        <w:t>Ravulizumab is currently approved in Australia for the treatment of adult patients with PNH.</w:t>
      </w:r>
      <w:bookmarkStart w:id="24" w:name="_Ref135308371"/>
      <w:r w:rsidR="00082A18">
        <w:rPr>
          <w:rStyle w:val="FootnoteReference"/>
        </w:rPr>
        <w:footnoteReference w:id="11"/>
      </w:r>
      <w:bookmarkEnd w:id="24"/>
    </w:p>
    <w:p w14:paraId="6EC2CC29" w14:textId="5EA12F78" w:rsidR="007B0A6A" w:rsidRDefault="007B0A6A" w:rsidP="007B0A6A">
      <w:r w:rsidRPr="007B30A8">
        <w:t>Ravulizumab is administered by intravenous</w:t>
      </w:r>
      <w:r>
        <w:t xml:space="preserve"> </w:t>
      </w:r>
      <w:r w:rsidRPr="007B30A8">
        <w:t xml:space="preserve">infusion with weight-based loading and maintenance dosing regimen as per </w:t>
      </w:r>
      <w:r w:rsidR="003E6597">
        <w:fldChar w:fldCharType="begin"/>
      </w:r>
      <w:r w:rsidR="003E6597">
        <w:instrText xml:space="preserve"> REF _Ref131409588 \h </w:instrText>
      </w:r>
      <w:r w:rsidR="003E6597">
        <w:fldChar w:fldCharType="separate"/>
      </w:r>
      <w:r w:rsidR="004C7A29">
        <w:t xml:space="preserve">Table </w:t>
      </w:r>
      <w:r w:rsidR="004C7A29">
        <w:rPr>
          <w:noProof/>
        </w:rPr>
        <w:t>1</w:t>
      </w:r>
      <w:r w:rsidR="003E6597">
        <w:fldChar w:fldCharType="end"/>
      </w:r>
      <w:r>
        <w:t xml:space="preserve"> </w:t>
      </w:r>
      <w:r w:rsidR="00424C41">
        <w:t>(</w:t>
      </w:r>
      <w:r>
        <w:t>below</w:t>
      </w:r>
      <w:r w:rsidR="00424C41">
        <w:t>)</w:t>
      </w:r>
      <w:r w:rsidRPr="007B30A8">
        <w:t xml:space="preserve"> from the current</w:t>
      </w:r>
      <w:r>
        <w:t xml:space="preserve"> </w:t>
      </w:r>
      <w:r w:rsidR="00472EEA">
        <w:t>Ultomiris</w:t>
      </w:r>
      <w:r w:rsidRPr="007B30A8">
        <w:t xml:space="preserve"> </w:t>
      </w:r>
      <w:r w:rsidR="004537EB">
        <w:t>Product Information (PI)</w:t>
      </w:r>
      <w:r w:rsidRPr="007B30A8">
        <w:t xml:space="preserve">. Maintenance doses are administered once every </w:t>
      </w:r>
      <w:r w:rsidR="003E6597">
        <w:t>eight</w:t>
      </w:r>
      <w:r w:rsidRPr="007B30A8">
        <w:t xml:space="preserve"> weeks, starting </w:t>
      </w:r>
      <w:r w:rsidR="003E6597">
        <w:t>two</w:t>
      </w:r>
      <w:r w:rsidRPr="007B30A8">
        <w:t xml:space="preserve"> weeks after loading dose administration.</w:t>
      </w:r>
    </w:p>
    <w:p w14:paraId="59ADC470" w14:textId="747BCAEB" w:rsidR="007B0A6A" w:rsidRDefault="007B0A6A" w:rsidP="007B0A6A">
      <w:pPr>
        <w:pStyle w:val="TableTitle"/>
      </w:pPr>
      <w:bookmarkStart w:id="25" w:name="_Ref131409588"/>
      <w:r>
        <w:t xml:space="preserve">Table </w:t>
      </w:r>
      <w:fldSimple w:instr=" SEQ Table \* ARABIC ">
        <w:r w:rsidR="004C7A29">
          <w:rPr>
            <w:noProof/>
          </w:rPr>
          <w:t>1</w:t>
        </w:r>
      </w:fldSimple>
      <w:bookmarkEnd w:id="25"/>
      <w:r w:rsidRPr="007B0A6A">
        <w:t xml:space="preserve">: </w:t>
      </w:r>
      <w:r w:rsidR="00472EEA">
        <w:t>Ultomiris</w:t>
      </w:r>
      <w:r w:rsidRPr="007B0A6A">
        <w:t xml:space="preserve"> </w:t>
      </w:r>
      <w:r w:rsidR="00424C41">
        <w:t xml:space="preserve">(ravulizumab) </w:t>
      </w:r>
      <w:r w:rsidR="003E6597">
        <w:t>w</w:t>
      </w:r>
      <w:r w:rsidRPr="007B0A6A">
        <w:t>eight-</w:t>
      </w:r>
      <w:r w:rsidR="003E6597">
        <w:t>b</w:t>
      </w:r>
      <w:r w:rsidRPr="007B0A6A">
        <w:t xml:space="preserve">ased </w:t>
      </w:r>
      <w:r w:rsidR="003E6597">
        <w:t>d</w:t>
      </w:r>
      <w:r w:rsidRPr="007B0A6A">
        <w:t xml:space="preserve">osing </w:t>
      </w:r>
      <w:r w:rsidR="003E6597">
        <w:t>r</w:t>
      </w:r>
      <w:r w:rsidRPr="007B0A6A">
        <w:t>egimen</w:t>
      </w:r>
      <w:r w:rsidR="003E6597">
        <w:t xml:space="preserve"> for adults with p</w:t>
      </w:r>
      <w:r w:rsidR="003E6597" w:rsidRPr="003E6597">
        <w:t>aroxysmal nocturnal haemoglobinuria</w:t>
      </w:r>
    </w:p>
    <w:tbl>
      <w:tblPr>
        <w:tblStyle w:val="TGABlack2023"/>
        <w:tblW w:w="0" w:type="auto"/>
        <w:tblLook w:val="04A0" w:firstRow="1" w:lastRow="0" w:firstColumn="1" w:lastColumn="0" w:noHBand="0" w:noVBand="1"/>
      </w:tblPr>
      <w:tblGrid>
        <w:gridCol w:w="3020"/>
        <w:gridCol w:w="3020"/>
        <w:gridCol w:w="3020"/>
      </w:tblGrid>
      <w:tr w:rsidR="000B28EA" w14:paraId="492A0A20" w14:textId="77777777" w:rsidTr="00B9110E">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3020" w:type="dxa"/>
            <w:shd w:val="clear" w:color="auto" w:fill="auto"/>
          </w:tcPr>
          <w:p w14:paraId="7A1DCB94" w14:textId="1DB4C3E1" w:rsidR="000B28EA" w:rsidRPr="001C29B2" w:rsidRDefault="000B28EA" w:rsidP="000B28EA">
            <w:pPr>
              <w:rPr>
                <w:color w:val="auto"/>
                <w:szCs w:val="22"/>
              </w:rPr>
            </w:pPr>
            <w:bookmarkStart w:id="26" w:name="_Hlk132617269"/>
            <w:r w:rsidRPr="001C29B2">
              <w:rPr>
                <w:bCs/>
                <w:color w:val="auto"/>
                <w:szCs w:val="22"/>
              </w:rPr>
              <w:t xml:space="preserve">Body Weight Range (kg) </w:t>
            </w:r>
          </w:p>
        </w:tc>
        <w:tc>
          <w:tcPr>
            <w:tcW w:w="3020" w:type="dxa"/>
            <w:shd w:val="clear" w:color="auto" w:fill="auto"/>
          </w:tcPr>
          <w:p w14:paraId="6417F61B" w14:textId="3ACB4F54" w:rsidR="000B28EA" w:rsidRPr="001C29B2" w:rsidRDefault="000B28EA" w:rsidP="000B28EA">
            <w:pPr>
              <w:cnfStyle w:val="100000000000" w:firstRow="1" w:lastRow="0" w:firstColumn="0" w:lastColumn="0" w:oddVBand="0" w:evenVBand="0" w:oddHBand="0" w:evenHBand="0" w:firstRowFirstColumn="0" w:firstRowLastColumn="0" w:lastRowFirstColumn="0" w:lastRowLastColumn="0"/>
              <w:rPr>
                <w:color w:val="auto"/>
                <w:szCs w:val="22"/>
              </w:rPr>
            </w:pPr>
            <w:r w:rsidRPr="001C29B2">
              <w:rPr>
                <w:bCs/>
                <w:color w:val="auto"/>
                <w:szCs w:val="22"/>
              </w:rPr>
              <w:t xml:space="preserve">Loading Dose (mg) </w:t>
            </w:r>
          </w:p>
        </w:tc>
        <w:tc>
          <w:tcPr>
            <w:tcW w:w="3020" w:type="dxa"/>
            <w:shd w:val="clear" w:color="auto" w:fill="auto"/>
          </w:tcPr>
          <w:p w14:paraId="06496811" w14:textId="24AF1306" w:rsidR="000B28EA" w:rsidRPr="001C29B2" w:rsidRDefault="000B28EA" w:rsidP="000B28EA">
            <w:pPr>
              <w:cnfStyle w:val="100000000000" w:firstRow="1" w:lastRow="0" w:firstColumn="0" w:lastColumn="0" w:oddVBand="0" w:evenVBand="0" w:oddHBand="0" w:evenHBand="0" w:firstRowFirstColumn="0" w:firstRowLastColumn="0" w:lastRowFirstColumn="0" w:lastRowLastColumn="0"/>
              <w:rPr>
                <w:color w:val="auto"/>
                <w:szCs w:val="22"/>
              </w:rPr>
            </w:pPr>
            <w:r w:rsidRPr="001C29B2">
              <w:rPr>
                <w:bCs/>
                <w:color w:val="auto"/>
                <w:szCs w:val="22"/>
              </w:rPr>
              <w:t xml:space="preserve">Maintenance Dose (mg) </w:t>
            </w:r>
          </w:p>
        </w:tc>
      </w:tr>
      <w:tr w:rsidR="000B28EA" w14:paraId="0FDA4209" w14:textId="77777777" w:rsidTr="00B9110E">
        <w:tc>
          <w:tcPr>
            <w:cnfStyle w:val="001000000000" w:firstRow="0" w:lastRow="0" w:firstColumn="1" w:lastColumn="0" w:oddVBand="0" w:evenVBand="0" w:oddHBand="0" w:evenHBand="0" w:firstRowFirstColumn="0" w:firstRowLastColumn="0" w:lastRowFirstColumn="0" w:lastRowLastColumn="0"/>
            <w:tcW w:w="3020" w:type="dxa"/>
          </w:tcPr>
          <w:p w14:paraId="6CD33F12" w14:textId="5FCC56B7" w:rsidR="000B28EA" w:rsidRPr="000B28EA" w:rsidRDefault="000B28EA" w:rsidP="00B9110E">
            <w:pPr>
              <w:pStyle w:val="TableText"/>
              <w:rPr>
                <w:b/>
              </w:rPr>
            </w:pPr>
            <w:r w:rsidRPr="000B28EA">
              <w:t xml:space="preserve">≥ 40 to &lt; 60 </w:t>
            </w:r>
          </w:p>
        </w:tc>
        <w:tc>
          <w:tcPr>
            <w:tcW w:w="3020" w:type="dxa"/>
          </w:tcPr>
          <w:p w14:paraId="7F278062" w14:textId="3D27A716" w:rsidR="000B28EA" w:rsidRPr="000B28EA" w:rsidRDefault="000B28EA" w:rsidP="00B9110E">
            <w:pPr>
              <w:pStyle w:val="TableText"/>
              <w:cnfStyle w:val="000000000000" w:firstRow="0" w:lastRow="0" w:firstColumn="0" w:lastColumn="0" w:oddVBand="0" w:evenVBand="0" w:oddHBand="0" w:evenHBand="0" w:firstRowFirstColumn="0" w:firstRowLastColumn="0" w:lastRowFirstColumn="0" w:lastRowLastColumn="0"/>
              <w:rPr>
                <w:b/>
              </w:rPr>
            </w:pPr>
            <w:r w:rsidRPr="000B28EA">
              <w:t xml:space="preserve">2400 </w:t>
            </w:r>
          </w:p>
        </w:tc>
        <w:tc>
          <w:tcPr>
            <w:tcW w:w="3020" w:type="dxa"/>
          </w:tcPr>
          <w:p w14:paraId="297530B4" w14:textId="3541D374" w:rsidR="000B28EA" w:rsidRPr="000B28EA" w:rsidRDefault="000B28EA" w:rsidP="00B9110E">
            <w:pPr>
              <w:pStyle w:val="TableText"/>
              <w:cnfStyle w:val="000000000000" w:firstRow="0" w:lastRow="0" w:firstColumn="0" w:lastColumn="0" w:oddVBand="0" w:evenVBand="0" w:oddHBand="0" w:evenHBand="0" w:firstRowFirstColumn="0" w:firstRowLastColumn="0" w:lastRowFirstColumn="0" w:lastRowLastColumn="0"/>
              <w:rPr>
                <w:b/>
              </w:rPr>
            </w:pPr>
            <w:r w:rsidRPr="000B28EA">
              <w:t xml:space="preserve">3000 </w:t>
            </w:r>
          </w:p>
        </w:tc>
      </w:tr>
      <w:tr w:rsidR="000B28EA" w14:paraId="056478F7" w14:textId="77777777" w:rsidTr="00B9110E">
        <w:tc>
          <w:tcPr>
            <w:cnfStyle w:val="001000000000" w:firstRow="0" w:lastRow="0" w:firstColumn="1" w:lastColumn="0" w:oddVBand="0" w:evenVBand="0" w:oddHBand="0" w:evenHBand="0" w:firstRowFirstColumn="0" w:firstRowLastColumn="0" w:lastRowFirstColumn="0" w:lastRowLastColumn="0"/>
            <w:tcW w:w="3020" w:type="dxa"/>
          </w:tcPr>
          <w:p w14:paraId="4324022D" w14:textId="3959E886" w:rsidR="000B28EA" w:rsidRPr="000B28EA" w:rsidRDefault="000B28EA" w:rsidP="00B9110E">
            <w:pPr>
              <w:pStyle w:val="TableText"/>
              <w:rPr>
                <w:b/>
              </w:rPr>
            </w:pPr>
            <w:r w:rsidRPr="000B28EA">
              <w:t xml:space="preserve">≥ 60 to &lt; 100 </w:t>
            </w:r>
          </w:p>
        </w:tc>
        <w:tc>
          <w:tcPr>
            <w:tcW w:w="3020" w:type="dxa"/>
          </w:tcPr>
          <w:p w14:paraId="577446F2" w14:textId="493A3F49" w:rsidR="000B28EA" w:rsidRPr="000B28EA" w:rsidRDefault="000B28EA" w:rsidP="00B9110E">
            <w:pPr>
              <w:pStyle w:val="TableText"/>
              <w:cnfStyle w:val="000000000000" w:firstRow="0" w:lastRow="0" w:firstColumn="0" w:lastColumn="0" w:oddVBand="0" w:evenVBand="0" w:oddHBand="0" w:evenHBand="0" w:firstRowFirstColumn="0" w:firstRowLastColumn="0" w:lastRowFirstColumn="0" w:lastRowLastColumn="0"/>
              <w:rPr>
                <w:b/>
              </w:rPr>
            </w:pPr>
            <w:r w:rsidRPr="000B28EA">
              <w:t xml:space="preserve">2700 </w:t>
            </w:r>
          </w:p>
        </w:tc>
        <w:tc>
          <w:tcPr>
            <w:tcW w:w="3020" w:type="dxa"/>
          </w:tcPr>
          <w:p w14:paraId="22D2A083" w14:textId="5A9AAEDB" w:rsidR="000B28EA" w:rsidRPr="000B28EA" w:rsidRDefault="000B28EA" w:rsidP="00B9110E">
            <w:pPr>
              <w:pStyle w:val="TableText"/>
              <w:cnfStyle w:val="000000000000" w:firstRow="0" w:lastRow="0" w:firstColumn="0" w:lastColumn="0" w:oddVBand="0" w:evenVBand="0" w:oddHBand="0" w:evenHBand="0" w:firstRowFirstColumn="0" w:firstRowLastColumn="0" w:lastRowFirstColumn="0" w:lastRowLastColumn="0"/>
              <w:rPr>
                <w:b/>
              </w:rPr>
            </w:pPr>
            <w:r w:rsidRPr="000B28EA">
              <w:t xml:space="preserve">3300 </w:t>
            </w:r>
          </w:p>
        </w:tc>
      </w:tr>
      <w:tr w:rsidR="000B28EA" w14:paraId="0DC057A3" w14:textId="77777777" w:rsidTr="00B9110E">
        <w:tc>
          <w:tcPr>
            <w:cnfStyle w:val="001000000000" w:firstRow="0" w:lastRow="0" w:firstColumn="1" w:lastColumn="0" w:oddVBand="0" w:evenVBand="0" w:oddHBand="0" w:evenHBand="0" w:firstRowFirstColumn="0" w:firstRowLastColumn="0" w:lastRowFirstColumn="0" w:lastRowLastColumn="0"/>
            <w:tcW w:w="3020" w:type="dxa"/>
          </w:tcPr>
          <w:p w14:paraId="7A81581F" w14:textId="7B32F181" w:rsidR="000B28EA" w:rsidRPr="000B28EA" w:rsidRDefault="000B28EA" w:rsidP="00B9110E">
            <w:pPr>
              <w:pStyle w:val="TableText"/>
              <w:rPr>
                <w:b/>
              </w:rPr>
            </w:pPr>
            <w:r w:rsidRPr="000B28EA">
              <w:t xml:space="preserve">≥ 100 </w:t>
            </w:r>
          </w:p>
        </w:tc>
        <w:tc>
          <w:tcPr>
            <w:tcW w:w="3020" w:type="dxa"/>
          </w:tcPr>
          <w:p w14:paraId="4F1E8689" w14:textId="6C67DBEB" w:rsidR="000B28EA" w:rsidRPr="000B28EA" w:rsidRDefault="000B28EA" w:rsidP="00B9110E">
            <w:pPr>
              <w:pStyle w:val="TableText"/>
              <w:cnfStyle w:val="000000000000" w:firstRow="0" w:lastRow="0" w:firstColumn="0" w:lastColumn="0" w:oddVBand="0" w:evenVBand="0" w:oddHBand="0" w:evenHBand="0" w:firstRowFirstColumn="0" w:firstRowLastColumn="0" w:lastRowFirstColumn="0" w:lastRowLastColumn="0"/>
              <w:rPr>
                <w:b/>
              </w:rPr>
            </w:pPr>
            <w:r w:rsidRPr="000B28EA">
              <w:t xml:space="preserve">3000 </w:t>
            </w:r>
          </w:p>
        </w:tc>
        <w:tc>
          <w:tcPr>
            <w:tcW w:w="3020" w:type="dxa"/>
          </w:tcPr>
          <w:p w14:paraId="611C178D" w14:textId="676CC286" w:rsidR="000B28EA" w:rsidRPr="000B28EA" w:rsidRDefault="000B28EA" w:rsidP="00B9110E">
            <w:pPr>
              <w:pStyle w:val="TableText"/>
              <w:cnfStyle w:val="000000000000" w:firstRow="0" w:lastRow="0" w:firstColumn="0" w:lastColumn="0" w:oddVBand="0" w:evenVBand="0" w:oddHBand="0" w:evenHBand="0" w:firstRowFirstColumn="0" w:firstRowLastColumn="0" w:lastRowFirstColumn="0" w:lastRowLastColumn="0"/>
              <w:rPr>
                <w:b/>
              </w:rPr>
            </w:pPr>
            <w:r w:rsidRPr="000B28EA">
              <w:t xml:space="preserve">3600 </w:t>
            </w:r>
          </w:p>
        </w:tc>
      </w:tr>
    </w:tbl>
    <w:bookmarkEnd w:id="26"/>
    <w:p w14:paraId="6AE67ADD" w14:textId="68A6FC36" w:rsidR="007B0A6A" w:rsidRDefault="007B0A6A" w:rsidP="007B0A6A">
      <w:r>
        <w:t xml:space="preserve">The current weight-based dosing regimen for adult PNH patients with body weight ≥ 40 kg is proposed for aHUS patients with body weight </w:t>
      </w:r>
      <w:r w:rsidR="004537EB" w:rsidRPr="004537EB">
        <w:t>≥</w:t>
      </w:r>
      <w:r w:rsidR="004537EB">
        <w:t xml:space="preserve"> </w:t>
      </w:r>
      <w:r>
        <w:t>40 k</w:t>
      </w:r>
      <w:r w:rsidR="004537EB">
        <w:t>g.</w:t>
      </w:r>
      <w:r>
        <w:t xml:space="preserve"> A </w:t>
      </w:r>
      <w:r w:rsidRPr="00D55519">
        <w:t>single</w:t>
      </w:r>
      <w:r>
        <w:t xml:space="preserve"> weight-based ravulizumab dosing regimen is proposed for use in paediatric PNH and aHUS patients as per</w:t>
      </w:r>
      <w:r w:rsidR="004C7A29">
        <w:t xml:space="preserve"> </w:t>
      </w:r>
      <w:r w:rsidR="001C29B2">
        <w:fldChar w:fldCharType="begin"/>
      </w:r>
      <w:r w:rsidR="001C29B2">
        <w:instrText xml:space="preserve"> REF _Ref132620966 \h </w:instrText>
      </w:r>
      <w:r w:rsidR="001C29B2">
        <w:fldChar w:fldCharType="separate"/>
      </w:r>
      <w:r w:rsidR="004C7A29">
        <w:t xml:space="preserve">Table </w:t>
      </w:r>
      <w:r w:rsidR="004C7A29">
        <w:rPr>
          <w:noProof/>
        </w:rPr>
        <w:t>2</w:t>
      </w:r>
      <w:r w:rsidR="001C29B2">
        <w:fldChar w:fldCharType="end"/>
      </w:r>
      <w:r>
        <w:t xml:space="preserve"> </w:t>
      </w:r>
      <w:r w:rsidR="00424C41">
        <w:t>(</w:t>
      </w:r>
      <w:r>
        <w:t>below</w:t>
      </w:r>
      <w:r w:rsidR="00424C41">
        <w:t>).</w:t>
      </w:r>
    </w:p>
    <w:p w14:paraId="0D6FA753" w14:textId="3B5AD3BC" w:rsidR="003E6597" w:rsidRDefault="003E6597" w:rsidP="003E6597">
      <w:pPr>
        <w:pStyle w:val="TableTitle"/>
      </w:pPr>
      <w:bookmarkStart w:id="27" w:name="_Ref132620966"/>
      <w:bookmarkStart w:id="28" w:name="_Ref133220633"/>
      <w:r>
        <w:t xml:space="preserve">Table </w:t>
      </w:r>
      <w:fldSimple w:instr=" SEQ Table \* ARABIC ">
        <w:r w:rsidR="004C7A29">
          <w:rPr>
            <w:noProof/>
          </w:rPr>
          <w:t>2</w:t>
        </w:r>
      </w:fldSimple>
      <w:bookmarkEnd w:id="27"/>
      <w:r w:rsidR="004A22A9">
        <w:rPr>
          <w:noProof/>
        </w:rPr>
        <w:t>:</w:t>
      </w:r>
      <w:r>
        <w:t xml:space="preserve"> Proposed </w:t>
      </w:r>
      <w:r w:rsidR="00472EEA">
        <w:t>Ultomiris</w:t>
      </w:r>
      <w:r>
        <w:t xml:space="preserve"> weight-based dosing regimen for paediatric </w:t>
      </w:r>
      <w:r w:rsidR="00424C41">
        <w:t>p</w:t>
      </w:r>
      <w:r w:rsidR="00424C41" w:rsidRPr="003E6597">
        <w:t>aroxysmal nocturnal haemoglobinuria</w:t>
      </w:r>
      <w:r w:rsidR="00424C41">
        <w:t xml:space="preserve"> </w:t>
      </w:r>
      <w:r>
        <w:t xml:space="preserve">and </w:t>
      </w:r>
      <w:bookmarkEnd w:id="28"/>
      <w:r w:rsidR="00424C41">
        <w:t>atypical haemolytic uraemic syndrome</w:t>
      </w:r>
    </w:p>
    <w:tbl>
      <w:tblPr>
        <w:tblStyle w:val="TGABlack2023"/>
        <w:tblW w:w="9067" w:type="dxa"/>
        <w:tblLook w:val="04A0" w:firstRow="1" w:lastRow="0" w:firstColumn="1" w:lastColumn="0" w:noHBand="0" w:noVBand="1"/>
      </w:tblPr>
      <w:tblGrid>
        <w:gridCol w:w="2266"/>
        <w:gridCol w:w="2267"/>
        <w:gridCol w:w="2267"/>
        <w:gridCol w:w="2267"/>
      </w:tblGrid>
      <w:tr w:rsidR="000B28EA" w14:paraId="40258368" w14:textId="77777777" w:rsidTr="001C29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shd w:val="clear" w:color="auto" w:fill="auto"/>
          </w:tcPr>
          <w:p w14:paraId="3FCA8134" w14:textId="77777777" w:rsidR="000B28EA" w:rsidRPr="001C29B2" w:rsidRDefault="000B28EA" w:rsidP="000B28EA">
            <w:pPr>
              <w:rPr>
                <w:color w:val="auto"/>
                <w:szCs w:val="22"/>
              </w:rPr>
            </w:pPr>
            <w:r w:rsidRPr="001C29B2">
              <w:rPr>
                <w:bCs/>
                <w:color w:val="auto"/>
                <w:szCs w:val="22"/>
              </w:rPr>
              <w:t xml:space="preserve">Body Weight Range (kg) </w:t>
            </w:r>
          </w:p>
        </w:tc>
        <w:tc>
          <w:tcPr>
            <w:tcW w:w="2267" w:type="dxa"/>
            <w:shd w:val="clear" w:color="auto" w:fill="auto"/>
          </w:tcPr>
          <w:p w14:paraId="2E1E0675" w14:textId="5FB1A608" w:rsidR="000B28EA" w:rsidRPr="001C29B2" w:rsidRDefault="000B28EA" w:rsidP="000B28EA">
            <w:pPr>
              <w:cnfStyle w:val="100000000000" w:firstRow="1" w:lastRow="0" w:firstColumn="0" w:lastColumn="0" w:oddVBand="0" w:evenVBand="0" w:oddHBand="0" w:evenHBand="0" w:firstRowFirstColumn="0" w:firstRowLastColumn="0" w:lastRowFirstColumn="0" w:lastRowLastColumn="0"/>
              <w:rPr>
                <w:b w:val="0"/>
                <w:bCs/>
                <w:color w:val="auto"/>
                <w:szCs w:val="22"/>
              </w:rPr>
            </w:pPr>
            <w:r w:rsidRPr="001C29B2">
              <w:rPr>
                <w:bCs/>
                <w:color w:val="auto"/>
                <w:szCs w:val="22"/>
              </w:rPr>
              <w:t xml:space="preserve">Loading Dose (mg) </w:t>
            </w:r>
          </w:p>
        </w:tc>
        <w:tc>
          <w:tcPr>
            <w:tcW w:w="2267" w:type="dxa"/>
            <w:shd w:val="clear" w:color="auto" w:fill="auto"/>
          </w:tcPr>
          <w:p w14:paraId="50EA8314" w14:textId="3D3B6190" w:rsidR="000B28EA" w:rsidRPr="001C29B2" w:rsidRDefault="000B28EA" w:rsidP="000B28EA">
            <w:pPr>
              <w:cnfStyle w:val="100000000000" w:firstRow="1" w:lastRow="0" w:firstColumn="0" w:lastColumn="0" w:oddVBand="0" w:evenVBand="0" w:oddHBand="0" w:evenHBand="0" w:firstRowFirstColumn="0" w:firstRowLastColumn="0" w:lastRowFirstColumn="0" w:lastRowLastColumn="0"/>
              <w:rPr>
                <w:b w:val="0"/>
                <w:bCs/>
                <w:color w:val="auto"/>
                <w:szCs w:val="22"/>
              </w:rPr>
            </w:pPr>
            <w:r w:rsidRPr="001C29B2">
              <w:rPr>
                <w:bCs/>
                <w:color w:val="auto"/>
                <w:szCs w:val="22"/>
              </w:rPr>
              <w:t xml:space="preserve">Maintenance Dose (mg) </w:t>
            </w:r>
          </w:p>
        </w:tc>
        <w:tc>
          <w:tcPr>
            <w:tcW w:w="2267" w:type="dxa"/>
            <w:shd w:val="clear" w:color="auto" w:fill="auto"/>
          </w:tcPr>
          <w:p w14:paraId="54FB1A1C" w14:textId="77777777" w:rsidR="000B28EA" w:rsidRPr="001C29B2" w:rsidRDefault="000B28EA" w:rsidP="000B28EA">
            <w:pPr>
              <w:cnfStyle w:val="100000000000" w:firstRow="1" w:lastRow="0" w:firstColumn="0" w:lastColumn="0" w:oddVBand="0" w:evenVBand="0" w:oddHBand="0" w:evenHBand="0" w:firstRowFirstColumn="0" w:firstRowLastColumn="0" w:lastRowFirstColumn="0" w:lastRowLastColumn="0"/>
              <w:rPr>
                <w:color w:val="auto"/>
                <w:szCs w:val="22"/>
              </w:rPr>
            </w:pPr>
            <w:r w:rsidRPr="001C29B2">
              <w:rPr>
                <w:bCs/>
                <w:color w:val="auto"/>
                <w:szCs w:val="22"/>
              </w:rPr>
              <w:t xml:space="preserve">Maintenance Dose (mg) </w:t>
            </w:r>
          </w:p>
        </w:tc>
      </w:tr>
      <w:tr w:rsidR="000B28EA" w14:paraId="7BC2D6A8" w14:textId="77777777" w:rsidTr="001C29B2">
        <w:tc>
          <w:tcPr>
            <w:cnfStyle w:val="001000000000" w:firstRow="0" w:lastRow="0" w:firstColumn="1" w:lastColumn="0" w:oddVBand="0" w:evenVBand="0" w:oddHBand="0" w:evenHBand="0" w:firstRowFirstColumn="0" w:firstRowLastColumn="0" w:lastRowFirstColumn="0" w:lastRowLastColumn="0"/>
            <w:tcW w:w="2266" w:type="dxa"/>
            <w:shd w:val="clear" w:color="auto" w:fill="auto"/>
          </w:tcPr>
          <w:p w14:paraId="7A2F0172" w14:textId="172B24AB" w:rsidR="000B28EA" w:rsidRPr="000B28EA" w:rsidRDefault="000B28EA" w:rsidP="00B9110E">
            <w:pPr>
              <w:pStyle w:val="TableText"/>
              <w:rPr>
                <w:b/>
              </w:rPr>
            </w:pPr>
            <w:r w:rsidRPr="000B28EA">
              <w:t xml:space="preserve">≥ 5 to &lt; 10 </w:t>
            </w:r>
          </w:p>
        </w:tc>
        <w:tc>
          <w:tcPr>
            <w:tcW w:w="2267" w:type="dxa"/>
            <w:shd w:val="clear" w:color="auto" w:fill="auto"/>
          </w:tcPr>
          <w:p w14:paraId="3589A352" w14:textId="6D2A7DEC" w:rsidR="000B28EA" w:rsidRPr="000B28EA" w:rsidRDefault="000B28EA" w:rsidP="00B9110E">
            <w:pPr>
              <w:pStyle w:val="TableText"/>
              <w:cnfStyle w:val="000000000000" w:firstRow="0" w:lastRow="0" w:firstColumn="0" w:lastColumn="0" w:oddVBand="0" w:evenVBand="0" w:oddHBand="0" w:evenHBand="0" w:firstRowFirstColumn="0" w:firstRowLastColumn="0" w:lastRowFirstColumn="0" w:lastRowLastColumn="0"/>
              <w:rPr>
                <w:b/>
              </w:rPr>
            </w:pPr>
            <w:r w:rsidRPr="000B28EA">
              <w:t xml:space="preserve">600 </w:t>
            </w:r>
          </w:p>
        </w:tc>
        <w:tc>
          <w:tcPr>
            <w:tcW w:w="2267" w:type="dxa"/>
            <w:shd w:val="clear" w:color="auto" w:fill="auto"/>
          </w:tcPr>
          <w:p w14:paraId="7C4B596D" w14:textId="122DC3B8" w:rsidR="000B28EA" w:rsidRPr="000B28EA" w:rsidRDefault="000B28EA" w:rsidP="00B9110E">
            <w:pPr>
              <w:pStyle w:val="TableText"/>
              <w:cnfStyle w:val="000000000000" w:firstRow="0" w:lastRow="0" w:firstColumn="0" w:lastColumn="0" w:oddVBand="0" w:evenVBand="0" w:oddHBand="0" w:evenHBand="0" w:firstRowFirstColumn="0" w:firstRowLastColumn="0" w:lastRowFirstColumn="0" w:lastRowLastColumn="0"/>
              <w:rPr>
                <w:b/>
              </w:rPr>
            </w:pPr>
            <w:r w:rsidRPr="000B28EA">
              <w:t xml:space="preserve">300 </w:t>
            </w:r>
          </w:p>
        </w:tc>
        <w:tc>
          <w:tcPr>
            <w:tcW w:w="2267" w:type="dxa"/>
            <w:shd w:val="clear" w:color="auto" w:fill="auto"/>
          </w:tcPr>
          <w:p w14:paraId="4F4A9855" w14:textId="00BA1C6D" w:rsidR="000B28EA" w:rsidRPr="000B28EA" w:rsidRDefault="000B28EA" w:rsidP="00B9110E">
            <w:pPr>
              <w:pStyle w:val="TableText"/>
              <w:cnfStyle w:val="000000000000" w:firstRow="0" w:lastRow="0" w:firstColumn="0" w:lastColumn="0" w:oddVBand="0" w:evenVBand="0" w:oddHBand="0" w:evenHBand="0" w:firstRowFirstColumn="0" w:firstRowLastColumn="0" w:lastRowFirstColumn="0" w:lastRowLastColumn="0"/>
              <w:rPr>
                <w:b/>
              </w:rPr>
            </w:pPr>
            <w:r w:rsidRPr="000B28EA">
              <w:t xml:space="preserve">Every 4 weeks </w:t>
            </w:r>
          </w:p>
        </w:tc>
      </w:tr>
      <w:tr w:rsidR="000B28EA" w14:paraId="3D2727E7" w14:textId="77777777" w:rsidTr="001C29B2">
        <w:tc>
          <w:tcPr>
            <w:cnfStyle w:val="001000000000" w:firstRow="0" w:lastRow="0" w:firstColumn="1" w:lastColumn="0" w:oddVBand="0" w:evenVBand="0" w:oddHBand="0" w:evenHBand="0" w:firstRowFirstColumn="0" w:firstRowLastColumn="0" w:lastRowFirstColumn="0" w:lastRowLastColumn="0"/>
            <w:tcW w:w="2266" w:type="dxa"/>
            <w:shd w:val="clear" w:color="auto" w:fill="auto"/>
          </w:tcPr>
          <w:p w14:paraId="7CB1ECCE" w14:textId="7EE12602" w:rsidR="000B28EA" w:rsidRPr="000B28EA" w:rsidRDefault="000B28EA" w:rsidP="00B9110E">
            <w:pPr>
              <w:pStyle w:val="TableText"/>
              <w:rPr>
                <w:b/>
              </w:rPr>
            </w:pPr>
            <w:r w:rsidRPr="000B28EA">
              <w:t xml:space="preserve">≥ 10 to &lt; 20 </w:t>
            </w:r>
          </w:p>
        </w:tc>
        <w:tc>
          <w:tcPr>
            <w:tcW w:w="2267" w:type="dxa"/>
            <w:shd w:val="clear" w:color="auto" w:fill="auto"/>
          </w:tcPr>
          <w:p w14:paraId="6D9FF42E" w14:textId="1E7C2592" w:rsidR="000B28EA" w:rsidRPr="000B28EA" w:rsidRDefault="000B28EA" w:rsidP="00B9110E">
            <w:pPr>
              <w:pStyle w:val="TableText"/>
              <w:cnfStyle w:val="000000000000" w:firstRow="0" w:lastRow="0" w:firstColumn="0" w:lastColumn="0" w:oddVBand="0" w:evenVBand="0" w:oddHBand="0" w:evenHBand="0" w:firstRowFirstColumn="0" w:firstRowLastColumn="0" w:lastRowFirstColumn="0" w:lastRowLastColumn="0"/>
              <w:rPr>
                <w:b/>
              </w:rPr>
            </w:pPr>
            <w:r w:rsidRPr="000B28EA">
              <w:t xml:space="preserve">600 </w:t>
            </w:r>
          </w:p>
        </w:tc>
        <w:tc>
          <w:tcPr>
            <w:tcW w:w="2267" w:type="dxa"/>
            <w:shd w:val="clear" w:color="auto" w:fill="auto"/>
          </w:tcPr>
          <w:p w14:paraId="2C678551" w14:textId="1BBA2763" w:rsidR="000B28EA" w:rsidRPr="000B28EA" w:rsidRDefault="000B28EA" w:rsidP="00B9110E">
            <w:pPr>
              <w:pStyle w:val="TableText"/>
              <w:cnfStyle w:val="000000000000" w:firstRow="0" w:lastRow="0" w:firstColumn="0" w:lastColumn="0" w:oddVBand="0" w:evenVBand="0" w:oddHBand="0" w:evenHBand="0" w:firstRowFirstColumn="0" w:firstRowLastColumn="0" w:lastRowFirstColumn="0" w:lastRowLastColumn="0"/>
              <w:rPr>
                <w:b/>
              </w:rPr>
            </w:pPr>
            <w:r w:rsidRPr="000B28EA">
              <w:t xml:space="preserve">600 </w:t>
            </w:r>
          </w:p>
        </w:tc>
        <w:tc>
          <w:tcPr>
            <w:tcW w:w="2267" w:type="dxa"/>
            <w:shd w:val="clear" w:color="auto" w:fill="auto"/>
          </w:tcPr>
          <w:p w14:paraId="51BC3AC3" w14:textId="4F85B02B" w:rsidR="000B28EA" w:rsidRPr="000B28EA" w:rsidRDefault="000B28EA" w:rsidP="00B9110E">
            <w:pPr>
              <w:pStyle w:val="TableText"/>
              <w:cnfStyle w:val="000000000000" w:firstRow="0" w:lastRow="0" w:firstColumn="0" w:lastColumn="0" w:oddVBand="0" w:evenVBand="0" w:oddHBand="0" w:evenHBand="0" w:firstRowFirstColumn="0" w:firstRowLastColumn="0" w:lastRowFirstColumn="0" w:lastRowLastColumn="0"/>
              <w:rPr>
                <w:b/>
              </w:rPr>
            </w:pPr>
            <w:r w:rsidRPr="000B28EA">
              <w:t xml:space="preserve">Every 4 weeks </w:t>
            </w:r>
          </w:p>
        </w:tc>
      </w:tr>
      <w:tr w:rsidR="000B28EA" w14:paraId="26CF6F9F" w14:textId="77777777" w:rsidTr="001C29B2">
        <w:tc>
          <w:tcPr>
            <w:cnfStyle w:val="001000000000" w:firstRow="0" w:lastRow="0" w:firstColumn="1" w:lastColumn="0" w:oddVBand="0" w:evenVBand="0" w:oddHBand="0" w:evenHBand="0" w:firstRowFirstColumn="0" w:firstRowLastColumn="0" w:lastRowFirstColumn="0" w:lastRowLastColumn="0"/>
            <w:tcW w:w="2266" w:type="dxa"/>
            <w:shd w:val="clear" w:color="auto" w:fill="auto"/>
          </w:tcPr>
          <w:p w14:paraId="22329353" w14:textId="56C44C18" w:rsidR="000B28EA" w:rsidRPr="000B28EA" w:rsidRDefault="000B28EA" w:rsidP="00B9110E">
            <w:pPr>
              <w:pStyle w:val="TableText"/>
              <w:rPr>
                <w:b/>
              </w:rPr>
            </w:pPr>
            <w:r w:rsidRPr="000B28EA">
              <w:t xml:space="preserve">≥ 20 to &lt; 30 </w:t>
            </w:r>
          </w:p>
        </w:tc>
        <w:tc>
          <w:tcPr>
            <w:tcW w:w="2267" w:type="dxa"/>
            <w:shd w:val="clear" w:color="auto" w:fill="auto"/>
          </w:tcPr>
          <w:p w14:paraId="2E98D3B8" w14:textId="43A812D4" w:rsidR="000B28EA" w:rsidRPr="000B28EA" w:rsidRDefault="000B28EA" w:rsidP="00B9110E">
            <w:pPr>
              <w:pStyle w:val="TableText"/>
              <w:cnfStyle w:val="000000000000" w:firstRow="0" w:lastRow="0" w:firstColumn="0" w:lastColumn="0" w:oddVBand="0" w:evenVBand="0" w:oddHBand="0" w:evenHBand="0" w:firstRowFirstColumn="0" w:firstRowLastColumn="0" w:lastRowFirstColumn="0" w:lastRowLastColumn="0"/>
              <w:rPr>
                <w:b/>
              </w:rPr>
            </w:pPr>
            <w:r w:rsidRPr="000B28EA">
              <w:t xml:space="preserve">900 </w:t>
            </w:r>
          </w:p>
        </w:tc>
        <w:tc>
          <w:tcPr>
            <w:tcW w:w="2267" w:type="dxa"/>
            <w:shd w:val="clear" w:color="auto" w:fill="auto"/>
          </w:tcPr>
          <w:p w14:paraId="37FF1854" w14:textId="21E72E40" w:rsidR="000B28EA" w:rsidRPr="000B28EA" w:rsidRDefault="000B28EA" w:rsidP="00B9110E">
            <w:pPr>
              <w:pStyle w:val="TableText"/>
              <w:cnfStyle w:val="000000000000" w:firstRow="0" w:lastRow="0" w:firstColumn="0" w:lastColumn="0" w:oddVBand="0" w:evenVBand="0" w:oddHBand="0" w:evenHBand="0" w:firstRowFirstColumn="0" w:firstRowLastColumn="0" w:lastRowFirstColumn="0" w:lastRowLastColumn="0"/>
              <w:rPr>
                <w:b/>
              </w:rPr>
            </w:pPr>
            <w:r w:rsidRPr="000B28EA">
              <w:t xml:space="preserve">2100 </w:t>
            </w:r>
          </w:p>
        </w:tc>
        <w:tc>
          <w:tcPr>
            <w:tcW w:w="2267" w:type="dxa"/>
            <w:shd w:val="clear" w:color="auto" w:fill="auto"/>
          </w:tcPr>
          <w:p w14:paraId="0DD45BB9" w14:textId="3CE621EB" w:rsidR="000B28EA" w:rsidRPr="000B28EA" w:rsidRDefault="000B28EA" w:rsidP="00B9110E">
            <w:pPr>
              <w:pStyle w:val="TableText"/>
              <w:cnfStyle w:val="000000000000" w:firstRow="0" w:lastRow="0" w:firstColumn="0" w:lastColumn="0" w:oddVBand="0" w:evenVBand="0" w:oddHBand="0" w:evenHBand="0" w:firstRowFirstColumn="0" w:firstRowLastColumn="0" w:lastRowFirstColumn="0" w:lastRowLastColumn="0"/>
              <w:rPr>
                <w:b/>
              </w:rPr>
            </w:pPr>
            <w:r w:rsidRPr="000B28EA">
              <w:t xml:space="preserve">Every 8 weeks </w:t>
            </w:r>
          </w:p>
        </w:tc>
      </w:tr>
      <w:tr w:rsidR="000B28EA" w14:paraId="1C2E05F1" w14:textId="77777777" w:rsidTr="001C29B2">
        <w:tc>
          <w:tcPr>
            <w:cnfStyle w:val="001000000000" w:firstRow="0" w:lastRow="0" w:firstColumn="1" w:lastColumn="0" w:oddVBand="0" w:evenVBand="0" w:oddHBand="0" w:evenHBand="0" w:firstRowFirstColumn="0" w:firstRowLastColumn="0" w:lastRowFirstColumn="0" w:lastRowLastColumn="0"/>
            <w:tcW w:w="2266" w:type="dxa"/>
            <w:shd w:val="clear" w:color="auto" w:fill="auto"/>
          </w:tcPr>
          <w:p w14:paraId="36FB6527" w14:textId="63B017F3" w:rsidR="000B28EA" w:rsidRPr="000B28EA" w:rsidRDefault="000B28EA" w:rsidP="00B9110E">
            <w:pPr>
              <w:pStyle w:val="TableText"/>
              <w:rPr>
                <w:b/>
              </w:rPr>
            </w:pPr>
            <w:r w:rsidRPr="000B28EA">
              <w:t xml:space="preserve">≥ 30 to &lt; 40 </w:t>
            </w:r>
          </w:p>
        </w:tc>
        <w:tc>
          <w:tcPr>
            <w:tcW w:w="2267" w:type="dxa"/>
            <w:shd w:val="clear" w:color="auto" w:fill="auto"/>
          </w:tcPr>
          <w:p w14:paraId="65645571" w14:textId="7593AE79" w:rsidR="000B28EA" w:rsidRPr="000B28EA" w:rsidRDefault="000B28EA" w:rsidP="00B9110E">
            <w:pPr>
              <w:pStyle w:val="TableText"/>
              <w:cnfStyle w:val="000000000000" w:firstRow="0" w:lastRow="0" w:firstColumn="0" w:lastColumn="0" w:oddVBand="0" w:evenVBand="0" w:oddHBand="0" w:evenHBand="0" w:firstRowFirstColumn="0" w:firstRowLastColumn="0" w:lastRowFirstColumn="0" w:lastRowLastColumn="0"/>
              <w:rPr>
                <w:b/>
              </w:rPr>
            </w:pPr>
            <w:r w:rsidRPr="000B28EA">
              <w:t xml:space="preserve">1200 </w:t>
            </w:r>
          </w:p>
        </w:tc>
        <w:tc>
          <w:tcPr>
            <w:tcW w:w="2267" w:type="dxa"/>
            <w:shd w:val="clear" w:color="auto" w:fill="auto"/>
          </w:tcPr>
          <w:p w14:paraId="552ECCCE" w14:textId="3D99590F" w:rsidR="000B28EA" w:rsidRPr="000B28EA" w:rsidRDefault="000B28EA" w:rsidP="00B9110E">
            <w:pPr>
              <w:pStyle w:val="TableText"/>
              <w:cnfStyle w:val="000000000000" w:firstRow="0" w:lastRow="0" w:firstColumn="0" w:lastColumn="0" w:oddVBand="0" w:evenVBand="0" w:oddHBand="0" w:evenHBand="0" w:firstRowFirstColumn="0" w:firstRowLastColumn="0" w:lastRowFirstColumn="0" w:lastRowLastColumn="0"/>
              <w:rPr>
                <w:b/>
              </w:rPr>
            </w:pPr>
            <w:r w:rsidRPr="000B28EA">
              <w:t xml:space="preserve">2700 </w:t>
            </w:r>
          </w:p>
        </w:tc>
        <w:tc>
          <w:tcPr>
            <w:tcW w:w="2267" w:type="dxa"/>
            <w:shd w:val="clear" w:color="auto" w:fill="auto"/>
          </w:tcPr>
          <w:p w14:paraId="7F73E53B" w14:textId="3EFA6D17" w:rsidR="000B28EA" w:rsidRPr="000B28EA" w:rsidRDefault="000B28EA" w:rsidP="00B9110E">
            <w:pPr>
              <w:pStyle w:val="TableText"/>
              <w:cnfStyle w:val="000000000000" w:firstRow="0" w:lastRow="0" w:firstColumn="0" w:lastColumn="0" w:oddVBand="0" w:evenVBand="0" w:oddHBand="0" w:evenHBand="0" w:firstRowFirstColumn="0" w:firstRowLastColumn="0" w:lastRowFirstColumn="0" w:lastRowLastColumn="0"/>
              <w:rPr>
                <w:b/>
              </w:rPr>
            </w:pPr>
            <w:r w:rsidRPr="000B28EA">
              <w:t xml:space="preserve">Every 8 weeks </w:t>
            </w:r>
          </w:p>
        </w:tc>
      </w:tr>
    </w:tbl>
    <w:p w14:paraId="07E6128F" w14:textId="77777777" w:rsidR="007B0A6A" w:rsidRDefault="007B0A6A" w:rsidP="007B0A6A">
      <w:pPr>
        <w:pStyle w:val="Heading4"/>
      </w:pPr>
      <w:bookmarkStart w:id="29" w:name="_Toc135662373"/>
      <w:r>
        <w:t>Current treatment options</w:t>
      </w:r>
      <w:bookmarkEnd w:id="29"/>
    </w:p>
    <w:p w14:paraId="1BD23CB9" w14:textId="240DF3BC" w:rsidR="00424C41" w:rsidRDefault="00424C41" w:rsidP="007B0A6A">
      <w:r>
        <w:t>C</w:t>
      </w:r>
      <w:r w:rsidR="003E6597">
        <w:t xml:space="preserve">urrent treatment options for PNH </w:t>
      </w:r>
      <w:r>
        <w:t xml:space="preserve">include </w:t>
      </w:r>
      <w:proofErr w:type="spellStart"/>
      <w:r>
        <w:t>ravulizumab</w:t>
      </w:r>
      <w:proofErr w:type="spellEnd"/>
      <w:r>
        <w:t xml:space="preserve">, eculizumab and </w:t>
      </w:r>
      <w:proofErr w:type="spellStart"/>
      <w:r w:rsidRPr="00424C41">
        <w:t>pegcetacoplan</w:t>
      </w:r>
      <w:proofErr w:type="spellEnd"/>
      <w:r w:rsidR="007601F1">
        <w:t>, with eculizumab also approved for use in aHUS.</w:t>
      </w:r>
    </w:p>
    <w:p w14:paraId="3113A392" w14:textId="3EA00282" w:rsidR="007601F1" w:rsidRPr="007601F1" w:rsidRDefault="007601F1">
      <w:proofErr w:type="spellStart"/>
      <w:r>
        <w:t>Pegcetacoplan</w:t>
      </w:r>
      <w:proofErr w:type="spellEnd"/>
      <w:r>
        <w:t xml:space="preserve"> (as the product </w:t>
      </w:r>
      <w:proofErr w:type="spellStart"/>
      <w:r>
        <w:t>Empaveli</w:t>
      </w:r>
      <w:proofErr w:type="spellEnd"/>
      <w:r>
        <w:t>) has been approved and registered on the Australian Register of Pharmaceutical Goods since February 2022.</w:t>
      </w:r>
      <w:r w:rsidRPr="002753D1">
        <w:rPr>
          <w:rStyle w:val="FootnoteReference"/>
        </w:rPr>
        <w:footnoteReference w:id="12"/>
      </w:r>
      <w:r>
        <w:t xml:space="preserve"> The current indications for </w:t>
      </w:r>
      <w:proofErr w:type="spellStart"/>
      <w:r>
        <w:t>Empaveli</w:t>
      </w:r>
      <w:proofErr w:type="spellEnd"/>
      <w:r>
        <w:t xml:space="preserve"> are as follows:</w:t>
      </w:r>
    </w:p>
    <w:p w14:paraId="351EDDBF" w14:textId="1852BF23" w:rsidR="007601F1" w:rsidRDefault="007601F1" w:rsidP="0035187D">
      <w:pPr>
        <w:ind w:left="720"/>
        <w:rPr>
          <w:i/>
        </w:rPr>
      </w:pPr>
      <w:proofErr w:type="spellStart"/>
      <w:r w:rsidRPr="007601F1">
        <w:rPr>
          <w:i/>
        </w:rPr>
        <w:t>Empaveli</w:t>
      </w:r>
      <w:proofErr w:type="spellEnd"/>
      <w:r w:rsidRPr="007601F1">
        <w:rPr>
          <w:i/>
        </w:rPr>
        <w:t xml:space="preserve"> </w:t>
      </w:r>
      <w:r w:rsidRPr="0035187D">
        <w:rPr>
          <w:i/>
        </w:rPr>
        <w:t>is indicated in the treatment of adult patients with paroxysmal nocturnal haemoglobinuria (PNH) who have an inadequate response to, or are intolerant of, a C5 inhibitor.</w:t>
      </w:r>
    </w:p>
    <w:p w14:paraId="397B587D" w14:textId="30180E4A" w:rsidR="007601F1" w:rsidRDefault="007601F1">
      <w:proofErr w:type="spellStart"/>
      <w:r>
        <w:t>Pegacetacoplan</w:t>
      </w:r>
      <w:proofErr w:type="spellEnd"/>
      <w:r>
        <w:t xml:space="preserve"> is a s</w:t>
      </w:r>
      <w:r w:rsidR="00CE5CB4">
        <w:t xml:space="preserve">elective immunosuppressant. </w:t>
      </w:r>
      <w:proofErr w:type="spellStart"/>
      <w:r>
        <w:t>Pegcetacoplan</w:t>
      </w:r>
      <w:proofErr w:type="spellEnd"/>
      <w:r>
        <w:t xml:space="preserve"> binds to complement protein C3 and its activation fragment C3b with high affinity, thereby regulating the cleavage of C3 and the generation of dow</w:t>
      </w:r>
      <w:r w:rsidR="00CE5CB4">
        <w:t xml:space="preserve">nstream effectors of complement </w:t>
      </w:r>
      <w:r>
        <w:t xml:space="preserve">activation. In PNH, extravascular </w:t>
      </w:r>
      <w:r>
        <w:lastRenderedPageBreak/>
        <w:t>haemolysis</w:t>
      </w:r>
      <w:r w:rsidR="00CE5CB4">
        <w:t xml:space="preserve"> </w:t>
      </w:r>
      <w:r>
        <w:t>is facilit</w:t>
      </w:r>
      <w:r w:rsidR="00CE5CB4">
        <w:t xml:space="preserve">ated by C3b opsonization while intravascular haemolysis </w:t>
      </w:r>
      <w:r>
        <w:t xml:space="preserve">is mediated by the downstream </w:t>
      </w:r>
      <w:r w:rsidR="00CE5CB4">
        <w:t xml:space="preserve">membrane attack complex (MAC). </w:t>
      </w:r>
      <w:proofErr w:type="spellStart"/>
      <w:r>
        <w:t>Pegcetacoplan</w:t>
      </w:r>
      <w:proofErr w:type="spellEnd"/>
      <w:r>
        <w:t xml:space="preserve"> exerts broad regulation of the complement cascade </w:t>
      </w:r>
      <w:r w:rsidR="00CE5CB4">
        <w:t xml:space="preserve">by acting proximal to both C3b </w:t>
      </w:r>
      <w:r>
        <w:t>and MAC formation, thereby controlling the mechanisms t</w:t>
      </w:r>
      <w:r w:rsidR="00CE5CB4">
        <w:t xml:space="preserve">hat lead to extravascular and intravascular haemolysis. These </w:t>
      </w:r>
      <w:r>
        <w:t xml:space="preserve">functions of </w:t>
      </w:r>
      <w:proofErr w:type="spellStart"/>
      <w:r>
        <w:t>pegcetacoplan</w:t>
      </w:r>
      <w:proofErr w:type="spellEnd"/>
      <w:r>
        <w:t xml:space="preserve"> underlie the observed sustained re</w:t>
      </w:r>
      <w:r w:rsidR="00CE5CB4">
        <w:t xml:space="preserve">duction in complement-mediated </w:t>
      </w:r>
      <w:r>
        <w:t>haemolytic activity in patients with PNH</w:t>
      </w:r>
      <w:r w:rsidR="00CE5CB4">
        <w:t>.</w:t>
      </w:r>
    </w:p>
    <w:p w14:paraId="25E8F890" w14:textId="52E820A3" w:rsidR="00CE5CB4" w:rsidRPr="007601F1" w:rsidRDefault="00CE5CB4">
      <w:proofErr w:type="spellStart"/>
      <w:r>
        <w:t>Pegacetacoplan</w:t>
      </w:r>
      <w:proofErr w:type="spellEnd"/>
      <w:r>
        <w:t xml:space="preserve"> (as </w:t>
      </w:r>
      <w:proofErr w:type="spellStart"/>
      <w:r>
        <w:t>Empaveli</w:t>
      </w:r>
      <w:proofErr w:type="spellEnd"/>
      <w:r>
        <w:t>) is licensed for use in adults with PNH only. It is not licensed for use in paediatrics or use in aHUS.</w:t>
      </w:r>
    </w:p>
    <w:p w14:paraId="4D3EA277" w14:textId="3C8930EB" w:rsidR="00CE5CB4" w:rsidRDefault="007B0A6A" w:rsidP="007B0A6A">
      <w:r w:rsidRPr="00634CD1">
        <w:t xml:space="preserve">Eculizumab </w:t>
      </w:r>
      <w:proofErr w:type="spellStart"/>
      <w:r w:rsidRPr="00634CD1">
        <w:rPr>
          <w:i/>
          <w:iCs/>
        </w:rPr>
        <w:t>rmc</w:t>
      </w:r>
      <w:proofErr w:type="spellEnd"/>
      <w:r>
        <w:t xml:space="preserve"> (</w:t>
      </w:r>
      <w:r w:rsidR="007601F1">
        <w:t>as the product Soliris</w:t>
      </w:r>
      <w:r>
        <w:t xml:space="preserve">) </w:t>
      </w:r>
      <w:r w:rsidRPr="00634CD1">
        <w:t xml:space="preserve">is a genetically-engineered humanised monoclonal antibody directed against the </w:t>
      </w:r>
      <w:r w:rsidR="00CE5CB4">
        <w:t xml:space="preserve">alpha </w:t>
      </w:r>
      <w:r w:rsidRPr="00634CD1">
        <w:t>chain of the</w:t>
      </w:r>
      <w:r>
        <w:t xml:space="preserve"> C5</w:t>
      </w:r>
      <w:r w:rsidRPr="00327ED9">
        <w:t xml:space="preserve"> </w:t>
      </w:r>
      <w:r>
        <w:t>complement protein, which binds to C5 with high affinity and inhibits</w:t>
      </w:r>
      <w:r w:rsidRPr="00327ED9">
        <w:t xml:space="preserve"> </w:t>
      </w:r>
      <w:r>
        <w:t xml:space="preserve">cleavage to C5a and C5b, </w:t>
      </w:r>
      <w:r w:rsidRPr="00327ED9">
        <w:t>preventing the generation of the terminal complement complex C5b-9</w:t>
      </w:r>
      <w:r>
        <w:t>.</w:t>
      </w:r>
    </w:p>
    <w:p w14:paraId="10D2E1C0" w14:textId="76267538" w:rsidR="00A3792D" w:rsidRDefault="007B0A6A" w:rsidP="007B0A6A">
      <w:r w:rsidRPr="00327ED9">
        <w:t>Eculizumab</w:t>
      </w:r>
      <w:r>
        <w:t xml:space="preserve"> </w:t>
      </w:r>
      <w:r w:rsidR="00CE5CB4">
        <w:t>(as Soliris) was first registered on the ARTG in July 2020;</w:t>
      </w:r>
      <w:r w:rsidR="00CE5CB4">
        <w:rPr>
          <w:rStyle w:val="FootnoteReference"/>
        </w:rPr>
        <w:footnoteReference w:id="13"/>
      </w:r>
      <w:r w:rsidR="00CE5CB4">
        <w:t xml:space="preserve"> </w:t>
      </w:r>
      <w:r>
        <w:t>is approved for use in Australia in adult and paediatric patients with PNH and aHUS as follows:</w:t>
      </w:r>
    </w:p>
    <w:p w14:paraId="67CEA997" w14:textId="19CAC6BE" w:rsidR="00A3792D" w:rsidRDefault="007B0A6A" w:rsidP="003E6597">
      <w:pPr>
        <w:ind w:left="360"/>
        <w:rPr>
          <w:i/>
        </w:rPr>
      </w:pPr>
      <w:r w:rsidRPr="008E0BBD">
        <w:rPr>
          <w:i/>
        </w:rPr>
        <w:t>Soliris is indicated for the treatment of patients with:</w:t>
      </w:r>
    </w:p>
    <w:p w14:paraId="6A8CAF07" w14:textId="60A3B606" w:rsidR="00A3792D" w:rsidRPr="00330C22" w:rsidRDefault="007B0A6A" w:rsidP="003E6597">
      <w:pPr>
        <w:pStyle w:val="ListBullet"/>
        <w:ind w:left="720"/>
        <w:rPr>
          <w:i/>
          <w:iCs/>
        </w:rPr>
      </w:pPr>
      <w:r w:rsidRPr="00330C22">
        <w:rPr>
          <w:i/>
          <w:iCs/>
        </w:rPr>
        <w:t>Paroxysmal Nocturnal Haemoglobinuria (PNH) to reduce haemolysis.</w:t>
      </w:r>
    </w:p>
    <w:p w14:paraId="171F68D4" w14:textId="6894642E" w:rsidR="00A3792D" w:rsidRPr="00330C22" w:rsidRDefault="00330C22" w:rsidP="003E6597">
      <w:pPr>
        <w:pStyle w:val="ListBullet"/>
        <w:ind w:left="720"/>
        <w:rPr>
          <w:i/>
          <w:iCs/>
        </w:rPr>
      </w:pPr>
      <w:r w:rsidRPr="00330C22">
        <w:rPr>
          <w:i/>
          <w:iCs/>
        </w:rPr>
        <w:t>At</w:t>
      </w:r>
      <w:r w:rsidR="007B0A6A" w:rsidRPr="00330C22">
        <w:rPr>
          <w:i/>
          <w:iCs/>
        </w:rPr>
        <w:t>ypical Haemolytic Uraemic Syndrome (aHUS)</w:t>
      </w:r>
      <w:r w:rsidR="003E6597" w:rsidRPr="00330C22">
        <w:rPr>
          <w:i/>
          <w:iCs/>
        </w:rPr>
        <w:t>.</w:t>
      </w:r>
    </w:p>
    <w:p w14:paraId="0279BF9B" w14:textId="71BF161A" w:rsidR="00A3792D" w:rsidRPr="00330C22" w:rsidRDefault="007B0A6A" w:rsidP="003E6597">
      <w:pPr>
        <w:pStyle w:val="ListBullet"/>
        <w:ind w:left="720"/>
        <w:rPr>
          <w:i/>
          <w:iCs/>
        </w:rPr>
      </w:pPr>
      <w:r w:rsidRPr="00330C22">
        <w:rPr>
          <w:i/>
          <w:iCs/>
        </w:rPr>
        <w:t>Adult patients with Neuromyelitis Optica Spectrum Disorder (NMOSD) who are anti-aquaporin-4 (AQP4) antibody-positive.</w:t>
      </w:r>
    </w:p>
    <w:p w14:paraId="43288E7D" w14:textId="2B053973" w:rsidR="007B0A6A" w:rsidRPr="009347F8" w:rsidRDefault="007B0A6A" w:rsidP="003E6597">
      <w:pPr>
        <w:ind w:left="360"/>
        <w:rPr>
          <w:i/>
        </w:rPr>
      </w:pPr>
      <w:r w:rsidRPr="008E0BBD">
        <w:rPr>
          <w:i/>
        </w:rPr>
        <w:t>Soliris is not intended for acu</w:t>
      </w:r>
      <w:r>
        <w:rPr>
          <w:i/>
        </w:rPr>
        <w:t>te treatment of a NMOSD relapse</w:t>
      </w:r>
    </w:p>
    <w:p w14:paraId="217E7B01" w14:textId="17F3EF19" w:rsidR="00A3792D" w:rsidRDefault="007B0A6A" w:rsidP="007B0A6A">
      <w:r w:rsidRPr="006B6D9C">
        <w:t xml:space="preserve">Eculizumab is administered via </w:t>
      </w:r>
      <w:r w:rsidR="003E6597">
        <w:t>intravenous</w:t>
      </w:r>
      <w:r w:rsidR="00AE121E">
        <w:t xml:space="preserve"> </w:t>
      </w:r>
      <w:r w:rsidRPr="006B6D9C">
        <w:t xml:space="preserve">infusion with </w:t>
      </w:r>
      <w:r>
        <w:t xml:space="preserve">weight-based </w:t>
      </w:r>
      <w:r w:rsidRPr="006B6D9C">
        <w:t xml:space="preserve">dosing. For patients with PNH and aHUS, the dosing regimen comprises an initial phase (1 </w:t>
      </w:r>
      <w:r w:rsidR="00AE121E">
        <w:t>to</w:t>
      </w:r>
      <w:r w:rsidRPr="006B6D9C">
        <w:t xml:space="preserve"> 4 weeks), after which the recommended dose of eculizumab is administered every </w:t>
      </w:r>
      <w:r w:rsidR="00AE121E">
        <w:t>two</w:t>
      </w:r>
      <w:r w:rsidRPr="006B6D9C">
        <w:t xml:space="preserve"> weeks for patients with body weight 10 kg </w:t>
      </w:r>
      <w:r w:rsidR="00AE121E">
        <w:t xml:space="preserve">or more </w:t>
      </w:r>
      <w:r w:rsidRPr="006B6D9C">
        <w:t xml:space="preserve">and every </w:t>
      </w:r>
      <w:r w:rsidR="00AE121E">
        <w:t>three</w:t>
      </w:r>
      <w:r w:rsidRPr="006B6D9C">
        <w:t xml:space="preserve"> weeks for patients with body weight </w:t>
      </w:r>
      <w:r w:rsidR="00AE121E">
        <w:t xml:space="preserve">from 5 kg to </w:t>
      </w:r>
      <w:r w:rsidRPr="006B6D9C">
        <w:t>10 kg.</w:t>
      </w:r>
    </w:p>
    <w:p w14:paraId="0EAFD265" w14:textId="3C6BDAFB" w:rsidR="007B0A6A" w:rsidRDefault="007B0A6A" w:rsidP="007B0A6A">
      <w:pPr>
        <w:rPr>
          <w:rFonts w:eastAsia="MS Mincho"/>
          <w:lang w:eastAsia="ja-JP"/>
        </w:rPr>
      </w:pPr>
      <w:r>
        <w:rPr>
          <w:rFonts w:eastAsia="MS Mincho"/>
          <w:lang w:eastAsia="ja-JP"/>
        </w:rPr>
        <w:t xml:space="preserve">The rationale provided by the </w:t>
      </w:r>
      <w:r w:rsidR="00AE121E">
        <w:rPr>
          <w:rFonts w:eastAsia="MS Mincho"/>
          <w:lang w:eastAsia="ja-JP"/>
        </w:rPr>
        <w:t>s</w:t>
      </w:r>
      <w:r>
        <w:rPr>
          <w:rFonts w:eastAsia="MS Mincho"/>
          <w:lang w:eastAsia="ja-JP"/>
        </w:rPr>
        <w:t xml:space="preserve">ponsor </w:t>
      </w:r>
      <w:r>
        <w:t>for the proposed extension of indication for ravulizumab</w:t>
      </w:r>
      <w:r>
        <w:rPr>
          <w:rFonts w:eastAsia="MS Mincho"/>
          <w:lang w:eastAsia="ja-JP"/>
        </w:rPr>
        <w:t xml:space="preserve"> is the eculizumab</w:t>
      </w:r>
      <w:r w:rsidR="00AE121E">
        <w:rPr>
          <w:rFonts w:eastAsia="MS Mincho"/>
          <w:lang w:eastAsia="ja-JP"/>
        </w:rPr>
        <w:t xml:space="preserve"> once every two or three weeks</w:t>
      </w:r>
      <w:r>
        <w:rPr>
          <w:rFonts w:eastAsia="MS Mincho"/>
          <w:lang w:eastAsia="ja-JP"/>
        </w:rPr>
        <w:t xml:space="preserve"> maintenance dosing regimen is burdensome for patients and there</w:t>
      </w:r>
      <w:r w:rsidR="00AE121E">
        <w:rPr>
          <w:rFonts w:eastAsia="MS Mincho"/>
          <w:lang w:eastAsia="ja-JP"/>
        </w:rPr>
        <w:t xml:space="preserve"> </w:t>
      </w:r>
      <w:r>
        <w:rPr>
          <w:rFonts w:eastAsia="MS Mincho"/>
          <w:lang w:eastAsia="ja-JP"/>
        </w:rPr>
        <w:t>is an unmet need for a therapeutic modality with a less frequent dosing schedule.</w:t>
      </w:r>
      <w:r w:rsidRPr="00DD11CA">
        <w:rPr>
          <w:rFonts w:eastAsia="MS Mincho"/>
          <w:lang w:eastAsia="ja-JP"/>
        </w:rPr>
        <w:t xml:space="preserve"> </w:t>
      </w:r>
      <w:r w:rsidRPr="00314AE9">
        <w:rPr>
          <w:rFonts w:eastAsia="MS Mincho"/>
          <w:lang w:eastAsia="ja-JP"/>
        </w:rPr>
        <w:t xml:space="preserve">Ravulizumab was </w:t>
      </w:r>
      <w:r>
        <w:rPr>
          <w:rFonts w:eastAsia="MS Mincho"/>
          <w:lang w:eastAsia="ja-JP"/>
        </w:rPr>
        <w:t xml:space="preserve">developed by substituting </w:t>
      </w:r>
      <w:r w:rsidR="00AE121E">
        <w:rPr>
          <w:rFonts w:eastAsia="MS Mincho"/>
          <w:lang w:eastAsia="ja-JP"/>
        </w:rPr>
        <w:t>four</w:t>
      </w:r>
      <w:r w:rsidRPr="00314AE9">
        <w:rPr>
          <w:rFonts w:eastAsia="MS Mincho"/>
          <w:lang w:eastAsia="ja-JP"/>
        </w:rPr>
        <w:t xml:space="preserve"> amino acids in the eculizumab heavy chain</w:t>
      </w:r>
      <w:r>
        <w:rPr>
          <w:rFonts w:eastAsia="MS Mincho"/>
          <w:lang w:eastAsia="ja-JP"/>
        </w:rPr>
        <w:t xml:space="preserve"> to </w:t>
      </w:r>
      <w:r w:rsidRPr="00314AE9">
        <w:rPr>
          <w:rFonts w:eastAsia="MS Mincho"/>
          <w:lang w:eastAsia="ja-JP"/>
        </w:rPr>
        <w:t>extend the half-life of ravulizumab relative to eculizumab</w:t>
      </w:r>
      <w:r>
        <w:rPr>
          <w:rFonts w:eastAsia="MS Mincho"/>
          <w:lang w:eastAsia="ja-JP"/>
        </w:rPr>
        <w:t xml:space="preserve">, thus allowing for less frequent maintenance dosing of ravulizumab. The maximum number of ravulizumab </w:t>
      </w:r>
      <w:r w:rsidR="00AE121E">
        <w:rPr>
          <w:rFonts w:eastAsia="MS Mincho"/>
          <w:lang w:eastAsia="ja-JP"/>
        </w:rPr>
        <w:t>versus</w:t>
      </w:r>
      <w:r>
        <w:rPr>
          <w:rFonts w:eastAsia="MS Mincho"/>
          <w:lang w:eastAsia="ja-JP"/>
        </w:rPr>
        <w:t xml:space="preserve"> </w:t>
      </w:r>
      <w:r w:rsidRPr="00314AE9">
        <w:rPr>
          <w:rFonts w:eastAsia="MS Mincho"/>
          <w:lang w:eastAsia="ja-JP"/>
        </w:rPr>
        <w:t>eculizumab</w:t>
      </w:r>
      <w:r>
        <w:rPr>
          <w:rFonts w:eastAsia="MS Mincho"/>
          <w:lang w:eastAsia="ja-JP"/>
        </w:rPr>
        <w:t xml:space="preserve"> infusions in the first treatment year is summarised </w:t>
      </w:r>
      <w:r w:rsidR="00AE121E">
        <w:rPr>
          <w:rFonts w:eastAsia="MS Mincho"/>
          <w:lang w:eastAsia="ja-JP"/>
        </w:rPr>
        <w:t>in</w:t>
      </w:r>
      <w:r w:rsidR="000B28EA">
        <w:rPr>
          <w:rFonts w:eastAsia="MS Mincho"/>
          <w:lang w:eastAsia="ja-JP"/>
        </w:rPr>
        <w:t xml:space="preserve"> </w:t>
      </w:r>
      <w:r w:rsidR="000B28EA">
        <w:rPr>
          <w:rFonts w:eastAsia="MS Mincho"/>
          <w:lang w:eastAsia="ja-JP"/>
        </w:rPr>
        <w:fldChar w:fldCharType="begin"/>
      </w:r>
      <w:r w:rsidR="000B28EA">
        <w:rPr>
          <w:rFonts w:eastAsia="MS Mincho"/>
          <w:lang w:eastAsia="ja-JP"/>
        </w:rPr>
        <w:instrText xml:space="preserve"> REF _Ref132617452 \h </w:instrText>
      </w:r>
      <w:r w:rsidR="000B28EA">
        <w:rPr>
          <w:rFonts w:eastAsia="MS Mincho"/>
          <w:lang w:eastAsia="ja-JP"/>
        </w:rPr>
      </w:r>
      <w:r w:rsidR="000B28EA">
        <w:rPr>
          <w:rFonts w:eastAsia="MS Mincho"/>
          <w:lang w:eastAsia="ja-JP"/>
        </w:rPr>
        <w:fldChar w:fldCharType="separate"/>
      </w:r>
      <w:r w:rsidR="004C7A29">
        <w:t xml:space="preserve">Table </w:t>
      </w:r>
      <w:r w:rsidR="004C7A29">
        <w:rPr>
          <w:noProof/>
        </w:rPr>
        <w:t>3</w:t>
      </w:r>
      <w:r w:rsidR="000B28EA">
        <w:rPr>
          <w:rFonts w:eastAsia="MS Mincho"/>
          <w:lang w:eastAsia="ja-JP"/>
        </w:rPr>
        <w:fldChar w:fldCharType="end"/>
      </w:r>
      <w:r w:rsidR="00E76E48">
        <w:rPr>
          <w:rFonts w:eastAsia="MS Mincho"/>
          <w:lang w:eastAsia="ja-JP"/>
        </w:rPr>
        <w:t>, shown</w:t>
      </w:r>
      <w:r w:rsidR="00AE121E">
        <w:rPr>
          <w:rFonts w:eastAsia="MS Mincho"/>
          <w:lang w:eastAsia="ja-JP"/>
        </w:rPr>
        <w:t xml:space="preserve"> below</w:t>
      </w:r>
      <w:r w:rsidR="00E76E48">
        <w:rPr>
          <w:rFonts w:eastAsia="MS Mincho"/>
          <w:lang w:eastAsia="ja-JP"/>
        </w:rPr>
        <w:t>.</w:t>
      </w:r>
    </w:p>
    <w:p w14:paraId="31017CBB" w14:textId="55480B5F" w:rsidR="007B0A6A" w:rsidRDefault="007B0A6A" w:rsidP="007B0A6A">
      <w:pPr>
        <w:pStyle w:val="TableTitle"/>
        <w:rPr>
          <w:rFonts w:eastAsia="MS Mincho"/>
          <w:lang w:eastAsia="ja-JP"/>
        </w:rPr>
      </w:pPr>
      <w:bookmarkStart w:id="30" w:name="_Ref132617452"/>
      <w:bookmarkStart w:id="31" w:name="_Ref132617443"/>
      <w:r>
        <w:lastRenderedPageBreak/>
        <w:t xml:space="preserve">Table </w:t>
      </w:r>
      <w:fldSimple w:instr=" SEQ Table \* ARABIC ">
        <w:r w:rsidR="004C7A29">
          <w:rPr>
            <w:noProof/>
          </w:rPr>
          <w:t>3</w:t>
        </w:r>
      </w:fldSimple>
      <w:bookmarkEnd w:id="30"/>
      <w:r>
        <w:rPr>
          <w:noProof/>
        </w:rPr>
        <w:t>:</w:t>
      </w:r>
      <w:r w:rsidRPr="0025175A">
        <w:t xml:space="preserve"> </w:t>
      </w:r>
      <w:r>
        <w:t xml:space="preserve">Maximum </w:t>
      </w:r>
      <w:r w:rsidR="00AE121E">
        <w:t>n</w:t>
      </w:r>
      <w:r>
        <w:t xml:space="preserve">umber of </w:t>
      </w:r>
      <w:r w:rsidR="00E76E48">
        <w:t xml:space="preserve">infusions for </w:t>
      </w:r>
      <w:r w:rsidR="00AE121E">
        <w:t>r</w:t>
      </w:r>
      <w:r>
        <w:t>avulizumab v</w:t>
      </w:r>
      <w:r w:rsidR="00AE121E">
        <w:t>ersus</w:t>
      </w:r>
      <w:r>
        <w:t xml:space="preserve"> </w:t>
      </w:r>
      <w:r w:rsidR="00AE121E">
        <w:t>e</w:t>
      </w:r>
      <w:r>
        <w:t xml:space="preserve">culizumab </w:t>
      </w:r>
      <w:r w:rsidR="00E76E48">
        <w:t>(</w:t>
      </w:r>
      <w:r>
        <w:t xml:space="preserve">in </w:t>
      </w:r>
      <w:r w:rsidR="00AE121E">
        <w:t>f</w:t>
      </w:r>
      <w:r>
        <w:t xml:space="preserve">irst </w:t>
      </w:r>
      <w:r w:rsidR="00AE121E">
        <w:t>y</w:t>
      </w:r>
      <w:r>
        <w:t>ear</w:t>
      </w:r>
      <w:bookmarkEnd w:id="31"/>
      <w:r w:rsidR="00E76E48">
        <w:t xml:space="preserve"> of treatment)</w:t>
      </w:r>
    </w:p>
    <w:p w14:paraId="0414E77E" w14:textId="6A815C3F" w:rsidR="007B0A6A" w:rsidRDefault="007B0A6A" w:rsidP="007B0A6A">
      <w:pPr>
        <w:rPr>
          <w:rFonts w:eastAsia="MS Mincho"/>
          <w:lang w:eastAsia="ja-JP"/>
        </w:rPr>
      </w:pPr>
      <w:r>
        <w:rPr>
          <w:noProof/>
          <w:lang w:val="en-GB" w:eastAsia="en-GB"/>
        </w:rPr>
        <w:drawing>
          <wp:inline distT="0" distB="0" distL="0" distR="0" wp14:anchorId="2E3A7A95" wp14:editId="4BE8538F">
            <wp:extent cx="5731510" cy="1633855"/>
            <wp:effectExtent l="0" t="0" r="2540" b="4445"/>
            <wp:docPr id="4" name="Picture 4" descr="This table shows the maximum number of ravulizumab versus eculizumab infusions in first treatmen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table shows the maximum number of ravulizumab versus eculizumab infusions in first treatment year"/>
                    <pic:cNvPicPr/>
                  </pic:nvPicPr>
                  <pic:blipFill>
                    <a:blip r:embed="rId20"/>
                    <a:stretch>
                      <a:fillRect/>
                    </a:stretch>
                  </pic:blipFill>
                  <pic:spPr>
                    <a:xfrm>
                      <a:off x="0" y="0"/>
                      <a:ext cx="5731510" cy="1633855"/>
                    </a:xfrm>
                    <a:prstGeom prst="rect">
                      <a:avLst/>
                    </a:prstGeom>
                  </pic:spPr>
                </pic:pic>
              </a:graphicData>
            </a:graphic>
          </wp:inline>
        </w:drawing>
      </w:r>
    </w:p>
    <w:p w14:paraId="0D615854" w14:textId="77777777" w:rsidR="00324B33" w:rsidRPr="003F31A2" w:rsidRDefault="00324B33" w:rsidP="00324B33">
      <w:pPr>
        <w:pStyle w:val="Heading3"/>
      </w:pPr>
      <w:bookmarkStart w:id="32" w:name="_Toc103679291"/>
      <w:bookmarkStart w:id="33" w:name="_Toc135662374"/>
      <w:r>
        <w:t>Regulatory status</w:t>
      </w:r>
      <w:bookmarkEnd w:id="16"/>
      <w:bookmarkEnd w:id="17"/>
      <w:bookmarkEnd w:id="32"/>
      <w:bookmarkEnd w:id="33"/>
    </w:p>
    <w:p w14:paraId="59F64F65" w14:textId="47E91C8B" w:rsidR="00564C74" w:rsidRDefault="00472EEA" w:rsidP="00324B33">
      <w:pPr>
        <w:rPr>
          <w:szCs w:val="22"/>
        </w:rPr>
      </w:pPr>
      <w:r>
        <w:rPr>
          <w:szCs w:val="22"/>
        </w:rPr>
        <w:t>Ultomiris</w:t>
      </w:r>
      <w:r w:rsidR="00564C74">
        <w:rPr>
          <w:szCs w:val="22"/>
        </w:rPr>
        <w:t xml:space="preserve"> (ravulizumab) 300 mg in 30 mL (10 mg/mL) concentrated solution for intravenous infusion vial (AUST R 311926)</w:t>
      </w:r>
      <w:r w:rsidR="00324B33" w:rsidRPr="00BD5DBD">
        <w:rPr>
          <w:szCs w:val="22"/>
        </w:rPr>
        <w:t xml:space="preserve"> received initial registration on the </w:t>
      </w:r>
      <w:hyperlink r:id="rId21" w:history="1">
        <w:r w:rsidR="00324B33" w:rsidRPr="00BD5DBD">
          <w:rPr>
            <w:rStyle w:val="Hyperlink"/>
            <w:szCs w:val="22"/>
          </w:rPr>
          <w:t>Australian Register of Therapeutic Goods</w:t>
        </w:r>
      </w:hyperlink>
      <w:r w:rsidR="00324B33" w:rsidRPr="00BD5DBD">
        <w:rPr>
          <w:szCs w:val="22"/>
        </w:rPr>
        <w:t xml:space="preserve"> (</w:t>
      </w:r>
      <w:hyperlink r:id="rId22" w:history="1">
        <w:r w:rsidR="00324B33" w:rsidRPr="00BD5DBD">
          <w:rPr>
            <w:rStyle w:val="Hyperlink"/>
            <w:szCs w:val="22"/>
          </w:rPr>
          <w:t>ARTG</w:t>
        </w:r>
      </w:hyperlink>
      <w:r w:rsidR="00324B33" w:rsidRPr="00BD5DBD">
        <w:rPr>
          <w:szCs w:val="22"/>
        </w:rPr>
        <w:t>) on</w:t>
      </w:r>
      <w:r w:rsidR="00AE121E">
        <w:rPr>
          <w:szCs w:val="22"/>
        </w:rPr>
        <w:t xml:space="preserve"> 17 October 2019</w:t>
      </w:r>
      <w:r w:rsidR="00564C74">
        <w:rPr>
          <w:szCs w:val="22"/>
        </w:rPr>
        <w:t>.</w:t>
      </w:r>
      <w:bookmarkStart w:id="34" w:name="_Ref131412025"/>
      <w:r w:rsidR="00E76E48" w:rsidRPr="0084036E">
        <w:rPr>
          <w:szCs w:val="22"/>
          <w:vertAlign w:val="superscript"/>
        </w:rPr>
        <w:fldChar w:fldCharType="begin"/>
      </w:r>
      <w:r w:rsidR="00E76E48" w:rsidRPr="0084036E">
        <w:rPr>
          <w:szCs w:val="22"/>
          <w:vertAlign w:val="superscript"/>
        </w:rPr>
        <w:instrText xml:space="preserve"> NOTEREF _Ref135308371 \h </w:instrText>
      </w:r>
      <w:r w:rsidR="00E76E48">
        <w:rPr>
          <w:szCs w:val="22"/>
          <w:vertAlign w:val="superscript"/>
        </w:rPr>
        <w:instrText xml:space="preserve"> \* MERGEFORMAT </w:instrText>
      </w:r>
      <w:r w:rsidR="00E76E48" w:rsidRPr="0084036E">
        <w:rPr>
          <w:szCs w:val="22"/>
          <w:vertAlign w:val="superscript"/>
        </w:rPr>
      </w:r>
      <w:r w:rsidR="00E76E48" w:rsidRPr="0084036E">
        <w:rPr>
          <w:szCs w:val="22"/>
          <w:vertAlign w:val="superscript"/>
        </w:rPr>
        <w:fldChar w:fldCharType="separate"/>
      </w:r>
      <w:r w:rsidR="00E76E48" w:rsidRPr="0084036E">
        <w:rPr>
          <w:szCs w:val="22"/>
          <w:vertAlign w:val="superscript"/>
        </w:rPr>
        <w:t>10</w:t>
      </w:r>
      <w:r w:rsidR="00E76E48" w:rsidRPr="0084036E">
        <w:rPr>
          <w:szCs w:val="22"/>
          <w:vertAlign w:val="superscript"/>
        </w:rPr>
        <w:fldChar w:fldCharType="end"/>
      </w:r>
      <w:bookmarkEnd w:id="34"/>
      <w:r w:rsidR="000B28EA">
        <w:rPr>
          <w:szCs w:val="22"/>
        </w:rPr>
        <w:t xml:space="preserve"> Additional</w:t>
      </w:r>
      <w:r w:rsidR="00564C74">
        <w:rPr>
          <w:szCs w:val="22"/>
        </w:rPr>
        <w:t xml:space="preserve"> strengths </w:t>
      </w:r>
      <w:r w:rsidR="000B28EA" w:rsidRPr="000B28EA">
        <w:rPr>
          <w:szCs w:val="22"/>
        </w:rPr>
        <w:t>(300 mg in 3 mL (100</w:t>
      </w:r>
      <w:r w:rsidR="000B28EA">
        <w:rPr>
          <w:szCs w:val="22"/>
        </w:rPr>
        <w:t> </w:t>
      </w:r>
      <w:r w:rsidR="000B28EA" w:rsidRPr="000B28EA">
        <w:rPr>
          <w:szCs w:val="22"/>
        </w:rPr>
        <w:t>mg/mL) and 1100 mg in 11 mL (100 mg/mL))</w:t>
      </w:r>
      <w:r w:rsidR="000B28EA">
        <w:rPr>
          <w:szCs w:val="22"/>
        </w:rPr>
        <w:t xml:space="preserve"> </w:t>
      </w:r>
      <w:r w:rsidR="00564C74">
        <w:rPr>
          <w:szCs w:val="22"/>
        </w:rPr>
        <w:t>were registered on 23 March</w:t>
      </w:r>
      <w:r w:rsidR="000B28EA">
        <w:rPr>
          <w:szCs w:val="22"/>
        </w:rPr>
        <w:t> </w:t>
      </w:r>
      <w:r w:rsidR="00564C74">
        <w:rPr>
          <w:szCs w:val="22"/>
        </w:rPr>
        <w:t>2021</w:t>
      </w:r>
      <w:r w:rsidR="000B28EA">
        <w:rPr>
          <w:szCs w:val="22"/>
        </w:rPr>
        <w:t>.</w:t>
      </w:r>
    </w:p>
    <w:p w14:paraId="53C00F10" w14:textId="54F8E2F3" w:rsidR="00324B33" w:rsidRDefault="00750D70" w:rsidP="00324B33">
      <w:pPr>
        <w:rPr>
          <w:szCs w:val="22"/>
        </w:rPr>
      </w:pPr>
      <w:r w:rsidRPr="00BD5DBD">
        <w:rPr>
          <w:szCs w:val="22"/>
        </w:rPr>
        <w:t>At the time that th</w:t>
      </w:r>
      <w:r w:rsidR="00564C74">
        <w:rPr>
          <w:szCs w:val="22"/>
        </w:rPr>
        <w:t>e TGA considered this s</w:t>
      </w:r>
      <w:r w:rsidRPr="00BD5DBD">
        <w:rPr>
          <w:szCs w:val="22"/>
        </w:rPr>
        <w:t>ubmission</w:t>
      </w:r>
      <w:r w:rsidR="00E76E48">
        <w:rPr>
          <w:szCs w:val="22"/>
        </w:rPr>
        <w:t xml:space="preserve"> to extend the indications</w:t>
      </w:r>
      <w:r w:rsidRPr="00BD5DBD">
        <w:rPr>
          <w:szCs w:val="22"/>
        </w:rPr>
        <w:t xml:space="preserve"> </w:t>
      </w:r>
      <w:r w:rsidR="00E76E48">
        <w:rPr>
          <w:szCs w:val="22"/>
        </w:rPr>
        <w:t xml:space="preserve">of </w:t>
      </w:r>
      <w:r w:rsidR="00472EEA">
        <w:rPr>
          <w:szCs w:val="22"/>
        </w:rPr>
        <w:t>Ultomiris</w:t>
      </w:r>
      <w:r w:rsidR="00E76E48">
        <w:rPr>
          <w:szCs w:val="22"/>
        </w:rPr>
        <w:t>, Ultomiris</w:t>
      </w:r>
      <w:r w:rsidRPr="00BD5DBD">
        <w:rPr>
          <w:szCs w:val="22"/>
        </w:rPr>
        <w:t xml:space="preserve"> was approved for the following indication:</w:t>
      </w:r>
    </w:p>
    <w:p w14:paraId="0B4CAD61" w14:textId="38DBDBC3" w:rsidR="00564C74" w:rsidRPr="00564C74" w:rsidRDefault="00472EEA" w:rsidP="00564C74">
      <w:pPr>
        <w:ind w:left="360"/>
        <w:rPr>
          <w:i/>
          <w:iCs/>
          <w:szCs w:val="22"/>
        </w:rPr>
      </w:pPr>
      <w:r>
        <w:rPr>
          <w:i/>
          <w:iCs/>
          <w:szCs w:val="22"/>
        </w:rPr>
        <w:t>Ultomiris</w:t>
      </w:r>
      <w:r w:rsidR="00564C74" w:rsidRPr="00564C74">
        <w:rPr>
          <w:i/>
          <w:iCs/>
          <w:szCs w:val="22"/>
        </w:rPr>
        <w:t xml:space="preserve"> is indicated for the treatment of adult patients with:</w:t>
      </w:r>
    </w:p>
    <w:p w14:paraId="17A411BF" w14:textId="0E34057F" w:rsidR="00564C74" w:rsidRPr="00564C74" w:rsidRDefault="00564C74" w:rsidP="00564C74">
      <w:pPr>
        <w:pStyle w:val="ListBullet"/>
        <w:ind w:left="720"/>
        <w:rPr>
          <w:i/>
          <w:iCs/>
        </w:rPr>
      </w:pPr>
      <w:r w:rsidRPr="00564C74">
        <w:rPr>
          <w:i/>
          <w:iCs/>
        </w:rPr>
        <w:t>Paroxysmal Nocturnal Haemoglobinuria (PNH)</w:t>
      </w:r>
    </w:p>
    <w:p w14:paraId="715B7D2A" w14:textId="69F06FC0" w:rsidR="00324B33" w:rsidRPr="00BD5DBD" w:rsidRDefault="00564C74" w:rsidP="00324B33">
      <w:pPr>
        <w:rPr>
          <w:szCs w:val="22"/>
        </w:rPr>
      </w:pPr>
      <w:r>
        <w:rPr>
          <w:szCs w:val="22"/>
        </w:rPr>
        <w:t>A</w:t>
      </w:r>
      <w:r w:rsidR="00324B33" w:rsidRPr="00BD5DBD">
        <w:rPr>
          <w:szCs w:val="22"/>
        </w:rPr>
        <w:t xml:space="preserve"> similar submission</w:t>
      </w:r>
      <w:r>
        <w:rPr>
          <w:szCs w:val="22"/>
        </w:rPr>
        <w:t xml:space="preserve"> for the proposed extension of indications</w:t>
      </w:r>
      <w:r w:rsidR="00324B33" w:rsidRPr="00BD5DBD">
        <w:rPr>
          <w:szCs w:val="22"/>
        </w:rPr>
        <w:t xml:space="preserve"> had been approved</w:t>
      </w:r>
      <w:r>
        <w:rPr>
          <w:szCs w:val="22"/>
        </w:rPr>
        <w:t xml:space="preserve"> in</w:t>
      </w:r>
      <w:r w:rsidR="002A6F1F">
        <w:rPr>
          <w:szCs w:val="22"/>
        </w:rPr>
        <w:t xml:space="preserve"> numerous</w:t>
      </w:r>
      <w:r>
        <w:rPr>
          <w:szCs w:val="22"/>
        </w:rPr>
        <w:t xml:space="preserve"> countries. The approved indications in the United States </w:t>
      </w:r>
      <w:r w:rsidR="002400EE">
        <w:rPr>
          <w:szCs w:val="22"/>
        </w:rPr>
        <w:t>of America</w:t>
      </w:r>
      <w:r w:rsidR="002A6F1F">
        <w:rPr>
          <w:szCs w:val="22"/>
        </w:rPr>
        <w:t xml:space="preserve"> </w:t>
      </w:r>
      <w:r w:rsidR="00E76E48">
        <w:rPr>
          <w:szCs w:val="22"/>
        </w:rPr>
        <w:t xml:space="preserve">(USA) </w:t>
      </w:r>
      <w:r w:rsidR="002A6F1F">
        <w:rPr>
          <w:szCs w:val="22"/>
        </w:rPr>
        <w:t xml:space="preserve">and the </w:t>
      </w:r>
      <w:r>
        <w:rPr>
          <w:szCs w:val="22"/>
        </w:rPr>
        <w:t>European Union</w:t>
      </w:r>
      <w:r w:rsidR="00E76E48">
        <w:rPr>
          <w:szCs w:val="22"/>
        </w:rPr>
        <w:t xml:space="preserve"> (EU) </w:t>
      </w:r>
      <w:proofErr w:type="gramStart"/>
      <w:r w:rsidR="00E76E48">
        <w:rPr>
          <w:szCs w:val="22"/>
        </w:rPr>
        <w:t>is</w:t>
      </w:r>
      <w:proofErr w:type="gramEnd"/>
      <w:r w:rsidR="002400EE">
        <w:rPr>
          <w:szCs w:val="22"/>
        </w:rPr>
        <w:t xml:space="preserve"> </w:t>
      </w:r>
      <w:r>
        <w:rPr>
          <w:szCs w:val="22"/>
        </w:rPr>
        <w:t xml:space="preserve">summarised in </w:t>
      </w:r>
      <w:r>
        <w:rPr>
          <w:szCs w:val="22"/>
        </w:rPr>
        <w:fldChar w:fldCharType="begin"/>
      </w:r>
      <w:r>
        <w:rPr>
          <w:szCs w:val="22"/>
        </w:rPr>
        <w:instrText xml:space="preserve"> REF _Ref99705479 \h </w:instrText>
      </w:r>
      <w:r>
        <w:rPr>
          <w:szCs w:val="22"/>
        </w:rPr>
      </w:r>
      <w:r>
        <w:rPr>
          <w:szCs w:val="22"/>
        </w:rPr>
        <w:fldChar w:fldCharType="separate"/>
      </w:r>
      <w:r w:rsidR="004C7A29">
        <w:t xml:space="preserve">Table </w:t>
      </w:r>
      <w:r w:rsidR="004C7A29">
        <w:rPr>
          <w:noProof/>
        </w:rPr>
        <w:t>4</w:t>
      </w:r>
      <w:r>
        <w:rPr>
          <w:szCs w:val="22"/>
        </w:rPr>
        <w:fldChar w:fldCharType="end"/>
      </w:r>
      <w:r w:rsidR="00E76E48">
        <w:rPr>
          <w:szCs w:val="22"/>
        </w:rPr>
        <w:t>, below.</w:t>
      </w:r>
    </w:p>
    <w:p w14:paraId="19B9E0AC" w14:textId="2522A49C" w:rsidR="00324B33" w:rsidRDefault="00324B33" w:rsidP="00324B33">
      <w:pPr>
        <w:pStyle w:val="TableTitle"/>
      </w:pPr>
      <w:bookmarkStart w:id="35" w:name="_Ref99705479"/>
      <w:r>
        <w:lastRenderedPageBreak/>
        <w:t xml:space="preserve">Table </w:t>
      </w:r>
      <w:fldSimple w:instr=" SEQ Table \* ARABIC ">
        <w:r w:rsidR="004C7A29">
          <w:rPr>
            <w:noProof/>
          </w:rPr>
          <w:t>4</w:t>
        </w:r>
      </w:fldSimple>
      <w:bookmarkEnd w:id="35"/>
      <w:r>
        <w:t>: International regulatory status</w:t>
      </w:r>
    </w:p>
    <w:tbl>
      <w:tblPr>
        <w:tblStyle w:val="TableTGAblue2023"/>
        <w:tblW w:w="5000" w:type="pct"/>
        <w:tblLook w:val="04A0" w:firstRow="1" w:lastRow="0" w:firstColumn="1" w:lastColumn="0" w:noHBand="0" w:noVBand="1"/>
      </w:tblPr>
      <w:tblGrid>
        <w:gridCol w:w="1782"/>
        <w:gridCol w:w="4073"/>
        <w:gridCol w:w="1409"/>
        <w:gridCol w:w="1796"/>
      </w:tblGrid>
      <w:tr w:rsidR="00324B33" w:rsidRPr="00D01DDB" w14:paraId="405E5D78" w14:textId="16839333" w:rsidTr="003518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pct"/>
          </w:tcPr>
          <w:p w14:paraId="185B099B" w14:textId="7A4C0E6C" w:rsidR="00324B33" w:rsidRPr="00D01DDB" w:rsidRDefault="00324B33" w:rsidP="0035187D">
            <w:pPr>
              <w:ind w:left="0"/>
              <w:rPr>
                <w:szCs w:val="22"/>
              </w:rPr>
            </w:pPr>
            <w:r w:rsidRPr="00D01DDB">
              <w:rPr>
                <w:szCs w:val="22"/>
              </w:rPr>
              <w:t>Region</w:t>
            </w:r>
          </w:p>
        </w:tc>
        <w:tc>
          <w:tcPr>
            <w:tcW w:w="1076" w:type="pct"/>
          </w:tcPr>
          <w:p w14:paraId="778C35C7" w14:textId="52D23C85" w:rsidR="00324B33" w:rsidRPr="00D01DDB" w:rsidRDefault="00324B33" w:rsidP="0035187D">
            <w:pPr>
              <w:ind w:left="0"/>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0" w:type="pct"/>
          </w:tcPr>
          <w:p w14:paraId="58F81584" w14:textId="66689ABF" w:rsidR="00324B33" w:rsidRPr="00D01DDB" w:rsidRDefault="00324B33" w:rsidP="0035187D">
            <w:pPr>
              <w:ind w:left="0"/>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0" w:type="pct"/>
          </w:tcPr>
          <w:p w14:paraId="50B2D435" w14:textId="560588D2" w:rsidR="00324B33" w:rsidRPr="00D01DDB" w:rsidRDefault="00324B33" w:rsidP="0035187D">
            <w:pPr>
              <w:ind w:left="0"/>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2400EE" w:rsidRPr="00D01DDB" w14:paraId="38D24E86" w14:textId="77777777" w:rsidTr="0035187D">
        <w:tc>
          <w:tcPr>
            <w:cnfStyle w:val="001000000000" w:firstRow="0" w:lastRow="0" w:firstColumn="1" w:lastColumn="0" w:oddVBand="0" w:evenVBand="0" w:oddHBand="0" w:evenHBand="0" w:firstRowFirstColumn="0" w:firstRowLastColumn="0" w:lastRowFirstColumn="0" w:lastRowLastColumn="0"/>
            <w:tcW w:w="642" w:type="pct"/>
            <w:vMerge w:val="restart"/>
          </w:tcPr>
          <w:p w14:paraId="4C540DE5" w14:textId="7DB30DAC" w:rsidR="002400EE" w:rsidRPr="00D01DDB" w:rsidRDefault="002400EE" w:rsidP="0035187D">
            <w:pPr>
              <w:ind w:left="0"/>
              <w:rPr>
                <w:szCs w:val="22"/>
              </w:rPr>
            </w:pPr>
            <w:r>
              <w:rPr>
                <w:szCs w:val="22"/>
              </w:rPr>
              <w:t>United States of America</w:t>
            </w:r>
          </w:p>
        </w:tc>
        <w:tc>
          <w:tcPr>
            <w:tcW w:w="1076" w:type="pct"/>
          </w:tcPr>
          <w:p w14:paraId="4FA5DDA9" w14:textId="501FBB90" w:rsidR="002400EE" w:rsidRPr="00D01DDB" w:rsidRDefault="000B28EA" w:rsidP="0035187D">
            <w:pPr>
              <w:ind w:left="0"/>
              <w:cnfStyle w:val="000000000000" w:firstRow="0" w:lastRow="0" w:firstColumn="0" w:lastColumn="0" w:oddVBand="0" w:evenVBand="0" w:oddHBand="0" w:evenHBand="0" w:firstRowFirstColumn="0" w:firstRowLastColumn="0" w:lastRowFirstColumn="0" w:lastRowLastColumn="0"/>
              <w:rPr>
                <w:szCs w:val="22"/>
              </w:rPr>
            </w:pPr>
            <w:r>
              <w:rPr>
                <w:szCs w:val="22"/>
              </w:rPr>
              <w:t>19 April 2019</w:t>
            </w:r>
          </w:p>
        </w:tc>
        <w:tc>
          <w:tcPr>
            <w:tcW w:w="0" w:type="pct"/>
          </w:tcPr>
          <w:p w14:paraId="29358393" w14:textId="5EBBF4A0" w:rsidR="002400EE" w:rsidRPr="00D01DDB" w:rsidRDefault="002400EE" w:rsidP="0035187D">
            <w:pPr>
              <w:ind w:left="0"/>
              <w:cnfStyle w:val="000000000000" w:firstRow="0" w:lastRow="0" w:firstColumn="0" w:lastColumn="0" w:oddVBand="0" w:evenVBand="0" w:oddHBand="0" w:evenHBand="0" w:firstRowFirstColumn="0" w:firstRowLastColumn="0" w:lastRowFirstColumn="0" w:lastRowLastColumn="0"/>
              <w:rPr>
                <w:szCs w:val="22"/>
              </w:rPr>
            </w:pPr>
            <w:r>
              <w:rPr>
                <w:szCs w:val="22"/>
              </w:rPr>
              <w:t>Approved on 18 October 2019</w:t>
            </w:r>
          </w:p>
        </w:tc>
        <w:tc>
          <w:tcPr>
            <w:tcW w:w="0" w:type="pct"/>
          </w:tcPr>
          <w:p w14:paraId="05055674" w14:textId="065DAAEA" w:rsidR="002400EE" w:rsidRPr="002400EE" w:rsidRDefault="002400EE" w:rsidP="0035187D">
            <w:pPr>
              <w:ind w:left="0"/>
              <w:cnfStyle w:val="000000000000" w:firstRow="0" w:lastRow="0" w:firstColumn="0" w:lastColumn="0" w:oddVBand="0" w:evenVBand="0" w:oddHBand="0" w:evenHBand="0" w:firstRowFirstColumn="0" w:firstRowLastColumn="0" w:lastRowFirstColumn="0" w:lastRowLastColumn="0"/>
              <w:rPr>
                <w:i/>
                <w:iCs/>
                <w:szCs w:val="22"/>
              </w:rPr>
            </w:pPr>
            <w:r w:rsidRPr="002400EE">
              <w:rPr>
                <w:i/>
                <w:iCs/>
                <w:szCs w:val="22"/>
              </w:rPr>
              <w:t xml:space="preserve">Complement inhibitor indicated for the treatment of adults and pediatric patients one month of age and older with atypical </w:t>
            </w:r>
            <w:proofErr w:type="spellStart"/>
            <w:r w:rsidRPr="002400EE">
              <w:rPr>
                <w:i/>
                <w:iCs/>
                <w:szCs w:val="22"/>
              </w:rPr>
              <w:t>hemolytic</w:t>
            </w:r>
            <w:proofErr w:type="spellEnd"/>
            <w:r w:rsidRPr="002400EE">
              <w:rPr>
                <w:i/>
                <w:iCs/>
                <w:szCs w:val="22"/>
              </w:rPr>
              <w:t xml:space="preserve"> uremic syndrome (</w:t>
            </w:r>
            <w:proofErr w:type="spellStart"/>
            <w:r w:rsidRPr="002400EE">
              <w:rPr>
                <w:i/>
                <w:iCs/>
                <w:szCs w:val="22"/>
              </w:rPr>
              <w:t>aHUS</w:t>
            </w:r>
            <w:proofErr w:type="spellEnd"/>
            <w:r w:rsidRPr="002400EE">
              <w:rPr>
                <w:i/>
                <w:iCs/>
                <w:szCs w:val="22"/>
              </w:rPr>
              <w:t>) to inhibit complement-mediated thrombotic microangiopathy (TMA).</w:t>
            </w:r>
          </w:p>
        </w:tc>
      </w:tr>
      <w:tr w:rsidR="002400EE" w:rsidRPr="00D01DDB" w14:paraId="785CBAC4" w14:textId="77777777" w:rsidTr="0035187D">
        <w:tc>
          <w:tcPr>
            <w:cnfStyle w:val="001000000000" w:firstRow="0" w:lastRow="0" w:firstColumn="1" w:lastColumn="0" w:oddVBand="0" w:evenVBand="0" w:oddHBand="0" w:evenHBand="0" w:firstRowFirstColumn="0" w:firstRowLastColumn="0" w:lastRowFirstColumn="0" w:lastRowLastColumn="0"/>
            <w:tcW w:w="642" w:type="pct"/>
            <w:vMerge/>
          </w:tcPr>
          <w:p w14:paraId="77824FEA" w14:textId="77777777" w:rsidR="002400EE" w:rsidRDefault="002400EE" w:rsidP="0035187D">
            <w:pPr>
              <w:ind w:left="0"/>
              <w:rPr>
                <w:szCs w:val="22"/>
              </w:rPr>
            </w:pPr>
          </w:p>
        </w:tc>
        <w:tc>
          <w:tcPr>
            <w:tcW w:w="1076" w:type="pct"/>
          </w:tcPr>
          <w:p w14:paraId="5D40CA34" w14:textId="163CC395" w:rsidR="002400EE" w:rsidRPr="00D01DDB" w:rsidRDefault="00643A95" w:rsidP="0035187D">
            <w:pPr>
              <w:ind w:left="0"/>
              <w:cnfStyle w:val="000000000000" w:firstRow="0" w:lastRow="0" w:firstColumn="0" w:lastColumn="0" w:oddVBand="0" w:evenVBand="0" w:oddHBand="0" w:evenHBand="0" w:firstRowFirstColumn="0" w:firstRowLastColumn="0" w:lastRowFirstColumn="0" w:lastRowLastColumn="0"/>
              <w:rPr>
                <w:szCs w:val="22"/>
              </w:rPr>
            </w:pPr>
            <w:r>
              <w:rPr>
                <w:szCs w:val="22"/>
              </w:rPr>
              <w:t xml:space="preserve">7 </w:t>
            </w:r>
            <w:r w:rsidR="007E513E">
              <w:rPr>
                <w:szCs w:val="22"/>
              </w:rPr>
              <w:t>December</w:t>
            </w:r>
            <w:r>
              <w:rPr>
                <w:szCs w:val="22"/>
              </w:rPr>
              <w:t xml:space="preserve"> 2020</w:t>
            </w:r>
          </w:p>
        </w:tc>
        <w:tc>
          <w:tcPr>
            <w:tcW w:w="0" w:type="pct"/>
          </w:tcPr>
          <w:p w14:paraId="199A1305" w14:textId="309CD638" w:rsidR="002400EE" w:rsidRDefault="002400EE" w:rsidP="0035187D">
            <w:pPr>
              <w:ind w:left="0"/>
              <w:cnfStyle w:val="000000000000" w:firstRow="0" w:lastRow="0" w:firstColumn="0" w:lastColumn="0" w:oddVBand="0" w:evenVBand="0" w:oddHBand="0" w:evenHBand="0" w:firstRowFirstColumn="0" w:firstRowLastColumn="0" w:lastRowFirstColumn="0" w:lastRowLastColumn="0"/>
              <w:rPr>
                <w:szCs w:val="22"/>
              </w:rPr>
            </w:pPr>
            <w:r w:rsidRPr="002400EE">
              <w:rPr>
                <w:szCs w:val="22"/>
              </w:rPr>
              <w:t xml:space="preserve">Approved on </w:t>
            </w:r>
            <w:r>
              <w:rPr>
                <w:szCs w:val="22"/>
              </w:rPr>
              <w:t>7 June 2021</w:t>
            </w:r>
          </w:p>
        </w:tc>
        <w:tc>
          <w:tcPr>
            <w:tcW w:w="0" w:type="pct"/>
          </w:tcPr>
          <w:p w14:paraId="46D87065" w14:textId="523711DD" w:rsidR="002400EE" w:rsidRPr="002400EE" w:rsidRDefault="002400EE" w:rsidP="0035187D">
            <w:pPr>
              <w:pStyle w:val="Default"/>
              <w:ind w:left="0"/>
              <w:cnfStyle w:val="000000000000" w:firstRow="0" w:lastRow="0" w:firstColumn="0" w:lastColumn="0" w:oddVBand="0" w:evenVBand="0" w:oddHBand="0" w:evenHBand="0" w:firstRowFirstColumn="0" w:firstRowLastColumn="0" w:lastRowFirstColumn="0" w:lastRowLastColumn="0"/>
              <w:rPr>
                <w:i/>
                <w:iCs/>
                <w:szCs w:val="22"/>
              </w:rPr>
            </w:pPr>
            <w:r w:rsidRPr="002400EE">
              <w:rPr>
                <w:i/>
                <w:iCs/>
                <w:sz w:val="22"/>
                <w:szCs w:val="22"/>
              </w:rPr>
              <w:t>Complement inhibitor indicated for the treatment of adult and pediatric patients one month of age and older with paroxysmal nocturnal hemoglobinuria (PNH).</w:t>
            </w:r>
          </w:p>
        </w:tc>
      </w:tr>
      <w:tr w:rsidR="002400EE" w:rsidRPr="00D01DDB" w14:paraId="18B6E2AA" w14:textId="7783D66F" w:rsidTr="0035187D">
        <w:tc>
          <w:tcPr>
            <w:cnfStyle w:val="001000000000" w:firstRow="0" w:lastRow="0" w:firstColumn="1" w:lastColumn="0" w:oddVBand="0" w:evenVBand="0" w:oddHBand="0" w:evenHBand="0" w:firstRowFirstColumn="0" w:firstRowLastColumn="0" w:lastRowFirstColumn="0" w:lastRowLastColumn="0"/>
            <w:tcW w:w="642" w:type="pct"/>
            <w:vMerge w:val="restart"/>
          </w:tcPr>
          <w:p w14:paraId="7F348960" w14:textId="71839D54" w:rsidR="002400EE" w:rsidRPr="00D01DDB" w:rsidRDefault="002400EE" w:rsidP="0035187D">
            <w:pPr>
              <w:ind w:left="0"/>
              <w:rPr>
                <w:szCs w:val="22"/>
              </w:rPr>
            </w:pPr>
            <w:r>
              <w:rPr>
                <w:szCs w:val="22"/>
              </w:rPr>
              <w:lastRenderedPageBreak/>
              <w:t>European Union</w:t>
            </w:r>
          </w:p>
        </w:tc>
        <w:tc>
          <w:tcPr>
            <w:tcW w:w="1076" w:type="pct"/>
          </w:tcPr>
          <w:p w14:paraId="1D871E57" w14:textId="7598B586" w:rsidR="002400EE" w:rsidRPr="00D01DDB" w:rsidRDefault="00643A95" w:rsidP="0035187D">
            <w:pPr>
              <w:ind w:left="0"/>
              <w:cnfStyle w:val="000000000000" w:firstRow="0" w:lastRow="0" w:firstColumn="0" w:lastColumn="0" w:oddVBand="0" w:evenVBand="0" w:oddHBand="0" w:evenHBand="0" w:firstRowFirstColumn="0" w:firstRowLastColumn="0" w:lastRowFirstColumn="0" w:lastRowLastColumn="0"/>
              <w:rPr>
                <w:szCs w:val="22"/>
              </w:rPr>
            </w:pPr>
            <w:r>
              <w:rPr>
                <w:szCs w:val="22"/>
              </w:rPr>
              <w:t>25 July 2019</w:t>
            </w:r>
          </w:p>
        </w:tc>
        <w:tc>
          <w:tcPr>
            <w:tcW w:w="0" w:type="pct"/>
          </w:tcPr>
          <w:p w14:paraId="63A3A9D3" w14:textId="5060FDFF" w:rsidR="002400EE" w:rsidRPr="00D01DDB" w:rsidRDefault="002400EE" w:rsidP="0035187D">
            <w:pPr>
              <w:ind w:left="0"/>
              <w:cnfStyle w:val="000000000000" w:firstRow="0" w:lastRow="0" w:firstColumn="0" w:lastColumn="0" w:oddVBand="0" w:evenVBand="0" w:oddHBand="0" w:evenHBand="0" w:firstRowFirstColumn="0" w:firstRowLastColumn="0" w:lastRowFirstColumn="0" w:lastRowLastColumn="0"/>
              <w:rPr>
                <w:szCs w:val="22"/>
              </w:rPr>
            </w:pPr>
            <w:r>
              <w:rPr>
                <w:szCs w:val="22"/>
              </w:rPr>
              <w:t>Approved on 25 June 2020</w:t>
            </w:r>
          </w:p>
        </w:tc>
        <w:tc>
          <w:tcPr>
            <w:tcW w:w="0" w:type="pct"/>
          </w:tcPr>
          <w:p w14:paraId="17C650B8" w14:textId="6B27780A" w:rsidR="002400EE" w:rsidRPr="002400EE" w:rsidRDefault="002400EE" w:rsidP="0035187D">
            <w:pPr>
              <w:ind w:left="0"/>
              <w:cnfStyle w:val="000000000000" w:firstRow="0" w:lastRow="0" w:firstColumn="0" w:lastColumn="0" w:oddVBand="0" w:evenVBand="0" w:oddHBand="0" w:evenHBand="0" w:firstRowFirstColumn="0" w:firstRowLastColumn="0" w:lastRowFirstColumn="0" w:lastRowLastColumn="0"/>
              <w:rPr>
                <w:i/>
                <w:iCs/>
                <w:szCs w:val="22"/>
              </w:rPr>
            </w:pPr>
            <w:r w:rsidRPr="002400EE">
              <w:rPr>
                <w:i/>
                <w:iCs/>
                <w:szCs w:val="22"/>
              </w:rPr>
              <w:t>Treatment of patients with a body weight of 10 kg or above with atypical haemolytic uremic syndrome (aHUS) who are complement inhibitor treatment-</w:t>
            </w:r>
            <w:r w:rsidR="00446075">
              <w:rPr>
                <w:i/>
                <w:iCs/>
                <w:szCs w:val="22"/>
              </w:rPr>
              <w:t>naive</w:t>
            </w:r>
            <w:r w:rsidRPr="002400EE">
              <w:rPr>
                <w:i/>
                <w:iCs/>
                <w:szCs w:val="22"/>
              </w:rPr>
              <w:t xml:space="preserve"> or have received eculizumab for at least 3</w:t>
            </w:r>
            <w:r w:rsidR="00E76E48">
              <w:rPr>
                <w:i/>
                <w:iCs/>
                <w:szCs w:val="22"/>
              </w:rPr>
              <w:t> </w:t>
            </w:r>
            <w:r w:rsidRPr="002400EE">
              <w:rPr>
                <w:i/>
                <w:iCs/>
                <w:szCs w:val="22"/>
              </w:rPr>
              <w:t>months and have evidence of response to eculizumab.</w:t>
            </w:r>
          </w:p>
        </w:tc>
      </w:tr>
      <w:tr w:rsidR="002400EE" w:rsidRPr="00D01DDB" w14:paraId="2FEC7C1B" w14:textId="77777777" w:rsidTr="0035187D">
        <w:tc>
          <w:tcPr>
            <w:cnfStyle w:val="001000000000" w:firstRow="0" w:lastRow="0" w:firstColumn="1" w:lastColumn="0" w:oddVBand="0" w:evenVBand="0" w:oddHBand="0" w:evenHBand="0" w:firstRowFirstColumn="0" w:firstRowLastColumn="0" w:lastRowFirstColumn="0" w:lastRowLastColumn="0"/>
            <w:tcW w:w="642" w:type="pct"/>
            <w:vMerge/>
          </w:tcPr>
          <w:p w14:paraId="78250279" w14:textId="77777777" w:rsidR="002400EE" w:rsidRDefault="002400EE" w:rsidP="0035187D">
            <w:pPr>
              <w:ind w:left="0"/>
              <w:rPr>
                <w:szCs w:val="22"/>
              </w:rPr>
            </w:pPr>
          </w:p>
        </w:tc>
        <w:tc>
          <w:tcPr>
            <w:tcW w:w="1076" w:type="pct"/>
          </w:tcPr>
          <w:p w14:paraId="3EDCCEBF" w14:textId="7AEF56D2" w:rsidR="002400EE" w:rsidRPr="00D01DDB" w:rsidRDefault="00643A95" w:rsidP="0035187D">
            <w:pPr>
              <w:ind w:left="0"/>
              <w:cnfStyle w:val="000000000000" w:firstRow="0" w:lastRow="0" w:firstColumn="0" w:lastColumn="0" w:oddVBand="0" w:evenVBand="0" w:oddHBand="0" w:evenHBand="0" w:firstRowFirstColumn="0" w:firstRowLastColumn="0" w:lastRowFirstColumn="0" w:lastRowLastColumn="0"/>
              <w:rPr>
                <w:szCs w:val="22"/>
              </w:rPr>
            </w:pPr>
            <w:r>
              <w:rPr>
                <w:szCs w:val="22"/>
              </w:rPr>
              <w:t xml:space="preserve">17 </w:t>
            </w:r>
            <w:r w:rsidR="007E513E">
              <w:rPr>
                <w:szCs w:val="22"/>
              </w:rPr>
              <w:t>December</w:t>
            </w:r>
            <w:r>
              <w:rPr>
                <w:szCs w:val="22"/>
              </w:rPr>
              <w:t xml:space="preserve"> 2020</w:t>
            </w:r>
          </w:p>
        </w:tc>
        <w:tc>
          <w:tcPr>
            <w:tcW w:w="0" w:type="pct"/>
          </w:tcPr>
          <w:p w14:paraId="37F459B7" w14:textId="411EAA13" w:rsidR="002400EE" w:rsidRDefault="002400EE" w:rsidP="0035187D">
            <w:pPr>
              <w:ind w:left="0"/>
              <w:cnfStyle w:val="000000000000" w:firstRow="0" w:lastRow="0" w:firstColumn="0" w:lastColumn="0" w:oddVBand="0" w:evenVBand="0" w:oddHBand="0" w:evenHBand="0" w:firstRowFirstColumn="0" w:firstRowLastColumn="0" w:lastRowFirstColumn="0" w:lastRowLastColumn="0"/>
              <w:rPr>
                <w:szCs w:val="22"/>
              </w:rPr>
            </w:pPr>
            <w:r>
              <w:rPr>
                <w:szCs w:val="22"/>
              </w:rPr>
              <w:t>Approved on 1 September 2021</w:t>
            </w:r>
          </w:p>
        </w:tc>
        <w:tc>
          <w:tcPr>
            <w:tcW w:w="0" w:type="pct"/>
          </w:tcPr>
          <w:p w14:paraId="3422A3A3" w14:textId="5244BA04" w:rsidR="002400EE" w:rsidRPr="002400EE" w:rsidRDefault="00472EEA" w:rsidP="0035187D">
            <w:pPr>
              <w:ind w:left="0"/>
              <w:cnfStyle w:val="000000000000" w:firstRow="0" w:lastRow="0" w:firstColumn="0" w:lastColumn="0" w:oddVBand="0" w:evenVBand="0" w:oddHBand="0" w:evenHBand="0" w:firstRowFirstColumn="0" w:firstRowLastColumn="0" w:lastRowFirstColumn="0" w:lastRowLastColumn="0"/>
              <w:rPr>
                <w:i/>
                <w:iCs/>
                <w:szCs w:val="22"/>
              </w:rPr>
            </w:pPr>
            <w:r>
              <w:rPr>
                <w:i/>
                <w:iCs/>
                <w:szCs w:val="22"/>
              </w:rPr>
              <w:t>Ultomiris</w:t>
            </w:r>
            <w:r w:rsidR="002400EE" w:rsidRPr="002400EE">
              <w:rPr>
                <w:i/>
                <w:iCs/>
                <w:szCs w:val="22"/>
              </w:rPr>
              <w:t xml:space="preserve"> is indicated in the treatment of adult and paediatric patients with a body weight of 10 kg or above with paroxysmal nocturnal haemoglobinuria (PNH): - in patients with haemolysis with clinical symptom(s) indicative of high disease activity. - in patients who are clinically stable after having been treated with eculizumab for at least the past 6 months.</w:t>
            </w:r>
          </w:p>
        </w:tc>
      </w:tr>
    </w:tbl>
    <w:p w14:paraId="064CCADF" w14:textId="77777777" w:rsidR="00324B33" w:rsidRDefault="00324B33" w:rsidP="00324B33">
      <w:pPr>
        <w:pStyle w:val="Heading3"/>
      </w:pPr>
      <w:bookmarkStart w:id="36" w:name="_Toc103679292"/>
      <w:bookmarkStart w:id="37" w:name="_Toc135662375"/>
      <w:r>
        <w:lastRenderedPageBreak/>
        <w:t>Product Information</w:t>
      </w:r>
      <w:bookmarkEnd w:id="36"/>
      <w:bookmarkEnd w:id="37"/>
    </w:p>
    <w:p w14:paraId="4B0F7D57" w14:textId="187BBE59" w:rsidR="00324B33" w:rsidRPr="00BD5DBD" w:rsidRDefault="00324B33" w:rsidP="00324B33">
      <w:pPr>
        <w:rPr>
          <w:szCs w:val="22"/>
        </w:rPr>
      </w:pPr>
      <w:bookmarkStart w:id="38" w:name="_Toc504480011"/>
      <w:r w:rsidRPr="00BD5DBD">
        <w:rPr>
          <w:szCs w:val="22"/>
        </w:rPr>
        <w:t xml:space="preserve">The </w:t>
      </w:r>
      <w:hyperlink r:id="rId23" w:history="1">
        <w:r w:rsidRPr="00BD5DBD">
          <w:rPr>
            <w:rStyle w:val="Hyperlink"/>
            <w:szCs w:val="22"/>
          </w:rPr>
          <w:t>Product Information</w:t>
        </w:r>
      </w:hyperlink>
      <w:r w:rsidRPr="00BD5DBD">
        <w:rPr>
          <w:szCs w:val="22"/>
        </w:rPr>
        <w:t xml:space="preserve"> (</w:t>
      </w:r>
      <w:r w:rsidRPr="002A6F1F">
        <w:rPr>
          <w:szCs w:val="22"/>
        </w:rPr>
        <w:t>PI</w:t>
      </w:r>
      <w:r w:rsidRPr="00BD5DBD">
        <w:rPr>
          <w:szCs w:val="22"/>
        </w:rPr>
        <w:t>) approved with the submission which is described in this AusPAR can be found as Attachment 1. For the most recent PI</w:t>
      </w:r>
      <w:r w:rsidR="00A93DC6" w:rsidRPr="00BD5DBD">
        <w:rPr>
          <w:szCs w:val="22"/>
        </w:rPr>
        <w:t xml:space="preserve"> and </w:t>
      </w:r>
      <w:hyperlink r:id="rId24" w:history="1">
        <w:r w:rsidR="00A93DC6" w:rsidRPr="00BD5DBD">
          <w:rPr>
            <w:rStyle w:val="Hyperlink"/>
            <w:szCs w:val="22"/>
          </w:rPr>
          <w:t>Consumer Medicines Information</w:t>
        </w:r>
      </w:hyperlink>
      <w:r w:rsidR="00A93DC6" w:rsidRPr="00BD5DBD">
        <w:rPr>
          <w:szCs w:val="22"/>
        </w:rPr>
        <w:t xml:space="preserve"> (CMI)</w:t>
      </w:r>
      <w:r w:rsidRPr="00BD5DBD">
        <w:rPr>
          <w:szCs w:val="22"/>
        </w:rPr>
        <w:t xml:space="preserve">, please refer to the TGA </w:t>
      </w:r>
      <w:hyperlink r:id="rId25" w:history="1">
        <w:r w:rsidRPr="00BD5DBD">
          <w:rPr>
            <w:rStyle w:val="Hyperlink"/>
            <w:szCs w:val="22"/>
          </w:rPr>
          <w:t>PI/CMI search facility.</w:t>
        </w:r>
      </w:hyperlink>
    </w:p>
    <w:p w14:paraId="6D92589C" w14:textId="77777777" w:rsidR="00324B33" w:rsidRDefault="00324B33" w:rsidP="00324B33">
      <w:pPr>
        <w:pStyle w:val="Heading2"/>
      </w:pPr>
      <w:bookmarkStart w:id="39" w:name="_Toc103679293"/>
      <w:bookmarkStart w:id="40" w:name="_Toc135662376"/>
      <w:r>
        <w:t>Registration timeline</w:t>
      </w:r>
      <w:bookmarkEnd w:id="38"/>
      <w:bookmarkEnd w:id="39"/>
      <w:bookmarkEnd w:id="40"/>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5E420910" w:rsidR="00477C4E" w:rsidRPr="00BD5DBD" w:rsidRDefault="00477C4E" w:rsidP="00324B33">
      <w:pPr>
        <w:rPr>
          <w:szCs w:val="22"/>
        </w:rPr>
      </w:pPr>
      <w:r w:rsidRPr="00BD5DBD">
        <w:rPr>
          <w:szCs w:val="22"/>
        </w:rPr>
        <w:t xml:space="preserve">This submission was evaluated under the </w:t>
      </w:r>
      <w:hyperlink r:id="rId26" w:history="1">
        <w:r w:rsidRPr="00BD5DBD">
          <w:rPr>
            <w:rStyle w:val="Hyperlink"/>
            <w:szCs w:val="22"/>
          </w:rPr>
          <w:t>standard prescription medicines registration process</w:t>
        </w:r>
      </w:hyperlink>
      <w:r w:rsidRPr="00BD5DBD">
        <w:rPr>
          <w:szCs w:val="22"/>
        </w:rPr>
        <w:t>.</w:t>
      </w:r>
    </w:p>
    <w:p w14:paraId="44628C5F" w14:textId="1D73C87D" w:rsidR="00324B33" w:rsidRPr="0036478A" w:rsidRDefault="00324B33" w:rsidP="002400EE">
      <w:pPr>
        <w:pStyle w:val="TableTitle"/>
        <w:rPr>
          <w:bCs/>
        </w:rPr>
      </w:pPr>
      <w:r>
        <w:t xml:space="preserve">Table </w:t>
      </w:r>
      <w:fldSimple w:instr=" SEQ Table \* ARABIC ">
        <w:r w:rsidR="004C7A29">
          <w:rPr>
            <w:noProof/>
          </w:rPr>
          <w:t>5</w:t>
        </w:r>
      </w:fldSimple>
      <w:r>
        <w:t>:</w:t>
      </w:r>
      <w:r w:rsidRPr="006A58A8">
        <w:t xml:space="preserve"> Timeline for Submission </w:t>
      </w:r>
      <w:r w:rsidR="0036478A" w:rsidRPr="006058B1">
        <w:rPr>
          <w:bCs/>
        </w:rPr>
        <w:t>PM-2021-01659-1-6</w:t>
      </w:r>
    </w:p>
    <w:tbl>
      <w:tblPr>
        <w:tblStyle w:val="TableTGAblue2023"/>
        <w:tblW w:w="8642" w:type="dxa"/>
        <w:tblLook w:val="04A0" w:firstRow="1" w:lastRow="0" w:firstColumn="1" w:lastColumn="0" w:noHBand="0" w:noVBand="1"/>
      </w:tblPr>
      <w:tblGrid>
        <w:gridCol w:w="5807"/>
        <w:gridCol w:w="2835"/>
      </w:tblGrid>
      <w:tr w:rsidR="00324B33" w:rsidRPr="00D01DDB" w14:paraId="6C59BE9C" w14:textId="77777777" w:rsidTr="00A23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6D80E78" w14:textId="3EC0CCAF" w:rsidR="00324B33" w:rsidRPr="00D01DDB" w:rsidRDefault="00324B33" w:rsidP="00324B33">
            <w:pPr>
              <w:rPr>
                <w:szCs w:val="22"/>
              </w:rPr>
            </w:pPr>
            <w:r w:rsidRPr="00D01DDB">
              <w:rPr>
                <w:szCs w:val="22"/>
              </w:rPr>
              <w:t>Description</w:t>
            </w:r>
          </w:p>
        </w:tc>
        <w:tc>
          <w:tcPr>
            <w:tcW w:w="2835"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A231CE">
        <w:tc>
          <w:tcPr>
            <w:cnfStyle w:val="001000000000" w:firstRow="0" w:lastRow="0" w:firstColumn="1" w:lastColumn="0" w:oddVBand="0" w:evenVBand="0" w:oddHBand="0" w:evenHBand="0" w:firstRowFirstColumn="0" w:firstRowLastColumn="0" w:lastRowFirstColumn="0" w:lastRowLastColumn="0"/>
            <w:tcW w:w="5807" w:type="dxa"/>
          </w:tcPr>
          <w:p w14:paraId="759D2A12" w14:textId="0D705F83" w:rsidR="00324B33" w:rsidRPr="00D01DDB" w:rsidRDefault="00324B33" w:rsidP="00324B33">
            <w:pPr>
              <w:rPr>
                <w:szCs w:val="22"/>
              </w:rPr>
            </w:pPr>
            <w:r w:rsidRPr="00D01DDB">
              <w:rPr>
                <w:szCs w:val="22"/>
              </w:rPr>
              <w:t>Submission dossier accepted and first round evaluation commenced</w:t>
            </w:r>
          </w:p>
        </w:tc>
        <w:tc>
          <w:tcPr>
            <w:tcW w:w="2835" w:type="dxa"/>
          </w:tcPr>
          <w:p w14:paraId="2963D9D8" w14:textId="6CC9D01E" w:rsidR="00324B33" w:rsidRPr="00D01DDB" w:rsidRDefault="0036478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June 2021</w:t>
            </w:r>
          </w:p>
        </w:tc>
      </w:tr>
      <w:tr w:rsidR="00324B33" w:rsidRPr="00D01DDB" w14:paraId="53437815" w14:textId="77777777" w:rsidTr="00A231CE">
        <w:tc>
          <w:tcPr>
            <w:cnfStyle w:val="001000000000" w:firstRow="0" w:lastRow="0" w:firstColumn="1" w:lastColumn="0" w:oddVBand="0" w:evenVBand="0" w:oddHBand="0" w:evenHBand="0" w:firstRowFirstColumn="0" w:firstRowLastColumn="0" w:lastRowFirstColumn="0" w:lastRowLastColumn="0"/>
            <w:tcW w:w="5807" w:type="dxa"/>
          </w:tcPr>
          <w:p w14:paraId="4C037D4E" w14:textId="2B0CE255" w:rsidR="00324B33" w:rsidRPr="00D01DDB" w:rsidRDefault="00324B33" w:rsidP="00324B33">
            <w:pPr>
              <w:rPr>
                <w:szCs w:val="22"/>
              </w:rPr>
            </w:pPr>
            <w:r w:rsidRPr="00D01DDB">
              <w:rPr>
                <w:szCs w:val="22"/>
              </w:rPr>
              <w:t>First round evaluation completed</w:t>
            </w:r>
          </w:p>
        </w:tc>
        <w:tc>
          <w:tcPr>
            <w:tcW w:w="2835" w:type="dxa"/>
          </w:tcPr>
          <w:p w14:paraId="3CEAFAAB" w14:textId="6C243127" w:rsidR="00324B33" w:rsidRPr="00D01DDB" w:rsidRDefault="0036478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October 2021</w:t>
            </w:r>
          </w:p>
        </w:tc>
      </w:tr>
      <w:tr w:rsidR="00324B33" w:rsidRPr="00D01DDB" w14:paraId="60DA57CC" w14:textId="77777777" w:rsidTr="00A231CE">
        <w:tc>
          <w:tcPr>
            <w:cnfStyle w:val="001000000000" w:firstRow="0" w:lastRow="0" w:firstColumn="1" w:lastColumn="0" w:oddVBand="0" w:evenVBand="0" w:oddHBand="0" w:evenHBand="0" w:firstRowFirstColumn="0" w:firstRowLastColumn="0" w:lastRowFirstColumn="0" w:lastRowLastColumn="0"/>
            <w:tcW w:w="5807" w:type="dxa"/>
          </w:tcPr>
          <w:p w14:paraId="02EA1147" w14:textId="0A562F34" w:rsidR="00324B33" w:rsidRPr="00D01DDB" w:rsidRDefault="00CF670C" w:rsidP="00324B33">
            <w:pPr>
              <w:rPr>
                <w:szCs w:val="22"/>
              </w:rPr>
            </w:pPr>
            <w:r>
              <w:rPr>
                <w:szCs w:val="22"/>
              </w:rPr>
              <w:t>S</w:t>
            </w:r>
            <w:r w:rsidR="00856026">
              <w:rPr>
                <w:szCs w:val="22"/>
              </w:rPr>
              <w:t>ponsor</w:t>
            </w:r>
            <w:r w:rsidR="00324B33" w:rsidRPr="00D01DDB">
              <w:rPr>
                <w:szCs w:val="22"/>
              </w:rPr>
              <w:t xml:space="preserve"> provides responses on questions raised in first round evaluation</w:t>
            </w:r>
          </w:p>
        </w:tc>
        <w:tc>
          <w:tcPr>
            <w:tcW w:w="2835" w:type="dxa"/>
          </w:tcPr>
          <w:p w14:paraId="68A577C1" w14:textId="1EAE08F2" w:rsidR="00324B33" w:rsidRPr="00D01DDB" w:rsidRDefault="0036478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29 November 2021</w:t>
            </w:r>
          </w:p>
        </w:tc>
      </w:tr>
      <w:tr w:rsidR="00324B33" w:rsidRPr="00D01DDB" w14:paraId="767E33A4" w14:textId="77777777" w:rsidTr="00A231CE">
        <w:tc>
          <w:tcPr>
            <w:cnfStyle w:val="001000000000" w:firstRow="0" w:lastRow="0" w:firstColumn="1" w:lastColumn="0" w:oddVBand="0" w:evenVBand="0" w:oddHBand="0" w:evenHBand="0" w:firstRowFirstColumn="0" w:firstRowLastColumn="0" w:lastRowFirstColumn="0" w:lastRowLastColumn="0"/>
            <w:tcW w:w="5807" w:type="dxa"/>
          </w:tcPr>
          <w:p w14:paraId="4AFC5B50" w14:textId="2BCC6A3E" w:rsidR="00324B33" w:rsidRPr="00D01DDB" w:rsidRDefault="00324B33" w:rsidP="00324B33">
            <w:pPr>
              <w:rPr>
                <w:szCs w:val="22"/>
              </w:rPr>
            </w:pPr>
            <w:r w:rsidRPr="00D01DDB">
              <w:rPr>
                <w:szCs w:val="22"/>
              </w:rPr>
              <w:t>Second round evaluation completed</w:t>
            </w:r>
          </w:p>
        </w:tc>
        <w:tc>
          <w:tcPr>
            <w:tcW w:w="2835" w:type="dxa"/>
          </w:tcPr>
          <w:p w14:paraId="4E47DF62" w14:textId="4137791B" w:rsidR="00324B33" w:rsidRPr="00D01DDB" w:rsidRDefault="0036478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11 January 2022</w:t>
            </w:r>
          </w:p>
        </w:tc>
      </w:tr>
      <w:tr w:rsidR="00324B33" w:rsidRPr="00D01DDB" w14:paraId="302FCB45" w14:textId="77777777" w:rsidTr="00A231CE">
        <w:tc>
          <w:tcPr>
            <w:cnfStyle w:val="001000000000" w:firstRow="0" w:lastRow="0" w:firstColumn="1" w:lastColumn="0" w:oddVBand="0" w:evenVBand="0" w:oddHBand="0" w:evenHBand="0" w:firstRowFirstColumn="0" w:firstRowLastColumn="0" w:lastRowFirstColumn="0" w:lastRowLastColumn="0"/>
            <w:tcW w:w="5807" w:type="dxa"/>
          </w:tcPr>
          <w:p w14:paraId="716E9DC1" w14:textId="49AE937C" w:rsidR="00324B33" w:rsidRPr="00D01DDB" w:rsidRDefault="00324B33" w:rsidP="00324B33">
            <w:pPr>
              <w:rPr>
                <w:szCs w:val="22"/>
              </w:rPr>
            </w:pPr>
            <w:r w:rsidRPr="00D01DDB">
              <w:rPr>
                <w:szCs w:val="22"/>
              </w:rPr>
              <w:t xml:space="preserve">Delegate’s Overall benefit-risk assessment </w:t>
            </w:r>
            <w:r w:rsidRPr="0036478A">
              <w:rPr>
                <w:szCs w:val="22"/>
              </w:rPr>
              <w:t>and request for Advisory Committee advice</w:t>
            </w:r>
          </w:p>
        </w:tc>
        <w:tc>
          <w:tcPr>
            <w:tcW w:w="2835" w:type="dxa"/>
          </w:tcPr>
          <w:p w14:paraId="3BA6EF79" w14:textId="004CC702" w:rsidR="00324B33" w:rsidRPr="00D01DDB" w:rsidRDefault="0036478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29 April 2022</w:t>
            </w:r>
          </w:p>
        </w:tc>
      </w:tr>
      <w:tr w:rsidR="00324B33" w:rsidRPr="00D01DDB" w14:paraId="5832EBC8" w14:textId="77777777" w:rsidTr="00A231CE">
        <w:tc>
          <w:tcPr>
            <w:cnfStyle w:val="001000000000" w:firstRow="0" w:lastRow="0" w:firstColumn="1" w:lastColumn="0" w:oddVBand="0" w:evenVBand="0" w:oddHBand="0" w:evenHBand="0" w:firstRowFirstColumn="0" w:firstRowLastColumn="0" w:lastRowFirstColumn="0" w:lastRowLastColumn="0"/>
            <w:tcW w:w="5807" w:type="dxa"/>
          </w:tcPr>
          <w:p w14:paraId="720592DE" w14:textId="70722778" w:rsidR="00324B33" w:rsidRPr="00D01DDB" w:rsidRDefault="00345E36" w:rsidP="00324B33">
            <w:pPr>
              <w:rPr>
                <w:szCs w:val="22"/>
              </w:rPr>
            </w:pPr>
            <w:r>
              <w:rPr>
                <w:szCs w:val="22"/>
              </w:rPr>
              <w:t>S</w:t>
            </w:r>
            <w:r w:rsidR="00856026">
              <w:rPr>
                <w:szCs w:val="22"/>
              </w:rPr>
              <w:t>ponsor</w:t>
            </w:r>
            <w:r w:rsidR="00324B33" w:rsidRPr="00D01DDB">
              <w:rPr>
                <w:szCs w:val="22"/>
              </w:rPr>
              <w:t>’s pre-Advisory Committee response</w:t>
            </w:r>
          </w:p>
        </w:tc>
        <w:tc>
          <w:tcPr>
            <w:tcW w:w="2835" w:type="dxa"/>
          </w:tcPr>
          <w:p w14:paraId="5AE04841" w14:textId="6CEF32B2" w:rsidR="00324B33" w:rsidRPr="00D01DDB" w:rsidRDefault="0036478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11 May 2022</w:t>
            </w:r>
          </w:p>
        </w:tc>
      </w:tr>
      <w:tr w:rsidR="00324B33" w:rsidRPr="00D01DDB" w14:paraId="5754F7AC" w14:textId="77777777" w:rsidTr="00A231CE">
        <w:tc>
          <w:tcPr>
            <w:cnfStyle w:val="001000000000" w:firstRow="0" w:lastRow="0" w:firstColumn="1" w:lastColumn="0" w:oddVBand="0" w:evenVBand="0" w:oddHBand="0" w:evenHBand="0" w:firstRowFirstColumn="0" w:firstRowLastColumn="0" w:lastRowFirstColumn="0" w:lastRowLastColumn="0"/>
            <w:tcW w:w="5807" w:type="dxa"/>
          </w:tcPr>
          <w:p w14:paraId="789DE187" w14:textId="123446EE" w:rsidR="00324B33" w:rsidRPr="00D01DDB" w:rsidRDefault="00324B33" w:rsidP="00324B33">
            <w:pPr>
              <w:rPr>
                <w:szCs w:val="22"/>
              </w:rPr>
            </w:pPr>
            <w:r w:rsidRPr="00D01DDB">
              <w:rPr>
                <w:szCs w:val="22"/>
              </w:rPr>
              <w:t>Advisory Committee meeting</w:t>
            </w:r>
          </w:p>
        </w:tc>
        <w:tc>
          <w:tcPr>
            <w:tcW w:w="2835" w:type="dxa"/>
          </w:tcPr>
          <w:p w14:paraId="5BE1EDE7" w14:textId="1C09F27D" w:rsidR="00324B33" w:rsidRPr="00D01DDB" w:rsidRDefault="0036478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June 2022</w:t>
            </w:r>
          </w:p>
        </w:tc>
      </w:tr>
      <w:tr w:rsidR="00324B33" w:rsidRPr="00D01DDB" w14:paraId="6E5D32FE" w14:textId="77777777" w:rsidTr="00A231CE">
        <w:tc>
          <w:tcPr>
            <w:cnfStyle w:val="001000000000" w:firstRow="0" w:lastRow="0" w:firstColumn="1" w:lastColumn="0" w:oddVBand="0" w:evenVBand="0" w:oddHBand="0" w:evenHBand="0" w:firstRowFirstColumn="0" w:firstRowLastColumn="0" w:lastRowFirstColumn="0" w:lastRowLastColumn="0"/>
            <w:tcW w:w="5807" w:type="dxa"/>
          </w:tcPr>
          <w:p w14:paraId="4E95C44C" w14:textId="7603B3F2" w:rsidR="00324B33" w:rsidRPr="00D01DDB" w:rsidRDefault="00324B33" w:rsidP="00324B33">
            <w:pPr>
              <w:rPr>
                <w:szCs w:val="22"/>
              </w:rPr>
            </w:pPr>
            <w:r w:rsidRPr="00D01DDB">
              <w:rPr>
                <w:szCs w:val="22"/>
              </w:rPr>
              <w:t xml:space="preserve">Registration </w:t>
            </w:r>
            <w:r w:rsidR="007E513E">
              <w:rPr>
                <w:szCs w:val="22"/>
              </w:rPr>
              <w:t>Decision</w:t>
            </w:r>
            <w:r w:rsidRPr="00D01DDB">
              <w:rPr>
                <w:szCs w:val="22"/>
              </w:rPr>
              <w:t xml:space="preserve"> (Outcome)</w:t>
            </w:r>
          </w:p>
        </w:tc>
        <w:tc>
          <w:tcPr>
            <w:tcW w:w="2835" w:type="dxa"/>
          </w:tcPr>
          <w:p w14:paraId="62987ABD" w14:textId="0C358AA5" w:rsidR="00324B33" w:rsidRPr="00D01DDB" w:rsidRDefault="0036478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11 August 2022</w:t>
            </w:r>
          </w:p>
        </w:tc>
      </w:tr>
      <w:tr w:rsidR="00324B33" w:rsidRPr="00D01DDB" w14:paraId="6DDCDDA4" w14:textId="77777777" w:rsidTr="00A231CE">
        <w:tc>
          <w:tcPr>
            <w:cnfStyle w:val="001000000000" w:firstRow="0" w:lastRow="0" w:firstColumn="1" w:lastColumn="0" w:oddVBand="0" w:evenVBand="0" w:oddHBand="0" w:evenHBand="0" w:firstRowFirstColumn="0" w:firstRowLastColumn="0" w:lastRowFirstColumn="0" w:lastRowLastColumn="0"/>
            <w:tcW w:w="5807" w:type="dxa"/>
          </w:tcPr>
          <w:p w14:paraId="192FD19D" w14:textId="458EB044" w:rsidR="00324B33" w:rsidRPr="00D01DDB" w:rsidRDefault="00324B33" w:rsidP="00324B33">
            <w:pPr>
              <w:rPr>
                <w:szCs w:val="22"/>
              </w:rPr>
            </w:pPr>
            <w:r w:rsidRPr="00D01DDB">
              <w:rPr>
                <w:szCs w:val="22"/>
              </w:rPr>
              <w:t>Completion of administrative activities and registration on the ARTG</w:t>
            </w:r>
          </w:p>
        </w:tc>
        <w:tc>
          <w:tcPr>
            <w:tcW w:w="2835" w:type="dxa"/>
          </w:tcPr>
          <w:p w14:paraId="5A8923FD" w14:textId="599587D3" w:rsidR="00324B33" w:rsidRPr="00D01DDB" w:rsidRDefault="0036478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16 August 2022</w:t>
            </w:r>
          </w:p>
        </w:tc>
      </w:tr>
      <w:tr w:rsidR="00324B33" w:rsidRPr="00D01DDB" w14:paraId="56D922E2" w14:textId="77777777" w:rsidTr="00A231CE">
        <w:tc>
          <w:tcPr>
            <w:cnfStyle w:val="001000000000" w:firstRow="0" w:lastRow="0" w:firstColumn="1" w:lastColumn="0" w:oddVBand="0" w:evenVBand="0" w:oddHBand="0" w:evenHBand="0" w:firstRowFirstColumn="0" w:firstRowLastColumn="0" w:lastRowFirstColumn="0" w:lastRowLastColumn="0"/>
            <w:tcW w:w="5807" w:type="dxa"/>
          </w:tcPr>
          <w:p w14:paraId="787FD8DD" w14:textId="3AED08CA" w:rsidR="00324B33" w:rsidRPr="00D01DDB" w:rsidRDefault="00324B33" w:rsidP="00324B33">
            <w:pPr>
              <w:rPr>
                <w:szCs w:val="22"/>
              </w:rPr>
            </w:pPr>
            <w:r w:rsidRPr="00D01DDB">
              <w:rPr>
                <w:szCs w:val="22"/>
              </w:rPr>
              <w:t xml:space="preserve">Number of working days from submission dossier acceptance to registration </w:t>
            </w:r>
            <w:r w:rsidR="007E513E">
              <w:rPr>
                <w:szCs w:val="22"/>
              </w:rPr>
              <w:t>Decision</w:t>
            </w:r>
            <w:r w:rsidRPr="00D01DDB">
              <w:rPr>
                <w:szCs w:val="22"/>
              </w:rPr>
              <w:t>*</w:t>
            </w:r>
          </w:p>
        </w:tc>
        <w:tc>
          <w:tcPr>
            <w:tcW w:w="2835" w:type="dxa"/>
          </w:tcPr>
          <w:p w14:paraId="5BAF9FA1" w14:textId="3AB5610F" w:rsidR="00324B33" w:rsidRPr="00D01DDB" w:rsidRDefault="0036478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232</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41" w:name="_Toc196046504"/>
      <w:bookmarkStart w:id="42" w:name="_Toc247691527"/>
      <w:bookmarkStart w:id="43" w:name="_Toc314842510"/>
      <w:bookmarkStart w:id="44" w:name="_Toc103679294"/>
      <w:bookmarkStart w:id="45" w:name="_Toc135662377"/>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41"/>
      <w:bookmarkEnd w:id="42"/>
      <w:bookmarkEnd w:id="43"/>
      <w:bookmarkEnd w:id="44"/>
      <w:bookmarkEnd w:id="45"/>
    </w:p>
    <w:p w14:paraId="540151FC" w14:textId="77777777" w:rsidR="00C22214" w:rsidRPr="00BD5DBD" w:rsidRDefault="00C22214" w:rsidP="00BD5DBD">
      <w:pPr>
        <w:rPr>
          <w:szCs w:val="22"/>
        </w:rPr>
      </w:pPr>
      <w:bookmarkStart w:id="46" w:name="_Toc247691528"/>
      <w:bookmarkStart w:id="47" w:name="_Toc314842511"/>
      <w:r w:rsidRPr="00BD5DBD">
        <w:rPr>
          <w:szCs w:val="22"/>
        </w:rPr>
        <w:t>A summary of the TGA’s assessment for this submission is provided below.</w:t>
      </w:r>
    </w:p>
    <w:p w14:paraId="37F5A1C0" w14:textId="77777777" w:rsidR="00C22214" w:rsidRDefault="00C22214" w:rsidP="00C22214">
      <w:pPr>
        <w:pStyle w:val="Heading3"/>
      </w:pPr>
      <w:bookmarkStart w:id="48" w:name="_Toc103679295"/>
      <w:bookmarkStart w:id="49" w:name="_Toc135662378"/>
      <w:r>
        <w:t>Quality</w:t>
      </w:r>
      <w:bookmarkEnd w:id="46"/>
      <w:bookmarkEnd w:id="47"/>
      <w:bookmarkEnd w:id="48"/>
      <w:bookmarkEnd w:id="49"/>
    </w:p>
    <w:p w14:paraId="29A3BB75" w14:textId="643509D2" w:rsidR="00A01C56" w:rsidRPr="00BD5DBD" w:rsidRDefault="00637F0E" w:rsidP="00637F0E">
      <w:pPr>
        <w:rPr>
          <w:szCs w:val="22"/>
        </w:rPr>
      </w:pPr>
      <w:r w:rsidRPr="00BD5DBD">
        <w:rPr>
          <w:szCs w:val="22"/>
        </w:rPr>
        <w:t>Quality evaluation is not required for this submission as there are no proposed changes to the quality of the currently approved product in Australia.</w:t>
      </w:r>
      <w:r w:rsidR="00C816C6" w:rsidRPr="00BD5DBD">
        <w:rPr>
          <w:szCs w:val="22"/>
        </w:rPr>
        <w:t xml:space="preserve"> </w:t>
      </w:r>
      <w:r w:rsidR="0036478A">
        <w:rPr>
          <w:szCs w:val="22"/>
        </w:rPr>
        <w:t>There were no issues related to bacterial endotoxin testing.</w:t>
      </w:r>
      <w:r w:rsidR="002A6F1F" w:rsidRPr="002A6F1F">
        <w:t xml:space="preserve"> </w:t>
      </w:r>
      <w:r w:rsidR="002A6F1F" w:rsidRPr="002A6F1F">
        <w:rPr>
          <w:szCs w:val="22"/>
        </w:rPr>
        <w:t xml:space="preserve">The quality of the currently approved product is suitable for the proposed </w:t>
      </w:r>
      <w:r w:rsidR="002A6F1F" w:rsidRPr="002A6F1F">
        <w:rPr>
          <w:szCs w:val="22"/>
        </w:rPr>
        <w:lastRenderedPageBreak/>
        <w:t xml:space="preserve">changes in this submission. </w:t>
      </w:r>
      <w:r w:rsidRPr="00BD5DBD">
        <w:rPr>
          <w:szCs w:val="22"/>
        </w:rPr>
        <w:t>A full quality evaluation was conducted at the time this product received initial registration</w:t>
      </w:r>
      <w:r w:rsidR="0036478A">
        <w:rPr>
          <w:szCs w:val="22"/>
        </w:rPr>
        <w:t>.</w:t>
      </w:r>
      <w:r w:rsidR="00E76E48" w:rsidRPr="0035187D">
        <w:rPr>
          <w:szCs w:val="22"/>
          <w:vertAlign w:val="superscript"/>
        </w:rPr>
        <w:fldChar w:fldCharType="begin"/>
      </w:r>
      <w:r w:rsidR="00E76E48" w:rsidRPr="0035187D">
        <w:rPr>
          <w:szCs w:val="22"/>
          <w:vertAlign w:val="superscript"/>
        </w:rPr>
        <w:instrText xml:space="preserve"> NOTEREF _Ref135308371 \h </w:instrText>
      </w:r>
      <w:r w:rsidR="00E76E48">
        <w:rPr>
          <w:szCs w:val="22"/>
          <w:vertAlign w:val="superscript"/>
        </w:rPr>
        <w:instrText xml:space="preserve"> \* MERGEFORMAT </w:instrText>
      </w:r>
      <w:r w:rsidR="00E76E48" w:rsidRPr="0035187D">
        <w:rPr>
          <w:szCs w:val="22"/>
          <w:vertAlign w:val="superscript"/>
        </w:rPr>
      </w:r>
      <w:r w:rsidR="00E76E48" w:rsidRPr="0035187D">
        <w:rPr>
          <w:szCs w:val="22"/>
          <w:vertAlign w:val="superscript"/>
        </w:rPr>
        <w:fldChar w:fldCharType="separate"/>
      </w:r>
      <w:r w:rsidR="00E76E48" w:rsidRPr="0035187D">
        <w:rPr>
          <w:szCs w:val="22"/>
          <w:vertAlign w:val="superscript"/>
        </w:rPr>
        <w:t>10</w:t>
      </w:r>
      <w:r w:rsidR="00E76E48" w:rsidRPr="0035187D">
        <w:rPr>
          <w:szCs w:val="22"/>
          <w:vertAlign w:val="superscript"/>
        </w:rPr>
        <w:fldChar w:fldCharType="end"/>
      </w:r>
      <w:r w:rsidR="00E76E48" w:rsidRPr="0035187D" w:rsidDel="00E76E48">
        <w:rPr>
          <w:szCs w:val="22"/>
          <w:vertAlign w:val="superscript"/>
        </w:rPr>
        <w:t xml:space="preserve"> </w:t>
      </w:r>
    </w:p>
    <w:p w14:paraId="2BE90AAE" w14:textId="77777777" w:rsidR="00C22214" w:rsidRDefault="00C22214" w:rsidP="00E76E48">
      <w:pPr>
        <w:pStyle w:val="Heading3"/>
      </w:pPr>
      <w:bookmarkStart w:id="50" w:name="_Toc314842512"/>
      <w:bookmarkStart w:id="51" w:name="_Toc103679296"/>
      <w:bookmarkStart w:id="52" w:name="_Toc135662379"/>
      <w:r>
        <w:t>Nonclinical</w:t>
      </w:r>
      <w:bookmarkEnd w:id="50"/>
      <w:bookmarkEnd w:id="51"/>
      <w:bookmarkEnd w:id="52"/>
    </w:p>
    <w:p w14:paraId="15C51A23" w14:textId="0153F15D" w:rsidR="008804CF" w:rsidRPr="00BD5DBD" w:rsidRDefault="008804CF" w:rsidP="008804CF">
      <w:pPr>
        <w:rPr>
          <w:b/>
          <w:bCs/>
          <w:szCs w:val="22"/>
        </w:rPr>
      </w:pPr>
      <w:bookmarkStart w:id="53" w:name="_Toc247691530"/>
      <w:bookmarkStart w:id="54" w:name="_Toc314842513"/>
      <w:bookmarkStart w:id="55" w:name="_Toc103679297"/>
      <w:r w:rsidRPr="00BD5DBD">
        <w:rPr>
          <w:szCs w:val="22"/>
        </w:rPr>
        <w:t>No new nonclinical data or further nonclinical evaluation were required for this submission.</w:t>
      </w:r>
      <w:r w:rsidR="008C754C" w:rsidRPr="00BD5DBD">
        <w:rPr>
          <w:szCs w:val="22"/>
        </w:rPr>
        <w:t xml:space="preserve"> </w:t>
      </w:r>
      <w:r w:rsidRPr="00BD5DBD">
        <w:rPr>
          <w:szCs w:val="22"/>
        </w:rPr>
        <w:t>The TGA considers that previously submitted and evaluated data satisfactorily address nonclinical aspects of safety/efficacy relating to this submission</w:t>
      </w:r>
      <w:r w:rsidR="00F865A7" w:rsidRPr="00BD5DBD">
        <w:rPr>
          <w:szCs w:val="22"/>
        </w:rPr>
        <w:t>.</w:t>
      </w:r>
    </w:p>
    <w:p w14:paraId="35B580A5" w14:textId="69B9BE44" w:rsidR="00C22214" w:rsidRDefault="00C22214" w:rsidP="008804CF">
      <w:pPr>
        <w:pStyle w:val="Heading3"/>
      </w:pPr>
      <w:bookmarkStart w:id="56" w:name="_Toc135662380"/>
      <w:r>
        <w:t>Clinical</w:t>
      </w:r>
      <w:bookmarkEnd w:id="53"/>
      <w:bookmarkEnd w:id="54"/>
      <w:bookmarkEnd w:id="55"/>
      <w:bookmarkEnd w:id="56"/>
    </w:p>
    <w:p w14:paraId="32B0DEDA" w14:textId="77777777" w:rsidR="00C22214" w:rsidRPr="00433318" w:rsidRDefault="00C22214" w:rsidP="00433318">
      <w:pPr>
        <w:pStyle w:val="Heading4"/>
      </w:pPr>
      <w:bookmarkStart w:id="57" w:name="_Toc98931928"/>
      <w:bookmarkStart w:id="58" w:name="_Toc135662381"/>
      <w:r>
        <w:t>Summary of clinical studies</w:t>
      </w:r>
      <w:bookmarkEnd w:id="57"/>
      <w:bookmarkEnd w:id="58"/>
    </w:p>
    <w:p w14:paraId="1631C986" w14:textId="77777777" w:rsidR="00856026" w:rsidRDefault="00C22214" w:rsidP="00C22214">
      <w:pPr>
        <w:rPr>
          <w:szCs w:val="22"/>
        </w:rPr>
      </w:pPr>
      <w:r w:rsidRPr="00BD5DBD">
        <w:rPr>
          <w:szCs w:val="22"/>
        </w:rPr>
        <w:t>The clinical dossier consisted of</w:t>
      </w:r>
      <w:r w:rsidR="007357B9" w:rsidRPr="00BD5DBD">
        <w:rPr>
          <w:szCs w:val="22"/>
        </w:rPr>
        <w:t>:</w:t>
      </w:r>
    </w:p>
    <w:p w14:paraId="2AABEBD3" w14:textId="076A5B00" w:rsidR="00322B46" w:rsidRDefault="00322B46" w:rsidP="00C22214">
      <w:pPr>
        <w:pStyle w:val="ListBullet"/>
        <w:rPr>
          <w:szCs w:val="22"/>
        </w:rPr>
      </w:pPr>
      <w:r>
        <w:rPr>
          <w:szCs w:val="22"/>
        </w:rPr>
        <w:t>Three pivotal Phase III efficacy and safety studies:</w:t>
      </w:r>
    </w:p>
    <w:p w14:paraId="1507F19C" w14:textId="77777777" w:rsidR="002A6F1F" w:rsidRPr="002A6F1F" w:rsidRDefault="00322B46" w:rsidP="002A6F1F">
      <w:pPr>
        <w:pStyle w:val="ListBullet2"/>
        <w:keepNext/>
        <w:rPr>
          <w:i/>
          <w:iCs/>
        </w:rPr>
      </w:pPr>
      <w:r w:rsidRPr="002A6F1F">
        <w:rPr>
          <w:i/>
          <w:iCs/>
        </w:rPr>
        <w:t>Study ALXN1210-aHUS-311 in adults with aHUS</w:t>
      </w:r>
    </w:p>
    <w:p w14:paraId="6206D9D0" w14:textId="77777777" w:rsidR="00322B46" w:rsidRDefault="002A6F1F" w:rsidP="002A6F1F">
      <w:pPr>
        <w:pStyle w:val="ListBullet2"/>
        <w:numPr>
          <w:ilvl w:val="0"/>
          <w:numId w:val="0"/>
        </w:numPr>
        <w:ind w:left="850"/>
      </w:pPr>
      <w:r w:rsidRPr="002A6F1F">
        <w:t xml:space="preserve">Single arm study of ravulizumab in complement inhibitor treatment-naïve adult and adolescent patients with atypical </w:t>
      </w:r>
      <w:r w:rsidR="00146952" w:rsidRPr="002A6F1F">
        <w:t>haemolytic</w:t>
      </w:r>
      <w:r w:rsidRPr="002A6F1F">
        <w:t xml:space="preserve"> uremic syndrome (aHUS)</w:t>
      </w:r>
      <w:r w:rsidR="00B9110E">
        <w:t xml:space="preserve"> </w:t>
      </w:r>
    </w:p>
    <w:p w14:paraId="3BDEE57E" w14:textId="2D025800" w:rsidR="00322B46" w:rsidRPr="002A6F1F" w:rsidRDefault="00322B46" w:rsidP="00322B46">
      <w:pPr>
        <w:pStyle w:val="ListBullet2"/>
        <w:rPr>
          <w:i/>
          <w:iCs/>
        </w:rPr>
      </w:pPr>
      <w:r w:rsidRPr="002A6F1F">
        <w:rPr>
          <w:i/>
          <w:iCs/>
        </w:rPr>
        <w:t>Study ALXN1210-aHUS-312 in paediatric patients with aHUS</w:t>
      </w:r>
    </w:p>
    <w:p w14:paraId="4DF6C0D4" w14:textId="61C6B699" w:rsidR="002A6F1F" w:rsidRDefault="002A6F1F" w:rsidP="002A6F1F">
      <w:pPr>
        <w:pStyle w:val="ListBullet2"/>
        <w:numPr>
          <w:ilvl w:val="0"/>
          <w:numId w:val="0"/>
        </w:numPr>
        <w:ind w:left="850"/>
      </w:pPr>
      <w:r w:rsidRPr="002A6F1F">
        <w:t xml:space="preserve">A </w:t>
      </w:r>
      <w:r w:rsidR="00146952">
        <w:t>P</w:t>
      </w:r>
      <w:r w:rsidRPr="002A6F1F">
        <w:t xml:space="preserve">hase </w:t>
      </w:r>
      <w:r>
        <w:t>III</w:t>
      </w:r>
      <w:r w:rsidRPr="002A6F1F">
        <w:t xml:space="preserve">, </w:t>
      </w:r>
      <w:r>
        <w:t>o</w:t>
      </w:r>
      <w:r w:rsidRPr="002A6F1F">
        <w:t xml:space="preserve">pen-label, </w:t>
      </w:r>
      <w:r>
        <w:t>m</w:t>
      </w:r>
      <w:r w:rsidRPr="002A6F1F">
        <w:t>ulti</w:t>
      </w:r>
      <w:r w:rsidR="00146952">
        <w:t>-</w:t>
      </w:r>
      <w:r w:rsidR="00E76E48" w:rsidRPr="002A6F1F">
        <w:t>centre</w:t>
      </w:r>
      <w:r w:rsidRPr="002A6F1F">
        <w:t xml:space="preserve"> </w:t>
      </w:r>
      <w:r>
        <w:t>s</w:t>
      </w:r>
      <w:r w:rsidRPr="002A6F1F">
        <w:t>tudy of</w:t>
      </w:r>
      <w:r>
        <w:t xml:space="preserve"> ravulizumab</w:t>
      </w:r>
      <w:r w:rsidRPr="002A6F1F">
        <w:t xml:space="preserve"> in </w:t>
      </w:r>
      <w:r>
        <w:t>c</w:t>
      </w:r>
      <w:r w:rsidRPr="002A6F1F">
        <w:t xml:space="preserve">hildren and </w:t>
      </w:r>
      <w:r>
        <w:t>a</w:t>
      </w:r>
      <w:r w:rsidRPr="002A6F1F">
        <w:t xml:space="preserve">dolescents </w:t>
      </w:r>
      <w:r w:rsidR="00146952">
        <w:t>w</w:t>
      </w:r>
      <w:r w:rsidRPr="002A6F1F">
        <w:t xml:space="preserve">ith </w:t>
      </w:r>
      <w:r w:rsidR="00146952">
        <w:t>a</w:t>
      </w:r>
      <w:r w:rsidRPr="002A6F1F">
        <w:t xml:space="preserve">typical </w:t>
      </w:r>
      <w:r w:rsidR="00146952">
        <w:t>h</w:t>
      </w:r>
      <w:r w:rsidR="00146952" w:rsidRPr="002A6F1F">
        <w:t>aemolytic</w:t>
      </w:r>
      <w:r w:rsidRPr="002A6F1F">
        <w:t xml:space="preserve"> </w:t>
      </w:r>
      <w:r w:rsidR="00146952">
        <w:t>u</w:t>
      </w:r>
      <w:r w:rsidRPr="002A6F1F">
        <w:t xml:space="preserve">remic </w:t>
      </w:r>
      <w:r w:rsidR="00146952">
        <w:t>s</w:t>
      </w:r>
      <w:r w:rsidRPr="002A6F1F">
        <w:t>yndrome (aHUS)</w:t>
      </w:r>
    </w:p>
    <w:p w14:paraId="6B56CB17" w14:textId="1F55E72E" w:rsidR="00C22214" w:rsidRPr="00146952" w:rsidRDefault="00322B46" w:rsidP="00322B46">
      <w:pPr>
        <w:pStyle w:val="ListBullet2"/>
        <w:rPr>
          <w:i/>
          <w:iCs/>
          <w:szCs w:val="22"/>
        </w:rPr>
      </w:pPr>
      <w:r w:rsidRPr="00146952">
        <w:rPr>
          <w:i/>
          <w:iCs/>
        </w:rPr>
        <w:t xml:space="preserve">Study ALXN1210-PNH-304 in paediatric patients with PNH </w:t>
      </w:r>
    </w:p>
    <w:p w14:paraId="3D929339" w14:textId="4E8B818B" w:rsidR="00146952" w:rsidRDefault="00146952" w:rsidP="00146952">
      <w:pPr>
        <w:pStyle w:val="ListBullet2"/>
        <w:numPr>
          <w:ilvl w:val="0"/>
          <w:numId w:val="0"/>
        </w:numPr>
        <w:ind w:left="850"/>
        <w:rPr>
          <w:szCs w:val="22"/>
        </w:rPr>
      </w:pPr>
      <w:r w:rsidRPr="00146952">
        <w:rPr>
          <w:szCs w:val="22"/>
        </w:rPr>
        <w:t xml:space="preserve">A Phase </w:t>
      </w:r>
      <w:r>
        <w:rPr>
          <w:szCs w:val="22"/>
        </w:rPr>
        <w:t>III</w:t>
      </w:r>
      <w:r w:rsidRPr="00146952">
        <w:rPr>
          <w:szCs w:val="22"/>
        </w:rPr>
        <w:t xml:space="preserve">, </w:t>
      </w:r>
      <w:r>
        <w:rPr>
          <w:szCs w:val="22"/>
        </w:rPr>
        <w:t>o</w:t>
      </w:r>
      <w:r w:rsidRPr="00146952">
        <w:rPr>
          <w:szCs w:val="22"/>
        </w:rPr>
        <w:t>pen-</w:t>
      </w:r>
      <w:r>
        <w:rPr>
          <w:szCs w:val="22"/>
        </w:rPr>
        <w:t>l</w:t>
      </w:r>
      <w:r w:rsidRPr="00146952">
        <w:rPr>
          <w:szCs w:val="22"/>
        </w:rPr>
        <w:t xml:space="preserve">abel </w:t>
      </w:r>
      <w:r>
        <w:rPr>
          <w:szCs w:val="22"/>
        </w:rPr>
        <w:t>s</w:t>
      </w:r>
      <w:r w:rsidRPr="00146952">
        <w:rPr>
          <w:szCs w:val="22"/>
        </w:rPr>
        <w:t xml:space="preserve">tudy of </w:t>
      </w:r>
      <w:r>
        <w:rPr>
          <w:szCs w:val="22"/>
        </w:rPr>
        <w:t>ravulizumab</w:t>
      </w:r>
      <w:r w:rsidRPr="00146952">
        <w:rPr>
          <w:szCs w:val="22"/>
        </w:rPr>
        <w:t xml:space="preserve"> in </w:t>
      </w:r>
      <w:r>
        <w:rPr>
          <w:szCs w:val="22"/>
        </w:rPr>
        <w:t>c</w:t>
      </w:r>
      <w:r w:rsidRPr="00146952">
        <w:rPr>
          <w:szCs w:val="22"/>
        </w:rPr>
        <w:t xml:space="preserve">hildren and </w:t>
      </w:r>
      <w:r>
        <w:rPr>
          <w:szCs w:val="22"/>
        </w:rPr>
        <w:t>a</w:t>
      </w:r>
      <w:r w:rsidRPr="00146952">
        <w:rPr>
          <w:szCs w:val="22"/>
        </w:rPr>
        <w:t>dolescents with Paroxysmal Nocturnal Hemoglobinuria (PNH)</w:t>
      </w:r>
    </w:p>
    <w:p w14:paraId="6263242F" w14:textId="416F0568" w:rsidR="00322B46" w:rsidRDefault="00322B46" w:rsidP="00322B46">
      <w:pPr>
        <w:pStyle w:val="ListBullet"/>
        <w:rPr>
          <w:szCs w:val="22"/>
        </w:rPr>
      </w:pPr>
      <w:r>
        <w:rPr>
          <w:szCs w:val="22"/>
        </w:rPr>
        <w:t>Six population pharmacokinetic/pharmacodynamic analys</w:t>
      </w:r>
      <w:r w:rsidR="00146952">
        <w:rPr>
          <w:szCs w:val="22"/>
        </w:rPr>
        <w:t>e</w:t>
      </w:r>
      <w:r>
        <w:rPr>
          <w:szCs w:val="22"/>
        </w:rPr>
        <w:t>s</w:t>
      </w:r>
    </w:p>
    <w:p w14:paraId="08112C2A" w14:textId="20A9D32F" w:rsidR="00322B46" w:rsidRPr="00BD5DBD" w:rsidRDefault="00322B46" w:rsidP="00322B46">
      <w:pPr>
        <w:pStyle w:val="ListBullet"/>
        <w:rPr>
          <w:szCs w:val="22"/>
        </w:rPr>
      </w:pPr>
      <w:r>
        <w:rPr>
          <w:szCs w:val="22"/>
        </w:rPr>
        <w:t>Literature references</w:t>
      </w:r>
    </w:p>
    <w:p w14:paraId="785B3262" w14:textId="60A96C69" w:rsidR="00856026" w:rsidRDefault="0036478A" w:rsidP="0036478A">
      <w:pPr>
        <w:rPr>
          <w:lang w:eastAsia="ja-JP"/>
        </w:rPr>
      </w:pPr>
      <w:r>
        <w:t xml:space="preserve">In all </w:t>
      </w:r>
      <w:r w:rsidR="00322B46">
        <w:t>three pivotal Phase III</w:t>
      </w:r>
      <w:r>
        <w:t xml:space="preserve"> studies </w:t>
      </w:r>
      <w:r w:rsidR="00322B46">
        <w:t xml:space="preserve">to support use in the proposed patient </w:t>
      </w:r>
      <w:r w:rsidR="00922228">
        <w:t>populations</w:t>
      </w:r>
      <w:r w:rsidR="00322B46">
        <w:t xml:space="preserve">, </w:t>
      </w:r>
      <w:r>
        <w:t xml:space="preserve">patients received </w:t>
      </w:r>
      <w:r>
        <w:rPr>
          <w:lang w:eastAsia="ja-JP"/>
        </w:rPr>
        <w:t xml:space="preserve">ravulizumab 10 mg/mL as an </w:t>
      </w:r>
      <w:r w:rsidR="00322B46">
        <w:rPr>
          <w:lang w:eastAsia="ja-JP"/>
        </w:rPr>
        <w:t>intravenous</w:t>
      </w:r>
      <w:r>
        <w:rPr>
          <w:lang w:eastAsia="ja-JP"/>
        </w:rPr>
        <w:t xml:space="preserve"> infusion with weight-based loading dose administered on Day 1 and weight-based maintenance dosing on Day 15 and </w:t>
      </w:r>
      <w:r w:rsidRPr="00D50AF3">
        <w:rPr>
          <w:lang w:eastAsia="ja-JP"/>
        </w:rPr>
        <w:t>either</w:t>
      </w:r>
      <w:r w:rsidR="00322B46">
        <w:rPr>
          <w:lang w:eastAsia="ja-JP"/>
        </w:rPr>
        <w:t xml:space="preserve"> once every four weeks</w:t>
      </w:r>
      <w:r>
        <w:rPr>
          <w:lang w:eastAsia="ja-JP"/>
        </w:rPr>
        <w:t xml:space="preserve"> or </w:t>
      </w:r>
      <w:r w:rsidR="00322B46">
        <w:rPr>
          <w:lang w:eastAsia="ja-JP"/>
        </w:rPr>
        <w:t xml:space="preserve">once every eight weeks </w:t>
      </w:r>
      <w:r>
        <w:rPr>
          <w:lang w:eastAsia="ja-JP"/>
        </w:rPr>
        <w:t xml:space="preserve">thereafter as per </w:t>
      </w:r>
      <w:r w:rsidR="00322B46">
        <w:rPr>
          <w:lang w:eastAsia="ja-JP"/>
        </w:rPr>
        <w:fldChar w:fldCharType="begin"/>
      </w:r>
      <w:r w:rsidR="00322B46">
        <w:rPr>
          <w:lang w:eastAsia="ja-JP"/>
        </w:rPr>
        <w:instrText xml:space="preserve"> REF _Ref131412587 \h </w:instrText>
      </w:r>
      <w:r w:rsidR="00322B46">
        <w:rPr>
          <w:lang w:eastAsia="ja-JP"/>
        </w:rPr>
      </w:r>
      <w:r w:rsidR="00322B46">
        <w:rPr>
          <w:lang w:eastAsia="ja-JP"/>
        </w:rPr>
        <w:fldChar w:fldCharType="separate"/>
      </w:r>
      <w:r w:rsidR="004C7A29">
        <w:t xml:space="preserve">Table </w:t>
      </w:r>
      <w:r w:rsidR="004C7A29">
        <w:rPr>
          <w:noProof/>
        </w:rPr>
        <w:t>6</w:t>
      </w:r>
      <w:r w:rsidR="00322B46">
        <w:rPr>
          <w:lang w:eastAsia="ja-JP"/>
        </w:rPr>
        <w:fldChar w:fldCharType="end"/>
      </w:r>
      <w:r w:rsidR="00322B46">
        <w:rPr>
          <w:lang w:eastAsia="ja-JP"/>
        </w:rPr>
        <w:t xml:space="preserve"> </w:t>
      </w:r>
      <w:r>
        <w:rPr>
          <w:lang w:eastAsia="ja-JP"/>
        </w:rPr>
        <w:t xml:space="preserve">below. </w:t>
      </w:r>
      <w:r w:rsidRPr="0059269E">
        <w:rPr>
          <w:lang w:eastAsia="ja-JP"/>
        </w:rPr>
        <w:t>The 10 mg/mL formulation, presentation, and administration of ravulizumab</w:t>
      </w:r>
      <w:r>
        <w:rPr>
          <w:lang w:eastAsia="ja-JP"/>
        </w:rPr>
        <w:t xml:space="preserve"> was stated to be identical to those described in the </w:t>
      </w:r>
      <w:r w:rsidR="00472EEA">
        <w:rPr>
          <w:lang w:eastAsia="ja-JP"/>
        </w:rPr>
        <w:t>Ultomiris</w:t>
      </w:r>
      <w:r>
        <w:rPr>
          <w:lang w:eastAsia="ja-JP"/>
        </w:rPr>
        <w:t xml:space="preserve"> PI.</w:t>
      </w:r>
    </w:p>
    <w:p w14:paraId="119E3A12" w14:textId="6A868C67" w:rsidR="00322B46" w:rsidRDefault="00322B46" w:rsidP="00922228">
      <w:pPr>
        <w:pStyle w:val="TableTitle"/>
        <w:rPr>
          <w:lang w:eastAsia="ja-JP"/>
        </w:rPr>
      </w:pPr>
      <w:bookmarkStart w:id="59" w:name="_Ref131412587"/>
      <w:r>
        <w:t xml:space="preserve">Table </w:t>
      </w:r>
      <w:fldSimple w:instr=" SEQ Table \* ARABIC ">
        <w:r w:rsidR="004C7A29">
          <w:rPr>
            <w:noProof/>
          </w:rPr>
          <w:t>6</w:t>
        </w:r>
      </w:fldSimple>
      <w:bookmarkEnd w:id="59"/>
      <w:r>
        <w:t xml:space="preserve"> </w:t>
      </w:r>
      <w:r w:rsidR="00146952">
        <w:t xml:space="preserve">Dosing regimen for </w:t>
      </w:r>
      <w:r w:rsidR="00E76E48">
        <w:t>Studies</w:t>
      </w:r>
      <w:r w:rsidR="00E76E48" w:rsidRPr="00146952">
        <w:t xml:space="preserve"> </w:t>
      </w:r>
      <w:r w:rsidR="00146952" w:rsidRPr="00146952">
        <w:t>ALXN1210-aHUS-311</w:t>
      </w:r>
      <w:r w:rsidR="00146952">
        <w:t xml:space="preserve">, </w:t>
      </w:r>
      <w:r w:rsidR="00146952" w:rsidRPr="00146952">
        <w:t xml:space="preserve">ALXN1210-aHUS-312 </w:t>
      </w:r>
      <w:r w:rsidR="00146952">
        <w:t xml:space="preserve">and </w:t>
      </w:r>
      <w:r w:rsidR="00146952" w:rsidRPr="00146952">
        <w:t>ALXN1210-PNH-304</w:t>
      </w:r>
      <w:r w:rsidR="00B9110E">
        <w:t xml:space="preserve"> </w:t>
      </w:r>
    </w:p>
    <w:p w14:paraId="3CFC3A22" w14:textId="7D62F4E7" w:rsidR="0036478A" w:rsidRDefault="0036478A" w:rsidP="0036478A">
      <w:r>
        <w:rPr>
          <w:noProof/>
          <w:lang w:val="en-GB" w:eastAsia="en-GB"/>
        </w:rPr>
        <w:drawing>
          <wp:inline distT="0" distB="0" distL="0" distR="0" wp14:anchorId="7763D45C" wp14:editId="1C7D1949">
            <wp:extent cx="5731510" cy="1461135"/>
            <wp:effectExtent l="0" t="0" r="2540" b="5715"/>
            <wp:docPr id="28" name="Picture 28" descr="This table shows the dosing regimen for Study ALXN1210-aHUS-311, Study ALXN1210-aHUS-312 and Study ALXN1210-PNH-304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table shows the dosing regimen for Study ALXN1210-aHUS-311, Study ALXN1210-aHUS-312 and Study ALXN1210-PNH-304 as described in the text above."/>
                    <pic:cNvPicPr/>
                  </pic:nvPicPr>
                  <pic:blipFill>
                    <a:blip r:embed="rId27"/>
                    <a:stretch>
                      <a:fillRect/>
                    </a:stretch>
                  </pic:blipFill>
                  <pic:spPr>
                    <a:xfrm>
                      <a:off x="0" y="0"/>
                      <a:ext cx="5731510" cy="1461135"/>
                    </a:xfrm>
                    <a:prstGeom prst="rect">
                      <a:avLst/>
                    </a:prstGeom>
                  </pic:spPr>
                </pic:pic>
              </a:graphicData>
            </a:graphic>
          </wp:inline>
        </w:drawing>
      </w:r>
    </w:p>
    <w:p w14:paraId="3C329BC0" w14:textId="4E3DD0BA" w:rsidR="0036478A" w:rsidRPr="009D1BD2" w:rsidRDefault="0036478A" w:rsidP="00922228">
      <w:pPr>
        <w:pStyle w:val="TableDescription"/>
        <w:rPr>
          <w:szCs w:val="18"/>
          <w:lang w:eastAsia="ja-JP"/>
        </w:rPr>
      </w:pPr>
      <w:r w:rsidRPr="00360B2C">
        <w:rPr>
          <w:lang w:eastAsia="ja-JP"/>
        </w:rPr>
        <w:lastRenderedPageBreak/>
        <w:t xml:space="preserve">Note: as discussed further below, the initial loading dose for patients with body weight 5 </w:t>
      </w:r>
      <w:r w:rsidR="00922228">
        <w:rPr>
          <w:lang w:eastAsia="ja-JP"/>
        </w:rPr>
        <w:t xml:space="preserve">to </w:t>
      </w:r>
      <w:r w:rsidR="00146952">
        <w:rPr>
          <w:lang w:eastAsia="ja-JP"/>
        </w:rPr>
        <w:t>&lt;</w:t>
      </w:r>
      <w:r w:rsidRPr="00360B2C">
        <w:rPr>
          <w:lang w:eastAsia="ja-JP"/>
        </w:rPr>
        <w:t>10 kg was 300</w:t>
      </w:r>
      <w:r w:rsidR="00146952">
        <w:rPr>
          <w:lang w:eastAsia="ja-JP"/>
        </w:rPr>
        <w:t> </w:t>
      </w:r>
      <w:r w:rsidRPr="00360B2C">
        <w:rPr>
          <w:lang w:eastAsia="ja-JP"/>
        </w:rPr>
        <w:t xml:space="preserve">mg however was increased to </w:t>
      </w:r>
      <w:r w:rsidRPr="00360B2C">
        <w:rPr>
          <w:szCs w:val="18"/>
          <w:lang w:eastAsia="ja-JP"/>
        </w:rPr>
        <w:t xml:space="preserve">600 mg based an interim analysis of data from </w:t>
      </w:r>
      <w:r w:rsidRPr="00360B2C">
        <w:rPr>
          <w:szCs w:val="18"/>
        </w:rPr>
        <w:t xml:space="preserve">paediatric patients in </w:t>
      </w:r>
      <w:r w:rsidR="00146952" w:rsidRPr="00146952">
        <w:rPr>
          <w:szCs w:val="18"/>
        </w:rPr>
        <w:t xml:space="preserve">Study ALXN1210-aHUS-312 </w:t>
      </w:r>
      <w:r w:rsidRPr="00360B2C">
        <w:rPr>
          <w:szCs w:val="18"/>
        </w:rPr>
        <w:t xml:space="preserve">and </w:t>
      </w:r>
      <w:r w:rsidRPr="00360B2C">
        <w:rPr>
          <w:szCs w:val="18"/>
          <w:lang w:eastAsia="ja-JP"/>
        </w:rPr>
        <w:t xml:space="preserve">subsequent amendments to the study protocols for </w:t>
      </w:r>
      <w:r w:rsidR="00146952" w:rsidRPr="00146952">
        <w:rPr>
          <w:szCs w:val="18"/>
          <w:lang w:eastAsia="ja-JP"/>
        </w:rPr>
        <w:t xml:space="preserve">Study ALXN1210-aHUS-312 </w:t>
      </w:r>
      <w:r w:rsidRPr="00360B2C">
        <w:rPr>
          <w:szCs w:val="18"/>
          <w:lang w:eastAsia="ja-JP"/>
        </w:rPr>
        <w:t xml:space="preserve">and </w:t>
      </w:r>
      <w:r w:rsidR="00146952" w:rsidRPr="00146952">
        <w:rPr>
          <w:szCs w:val="18"/>
          <w:lang w:eastAsia="ja-JP"/>
        </w:rPr>
        <w:t>Study ALXN1210-PNH-304</w:t>
      </w:r>
      <w:r w:rsidRPr="00360B2C">
        <w:rPr>
          <w:szCs w:val="18"/>
          <w:lang w:eastAsia="ja-JP"/>
        </w:rPr>
        <w:t>.</w:t>
      </w:r>
    </w:p>
    <w:p w14:paraId="7C8DF554" w14:textId="1A65DF43" w:rsidR="0036478A" w:rsidRPr="00D50AF3" w:rsidRDefault="0036478A" w:rsidP="00922228">
      <w:r>
        <w:t xml:space="preserve">The </w:t>
      </w:r>
      <w:r w:rsidR="00922228">
        <w:t>s</w:t>
      </w:r>
      <w:r>
        <w:t>ponsor stated ‘</w:t>
      </w:r>
      <w:r w:rsidRPr="00434075">
        <w:t xml:space="preserve">the development program in aHUS was initiated concurrently with the PNH program. Prior to initiation of the </w:t>
      </w:r>
      <w:r w:rsidR="00B8491F">
        <w:t>Phase III</w:t>
      </w:r>
      <w:r w:rsidRPr="00434075">
        <w:t xml:space="preserve"> clinical study, agreement was reached with the</w:t>
      </w:r>
      <w:r w:rsidR="00922228">
        <w:t xml:space="preserve"> </w:t>
      </w:r>
      <w:r w:rsidR="00E76E48">
        <w:t>US </w:t>
      </w:r>
      <w:r w:rsidRPr="00434075">
        <w:t>F</w:t>
      </w:r>
      <w:r w:rsidR="00922228">
        <w:t xml:space="preserve">ood and </w:t>
      </w:r>
      <w:r w:rsidRPr="00434075">
        <w:t>D</w:t>
      </w:r>
      <w:r w:rsidR="00922228">
        <w:t xml:space="preserve">rug </w:t>
      </w:r>
      <w:r w:rsidRPr="00434075">
        <w:t>A</w:t>
      </w:r>
      <w:r w:rsidR="00922228">
        <w:t>dministration</w:t>
      </w:r>
      <w:r w:rsidRPr="00434075">
        <w:t xml:space="preserve"> </w:t>
      </w:r>
      <w:r w:rsidR="00E76E48">
        <w:t xml:space="preserve">(FDA) </w:t>
      </w:r>
      <w:r w:rsidRPr="00434075">
        <w:t>and E</w:t>
      </w:r>
      <w:r w:rsidR="00922228">
        <w:t xml:space="preserve">uropean </w:t>
      </w:r>
      <w:r w:rsidRPr="00434075">
        <w:t>M</w:t>
      </w:r>
      <w:r w:rsidR="00922228">
        <w:t xml:space="preserve">edicines </w:t>
      </w:r>
      <w:r w:rsidRPr="00434075">
        <w:t>A</w:t>
      </w:r>
      <w:r w:rsidR="00922228">
        <w:t>uthority (EMA)</w:t>
      </w:r>
      <w:r w:rsidRPr="00434075">
        <w:t xml:space="preserve"> on a common ravulizumab dosing strategy for the treatment of aHUS and PNH, and the reliance on a single pivotal trial to support approval in each indication</w:t>
      </w:r>
      <w:r>
        <w:t>.’</w:t>
      </w:r>
    </w:p>
    <w:p w14:paraId="3B57151C" w14:textId="77777777" w:rsidR="0036478A" w:rsidRPr="00E641C7" w:rsidRDefault="0036478A" w:rsidP="0036478A">
      <w:pPr>
        <w:pStyle w:val="Heading4"/>
        <w:rPr>
          <w:rFonts w:eastAsia="Times New Roman"/>
          <w:b w:val="0"/>
          <w:i/>
          <w:color w:val="7295D2" w:themeColor="accent1" w:themeTint="BF"/>
        </w:rPr>
      </w:pPr>
      <w:bookmarkStart w:id="60" w:name="_Toc135662382"/>
      <w:r w:rsidRPr="00AA53F4">
        <w:t>Pharmacology</w:t>
      </w:r>
      <w:bookmarkEnd w:id="60"/>
    </w:p>
    <w:p w14:paraId="16D19FD4" w14:textId="731A6DE2" w:rsidR="0036478A" w:rsidRDefault="0036478A" w:rsidP="0036478A">
      <w:pPr>
        <w:pStyle w:val="Heading5"/>
      </w:pPr>
      <w:r w:rsidRPr="00AA53F4">
        <w:t xml:space="preserve">Pharmacokinetics </w:t>
      </w:r>
    </w:p>
    <w:p w14:paraId="2F823F23" w14:textId="1273602B" w:rsidR="00856026" w:rsidRDefault="00922228" w:rsidP="00922228">
      <w:pPr>
        <w:pStyle w:val="Heading6"/>
      </w:pPr>
      <w:r>
        <w:t>At</w:t>
      </w:r>
      <w:r w:rsidRPr="00922228">
        <w:t>ypical h</w:t>
      </w:r>
      <w:r w:rsidR="00B70E76">
        <w:t>a</w:t>
      </w:r>
      <w:r w:rsidRPr="00922228">
        <w:t>emolytic uraemic syndrome</w:t>
      </w:r>
    </w:p>
    <w:p w14:paraId="21B3B806" w14:textId="5DA8CB0B" w:rsidR="00922228" w:rsidRPr="00922228" w:rsidRDefault="00922228" w:rsidP="00922228">
      <w:pPr>
        <w:pStyle w:val="Heading7"/>
      </w:pPr>
      <w:r w:rsidRPr="00922228">
        <w:t>Study ALXN1210-aHUS-311</w:t>
      </w:r>
      <w:r>
        <w:t xml:space="preserve"> and </w:t>
      </w:r>
      <w:r w:rsidRPr="00922228">
        <w:t>Study ALXN1210-aHUS-312</w:t>
      </w:r>
    </w:p>
    <w:p w14:paraId="143F8877" w14:textId="5DDB3DAE" w:rsidR="00856026" w:rsidRDefault="0036478A" w:rsidP="0036478A">
      <w:pPr>
        <w:rPr>
          <w:lang w:eastAsia="ja-JP"/>
        </w:rPr>
      </w:pPr>
      <w:r w:rsidRPr="00A77B55">
        <w:t xml:space="preserve">The adult </w:t>
      </w:r>
      <w:r w:rsidR="00922228">
        <w:t>pharmacokinetic/pharmacodynamic a</w:t>
      </w:r>
      <w:r w:rsidRPr="00A77B55">
        <w:t xml:space="preserve">nalysis </w:t>
      </w:r>
      <w:r w:rsidR="00922228">
        <w:t>s</w:t>
      </w:r>
      <w:r w:rsidRPr="00A77B55">
        <w:t>et included 55 com</w:t>
      </w:r>
      <w:r w:rsidRPr="00A77B55">
        <w:rPr>
          <w:lang w:eastAsia="ja-JP"/>
        </w:rPr>
        <w:t>plement inhibitor treatment-</w:t>
      </w:r>
      <w:r w:rsidR="00446075">
        <w:rPr>
          <w:lang w:eastAsia="ja-JP"/>
        </w:rPr>
        <w:t>naive</w:t>
      </w:r>
      <w:r w:rsidRPr="00A77B55">
        <w:rPr>
          <w:lang w:eastAsia="ja-JP"/>
        </w:rPr>
        <w:t xml:space="preserve"> adults with aHUS</w:t>
      </w:r>
      <w:r w:rsidR="00922228">
        <w:rPr>
          <w:lang w:eastAsia="ja-JP"/>
        </w:rPr>
        <w:t>.</w:t>
      </w:r>
      <w:r w:rsidR="00B9110E">
        <w:rPr>
          <w:lang w:eastAsia="ja-JP"/>
        </w:rPr>
        <w:t xml:space="preserve"> </w:t>
      </w:r>
      <w:r w:rsidR="00922228">
        <w:rPr>
          <w:lang w:eastAsia="ja-JP"/>
        </w:rPr>
        <w:t xml:space="preserve">The patient group </w:t>
      </w:r>
      <w:r w:rsidR="00146952">
        <w:rPr>
          <w:lang w:eastAsia="ja-JP"/>
        </w:rPr>
        <w:t>demographics included</w:t>
      </w:r>
      <w:r w:rsidRPr="00A77B55">
        <w:rPr>
          <w:lang w:eastAsia="ja-JP"/>
        </w:rPr>
        <w:t xml:space="preserve"> 67.3% female, 47.3% White, mean age </w:t>
      </w:r>
      <w:r w:rsidR="00922228">
        <w:rPr>
          <w:lang w:eastAsia="ja-JP"/>
        </w:rPr>
        <w:t xml:space="preserve">of </w:t>
      </w:r>
      <w:r w:rsidRPr="00A77B55">
        <w:rPr>
          <w:lang w:eastAsia="ja-JP"/>
        </w:rPr>
        <w:t>41.2 years</w:t>
      </w:r>
      <w:r w:rsidR="00922228">
        <w:rPr>
          <w:lang w:eastAsia="ja-JP"/>
        </w:rPr>
        <w:t xml:space="preserve"> and</w:t>
      </w:r>
      <w:r w:rsidRPr="00A77B55">
        <w:rPr>
          <w:lang w:eastAsia="ja-JP"/>
        </w:rPr>
        <w:t xml:space="preserve"> mean body weight </w:t>
      </w:r>
      <w:r w:rsidR="00922228">
        <w:rPr>
          <w:lang w:eastAsia="ja-JP"/>
        </w:rPr>
        <w:t xml:space="preserve">of </w:t>
      </w:r>
      <w:r w:rsidRPr="00A77B55">
        <w:rPr>
          <w:lang w:eastAsia="ja-JP"/>
        </w:rPr>
        <w:t>72.7 kg.</w:t>
      </w:r>
    </w:p>
    <w:p w14:paraId="796AC934" w14:textId="32BCE8E6" w:rsidR="0036478A" w:rsidRPr="00A77B55" w:rsidRDefault="0036478A" w:rsidP="0036478A">
      <w:r w:rsidRPr="00A77B55">
        <w:rPr>
          <w:lang w:eastAsia="ja-JP"/>
        </w:rPr>
        <w:t xml:space="preserve">The paediatric </w:t>
      </w:r>
      <w:r w:rsidR="00922228" w:rsidRPr="00922228">
        <w:t xml:space="preserve">pharmacokinetic/pharmacodynamic </w:t>
      </w:r>
      <w:r w:rsidR="00922228">
        <w:t>a</w:t>
      </w:r>
      <w:r w:rsidRPr="00A77B55">
        <w:t xml:space="preserve">nalysis </w:t>
      </w:r>
      <w:r w:rsidR="00922228">
        <w:t>s</w:t>
      </w:r>
      <w:r w:rsidRPr="00A77B55">
        <w:t>et included:</w:t>
      </w:r>
    </w:p>
    <w:p w14:paraId="10B5CD8C" w14:textId="2875C0CE" w:rsidR="0036478A" w:rsidRPr="00A77B55" w:rsidRDefault="0036478A" w:rsidP="00922228">
      <w:pPr>
        <w:pStyle w:val="ListBullet"/>
        <w:rPr>
          <w:lang w:eastAsia="ja-JP"/>
        </w:rPr>
      </w:pPr>
      <w:r w:rsidRPr="00A77B55">
        <w:t>18 com</w:t>
      </w:r>
      <w:r w:rsidRPr="00A77B55">
        <w:rPr>
          <w:lang w:eastAsia="ja-JP"/>
        </w:rPr>
        <w:t>plement inhibitor treatment-</w:t>
      </w:r>
      <w:r w:rsidR="00446075">
        <w:rPr>
          <w:lang w:eastAsia="ja-JP"/>
        </w:rPr>
        <w:t>naive</w:t>
      </w:r>
      <w:r w:rsidRPr="00A77B55">
        <w:rPr>
          <w:lang w:eastAsia="ja-JP"/>
        </w:rPr>
        <w:t xml:space="preserve"> paediatric patients with aHUS</w:t>
      </w:r>
      <w:r w:rsidR="00146952">
        <w:rPr>
          <w:lang w:eastAsia="ja-JP"/>
        </w:rPr>
        <w:t xml:space="preserve"> with</w:t>
      </w:r>
      <w:r w:rsidRPr="00A77B55">
        <w:rPr>
          <w:lang w:eastAsia="ja-JP"/>
        </w:rPr>
        <w:t xml:space="preserve"> </w:t>
      </w:r>
      <w:r w:rsidR="00146952">
        <w:rPr>
          <w:lang w:eastAsia="ja-JP"/>
        </w:rPr>
        <w:t xml:space="preserve">a </w:t>
      </w:r>
      <w:r w:rsidRPr="00A77B55">
        <w:rPr>
          <w:lang w:eastAsia="ja-JP"/>
        </w:rPr>
        <w:t xml:space="preserve">median age </w:t>
      </w:r>
      <w:r w:rsidR="00146952">
        <w:rPr>
          <w:lang w:eastAsia="ja-JP"/>
        </w:rPr>
        <w:t xml:space="preserve">of </w:t>
      </w:r>
      <w:r w:rsidRPr="00A77B55">
        <w:rPr>
          <w:lang w:eastAsia="ja-JP"/>
        </w:rPr>
        <w:t>5.2</w:t>
      </w:r>
      <w:r w:rsidR="00922228">
        <w:rPr>
          <w:lang w:eastAsia="ja-JP"/>
        </w:rPr>
        <w:t> </w:t>
      </w:r>
      <w:r w:rsidRPr="00A77B55">
        <w:rPr>
          <w:lang w:eastAsia="ja-JP"/>
        </w:rPr>
        <w:t>years at first infusion (</w:t>
      </w:r>
      <w:r w:rsidR="00E61A9C">
        <w:rPr>
          <w:lang w:eastAsia="ja-JP"/>
        </w:rPr>
        <w:t xml:space="preserve">range: </w:t>
      </w:r>
      <w:r w:rsidRPr="00A77B55">
        <w:rPr>
          <w:lang w:eastAsia="ja-JP"/>
        </w:rPr>
        <w:t xml:space="preserve">0.9 </w:t>
      </w:r>
      <w:r w:rsidR="00384CA5">
        <w:rPr>
          <w:lang w:eastAsia="ja-JP"/>
        </w:rPr>
        <w:t xml:space="preserve">to </w:t>
      </w:r>
      <w:r w:rsidRPr="00A77B55">
        <w:rPr>
          <w:lang w:eastAsia="ja-JP"/>
        </w:rPr>
        <w:t xml:space="preserve">17.3 years), </w:t>
      </w:r>
      <w:r w:rsidR="00E61A9C">
        <w:rPr>
          <w:lang w:eastAsia="ja-JP"/>
        </w:rPr>
        <w:t>of which</w:t>
      </w:r>
      <w:r w:rsidRPr="00A77B55">
        <w:rPr>
          <w:lang w:eastAsia="ja-JP"/>
        </w:rPr>
        <w:t xml:space="preserve"> </w:t>
      </w:r>
      <w:r w:rsidR="00922228">
        <w:rPr>
          <w:lang w:eastAsia="ja-JP"/>
        </w:rPr>
        <w:t>two</w:t>
      </w:r>
      <w:r w:rsidRPr="00A77B55">
        <w:rPr>
          <w:lang w:eastAsia="ja-JP"/>
        </w:rPr>
        <w:t xml:space="preserve"> patients </w:t>
      </w:r>
      <w:r w:rsidR="00922228">
        <w:rPr>
          <w:lang w:eastAsia="ja-JP"/>
        </w:rPr>
        <w:t>younger than</w:t>
      </w:r>
      <w:r w:rsidRPr="00A77B55">
        <w:t xml:space="preserve"> </w:t>
      </w:r>
      <w:r w:rsidR="00384CA5">
        <w:t>two</w:t>
      </w:r>
      <w:r w:rsidR="00922228">
        <w:t> </w:t>
      </w:r>
      <w:r w:rsidRPr="00A77B55">
        <w:t xml:space="preserve">years </w:t>
      </w:r>
      <w:r w:rsidR="00384CA5">
        <w:t xml:space="preserve">old </w:t>
      </w:r>
      <w:r w:rsidR="00146952">
        <w:t>with</w:t>
      </w:r>
      <w:r w:rsidRPr="00A77B55">
        <w:t xml:space="preserve"> body weight 5 </w:t>
      </w:r>
      <w:r w:rsidR="00922228">
        <w:t>to</w:t>
      </w:r>
      <w:r w:rsidRPr="00A77B55">
        <w:t xml:space="preserve"> 10 kg</w:t>
      </w:r>
      <w:r>
        <w:rPr>
          <w:lang w:eastAsia="ja-JP"/>
        </w:rPr>
        <w:t>.</w:t>
      </w:r>
    </w:p>
    <w:p w14:paraId="299B3EDD" w14:textId="7DC900BF" w:rsidR="0036478A" w:rsidRPr="00A77B55" w:rsidRDefault="0036478A" w:rsidP="00922228">
      <w:pPr>
        <w:pStyle w:val="ListBullet"/>
        <w:rPr>
          <w:lang w:eastAsia="ja-JP"/>
        </w:rPr>
      </w:pPr>
      <w:r w:rsidRPr="00A77B55">
        <w:rPr>
          <w:lang w:eastAsia="ja-JP"/>
        </w:rPr>
        <w:t xml:space="preserve">10 eculizumab-experienced </w:t>
      </w:r>
      <w:r>
        <w:rPr>
          <w:lang w:eastAsia="ja-JP"/>
        </w:rPr>
        <w:t xml:space="preserve">aHUS </w:t>
      </w:r>
      <w:r w:rsidRPr="00A77B55">
        <w:rPr>
          <w:lang w:eastAsia="ja-JP"/>
        </w:rPr>
        <w:t>patients</w:t>
      </w:r>
      <w:r w:rsidR="00146952">
        <w:rPr>
          <w:lang w:eastAsia="ja-JP"/>
        </w:rPr>
        <w:t xml:space="preserve"> with a </w:t>
      </w:r>
      <w:r w:rsidRPr="00A77B55">
        <w:t xml:space="preserve">median age </w:t>
      </w:r>
      <w:r w:rsidR="00146952">
        <w:t xml:space="preserve">of </w:t>
      </w:r>
      <w:r w:rsidRPr="00A77B55">
        <w:t>12.5 years (</w:t>
      </w:r>
      <w:r w:rsidR="00E61A9C">
        <w:t xml:space="preserve">range: </w:t>
      </w:r>
      <w:r w:rsidRPr="00A77B55">
        <w:t>1.2</w:t>
      </w:r>
      <w:r w:rsidR="00922228">
        <w:t xml:space="preserve"> to</w:t>
      </w:r>
      <w:r w:rsidRPr="00A77B55">
        <w:t xml:space="preserve"> 15.5</w:t>
      </w:r>
      <w:r w:rsidR="00E61A9C">
        <w:t> years</w:t>
      </w:r>
      <w:r w:rsidRPr="00A77B55">
        <w:t xml:space="preserve">) </w:t>
      </w:r>
      <w:r w:rsidR="00E61A9C">
        <w:rPr>
          <w:lang w:eastAsia="ja-JP"/>
        </w:rPr>
        <w:t>of which</w:t>
      </w:r>
      <w:r w:rsidRPr="00A77B55">
        <w:rPr>
          <w:lang w:eastAsia="ja-JP"/>
        </w:rPr>
        <w:t xml:space="preserve"> </w:t>
      </w:r>
      <w:r w:rsidR="00384CA5">
        <w:rPr>
          <w:lang w:eastAsia="ja-JP"/>
        </w:rPr>
        <w:t>one</w:t>
      </w:r>
      <w:r w:rsidRPr="00A77B55">
        <w:rPr>
          <w:lang w:eastAsia="ja-JP"/>
        </w:rPr>
        <w:t xml:space="preserve"> patient </w:t>
      </w:r>
      <w:r w:rsidR="00384CA5">
        <w:rPr>
          <w:lang w:eastAsia="ja-JP"/>
        </w:rPr>
        <w:t>less than</w:t>
      </w:r>
      <w:r w:rsidRPr="00A77B55">
        <w:rPr>
          <w:lang w:eastAsia="ja-JP"/>
        </w:rPr>
        <w:t xml:space="preserve"> </w:t>
      </w:r>
      <w:r w:rsidR="00384CA5">
        <w:rPr>
          <w:lang w:eastAsia="ja-JP"/>
        </w:rPr>
        <w:t>two</w:t>
      </w:r>
      <w:r w:rsidRPr="00A77B55">
        <w:rPr>
          <w:lang w:eastAsia="ja-JP"/>
        </w:rPr>
        <w:t xml:space="preserve"> years </w:t>
      </w:r>
      <w:r w:rsidR="00384CA5">
        <w:rPr>
          <w:lang w:eastAsia="ja-JP"/>
        </w:rPr>
        <w:t xml:space="preserve">old </w:t>
      </w:r>
      <w:r w:rsidRPr="00A77B55">
        <w:t xml:space="preserve">and body weight 5 </w:t>
      </w:r>
      <w:r w:rsidR="00384CA5">
        <w:t xml:space="preserve">to </w:t>
      </w:r>
      <w:r w:rsidRPr="00A77B55">
        <w:t>10 kg</w:t>
      </w:r>
      <w:r w:rsidRPr="00A77B55">
        <w:rPr>
          <w:lang w:eastAsia="ja-JP"/>
        </w:rPr>
        <w:t>.</w:t>
      </w:r>
    </w:p>
    <w:p w14:paraId="413512E3" w14:textId="3039A2D9" w:rsidR="00856026" w:rsidRDefault="0036478A" w:rsidP="0036478A">
      <w:r w:rsidRPr="00A77B55">
        <w:rPr>
          <w:lang w:eastAsia="ja-JP"/>
        </w:rPr>
        <w:t>Following the weight-based dosing regimens in</w:t>
      </w:r>
      <w:r w:rsidRPr="00A77B55">
        <w:t xml:space="preserve"> complement inhibitor treatment-naive</w:t>
      </w:r>
      <w:r w:rsidRPr="00A77B55">
        <w:rPr>
          <w:rFonts w:cs="Calibri"/>
        </w:rPr>
        <w:t xml:space="preserve"> adult patients with aHUS and </w:t>
      </w:r>
      <w:r w:rsidRPr="00A77B55">
        <w:t>complement inhibitor treatment-</w:t>
      </w:r>
      <w:r w:rsidR="00446075">
        <w:t>naive</w:t>
      </w:r>
      <w:r w:rsidRPr="00A77B55">
        <w:t xml:space="preserve"> or </w:t>
      </w:r>
      <w:r w:rsidRPr="00A77B55">
        <w:rPr>
          <w:rFonts w:eastAsia="Times New Roman"/>
        </w:rPr>
        <w:t xml:space="preserve">eculizumab-experienced </w:t>
      </w:r>
      <w:r w:rsidRPr="00A77B55">
        <w:t xml:space="preserve">paediatric patients with aHUS, </w:t>
      </w:r>
      <w:r w:rsidRPr="00A77B55">
        <w:rPr>
          <w:rFonts w:eastAsia="Times New Roman"/>
        </w:rPr>
        <w:t xml:space="preserve">steady-state </w:t>
      </w:r>
      <w:r w:rsidRPr="00A77B55">
        <w:t xml:space="preserve">therapeutic </w:t>
      </w:r>
      <w:r w:rsidRPr="00A77B55">
        <w:rPr>
          <w:rFonts w:eastAsia="Times New Roman"/>
        </w:rPr>
        <w:t xml:space="preserve">ravulizumab concentrations were achieved </w:t>
      </w:r>
      <w:r w:rsidRPr="00A77B55">
        <w:t>and maintained during the 26-w</w:t>
      </w:r>
      <w:r>
        <w:t>eek Initial Evaluation Period.</w:t>
      </w:r>
    </w:p>
    <w:p w14:paraId="64427F05" w14:textId="77777777" w:rsidR="00E87C03" w:rsidRDefault="00E87C03" w:rsidP="001C29B2">
      <w:pPr>
        <w:pStyle w:val="Heading6"/>
        <w:rPr>
          <w:iCs/>
        </w:rPr>
      </w:pPr>
      <w:r w:rsidRPr="00E87C03">
        <w:t>Paediatric paroxysmal nocturnal haemoglobinuria patients</w:t>
      </w:r>
    </w:p>
    <w:p w14:paraId="59EDC27A" w14:textId="01097E64" w:rsidR="0036478A" w:rsidRPr="00E641C7" w:rsidRDefault="00384CA5" w:rsidP="00384CA5">
      <w:pPr>
        <w:pStyle w:val="Heading7"/>
      </w:pPr>
      <w:r w:rsidRPr="00384CA5">
        <w:t>Study ALXN1210-PNH-304</w:t>
      </w:r>
    </w:p>
    <w:p w14:paraId="57D27033" w14:textId="77777777" w:rsidR="00856026" w:rsidRDefault="0036478A" w:rsidP="0036478A">
      <w:r w:rsidRPr="00B3672F">
        <w:t>P</w:t>
      </w:r>
      <w:r w:rsidR="00384CA5">
        <w:t>harmacokinetic</w:t>
      </w:r>
      <w:r w:rsidRPr="00B3672F">
        <w:t xml:space="preserve"> and</w:t>
      </w:r>
      <w:r w:rsidR="00384CA5">
        <w:t xml:space="preserve"> pharmacodynamic</w:t>
      </w:r>
      <w:r w:rsidRPr="00B3672F">
        <w:t xml:space="preserve"> parameters were the primary endpoints for </w:t>
      </w:r>
      <w:r w:rsidR="00384CA5" w:rsidRPr="00384CA5">
        <w:t>Study</w:t>
      </w:r>
      <w:r w:rsidR="00384CA5">
        <w:t> </w:t>
      </w:r>
      <w:r w:rsidR="00384CA5" w:rsidRPr="00384CA5">
        <w:t>ALXN1210-PNH-304</w:t>
      </w:r>
      <w:r w:rsidRPr="00B3672F">
        <w:t>.</w:t>
      </w:r>
    </w:p>
    <w:p w14:paraId="609196A2" w14:textId="79E98445" w:rsidR="00856026" w:rsidRDefault="0036478A" w:rsidP="0036478A">
      <w:r w:rsidRPr="00B3672F">
        <w:t xml:space="preserve">There were 12 patients in </w:t>
      </w:r>
      <w:r w:rsidR="00384CA5" w:rsidRPr="00384CA5">
        <w:t>Study ALXN1210-PNH-304</w:t>
      </w:r>
      <w:r w:rsidR="00384CA5">
        <w:t xml:space="preserve"> </w:t>
      </w:r>
      <w:r w:rsidRPr="00B3672F">
        <w:t xml:space="preserve">included in </w:t>
      </w:r>
      <w:r w:rsidR="00384CA5">
        <w:t xml:space="preserve">the pharmacokinetic and pharmacodynamic </w:t>
      </w:r>
      <w:r w:rsidRPr="00B3672F">
        <w:t>analyses</w:t>
      </w:r>
      <w:r>
        <w:t xml:space="preserve"> at the planned interim analysis</w:t>
      </w:r>
      <w:r w:rsidR="00384CA5">
        <w:t xml:space="preserve">: four </w:t>
      </w:r>
      <w:r w:rsidRPr="00B3672F">
        <w:t>complement-inhibitor treatment-</w:t>
      </w:r>
      <w:r w:rsidR="00446075">
        <w:t>naive</w:t>
      </w:r>
      <w:r w:rsidRPr="00B3672F">
        <w:t xml:space="preserve"> patients aged 11 </w:t>
      </w:r>
      <w:r w:rsidR="00384CA5">
        <w:t>to</w:t>
      </w:r>
      <w:r w:rsidRPr="00B3672F">
        <w:t xml:space="preserve"> 17 years at first </w:t>
      </w:r>
      <w:r>
        <w:t xml:space="preserve">infusion and </w:t>
      </w:r>
      <w:r w:rsidR="00384CA5">
        <w:t>eight</w:t>
      </w:r>
      <w:r w:rsidRPr="00B3672F">
        <w:t xml:space="preserve"> eculizumab-experienced patients aged 9 </w:t>
      </w:r>
      <w:r w:rsidR="00384CA5">
        <w:t>to</w:t>
      </w:r>
      <w:r w:rsidRPr="00B3672F">
        <w:t xml:space="preserve"> 17 years</w:t>
      </w:r>
      <w:r>
        <w:t>, with all patients weigh</w:t>
      </w:r>
      <w:r w:rsidRPr="00B3672F">
        <w:t>ing 30 kg</w:t>
      </w:r>
      <w:r w:rsidR="00384CA5">
        <w:t xml:space="preserve"> or more</w:t>
      </w:r>
      <w:r w:rsidRPr="00B3672F">
        <w:t>.</w:t>
      </w:r>
    </w:p>
    <w:p w14:paraId="34F780E0" w14:textId="05E37566" w:rsidR="00856026" w:rsidRDefault="0036478A" w:rsidP="0036478A">
      <w:r w:rsidRPr="00B3672F">
        <w:t>Following weight-based dosing, s</w:t>
      </w:r>
      <w:r w:rsidRPr="00B3672F">
        <w:rPr>
          <w:rFonts w:eastAsia="TimesNewRoman" w:cs="Calibri"/>
          <w:color w:val="000000"/>
        </w:rPr>
        <w:t>teady-state</w:t>
      </w:r>
      <w:r>
        <w:rPr>
          <w:rFonts w:eastAsia="TimesNewRoman" w:cs="Calibri"/>
          <w:color w:val="000000"/>
        </w:rPr>
        <w:t xml:space="preserve"> therapeutic </w:t>
      </w:r>
      <w:r w:rsidRPr="00B3672F">
        <w:rPr>
          <w:rFonts w:eastAsia="TimesNewRoman" w:cs="Calibri"/>
          <w:color w:val="000000"/>
        </w:rPr>
        <w:t>ravulizumab concentrations were achieved by Day 15</w:t>
      </w:r>
      <w:r w:rsidRPr="00B3672F">
        <w:t xml:space="preserve"> and sustained through Day 127</w:t>
      </w:r>
      <w:r w:rsidRPr="009B6EB9">
        <w:t xml:space="preserve"> </w:t>
      </w:r>
      <w:r>
        <w:t xml:space="preserve">in </w:t>
      </w:r>
      <w:r w:rsidRPr="00B3672F">
        <w:t>complement inhibitor treatment-</w:t>
      </w:r>
      <w:r w:rsidR="00446075">
        <w:t>naive</w:t>
      </w:r>
      <w:r w:rsidRPr="00B3672F">
        <w:t xml:space="preserve"> and eculizumab-experienced patients.</w:t>
      </w:r>
    </w:p>
    <w:p w14:paraId="2D9C1AAE" w14:textId="26688BBB" w:rsidR="00856026" w:rsidRDefault="0036478A" w:rsidP="0036478A">
      <w:r w:rsidRPr="00B3672F">
        <w:t xml:space="preserve">There was no evidence of accumulation (mean accumulation ratios for </w:t>
      </w:r>
      <w:r w:rsidR="00E61A9C">
        <w:t>maximum plasma concentration (</w:t>
      </w:r>
      <w:r w:rsidRPr="00B3672F">
        <w:t>C</w:t>
      </w:r>
      <w:r w:rsidRPr="00B3672F">
        <w:rPr>
          <w:vertAlign w:val="subscript"/>
        </w:rPr>
        <w:t>max</w:t>
      </w:r>
      <w:r w:rsidR="00E61A9C">
        <w:t xml:space="preserve">) </w:t>
      </w:r>
      <w:r w:rsidRPr="00B3672F">
        <w:t xml:space="preserve">and </w:t>
      </w:r>
      <w:r w:rsidR="00E61A9C">
        <w:t>minimum plasma concentration (</w:t>
      </w:r>
      <w:proofErr w:type="spellStart"/>
      <w:r w:rsidRPr="00B3672F">
        <w:t>C</w:t>
      </w:r>
      <w:r w:rsidRPr="00B3672F">
        <w:rPr>
          <w:vertAlign w:val="subscript"/>
        </w:rPr>
        <w:t>trough</w:t>
      </w:r>
      <w:proofErr w:type="spellEnd"/>
      <w:r w:rsidR="00E61A9C">
        <w:t xml:space="preserve">) were </w:t>
      </w:r>
      <w:r w:rsidRPr="00B3672F">
        <w:t>1.13 and</w:t>
      </w:r>
      <w:r w:rsidR="00E61A9C">
        <w:t> </w:t>
      </w:r>
      <w:r w:rsidRPr="00B3672F">
        <w:t>1.08</w:t>
      </w:r>
      <w:r w:rsidR="00384CA5">
        <w:t>,</w:t>
      </w:r>
      <w:r w:rsidRPr="00B3672F">
        <w:t xml:space="preserve"> respectively).</w:t>
      </w:r>
    </w:p>
    <w:p w14:paraId="3403A8D1" w14:textId="77777777" w:rsidR="00856026" w:rsidRDefault="0036478A" w:rsidP="00384CA5">
      <w:pPr>
        <w:pStyle w:val="Heading5"/>
      </w:pPr>
      <w:bookmarkStart w:id="61" w:name="_Ref135398473"/>
      <w:r w:rsidRPr="00AA53F4">
        <w:lastRenderedPageBreak/>
        <w:t xml:space="preserve">Population </w:t>
      </w:r>
      <w:r w:rsidR="00384CA5">
        <w:t>pharmacokinetics</w:t>
      </w:r>
      <w:r w:rsidRPr="00AA53F4">
        <w:t xml:space="preserve"> data</w:t>
      </w:r>
      <w:bookmarkEnd w:id="61"/>
    </w:p>
    <w:p w14:paraId="44DD74D8" w14:textId="5132DB57" w:rsidR="0036478A" w:rsidRPr="00554F2F" w:rsidRDefault="0036478A" w:rsidP="0036478A">
      <w:r w:rsidRPr="00800AC2">
        <w:t xml:space="preserve">The extrapolation exercise to support the proposed paediatric dosing regimen relies heavily on modelling and simulation, particularly for patients with body weight </w:t>
      </w:r>
      <w:r w:rsidR="00384CA5">
        <w:t>less than</w:t>
      </w:r>
      <w:r w:rsidRPr="00800AC2">
        <w:t xml:space="preserve"> 20 kg. As this is a key question for </w:t>
      </w:r>
      <w:r w:rsidR="003601A2">
        <w:t>the Advisory Committee on Medicines (</w:t>
      </w:r>
      <w:r w:rsidRPr="00800AC2">
        <w:t>ACM</w:t>
      </w:r>
      <w:r w:rsidR="003601A2">
        <w:t xml:space="preserve">); see </w:t>
      </w:r>
      <w:r w:rsidR="003601A2">
        <w:fldChar w:fldCharType="begin"/>
      </w:r>
      <w:r w:rsidR="003601A2">
        <w:instrText xml:space="preserve"> REF _Ref135309350 \h </w:instrText>
      </w:r>
      <w:r w:rsidR="003601A2">
        <w:fldChar w:fldCharType="separate"/>
      </w:r>
      <w:r w:rsidR="003601A2" w:rsidRPr="00F73346">
        <w:t>Advisory Committee considerations</w:t>
      </w:r>
      <w:r w:rsidR="003601A2">
        <w:fldChar w:fldCharType="end"/>
      </w:r>
      <w:r w:rsidR="003601A2">
        <w:t>, below;</w:t>
      </w:r>
      <w:r w:rsidRPr="00800AC2">
        <w:t xml:space="preserve"> and a significant component of the Delegate’s considerations</w:t>
      </w:r>
      <w:r w:rsidR="003601A2">
        <w:t xml:space="preserve"> (see </w:t>
      </w:r>
      <w:r w:rsidR="003601A2">
        <w:fldChar w:fldCharType="begin"/>
      </w:r>
      <w:r w:rsidR="003601A2">
        <w:instrText xml:space="preserve"> REF _Ref135309386 \h </w:instrText>
      </w:r>
      <w:r w:rsidR="003601A2">
        <w:fldChar w:fldCharType="separate"/>
      </w:r>
      <w:r w:rsidR="003601A2">
        <w:t>Delegate’s considerations</w:t>
      </w:r>
      <w:r w:rsidR="003601A2">
        <w:fldChar w:fldCharType="end"/>
      </w:r>
      <w:r w:rsidR="003601A2">
        <w:t>)</w:t>
      </w:r>
      <w:r w:rsidRPr="00800AC2">
        <w:t xml:space="preserve">, a detailed account of this aspect of the submission is provided </w:t>
      </w:r>
      <w:r w:rsidR="003601A2">
        <w:t>here</w:t>
      </w:r>
      <w:r w:rsidRPr="00800AC2">
        <w:t>.</w:t>
      </w:r>
    </w:p>
    <w:p w14:paraId="6B78CC9F" w14:textId="6F3D0445" w:rsidR="00856026" w:rsidRDefault="00384CA5" w:rsidP="00384CA5">
      <w:pPr>
        <w:pStyle w:val="Heading6"/>
      </w:pPr>
      <w:bookmarkStart w:id="62" w:name="_Hlk101707148"/>
      <w:r w:rsidRPr="00384CA5">
        <w:t>Atypical h</w:t>
      </w:r>
      <w:r w:rsidR="00B70E76">
        <w:t>a</w:t>
      </w:r>
      <w:r w:rsidRPr="00384CA5">
        <w:t>emolytic uraemic syndrome</w:t>
      </w:r>
    </w:p>
    <w:p w14:paraId="314AA012" w14:textId="613744F4" w:rsidR="00856026" w:rsidRDefault="0036478A" w:rsidP="0036478A">
      <w:r>
        <w:t xml:space="preserve">Weight-based dosing of ravulizumab is based on </w:t>
      </w:r>
      <w:r w:rsidR="00384CA5">
        <w:t>pharmacokinetic/pharmacodynamic</w:t>
      </w:r>
      <w:r>
        <w:t xml:space="preserve"> data from earlier studies indicating </w:t>
      </w:r>
      <w:r w:rsidRPr="0088342A">
        <w:t xml:space="preserve">body weight affected ravulizumab </w:t>
      </w:r>
      <w:r w:rsidR="00384CA5">
        <w:t>pharmacokinetics</w:t>
      </w:r>
      <w:r>
        <w:t xml:space="preserve">. Previous </w:t>
      </w:r>
      <w:r w:rsidR="00384CA5" w:rsidRPr="00384CA5">
        <w:t xml:space="preserve">pharmacokinetic/pharmacodynamic </w:t>
      </w:r>
      <w:r>
        <w:t>analyse</w:t>
      </w:r>
      <w:r w:rsidRPr="0088342A">
        <w:t>s suggested that achieving ravulizumab concentrations above the target threshold (</w:t>
      </w:r>
      <w:proofErr w:type="spellStart"/>
      <w:r w:rsidRPr="0088342A">
        <w:t>C</w:t>
      </w:r>
      <w:r w:rsidRPr="0088342A">
        <w:rPr>
          <w:vertAlign w:val="subscript"/>
        </w:rPr>
        <w:t>trough</w:t>
      </w:r>
      <w:proofErr w:type="spellEnd"/>
      <w:r w:rsidRPr="0088342A">
        <w:t xml:space="preserve"> &gt; 175 </w:t>
      </w:r>
      <w:proofErr w:type="spellStart"/>
      <w:r w:rsidRPr="0088342A">
        <w:t>μg</w:t>
      </w:r>
      <w:proofErr w:type="spellEnd"/>
      <w:r w:rsidRPr="0088342A">
        <w:t xml:space="preserve">/mL) would result in near maximal </w:t>
      </w:r>
      <w:r w:rsidR="00384CA5">
        <w:t>pharm</w:t>
      </w:r>
      <w:r w:rsidR="00B9110E">
        <w:t>a</w:t>
      </w:r>
      <w:r w:rsidR="00384CA5">
        <w:t>codynamic</w:t>
      </w:r>
      <w:r w:rsidRPr="0088342A">
        <w:t xml:space="preserve"> effect</w:t>
      </w:r>
      <w:r>
        <w:t>.</w:t>
      </w:r>
    </w:p>
    <w:p w14:paraId="68388E51" w14:textId="77777777" w:rsidR="00856026" w:rsidRDefault="0036478A" w:rsidP="0036478A">
      <w:r>
        <w:t xml:space="preserve">The </w:t>
      </w:r>
      <w:r w:rsidRPr="0088342A">
        <w:t xml:space="preserve">dosing regimen used for adult patients (≥ 40 kg) with aHUS is the same dosing regimen approved for the treatment of adult patients with </w:t>
      </w:r>
      <w:r w:rsidRPr="005B2F06">
        <w:t>PNH</w:t>
      </w:r>
      <w:r>
        <w:t xml:space="preserve"> </w:t>
      </w:r>
      <w:r w:rsidRPr="00747672">
        <w:t xml:space="preserve">and is based on the same target of achieving immediate, </w:t>
      </w:r>
      <w:proofErr w:type="gramStart"/>
      <w:r w:rsidRPr="00747672">
        <w:t>complete</w:t>
      </w:r>
      <w:proofErr w:type="gramEnd"/>
      <w:r w:rsidRPr="00747672">
        <w:t xml:space="preserve"> and sustained terminal complement inhibition</w:t>
      </w:r>
      <w:r w:rsidRPr="00F0444A">
        <w:t xml:space="preserve"> </w:t>
      </w:r>
      <w:r>
        <w:t xml:space="preserve">(defined as serum free C5 concentrations &lt; 0.5 µg/mL) which is expected to </w:t>
      </w:r>
      <w:r w:rsidRPr="00326B8F">
        <w:t>result in maximal clinical benefit</w:t>
      </w:r>
      <w:r>
        <w:t>.</w:t>
      </w:r>
    </w:p>
    <w:p w14:paraId="08857D7F" w14:textId="607DAB0E" w:rsidR="003601A2" w:rsidRDefault="0036478A" w:rsidP="0036478A">
      <w:r>
        <w:t xml:space="preserve">The proposed dose regimen for paediatric patients with aHUS in </w:t>
      </w:r>
      <w:r w:rsidR="00384CA5" w:rsidRPr="00384CA5">
        <w:t>Study ALXN1210-aHUS-312</w:t>
      </w:r>
      <w:r w:rsidR="00384CA5">
        <w:t xml:space="preserve"> </w:t>
      </w:r>
      <w:r>
        <w:t>is shown</w:t>
      </w:r>
      <w:r w:rsidR="00E6771E">
        <w:t xml:space="preserve"> in </w:t>
      </w:r>
      <w:r w:rsidR="00E6771E" w:rsidRPr="00E6771E">
        <w:fldChar w:fldCharType="begin"/>
      </w:r>
      <w:r w:rsidR="00E6771E" w:rsidRPr="00E6771E">
        <w:instrText xml:space="preserve"> REF _Ref132621228 \h </w:instrText>
      </w:r>
      <w:r w:rsidR="00E6771E">
        <w:instrText xml:space="preserve"> \* MERGEFORMAT </w:instrText>
      </w:r>
      <w:r w:rsidR="00E6771E" w:rsidRPr="00E6771E">
        <w:fldChar w:fldCharType="separate"/>
      </w:r>
      <w:r w:rsidR="004C7A29">
        <w:t xml:space="preserve">Table </w:t>
      </w:r>
      <w:r w:rsidR="004C7A29">
        <w:rPr>
          <w:noProof/>
        </w:rPr>
        <w:t>7</w:t>
      </w:r>
      <w:r w:rsidR="00E6771E" w:rsidRPr="00E6771E">
        <w:fldChar w:fldCharType="end"/>
      </w:r>
      <w:r w:rsidRPr="00E6771E">
        <w:t>. For</w:t>
      </w:r>
      <w:r>
        <w:t xml:space="preserve"> children </w:t>
      </w:r>
      <w:r w:rsidR="00384CA5">
        <w:t>less than</w:t>
      </w:r>
      <w:r>
        <w:t xml:space="preserve"> 20 kg,</w:t>
      </w:r>
      <w:r w:rsidR="00384CA5">
        <w:t xml:space="preserve"> once every four weeks </w:t>
      </w:r>
      <w:r>
        <w:t>maintenance dosing was proposed, as</w:t>
      </w:r>
      <w:r w:rsidR="00384CA5">
        <w:t xml:space="preserve"> once every eight weeks</w:t>
      </w:r>
      <w:r>
        <w:t xml:space="preserve"> administration was predicted to result in peak ravulizumab concentrations exceeding those achieved in adult patients.</w:t>
      </w:r>
      <w:bookmarkEnd w:id="62"/>
    </w:p>
    <w:p w14:paraId="2035F6D9" w14:textId="72601114" w:rsidR="00E6771E" w:rsidRPr="00554F2F" w:rsidRDefault="00E6771E" w:rsidP="00E6771E">
      <w:pPr>
        <w:pStyle w:val="TableTitle"/>
      </w:pPr>
      <w:bookmarkStart w:id="63" w:name="_Ref132621228"/>
      <w:r>
        <w:t xml:space="preserve">Table </w:t>
      </w:r>
      <w:fldSimple w:instr=" SEQ Table \* ARABIC ">
        <w:r w:rsidR="004C7A29">
          <w:rPr>
            <w:noProof/>
          </w:rPr>
          <w:t>7</w:t>
        </w:r>
      </w:fldSimple>
      <w:bookmarkEnd w:id="63"/>
      <w:r>
        <w:t xml:space="preserve">: </w:t>
      </w:r>
      <w:r w:rsidRPr="00E6771E">
        <w:t>Study ALXN1210-aHUS-312</w:t>
      </w:r>
      <w:r>
        <w:t xml:space="preserve"> proposed dose regimen</w:t>
      </w:r>
    </w:p>
    <w:tbl>
      <w:tblPr>
        <w:tblStyle w:val="TGABlack2023"/>
        <w:tblW w:w="0" w:type="auto"/>
        <w:tblLook w:val="04A0" w:firstRow="1" w:lastRow="0" w:firstColumn="1" w:lastColumn="0" w:noHBand="0" w:noVBand="1"/>
      </w:tblPr>
      <w:tblGrid>
        <w:gridCol w:w="1838"/>
        <w:gridCol w:w="2126"/>
        <w:gridCol w:w="2410"/>
        <w:gridCol w:w="2642"/>
      </w:tblGrid>
      <w:tr w:rsidR="0036478A" w14:paraId="2B98B9B2" w14:textId="77777777" w:rsidTr="001C29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3131BA2F" w14:textId="77777777" w:rsidR="0036478A" w:rsidRPr="001C29B2" w:rsidRDefault="0036478A">
            <w:pPr>
              <w:jc w:val="center"/>
              <w:rPr>
                <w:b w:val="0"/>
                <w:color w:val="auto"/>
                <w:szCs w:val="22"/>
                <w:lang w:eastAsia="en-US"/>
              </w:rPr>
            </w:pPr>
            <w:r w:rsidRPr="001C29B2">
              <w:rPr>
                <w:color w:val="auto"/>
                <w:szCs w:val="22"/>
                <w:lang w:eastAsia="en-US"/>
              </w:rPr>
              <w:t>Body weight (kg)</w:t>
            </w:r>
          </w:p>
        </w:tc>
        <w:tc>
          <w:tcPr>
            <w:tcW w:w="2126" w:type="dxa"/>
            <w:shd w:val="clear" w:color="auto" w:fill="auto"/>
            <w:hideMark/>
          </w:tcPr>
          <w:p w14:paraId="5BC06F58" w14:textId="77777777" w:rsidR="0036478A" w:rsidRPr="001C29B2" w:rsidRDefault="0036478A">
            <w:pPr>
              <w:jc w:val="center"/>
              <w:cnfStyle w:val="100000000000" w:firstRow="1" w:lastRow="0" w:firstColumn="0" w:lastColumn="0" w:oddVBand="0" w:evenVBand="0" w:oddHBand="0" w:evenHBand="0" w:firstRowFirstColumn="0" w:firstRowLastColumn="0" w:lastRowFirstColumn="0" w:lastRowLastColumn="0"/>
              <w:rPr>
                <w:b w:val="0"/>
                <w:color w:val="auto"/>
                <w:szCs w:val="22"/>
                <w:lang w:eastAsia="en-US"/>
              </w:rPr>
            </w:pPr>
            <w:r w:rsidRPr="001C29B2">
              <w:rPr>
                <w:color w:val="auto"/>
                <w:szCs w:val="22"/>
                <w:lang w:eastAsia="en-US"/>
              </w:rPr>
              <w:t>Loading dose (mg)</w:t>
            </w:r>
          </w:p>
        </w:tc>
        <w:tc>
          <w:tcPr>
            <w:tcW w:w="2410" w:type="dxa"/>
            <w:shd w:val="clear" w:color="auto" w:fill="auto"/>
            <w:hideMark/>
          </w:tcPr>
          <w:p w14:paraId="007C6DBF" w14:textId="77777777" w:rsidR="0036478A" w:rsidRPr="001C29B2" w:rsidRDefault="0036478A">
            <w:pPr>
              <w:jc w:val="center"/>
              <w:cnfStyle w:val="100000000000" w:firstRow="1" w:lastRow="0" w:firstColumn="0" w:lastColumn="0" w:oddVBand="0" w:evenVBand="0" w:oddHBand="0" w:evenHBand="0" w:firstRowFirstColumn="0" w:firstRowLastColumn="0" w:lastRowFirstColumn="0" w:lastRowLastColumn="0"/>
              <w:rPr>
                <w:b w:val="0"/>
                <w:color w:val="auto"/>
                <w:szCs w:val="22"/>
                <w:lang w:eastAsia="en-US"/>
              </w:rPr>
            </w:pPr>
            <w:r w:rsidRPr="001C29B2">
              <w:rPr>
                <w:color w:val="auto"/>
                <w:szCs w:val="22"/>
                <w:lang w:eastAsia="en-US"/>
              </w:rPr>
              <w:t>Maintenance dose (mg)</w:t>
            </w:r>
          </w:p>
        </w:tc>
        <w:tc>
          <w:tcPr>
            <w:tcW w:w="2642" w:type="dxa"/>
            <w:shd w:val="clear" w:color="auto" w:fill="auto"/>
            <w:hideMark/>
          </w:tcPr>
          <w:p w14:paraId="408AE5A5" w14:textId="77777777" w:rsidR="0036478A" w:rsidRPr="001C29B2" w:rsidRDefault="0036478A">
            <w:pPr>
              <w:jc w:val="center"/>
              <w:cnfStyle w:val="100000000000" w:firstRow="1" w:lastRow="0" w:firstColumn="0" w:lastColumn="0" w:oddVBand="0" w:evenVBand="0" w:oddHBand="0" w:evenHBand="0" w:firstRowFirstColumn="0" w:firstRowLastColumn="0" w:lastRowFirstColumn="0" w:lastRowLastColumn="0"/>
              <w:rPr>
                <w:b w:val="0"/>
                <w:color w:val="auto"/>
                <w:szCs w:val="22"/>
                <w:lang w:eastAsia="en-US"/>
              </w:rPr>
            </w:pPr>
            <w:r w:rsidRPr="001C29B2">
              <w:rPr>
                <w:color w:val="auto"/>
                <w:szCs w:val="22"/>
                <w:lang w:eastAsia="en-US"/>
              </w:rPr>
              <w:t>Dosing interval</w:t>
            </w:r>
          </w:p>
        </w:tc>
      </w:tr>
      <w:tr w:rsidR="0036478A" w14:paraId="0D3F0B78" w14:textId="77777777" w:rsidTr="001C29B2">
        <w:tc>
          <w:tcPr>
            <w:cnfStyle w:val="001000000000" w:firstRow="0" w:lastRow="0" w:firstColumn="1" w:lastColumn="0" w:oddVBand="0" w:evenVBand="0" w:oddHBand="0" w:evenHBand="0" w:firstRowFirstColumn="0" w:firstRowLastColumn="0" w:lastRowFirstColumn="0" w:lastRowLastColumn="0"/>
            <w:tcW w:w="1838" w:type="dxa"/>
            <w:hideMark/>
          </w:tcPr>
          <w:p w14:paraId="1D189CEF" w14:textId="3935FC11" w:rsidR="0036478A" w:rsidRPr="001C29B2" w:rsidRDefault="0036478A" w:rsidP="00B9110E">
            <w:pPr>
              <w:pStyle w:val="TableText"/>
              <w:rPr>
                <w:lang w:eastAsia="en-US"/>
              </w:rPr>
            </w:pPr>
            <w:r w:rsidRPr="001C29B2">
              <w:rPr>
                <w:lang w:eastAsia="en-US"/>
              </w:rPr>
              <w:t xml:space="preserve">5 </w:t>
            </w:r>
            <w:r w:rsidR="00384CA5" w:rsidRPr="001C29B2">
              <w:rPr>
                <w:lang w:eastAsia="en-US"/>
              </w:rPr>
              <w:t>to</w:t>
            </w:r>
            <w:r w:rsidRPr="001C29B2">
              <w:rPr>
                <w:lang w:eastAsia="en-US"/>
              </w:rPr>
              <w:t xml:space="preserve"> &lt; 10</w:t>
            </w:r>
          </w:p>
        </w:tc>
        <w:tc>
          <w:tcPr>
            <w:tcW w:w="2126" w:type="dxa"/>
            <w:hideMark/>
          </w:tcPr>
          <w:p w14:paraId="54494A4D" w14:textId="77777777" w:rsidR="0036478A" w:rsidRPr="001C29B2" w:rsidRDefault="0036478A" w:rsidP="00B9110E">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1C29B2">
              <w:rPr>
                <w:lang w:eastAsia="en-US"/>
              </w:rPr>
              <w:t>300</w:t>
            </w:r>
          </w:p>
        </w:tc>
        <w:tc>
          <w:tcPr>
            <w:tcW w:w="2410" w:type="dxa"/>
            <w:hideMark/>
          </w:tcPr>
          <w:p w14:paraId="1AB43EC5" w14:textId="77777777" w:rsidR="0036478A" w:rsidRPr="001C29B2" w:rsidRDefault="0036478A" w:rsidP="00B9110E">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1C29B2">
              <w:rPr>
                <w:lang w:eastAsia="en-US"/>
              </w:rPr>
              <w:t>300</w:t>
            </w:r>
          </w:p>
        </w:tc>
        <w:tc>
          <w:tcPr>
            <w:tcW w:w="2642" w:type="dxa"/>
            <w:hideMark/>
          </w:tcPr>
          <w:p w14:paraId="0FD8DA65" w14:textId="079DBBAA" w:rsidR="0036478A" w:rsidRPr="001C29B2" w:rsidRDefault="00384CA5" w:rsidP="00B9110E">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1C29B2">
              <w:rPr>
                <w:lang w:eastAsia="en-US"/>
              </w:rPr>
              <w:t>Once every four weeks</w:t>
            </w:r>
          </w:p>
        </w:tc>
      </w:tr>
      <w:tr w:rsidR="0036478A" w14:paraId="548398B2" w14:textId="77777777" w:rsidTr="001C29B2">
        <w:tc>
          <w:tcPr>
            <w:cnfStyle w:val="001000000000" w:firstRow="0" w:lastRow="0" w:firstColumn="1" w:lastColumn="0" w:oddVBand="0" w:evenVBand="0" w:oddHBand="0" w:evenHBand="0" w:firstRowFirstColumn="0" w:firstRowLastColumn="0" w:lastRowFirstColumn="0" w:lastRowLastColumn="0"/>
            <w:tcW w:w="1838" w:type="dxa"/>
            <w:hideMark/>
          </w:tcPr>
          <w:p w14:paraId="46A7A59A" w14:textId="48672CFF" w:rsidR="0036478A" w:rsidRPr="001C29B2" w:rsidRDefault="0036478A" w:rsidP="00B9110E">
            <w:pPr>
              <w:pStyle w:val="TableText"/>
              <w:rPr>
                <w:lang w:eastAsia="en-US"/>
              </w:rPr>
            </w:pPr>
            <w:r w:rsidRPr="001C29B2">
              <w:rPr>
                <w:lang w:eastAsia="en-US"/>
              </w:rPr>
              <w:t xml:space="preserve">10 </w:t>
            </w:r>
            <w:r w:rsidR="00384CA5" w:rsidRPr="001C29B2">
              <w:rPr>
                <w:lang w:eastAsia="en-US"/>
              </w:rPr>
              <w:t xml:space="preserve">to </w:t>
            </w:r>
            <w:r w:rsidRPr="001C29B2">
              <w:rPr>
                <w:lang w:eastAsia="en-US"/>
              </w:rPr>
              <w:t>&lt; 20</w:t>
            </w:r>
          </w:p>
        </w:tc>
        <w:tc>
          <w:tcPr>
            <w:tcW w:w="2126" w:type="dxa"/>
            <w:hideMark/>
          </w:tcPr>
          <w:p w14:paraId="2888E8D4" w14:textId="77777777" w:rsidR="0036478A" w:rsidRPr="001C29B2" w:rsidRDefault="0036478A" w:rsidP="00B9110E">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1C29B2">
              <w:rPr>
                <w:lang w:eastAsia="en-US"/>
              </w:rPr>
              <w:t>600</w:t>
            </w:r>
          </w:p>
        </w:tc>
        <w:tc>
          <w:tcPr>
            <w:tcW w:w="2410" w:type="dxa"/>
            <w:hideMark/>
          </w:tcPr>
          <w:p w14:paraId="2758C55D" w14:textId="77777777" w:rsidR="0036478A" w:rsidRPr="001C29B2" w:rsidRDefault="0036478A" w:rsidP="00B9110E">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1C29B2">
              <w:rPr>
                <w:lang w:eastAsia="en-US"/>
              </w:rPr>
              <w:t>600</w:t>
            </w:r>
          </w:p>
        </w:tc>
        <w:tc>
          <w:tcPr>
            <w:tcW w:w="2642" w:type="dxa"/>
            <w:hideMark/>
          </w:tcPr>
          <w:p w14:paraId="13984B0B" w14:textId="3A47C63B" w:rsidR="0036478A" w:rsidRPr="001C29B2" w:rsidRDefault="00384CA5" w:rsidP="00B9110E">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1C29B2">
              <w:rPr>
                <w:lang w:eastAsia="en-US"/>
              </w:rPr>
              <w:t>Once every four weeks</w:t>
            </w:r>
          </w:p>
        </w:tc>
      </w:tr>
      <w:tr w:rsidR="0036478A" w14:paraId="7399C1BE" w14:textId="77777777" w:rsidTr="001C29B2">
        <w:tc>
          <w:tcPr>
            <w:cnfStyle w:val="001000000000" w:firstRow="0" w:lastRow="0" w:firstColumn="1" w:lastColumn="0" w:oddVBand="0" w:evenVBand="0" w:oddHBand="0" w:evenHBand="0" w:firstRowFirstColumn="0" w:firstRowLastColumn="0" w:lastRowFirstColumn="0" w:lastRowLastColumn="0"/>
            <w:tcW w:w="1838" w:type="dxa"/>
            <w:hideMark/>
          </w:tcPr>
          <w:p w14:paraId="5785CB3D" w14:textId="23D73F46" w:rsidR="0036478A" w:rsidRPr="001C29B2" w:rsidRDefault="0036478A" w:rsidP="00B9110E">
            <w:pPr>
              <w:pStyle w:val="TableText"/>
              <w:rPr>
                <w:lang w:eastAsia="en-US"/>
              </w:rPr>
            </w:pPr>
            <w:r w:rsidRPr="001C29B2">
              <w:rPr>
                <w:lang w:eastAsia="en-US"/>
              </w:rPr>
              <w:t xml:space="preserve">20 </w:t>
            </w:r>
            <w:r w:rsidR="00384CA5" w:rsidRPr="001C29B2">
              <w:rPr>
                <w:lang w:eastAsia="en-US"/>
              </w:rPr>
              <w:t>to</w:t>
            </w:r>
            <w:r w:rsidRPr="001C29B2">
              <w:rPr>
                <w:lang w:eastAsia="en-US"/>
              </w:rPr>
              <w:t xml:space="preserve"> &lt; 30</w:t>
            </w:r>
          </w:p>
        </w:tc>
        <w:tc>
          <w:tcPr>
            <w:tcW w:w="2126" w:type="dxa"/>
            <w:hideMark/>
          </w:tcPr>
          <w:p w14:paraId="42D2D68D" w14:textId="77777777" w:rsidR="0036478A" w:rsidRPr="001C29B2" w:rsidRDefault="0036478A" w:rsidP="00B9110E">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1C29B2">
              <w:rPr>
                <w:lang w:eastAsia="en-US"/>
              </w:rPr>
              <w:t>900</w:t>
            </w:r>
          </w:p>
        </w:tc>
        <w:tc>
          <w:tcPr>
            <w:tcW w:w="2410" w:type="dxa"/>
            <w:hideMark/>
          </w:tcPr>
          <w:p w14:paraId="2D7DAE93" w14:textId="77777777" w:rsidR="0036478A" w:rsidRPr="001C29B2" w:rsidRDefault="0036478A" w:rsidP="00B9110E">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1C29B2">
              <w:rPr>
                <w:lang w:eastAsia="en-US"/>
              </w:rPr>
              <w:t>2100</w:t>
            </w:r>
          </w:p>
        </w:tc>
        <w:tc>
          <w:tcPr>
            <w:tcW w:w="2642" w:type="dxa"/>
            <w:hideMark/>
          </w:tcPr>
          <w:p w14:paraId="499EFE97" w14:textId="2556E630" w:rsidR="0036478A" w:rsidRPr="001C29B2" w:rsidRDefault="00384CA5" w:rsidP="00B9110E">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1C29B2">
              <w:rPr>
                <w:lang w:eastAsia="en-US"/>
              </w:rPr>
              <w:t>Once every eight weeks</w:t>
            </w:r>
          </w:p>
        </w:tc>
      </w:tr>
      <w:tr w:rsidR="0036478A" w14:paraId="5B102460" w14:textId="77777777" w:rsidTr="001C29B2">
        <w:tc>
          <w:tcPr>
            <w:cnfStyle w:val="001000000000" w:firstRow="0" w:lastRow="0" w:firstColumn="1" w:lastColumn="0" w:oddVBand="0" w:evenVBand="0" w:oddHBand="0" w:evenHBand="0" w:firstRowFirstColumn="0" w:firstRowLastColumn="0" w:lastRowFirstColumn="0" w:lastRowLastColumn="0"/>
            <w:tcW w:w="1838" w:type="dxa"/>
            <w:hideMark/>
          </w:tcPr>
          <w:p w14:paraId="6CAA7C86" w14:textId="535D9698" w:rsidR="0036478A" w:rsidRPr="001C29B2" w:rsidRDefault="0036478A" w:rsidP="00B9110E">
            <w:pPr>
              <w:pStyle w:val="TableText"/>
              <w:rPr>
                <w:lang w:eastAsia="en-US"/>
              </w:rPr>
            </w:pPr>
            <w:r w:rsidRPr="001C29B2">
              <w:rPr>
                <w:lang w:eastAsia="en-US"/>
              </w:rPr>
              <w:t xml:space="preserve">30 </w:t>
            </w:r>
            <w:r w:rsidR="00384CA5" w:rsidRPr="001C29B2">
              <w:rPr>
                <w:lang w:eastAsia="en-US"/>
              </w:rPr>
              <w:t>to</w:t>
            </w:r>
            <w:r w:rsidRPr="001C29B2">
              <w:rPr>
                <w:lang w:eastAsia="en-US"/>
              </w:rPr>
              <w:t xml:space="preserve"> &lt; 40</w:t>
            </w:r>
          </w:p>
        </w:tc>
        <w:tc>
          <w:tcPr>
            <w:tcW w:w="2126" w:type="dxa"/>
            <w:hideMark/>
          </w:tcPr>
          <w:p w14:paraId="63780D19" w14:textId="77777777" w:rsidR="0036478A" w:rsidRPr="001C29B2" w:rsidRDefault="0036478A" w:rsidP="00B9110E">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1C29B2">
              <w:rPr>
                <w:lang w:eastAsia="en-US"/>
              </w:rPr>
              <w:t>1200</w:t>
            </w:r>
          </w:p>
        </w:tc>
        <w:tc>
          <w:tcPr>
            <w:tcW w:w="2410" w:type="dxa"/>
            <w:hideMark/>
          </w:tcPr>
          <w:p w14:paraId="0F9B71FE" w14:textId="77777777" w:rsidR="0036478A" w:rsidRPr="001C29B2" w:rsidRDefault="0036478A" w:rsidP="00B9110E">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1C29B2">
              <w:rPr>
                <w:lang w:eastAsia="en-US"/>
              </w:rPr>
              <w:t>2700</w:t>
            </w:r>
          </w:p>
        </w:tc>
        <w:tc>
          <w:tcPr>
            <w:tcW w:w="2642" w:type="dxa"/>
            <w:hideMark/>
          </w:tcPr>
          <w:p w14:paraId="5970E50E" w14:textId="5FE9D5C9" w:rsidR="0036478A" w:rsidRPr="001C29B2" w:rsidRDefault="00384CA5" w:rsidP="00B9110E">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1C29B2">
              <w:rPr>
                <w:lang w:eastAsia="en-US"/>
              </w:rPr>
              <w:t>Once every eight weeks</w:t>
            </w:r>
          </w:p>
        </w:tc>
      </w:tr>
    </w:tbl>
    <w:p w14:paraId="3271ACCC" w14:textId="32CD16F3" w:rsidR="00856026" w:rsidRDefault="0036478A" w:rsidP="0036478A">
      <w:bookmarkStart w:id="64" w:name="_Hlk101707181"/>
      <w:r w:rsidRPr="00800AC2">
        <w:t xml:space="preserve">In </w:t>
      </w:r>
      <w:r w:rsidR="00384CA5" w:rsidRPr="00384CA5">
        <w:t>Study ALXN1210-aHUS-312</w:t>
      </w:r>
      <w:r w:rsidRPr="00800AC2">
        <w:t xml:space="preserve">, a pre-specified initial </w:t>
      </w:r>
      <w:r w:rsidR="00384CA5" w:rsidRPr="00384CA5">
        <w:t xml:space="preserve">pharmacokinetic/pharmacodynamic </w:t>
      </w:r>
      <w:r w:rsidRPr="00800AC2">
        <w:t xml:space="preserve">analysis of ravulizumab </w:t>
      </w:r>
      <w:r w:rsidR="00384CA5">
        <w:t>pharmacokinetics</w:t>
      </w:r>
      <w:r w:rsidRPr="00800AC2">
        <w:t xml:space="preserve"> and free C5 levels was initiated after </w:t>
      </w:r>
      <w:r w:rsidR="00384CA5">
        <w:t xml:space="preserve">four </w:t>
      </w:r>
      <w:r w:rsidRPr="00800AC2">
        <w:t xml:space="preserve">patients weighing 5 </w:t>
      </w:r>
      <w:r w:rsidR="00384CA5">
        <w:t>to</w:t>
      </w:r>
      <w:r w:rsidRPr="00800AC2">
        <w:t xml:space="preserve"> </w:t>
      </w:r>
      <w:r w:rsidR="001C29B2">
        <w:t>&lt;</w:t>
      </w:r>
      <w:r w:rsidRPr="00800AC2">
        <w:t xml:space="preserve"> 40 kg completed dosing through Day 71 to evaluate the adequacy of the paediatric dosing regimen</w:t>
      </w:r>
    </w:p>
    <w:p w14:paraId="370C3004" w14:textId="7F5F4C94" w:rsidR="0036478A" w:rsidRPr="00800AC2" w:rsidRDefault="0036478A" w:rsidP="00384CA5">
      <w:r w:rsidRPr="00800AC2">
        <w:t xml:space="preserve">Based on this analysis, </w:t>
      </w:r>
      <w:bookmarkStart w:id="65" w:name="_Hlk101718405"/>
      <w:r w:rsidRPr="00800AC2">
        <w:t xml:space="preserve">a dose adjustment was recommended for paediatric patients in the 5 </w:t>
      </w:r>
      <w:r w:rsidR="00384CA5">
        <w:t>to</w:t>
      </w:r>
      <w:r w:rsidRPr="00800AC2">
        <w:t xml:space="preserve"> </w:t>
      </w:r>
      <w:r w:rsidR="001C29B2">
        <w:t>&lt;</w:t>
      </w:r>
      <w:r w:rsidR="00384CA5">
        <w:t> </w:t>
      </w:r>
      <w:r w:rsidRPr="00800AC2">
        <w:t xml:space="preserve">10 kg group to increase the loading dose from 300 mg to 600 mg (or </w:t>
      </w:r>
      <w:r w:rsidR="00384CA5">
        <w:t xml:space="preserve">two </w:t>
      </w:r>
      <w:r w:rsidRPr="00800AC2">
        <w:t xml:space="preserve">300 mg doses) </w:t>
      </w:r>
      <w:bookmarkStart w:id="66" w:name="_Hlk101718428"/>
      <w:bookmarkEnd w:id="65"/>
      <w:r w:rsidRPr="00800AC2">
        <w:t>followed by 300 mg maintenance dosing</w:t>
      </w:r>
      <w:r w:rsidR="00384CA5">
        <w:t xml:space="preserve"> once every four weeks</w:t>
      </w:r>
      <w:r w:rsidRPr="00800AC2">
        <w:t xml:space="preserve"> thereafter (unchanged) </w:t>
      </w:r>
      <w:bookmarkEnd w:id="66"/>
      <w:r w:rsidRPr="00800AC2">
        <w:t xml:space="preserve">to maintain exposures above the threshold concentration needed to maintain complete and sustained inhibition of free C5. The dosing regimen </w:t>
      </w:r>
      <w:proofErr w:type="gramStart"/>
      <w:r w:rsidRPr="00800AC2">
        <w:t>was considered to be</w:t>
      </w:r>
      <w:proofErr w:type="gramEnd"/>
      <w:r w:rsidRPr="00800AC2">
        <w:t xml:space="preserve"> adequate in patients weighing 10 </w:t>
      </w:r>
      <w:r w:rsidR="00384CA5">
        <w:t>to</w:t>
      </w:r>
      <w:r w:rsidRPr="00800AC2">
        <w:t xml:space="preserve"> </w:t>
      </w:r>
      <w:r w:rsidR="001C29B2">
        <w:t>&lt;</w:t>
      </w:r>
      <w:r w:rsidR="00856026">
        <w:t xml:space="preserve"> </w:t>
      </w:r>
      <w:r w:rsidRPr="00800AC2">
        <w:t>40 kg.</w:t>
      </w:r>
    </w:p>
    <w:p w14:paraId="699ADAC0" w14:textId="41F79C66" w:rsidR="0036478A" w:rsidRPr="00800AC2" w:rsidRDefault="0036478A" w:rsidP="00384CA5">
      <w:r w:rsidRPr="00800AC2">
        <w:t xml:space="preserve">The </w:t>
      </w:r>
      <w:r w:rsidR="00384CA5" w:rsidRPr="00384CA5">
        <w:t>Study ALXN1210-aHUS-312</w:t>
      </w:r>
      <w:r w:rsidR="00384CA5">
        <w:t xml:space="preserve"> </w:t>
      </w:r>
      <w:r w:rsidRPr="00800AC2">
        <w:t xml:space="preserve">protocol was amended to reflect the increased loading dose for the 5 </w:t>
      </w:r>
      <w:r w:rsidR="00384CA5">
        <w:t>to</w:t>
      </w:r>
      <w:r w:rsidRPr="00800AC2">
        <w:t xml:space="preserve"> </w:t>
      </w:r>
      <w:r w:rsidR="001C29B2">
        <w:t>&lt;</w:t>
      </w:r>
      <w:r w:rsidRPr="00800AC2">
        <w:t xml:space="preserve"> 10 kg group (Protocol Amendment 5).</w:t>
      </w:r>
    </w:p>
    <w:bookmarkEnd w:id="64"/>
    <w:p w14:paraId="55809FDE" w14:textId="6BC22BD9" w:rsidR="00A3792D" w:rsidRDefault="0036478A" w:rsidP="0036478A">
      <w:r w:rsidRPr="00800AC2">
        <w:t>A pop</w:t>
      </w:r>
      <w:r w:rsidR="00384CA5">
        <w:t>ulation pharmacokinetics</w:t>
      </w:r>
      <w:r w:rsidRPr="00800AC2">
        <w:t xml:space="preserve"> and </w:t>
      </w:r>
      <w:r w:rsidR="00384CA5">
        <w:t>pharmacodynamic</w:t>
      </w:r>
      <w:r w:rsidRPr="00800AC2">
        <w:t xml:space="preserve"> analysis was performed to support dosing of ravulizumab in patients with aHUS</w:t>
      </w:r>
      <w:r w:rsidR="00384CA5">
        <w:t>.</w:t>
      </w:r>
    </w:p>
    <w:p w14:paraId="0AD93A3B" w14:textId="2931C3EB" w:rsidR="0036478A" w:rsidRPr="00800AC2" w:rsidRDefault="0036478A" w:rsidP="00384CA5">
      <w:bookmarkStart w:id="67" w:name="_Hlk101709884"/>
      <w:r w:rsidRPr="00800AC2">
        <w:lastRenderedPageBreak/>
        <w:t xml:space="preserve">The </w:t>
      </w:r>
      <w:r w:rsidR="00384CA5">
        <w:t xml:space="preserve">pharmacokinetic </w:t>
      </w:r>
      <w:r w:rsidRPr="00800AC2">
        <w:t xml:space="preserve">population included 69 complement-inhibitor treatment </w:t>
      </w:r>
      <w:r w:rsidR="00446075">
        <w:t>naive</w:t>
      </w:r>
      <w:r w:rsidRPr="00800AC2">
        <w:t xml:space="preserve"> aHUS patients; 55 adults from </w:t>
      </w:r>
      <w:r w:rsidR="00384CA5" w:rsidRPr="00384CA5">
        <w:t xml:space="preserve">Study ALXN1210-aHUS-311 </w:t>
      </w:r>
      <w:r w:rsidRPr="00800AC2">
        <w:t xml:space="preserve">and 14 paediatric patients from </w:t>
      </w:r>
      <w:bookmarkStart w:id="68" w:name="_Hlk101709915"/>
      <w:bookmarkEnd w:id="67"/>
      <w:r w:rsidR="00384CA5" w:rsidRPr="00384CA5">
        <w:t xml:space="preserve">Study ALXN1210-aHUS-312 </w:t>
      </w:r>
      <w:r w:rsidRPr="00800AC2">
        <w:t xml:space="preserve">(including </w:t>
      </w:r>
      <w:r w:rsidR="00384CA5">
        <w:t>two</w:t>
      </w:r>
      <w:r w:rsidRPr="00800AC2">
        <w:t xml:space="preserve"> patients in the 5</w:t>
      </w:r>
      <w:r w:rsidR="00384CA5">
        <w:t xml:space="preserve"> to</w:t>
      </w:r>
      <w:r w:rsidRPr="00800AC2">
        <w:t xml:space="preserve"> </w:t>
      </w:r>
      <w:r w:rsidR="001C29B2">
        <w:t>&lt;</w:t>
      </w:r>
      <w:r w:rsidRPr="00800AC2">
        <w:t xml:space="preserve"> 10 kg body weight group, </w:t>
      </w:r>
      <w:r w:rsidR="00384CA5">
        <w:t>once</w:t>
      </w:r>
      <w:r w:rsidRPr="00800AC2">
        <w:t xml:space="preserve"> of whom received 300 mg loading dose </w:t>
      </w:r>
      <w:r w:rsidR="00FD0821">
        <w:t>at Baseline</w:t>
      </w:r>
      <w:r w:rsidRPr="00800AC2">
        <w:t xml:space="preserve"> and discontinued on Day 21</w:t>
      </w:r>
      <w:bookmarkEnd w:id="68"/>
      <w:r w:rsidRPr="00800AC2">
        <w:t>)</w:t>
      </w:r>
      <w:r>
        <w:t>.</w:t>
      </w:r>
    </w:p>
    <w:p w14:paraId="4A9B8D06" w14:textId="41264ABC" w:rsidR="0036478A" w:rsidRDefault="0036478A" w:rsidP="00384CA5">
      <w:bookmarkStart w:id="69" w:name="_Hlk101709937"/>
      <w:r w:rsidRPr="00800AC2">
        <w:t xml:space="preserve">The final </w:t>
      </w:r>
      <w:r w:rsidR="00384CA5">
        <w:t>population pharmacokinetic</w:t>
      </w:r>
      <w:r w:rsidRPr="00800AC2">
        <w:t xml:space="preserve"> model was </w:t>
      </w:r>
      <w:bookmarkEnd w:id="69"/>
      <w:r w:rsidRPr="00800AC2">
        <w:t xml:space="preserve">a linear </w:t>
      </w:r>
      <w:r w:rsidR="00384CA5">
        <w:t>two</w:t>
      </w:r>
      <w:r w:rsidRPr="00800AC2">
        <w:t>-compartment model including allometrically scaled time-varying body weight, central clearance adjustment for transfusion and effect of time-varying</w:t>
      </w:r>
      <w:r w:rsidR="00384CA5">
        <w:t xml:space="preserve"> body mass index</w:t>
      </w:r>
      <w:r w:rsidRPr="00800AC2">
        <w:t xml:space="preserve"> on volume parameters.</w:t>
      </w:r>
    </w:p>
    <w:p w14:paraId="0AD90C72" w14:textId="3E0C9961" w:rsidR="0036478A" w:rsidRPr="00800AC2" w:rsidRDefault="0036478A" w:rsidP="00384CA5">
      <w:pPr>
        <w:rPr>
          <w:strike/>
        </w:rPr>
      </w:pPr>
      <w:bookmarkStart w:id="70" w:name="_Hlk101710143"/>
      <w:r w:rsidRPr="00800AC2">
        <w:t xml:space="preserve">A prediction-corrected visual predictive check </w:t>
      </w:r>
      <w:r w:rsidR="00B70E76">
        <w:t>(</w:t>
      </w:r>
      <w:proofErr w:type="spellStart"/>
      <w:r w:rsidR="00B70E76">
        <w:t>pcVPC</w:t>
      </w:r>
      <w:proofErr w:type="spellEnd"/>
      <w:r w:rsidR="00B70E76">
        <w:t xml:space="preserve">) </w:t>
      </w:r>
      <w:r w:rsidRPr="00800AC2">
        <w:t xml:space="preserve">was used to assess the model performance for describing </w:t>
      </w:r>
      <w:r w:rsidR="00384CA5">
        <w:t>pharmacokinetics</w:t>
      </w:r>
      <w:r w:rsidRPr="00800AC2">
        <w:t xml:space="preserve"> in adult patients in </w:t>
      </w:r>
      <w:r w:rsidR="00856026" w:rsidRPr="00856026">
        <w:t>Study ALXN1210-aHUS-311</w:t>
      </w:r>
      <w:r w:rsidRPr="00800AC2">
        <w:t xml:space="preserve">; paediatric </w:t>
      </w:r>
      <w:r w:rsidR="00B70E76" w:rsidRPr="00B70E76">
        <w:t>prediction-corrected visual predictive check</w:t>
      </w:r>
      <w:r w:rsidR="00B70E76">
        <w:t>s</w:t>
      </w:r>
      <w:r w:rsidR="00B70E76" w:rsidRPr="00B70E76">
        <w:t xml:space="preserve"> </w:t>
      </w:r>
      <w:r w:rsidRPr="00800AC2">
        <w:t>were not generated due to the small number of paediatric patients.</w:t>
      </w:r>
      <w:bookmarkEnd w:id="70"/>
    </w:p>
    <w:p w14:paraId="42C278BD" w14:textId="271575D1" w:rsidR="00856026" w:rsidRDefault="0036478A" w:rsidP="00856026">
      <w:bookmarkStart w:id="71" w:name="_Hlk101709979"/>
      <w:r w:rsidRPr="00800AC2">
        <w:t xml:space="preserve">The EMA stated the following regarding the </w:t>
      </w:r>
      <w:r w:rsidR="00FE589C">
        <w:t>pharmacokinetic/pharmacodynamic</w:t>
      </w:r>
      <w:r w:rsidRPr="00800AC2">
        <w:t xml:space="preserve"> model in the EPAR</w:t>
      </w:r>
      <w:r w:rsidR="003601A2">
        <w:t xml:space="preserve"> for Ultomiris:</w:t>
      </w:r>
      <w:r w:rsidR="00856026">
        <w:rPr>
          <w:rStyle w:val="FootnoteReference"/>
        </w:rPr>
        <w:footnoteReference w:id="14"/>
      </w:r>
    </w:p>
    <w:p w14:paraId="5D4D1B48" w14:textId="4DFECB1A" w:rsidR="00A3792D" w:rsidRDefault="00856026" w:rsidP="00856026">
      <w:pPr>
        <w:ind w:left="720"/>
      </w:pPr>
      <w:r>
        <w:t>‘</w:t>
      </w:r>
      <w:r w:rsidR="0036478A" w:rsidRPr="00800AC2">
        <w:t xml:space="preserve">A </w:t>
      </w:r>
      <w:proofErr w:type="spellStart"/>
      <w:r w:rsidR="0036478A" w:rsidRPr="00800AC2">
        <w:t>pcVPC</w:t>
      </w:r>
      <w:proofErr w:type="spellEnd"/>
      <w:r w:rsidR="0036478A" w:rsidRPr="00800AC2">
        <w:t xml:space="preserve"> showed the ability of the model to capture the mean and the dispersion of the data during 26 weeks of treatment in the adult population.</w:t>
      </w:r>
      <w:r>
        <w:t>’</w:t>
      </w:r>
    </w:p>
    <w:p w14:paraId="48499331" w14:textId="276E9CA1" w:rsidR="0036478A" w:rsidRPr="00800AC2" w:rsidRDefault="00856026" w:rsidP="00856026">
      <w:pPr>
        <w:ind w:left="720"/>
      </w:pPr>
      <w:r>
        <w:t>‘</w:t>
      </w:r>
      <w:proofErr w:type="spellStart"/>
      <w:r w:rsidR="0036478A" w:rsidRPr="00800AC2">
        <w:t>PcVPC</w:t>
      </w:r>
      <w:proofErr w:type="spellEnd"/>
      <w:r w:rsidR="0036478A" w:rsidRPr="00800AC2">
        <w:t xml:space="preserve"> from paediatric population were provided stratified by each dosing regimen, showing that the model is slightly biased for the </w:t>
      </w:r>
      <w:r w:rsidR="00F46EEC">
        <w:t>once every four weeks</w:t>
      </w:r>
      <w:r w:rsidR="0036478A" w:rsidRPr="00800AC2">
        <w:t xml:space="preserve"> schedule (for paediatric patients with less than 20kg). Other covariates might be affecting the estimation of CL, but due to the low number of paediatric patients, their effect is difficult to estimate.</w:t>
      </w:r>
      <w:r>
        <w:t>’</w:t>
      </w:r>
    </w:p>
    <w:p w14:paraId="49A0A6BA" w14:textId="1908CBC0" w:rsidR="0036478A" w:rsidRPr="00800AC2" w:rsidRDefault="00856026" w:rsidP="00856026">
      <w:pPr>
        <w:ind w:left="720"/>
      </w:pPr>
      <w:r>
        <w:t>‘</w:t>
      </w:r>
      <w:r w:rsidR="0036478A" w:rsidRPr="00800AC2">
        <w:t xml:space="preserve">With regard to the </w:t>
      </w:r>
      <w:r w:rsidR="00FE589C">
        <w:t>pharmacokinetic/pharmacodynamic</w:t>
      </w:r>
      <w:r w:rsidR="0036478A" w:rsidRPr="00800AC2">
        <w:t xml:space="preserve"> model, as the model under predicts the exposure in paediatric patients with body weight less than 20 kg, the proposed change to increase the loading dose (</w:t>
      </w:r>
      <w:r w:rsidR="00B8491F">
        <w:t>that is</w:t>
      </w:r>
      <w:r w:rsidR="0036478A" w:rsidRPr="00800AC2">
        <w:t xml:space="preserve"> from 300 mg to 600 mg) to reach the target concentration based on population PK model is not justified since observed concentrations are already higher than those predicted by the population PK model.</w:t>
      </w:r>
      <w:r>
        <w:t>’</w:t>
      </w:r>
    </w:p>
    <w:p w14:paraId="1CE1FD49" w14:textId="7D55AB43" w:rsidR="00856026" w:rsidRDefault="0036478A" w:rsidP="0036478A">
      <w:bookmarkStart w:id="72" w:name="_Hlk101710550"/>
      <w:bookmarkEnd w:id="71"/>
      <w:r w:rsidRPr="00800AC2">
        <w:t xml:space="preserve">The </w:t>
      </w:r>
      <w:proofErr w:type="spellStart"/>
      <w:r w:rsidR="003601A2">
        <w:t>pcVPC</w:t>
      </w:r>
      <w:proofErr w:type="spellEnd"/>
      <w:r w:rsidRPr="00800AC2">
        <w:t xml:space="preserve"> of paediatric data was provided to</w:t>
      </w:r>
      <w:r w:rsidR="00856026">
        <w:t xml:space="preserve"> the</w:t>
      </w:r>
      <w:r w:rsidRPr="00800AC2">
        <w:t xml:space="preserve"> TGA in response to additional questions from TGA. Specific </w:t>
      </w:r>
      <w:r w:rsidR="00856026">
        <w:t>p</w:t>
      </w:r>
      <w:r w:rsidRPr="00800AC2">
        <w:t xml:space="preserve">harmacometrics expert advice was sought </w:t>
      </w:r>
      <w:proofErr w:type="gramStart"/>
      <w:r w:rsidRPr="00800AC2">
        <w:t>with regard to</w:t>
      </w:r>
      <w:proofErr w:type="gramEnd"/>
      <w:r w:rsidRPr="00800AC2">
        <w:t xml:space="preserve"> the proposed dosing regimen in paediatric patients with aHUS and PNH</w:t>
      </w:r>
      <w:r w:rsidR="00E6771E" w:rsidRPr="00E6771E">
        <w:t>.</w:t>
      </w:r>
    </w:p>
    <w:p w14:paraId="3D0E85FE" w14:textId="0669115A" w:rsidR="00856026" w:rsidRDefault="0036478A" w:rsidP="0036478A">
      <w:pPr>
        <w:rPr>
          <w:bCs/>
          <w:lang w:val="en-US"/>
        </w:rPr>
      </w:pPr>
      <w:bookmarkStart w:id="73" w:name="_Hlk101730822"/>
      <w:r w:rsidRPr="00A2688D">
        <w:t xml:space="preserve">The </w:t>
      </w:r>
      <w:r w:rsidR="00856026" w:rsidRPr="00A2688D">
        <w:t>p</w:t>
      </w:r>
      <w:r w:rsidRPr="00A2688D">
        <w:t xml:space="preserve">harmacometrics </w:t>
      </w:r>
      <w:r w:rsidRPr="00A2688D">
        <w:rPr>
          <w:bCs/>
          <w:lang w:val="en-US"/>
        </w:rPr>
        <w:t>expert stated</w:t>
      </w:r>
      <w:r w:rsidR="00A2688D" w:rsidRPr="00A2688D">
        <w:rPr>
          <w:bCs/>
          <w:lang w:val="en-US"/>
        </w:rPr>
        <w:t xml:space="preserve"> the</w:t>
      </w:r>
      <w:r w:rsidR="00B70E76">
        <w:rPr>
          <w:bCs/>
          <w:lang w:val="en-US"/>
        </w:rPr>
        <w:t xml:space="preserve"> </w:t>
      </w:r>
      <w:r w:rsidR="00B70E76" w:rsidRPr="00B70E76">
        <w:rPr>
          <w:bCs/>
          <w:lang w:val="en-US"/>
        </w:rPr>
        <w:t>Study ALXN1210-</w:t>
      </w:r>
      <w:r w:rsidR="00B70E76">
        <w:rPr>
          <w:bCs/>
          <w:lang w:val="en-US"/>
        </w:rPr>
        <w:t>aHUS</w:t>
      </w:r>
      <w:r w:rsidR="00B70E76" w:rsidRPr="00B70E76">
        <w:rPr>
          <w:bCs/>
          <w:lang w:val="en-US"/>
        </w:rPr>
        <w:t>-3</w:t>
      </w:r>
      <w:r w:rsidR="00B70E76">
        <w:rPr>
          <w:bCs/>
          <w:lang w:val="en-US"/>
        </w:rPr>
        <w:t>12</w:t>
      </w:r>
      <w:r w:rsidR="00A2688D" w:rsidRPr="00A2688D">
        <w:rPr>
          <w:bCs/>
          <w:lang w:val="en-US"/>
        </w:rPr>
        <w:t xml:space="preserve"> </w:t>
      </w:r>
      <w:r w:rsidR="00A2688D">
        <w:rPr>
          <w:bCs/>
          <w:lang w:val="en-US"/>
        </w:rPr>
        <w:t>p</w:t>
      </w:r>
      <w:r w:rsidR="00A2688D" w:rsidRPr="00A2688D">
        <w:rPr>
          <w:bCs/>
          <w:lang w:val="en-US"/>
        </w:rPr>
        <w:t xml:space="preserve">rotocol-specified initial pharmacokinetic/pharmacodynamic analysis </w:t>
      </w:r>
      <w:r w:rsidRPr="00A2688D">
        <w:rPr>
          <w:lang w:val="en-US"/>
        </w:rPr>
        <w:t xml:space="preserve">did not include an adequate description of the data or the modelling methods. Further, </w:t>
      </w:r>
      <w:r w:rsidRPr="00A2688D">
        <w:rPr>
          <w:bCs/>
          <w:lang w:val="en-US"/>
        </w:rPr>
        <w:t xml:space="preserve">based on </w:t>
      </w:r>
      <w:r w:rsidR="00B70E76" w:rsidRPr="00B70E76">
        <w:rPr>
          <w:bCs/>
          <w:lang w:val="en-US"/>
        </w:rPr>
        <w:t>visual predictive check</w:t>
      </w:r>
      <w:r w:rsidR="00B70E76">
        <w:rPr>
          <w:bCs/>
          <w:lang w:val="en-US"/>
        </w:rPr>
        <w:t>s</w:t>
      </w:r>
      <w:r w:rsidRPr="00A2688D">
        <w:rPr>
          <w:bCs/>
          <w:lang w:val="en-US"/>
        </w:rPr>
        <w:t xml:space="preserve">, the population </w:t>
      </w:r>
      <w:r w:rsidR="00A2688D" w:rsidRPr="00A2688D">
        <w:rPr>
          <w:bCs/>
          <w:lang w:val="en-US"/>
        </w:rPr>
        <w:t xml:space="preserve">pharmacokinetics </w:t>
      </w:r>
      <w:r w:rsidRPr="00A2688D">
        <w:rPr>
          <w:bCs/>
          <w:lang w:val="en-US"/>
        </w:rPr>
        <w:t xml:space="preserve">model failed to adequately describe the </w:t>
      </w:r>
      <w:r w:rsidR="00A2688D" w:rsidRPr="00A2688D">
        <w:rPr>
          <w:bCs/>
          <w:lang w:val="en-US"/>
        </w:rPr>
        <w:t>pharmacokinetic</w:t>
      </w:r>
      <w:r w:rsidRPr="00A2688D">
        <w:rPr>
          <w:bCs/>
          <w:lang w:val="en-US"/>
        </w:rPr>
        <w:t xml:space="preserve"> data for the </w:t>
      </w:r>
      <w:r w:rsidR="00F46EEC" w:rsidRPr="00A2688D">
        <w:rPr>
          <w:bCs/>
          <w:lang w:val="en-US"/>
        </w:rPr>
        <w:t>once every four weeks</w:t>
      </w:r>
      <w:r w:rsidRPr="00A2688D">
        <w:rPr>
          <w:bCs/>
          <w:lang w:val="en-US"/>
        </w:rPr>
        <w:t xml:space="preserve"> regimen in children in the body weight groups </w:t>
      </w:r>
      <w:r w:rsidR="00A2688D">
        <w:rPr>
          <w:bCs/>
          <w:lang w:val="en-US"/>
        </w:rPr>
        <w:t>less than</w:t>
      </w:r>
      <w:r w:rsidRPr="00A2688D">
        <w:rPr>
          <w:bCs/>
          <w:lang w:val="en-US"/>
        </w:rPr>
        <w:t xml:space="preserve"> 20 kg (5 </w:t>
      </w:r>
      <w:r w:rsidR="00A2688D" w:rsidRPr="00A2688D">
        <w:rPr>
          <w:bCs/>
          <w:lang w:val="en-US"/>
        </w:rPr>
        <w:t>to</w:t>
      </w:r>
      <w:r w:rsidRPr="00A2688D">
        <w:rPr>
          <w:bCs/>
          <w:lang w:val="en-US"/>
        </w:rPr>
        <w:t xml:space="preserve"> &lt; 10 kg, 10</w:t>
      </w:r>
      <w:r w:rsidR="00B70E76">
        <w:rPr>
          <w:bCs/>
          <w:lang w:val="en-US"/>
        </w:rPr>
        <w:t> </w:t>
      </w:r>
      <w:r w:rsidR="00A2688D" w:rsidRPr="00A2688D">
        <w:rPr>
          <w:bCs/>
          <w:lang w:val="en-US"/>
        </w:rPr>
        <w:t>to</w:t>
      </w:r>
      <w:r w:rsidRPr="00A2688D">
        <w:rPr>
          <w:bCs/>
          <w:lang w:val="en-US"/>
        </w:rPr>
        <w:t xml:space="preserve"> &lt;</w:t>
      </w:r>
      <w:r w:rsidR="00A2688D" w:rsidRPr="00A2688D">
        <w:rPr>
          <w:bCs/>
          <w:lang w:val="en-US"/>
        </w:rPr>
        <w:t> </w:t>
      </w:r>
      <w:r w:rsidRPr="00A2688D">
        <w:rPr>
          <w:bCs/>
          <w:lang w:val="en-US"/>
        </w:rPr>
        <w:t>20 kg).</w:t>
      </w:r>
    </w:p>
    <w:bookmarkEnd w:id="72"/>
    <w:bookmarkEnd w:id="73"/>
    <w:p w14:paraId="6A9EB956" w14:textId="1DCCA18E" w:rsidR="0036478A" w:rsidRPr="00800AC2" w:rsidRDefault="0036478A" w:rsidP="00856026">
      <w:pPr>
        <w:pStyle w:val="Heading6"/>
      </w:pPr>
      <w:r w:rsidRPr="00800AC2">
        <w:t xml:space="preserve">Paediatric </w:t>
      </w:r>
      <w:r w:rsidR="00E87C03">
        <w:t xml:space="preserve">patients with </w:t>
      </w:r>
      <w:r w:rsidR="00A2688D">
        <w:t>p</w:t>
      </w:r>
      <w:r w:rsidR="00A2688D" w:rsidRPr="00A2688D">
        <w:t>aroxysmal nocturnal haemoglobinuria</w:t>
      </w:r>
    </w:p>
    <w:p w14:paraId="6B5A21F1" w14:textId="132393CB" w:rsidR="00856026" w:rsidRDefault="00856026" w:rsidP="0036478A">
      <w:bookmarkStart w:id="74" w:name="_Hlk100655789"/>
      <w:bookmarkStart w:id="75" w:name="_Hlk100652831"/>
      <w:r w:rsidRPr="00856026">
        <w:t>Study ALXN1210-PNH-304</w:t>
      </w:r>
      <w:r>
        <w:t xml:space="preserve"> </w:t>
      </w:r>
      <w:r w:rsidR="0036478A" w:rsidRPr="00800AC2">
        <w:t>included paediatric PNH patients aged 9</w:t>
      </w:r>
      <w:r>
        <w:t xml:space="preserve"> to </w:t>
      </w:r>
      <w:r w:rsidR="0036478A" w:rsidRPr="00800AC2">
        <w:t>17 years with body weight 30 kg</w:t>
      </w:r>
      <w:bookmarkEnd w:id="74"/>
      <w:r>
        <w:t xml:space="preserve"> or more.</w:t>
      </w:r>
      <w:r w:rsidR="0036478A" w:rsidRPr="00800AC2">
        <w:rPr>
          <w:rFonts w:asciiTheme="minorHAnsi" w:hAnsiTheme="minorHAnsi"/>
        </w:rPr>
        <w:t xml:space="preserve"> </w:t>
      </w:r>
      <w:r w:rsidR="0036478A" w:rsidRPr="00800AC2">
        <w:t xml:space="preserve">The </w:t>
      </w:r>
      <w:r>
        <w:t>s</w:t>
      </w:r>
      <w:r w:rsidR="0036478A" w:rsidRPr="00800AC2">
        <w:t xml:space="preserve">ponsor proposes use of ravulizumab in paediatric PNH patients with body weight </w:t>
      </w:r>
      <w:r>
        <w:t>less than</w:t>
      </w:r>
      <w:r w:rsidR="0036478A" w:rsidRPr="00800AC2">
        <w:t xml:space="preserve"> 30 kg based on extrapolation of these data to paediatric PNH patients weighing </w:t>
      </w:r>
      <w:r w:rsidR="00B8491F">
        <w:t>less than</w:t>
      </w:r>
      <w:r w:rsidR="0036478A" w:rsidRPr="00800AC2">
        <w:t xml:space="preserve"> 30 kg using supplementary data from clinical studies of ravulizumab in adult patients with PNH and in patients with aHUS to support ravulizumab dosing recommendations in young children with PNH.</w:t>
      </w:r>
    </w:p>
    <w:p w14:paraId="34BC9DFF" w14:textId="2AC8B86B" w:rsidR="0036478A" w:rsidRDefault="0036478A" w:rsidP="0036478A">
      <w:pPr>
        <w:rPr>
          <w:rFonts w:eastAsia="Times New Roman"/>
          <w:szCs w:val="24"/>
          <w:lang w:eastAsia="en-AU"/>
        </w:rPr>
      </w:pPr>
      <w:bookmarkStart w:id="76" w:name="_Hlk100655528"/>
      <w:bookmarkEnd w:id="75"/>
      <w:r>
        <w:lastRenderedPageBreak/>
        <w:t xml:space="preserve">Ravulizumab </w:t>
      </w:r>
      <w:r w:rsidR="00B8491F">
        <w:t>pharmacokinetics</w:t>
      </w:r>
      <w:r>
        <w:t xml:space="preserve"> and </w:t>
      </w:r>
      <w:r w:rsidR="00B8491F">
        <w:t>pharmacodynamics</w:t>
      </w:r>
      <w:r>
        <w:t xml:space="preserve"> were compared</w:t>
      </w:r>
      <w:r w:rsidRPr="00695807">
        <w:t xml:space="preserve"> </w:t>
      </w:r>
      <w:r w:rsidRPr="004F0B42">
        <w:t>between paediatric patients with PNH and adult patients with PNH or patients with aHUS</w:t>
      </w:r>
      <w:r>
        <w:t xml:space="preserve">. Further, </w:t>
      </w:r>
      <w:r w:rsidRPr="007309FB">
        <w:rPr>
          <w:rFonts w:eastAsia="Times New Roman"/>
          <w:szCs w:val="24"/>
          <w:lang w:eastAsia="en-AU"/>
        </w:rPr>
        <w:t xml:space="preserve">observed paediatric ravulizumab serum concentration-time profiles from </w:t>
      </w:r>
      <w:r w:rsidR="00B8491F" w:rsidRPr="00B8491F">
        <w:rPr>
          <w:rFonts w:eastAsia="Times New Roman"/>
          <w:szCs w:val="24"/>
          <w:lang w:eastAsia="en-AU"/>
        </w:rPr>
        <w:t xml:space="preserve">Study ALXN1210-PNH-304 </w:t>
      </w:r>
      <w:r w:rsidRPr="007309FB">
        <w:rPr>
          <w:rFonts w:eastAsia="Times New Roman"/>
          <w:szCs w:val="24"/>
          <w:lang w:eastAsia="en-AU"/>
        </w:rPr>
        <w:t xml:space="preserve">by age and weight group have been overlaid on simulated median ravulizumab serum concentration-time profiles </w:t>
      </w:r>
      <w:r w:rsidRPr="00D55519">
        <w:rPr>
          <w:rFonts w:eastAsia="Times New Roman"/>
          <w:szCs w:val="24"/>
          <w:lang w:eastAsia="en-AU"/>
        </w:rPr>
        <w:t>with 95% prediction intervals</w:t>
      </w:r>
      <w:r>
        <w:rPr>
          <w:rFonts w:eastAsia="Times New Roman"/>
          <w:szCs w:val="24"/>
          <w:lang w:eastAsia="en-AU"/>
        </w:rPr>
        <w:t xml:space="preserve"> </w:t>
      </w:r>
      <w:r w:rsidRPr="007309FB">
        <w:rPr>
          <w:rFonts w:eastAsia="Times New Roman"/>
          <w:szCs w:val="24"/>
          <w:lang w:eastAsia="en-AU"/>
        </w:rPr>
        <w:t xml:space="preserve">from adult patients with PNH using the </w:t>
      </w:r>
      <w:r>
        <w:rPr>
          <w:rFonts w:eastAsia="Times New Roman"/>
          <w:szCs w:val="24"/>
          <w:lang w:eastAsia="en-AU"/>
        </w:rPr>
        <w:t>Final PNH</w:t>
      </w:r>
      <w:r w:rsidRPr="007309FB">
        <w:rPr>
          <w:rFonts w:eastAsia="Times New Roman"/>
          <w:szCs w:val="24"/>
          <w:lang w:eastAsia="en-AU"/>
        </w:rPr>
        <w:t xml:space="preserve"> </w:t>
      </w:r>
      <w:r w:rsidR="00B8491F">
        <w:rPr>
          <w:rFonts w:eastAsia="Times New Roman"/>
          <w:szCs w:val="24"/>
          <w:lang w:eastAsia="en-AU"/>
        </w:rPr>
        <w:t>population pharmacokinetic</w:t>
      </w:r>
      <w:r>
        <w:rPr>
          <w:rFonts w:eastAsia="Times New Roman"/>
          <w:szCs w:val="24"/>
          <w:lang w:eastAsia="en-AU"/>
        </w:rPr>
        <w:t xml:space="preserve"> model and </w:t>
      </w:r>
      <w:r w:rsidRPr="007309FB">
        <w:rPr>
          <w:rFonts w:eastAsia="Times New Roman"/>
          <w:szCs w:val="24"/>
          <w:lang w:eastAsia="en-AU"/>
        </w:rPr>
        <w:t>from paediatric and adul</w:t>
      </w:r>
      <w:r>
        <w:rPr>
          <w:rFonts w:eastAsia="Times New Roman"/>
          <w:szCs w:val="24"/>
          <w:lang w:eastAsia="en-AU"/>
        </w:rPr>
        <w:t xml:space="preserve">t patients with aHUS using the Final aHUS </w:t>
      </w:r>
      <w:r w:rsidR="00B8491F">
        <w:rPr>
          <w:rFonts w:eastAsia="Times New Roman"/>
          <w:szCs w:val="24"/>
          <w:lang w:eastAsia="en-AU"/>
        </w:rPr>
        <w:t>population pharmacokinetics</w:t>
      </w:r>
      <w:r w:rsidRPr="007309FB">
        <w:rPr>
          <w:rFonts w:eastAsia="Times New Roman"/>
          <w:szCs w:val="24"/>
          <w:lang w:eastAsia="en-AU"/>
        </w:rPr>
        <w:t xml:space="preserve"> </w:t>
      </w:r>
      <w:r w:rsidRPr="00F55979">
        <w:rPr>
          <w:rFonts w:eastAsia="Times New Roman"/>
          <w:szCs w:val="24"/>
          <w:lang w:eastAsia="en-AU"/>
        </w:rPr>
        <w:t>model</w:t>
      </w:r>
      <w:bookmarkEnd w:id="76"/>
      <w:r w:rsidRPr="00F55979">
        <w:rPr>
          <w:rFonts w:asciiTheme="minorHAnsi" w:eastAsia="Times New Roman" w:hAnsiTheme="minorHAnsi"/>
          <w:szCs w:val="24"/>
          <w:lang w:eastAsia="en-AU"/>
        </w:rPr>
        <w:t xml:space="preserve"> </w:t>
      </w:r>
      <w:r w:rsidRPr="00F55979">
        <w:rPr>
          <w:rFonts w:eastAsia="Times New Roman"/>
          <w:szCs w:val="24"/>
          <w:lang w:eastAsia="en-AU"/>
        </w:rPr>
        <w:t xml:space="preserve">in the </w:t>
      </w:r>
      <w:r w:rsidR="00B8491F">
        <w:rPr>
          <w:rFonts w:eastAsia="Times New Roman"/>
          <w:szCs w:val="24"/>
          <w:lang w:eastAsia="en-AU"/>
        </w:rPr>
        <w:t>e</w:t>
      </w:r>
      <w:r w:rsidRPr="00F55979">
        <w:rPr>
          <w:rFonts w:eastAsia="Times New Roman"/>
          <w:szCs w:val="24"/>
          <w:lang w:eastAsia="en-AU"/>
        </w:rPr>
        <w:t xml:space="preserve">xtrapolation </w:t>
      </w:r>
      <w:r w:rsidR="00B8491F">
        <w:rPr>
          <w:rFonts w:eastAsia="Times New Roman"/>
          <w:szCs w:val="24"/>
          <w:lang w:eastAsia="en-AU"/>
        </w:rPr>
        <w:t>r</w:t>
      </w:r>
      <w:r w:rsidRPr="00F55979">
        <w:rPr>
          <w:rFonts w:eastAsia="Times New Roman"/>
          <w:szCs w:val="24"/>
          <w:lang w:eastAsia="en-AU"/>
        </w:rPr>
        <w:t xml:space="preserve">eport. The </w:t>
      </w:r>
      <w:r w:rsidR="00B8491F">
        <w:rPr>
          <w:rFonts w:eastAsia="Times New Roman"/>
          <w:szCs w:val="24"/>
          <w:lang w:eastAsia="en-AU"/>
        </w:rPr>
        <w:t>pharmacokinetic</w:t>
      </w:r>
      <w:r w:rsidRPr="00F55979">
        <w:rPr>
          <w:rFonts w:eastAsia="Times New Roman"/>
          <w:szCs w:val="24"/>
          <w:lang w:eastAsia="en-AU"/>
        </w:rPr>
        <w:t xml:space="preserve"> simulation methods and results </w:t>
      </w:r>
      <w:r w:rsidR="00B8491F">
        <w:rPr>
          <w:rFonts w:eastAsia="Times New Roman"/>
          <w:szCs w:val="24"/>
          <w:lang w:eastAsia="en-AU"/>
        </w:rPr>
        <w:t>were</w:t>
      </w:r>
      <w:r w:rsidRPr="00F55979">
        <w:rPr>
          <w:rFonts w:eastAsia="Times New Roman"/>
          <w:szCs w:val="24"/>
          <w:lang w:eastAsia="en-AU"/>
        </w:rPr>
        <w:t xml:space="preserve"> described </w:t>
      </w:r>
      <w:r w:rsidR="00A2688D">
        <w:rPr>
          <w:rFonts w:eastAsia="Times New Roman"/>
          <w:szCs w:val="24"/>
          <w:lang w:eastAsia="en-AU"/>
        </w:rPr>
        <w:t>(c</w:t>
      </w:r>
      <w:r w:rsidR="00A2688D" w:rsidRPr="00A2688D">
        <w:rPr>
          <w:rFonts w:eastAsia="Times New Roman"/>
          <w:szCs w:val="24"/>
          <w:lang w:eastAsia="en-AU"/>
        </w:rPr>
        <w:t xml:space="preserve">omparison of ravulizumab </w:t>
      </w:r>
      <w:r w:rsidR="00A2688D">
        <w:rPr>
          <w:rFonts w:eastAsia="Times New Roman"/>
          <w:szCs w:val="24"/>
          <w:lang w:eastAsia="en-AU"/>
        </w:rPr>
        <w:t>pharmacokinetic/pharmacodynamics</w:t>
      </w:r>
      <w:r w:rsidR="00A2688D" w:rsidRPr="00A2688D">
        <w:rPr>
          <w:rFonts w:eastAsia="Times New Roman"/>
          <w:szCs w:val="24"/>
          <w:lang w:eastAsia="en-AU"/>
        </w:rPr>
        <w:t xml:space="preserve"> among paediatric and adult patients with PNH and aHUS</w:t>
      </w:r>
      <w:r w:rsidR="00A2688D">
        <w:rPr>
          <w:rFonts w:eastAsia="Times New Roman"/>
          <w:szCs w:val="24"/>
          <w:lang w:eastAsia="en-AU"/>
        </w:rPr>
        <w:t>)</w:t>
      </w:r>
      <w:r w:rsidRPr="00F55979">
        <w:rPr>
          <w:rFonts w:eastAsia="Times New Roman"/>
          <w:szCs w:val="24"/>
          <w:lang w:eastAsia="en-AU"/>
        </w:rPr>
        <w:t>.</w:t>
      </w:r>
    </w:p>
    <w:p w14:paraId="65026F33" w14:textId="6A83DD8B" w:rsidR="0036478A" w:rsidRPr="00B8491F" w:rsidRDefault="0036478A" w:rsidP="00B8491F">
      <w:pPr>
        <w:pStyle w:val="Heading7"/>
      </w:pPr>
      <w:r w:rsidRPr="00B8491F">
        <w:t xml:space="preserve">Ravulizumab </w:t>
      </w:r>
      <w:r w:rsidR="00A2688D">
        <w:t>pharmacokinetic</w:t>
      </w:r>
      <w:r w:rsidRPr="00B8491F">
        <w:t xml:space="preserve"> and </w:t>
      </w:r>
      <w:r w:rsidR="00A2688D">
        <w:t>pharmacodynamic</w:t>
      </w:r>
      <w:r w:rsidRPr="00B8491F">
        <w:t xml:space="preserve"> comparison of adolescent and adult patients with </w:t>
      </w:r>
      <w:r w:rsidR="00A2688D" w:rsidRPr="00A2688D">
        <w:t>paroxysmal nocturnal haemoglobinuria patients</w:t>
      </w:r>
    </w:p>
    <w:p w14:paraId="3A551460" w14:textId="06E33A10" w:rsidR="00A2688D" w:rsidRDefault="00A2688D" w:rsidP="0036478A">
      <w:pPr>
        <w:rPr>
          <w:rFonts w:eastAsia="Times New Roman"/>
          <w:szCs w:val="24"/>
          <w:lang w:eastAsia="en-AU"/>
        </w:rPr>
      </w:pPr>
      <w:r w:rsidRPr="00A2688D">
        <w:rPr>
          <w:rFonts w:eastAsia="Times New Roman"/>
          <w:szCs w:val="24"/>
          <w:lang w:eastAsia="en-AU"/>
        </w:rPr>
        <w:t>The m</w:t>
      </w:r>
      <w:r>
        <w:rPr>
          <w:rFonts w:eastAsia="Times New Roman"/>
          <w:szCs w:val="24"/>
          <w:lang w:eastAsia="en-AU"/>
        </w:rPr>
        <w:t>ean pharmacokinetic parameters of r</w:t>
      </w:r>
      <w:r w:rsidRPr="00A2688D">
        <w:rPr>
          <w:rFonts w:eastAsia="Times New Roman"/>
          <w:szCs w:val="24"/>
          <w:lang w:eastAsia="en-AU"/>
        </w:rPr>
        <w:t xml:space="preserve">avulizumab </w:t>
      </w:r>
      <w:r>
        <w:rPr>
          <w:rFonts w:eastAsia="Times New Roman"/>
          <w:szCs w:val="24"/>
          <w:lang w:eastAsia="en-AU"/>
        </w:rPr>
        <w:t>f</w:t>
      </w:r>
      <w:r w:rsidRPr="00A2688D">
        <w:rPr>
          <w:rFonts w:eastAsia="Times New Roman"/>
          <w:szCs w:val="24"/>
          <w:lang w:eastAsia="en-AU"/>
        </w:rPr>
        <w:t xml:space="preserve">ollowing the </w:t>
      </w:r>
      <w:r>
        <w:rPr>
          <w:rFonts w:eastAsia="Times New Roman"/>
          <w:szCs w:val="24"/>
          <w:lang w:eastAsia="en-AU"/>
        </w:rPr>
        <w:t>f</w:t>
      </w:r>
      <w:r w:rsidRPr="00A2688D">
        <w:rPr>
          <w:rFonts w:eastAsia="Times New Roman"/>
          <w:szCs w:val="24"/>
          <w:lang w:eastAsia="en-AU"/>
        </w:rPr>
        <w:t xml:space="preserve">irst </w:t>
      </w:r>
      <w:r w:rsidR="001C29B2">
        <w:rPr>
          <w:rFonts w:eastAsia="Times New Roman"/>
          <w:szCs w:val="24"/>
          <w:lang w:eastAsia="en-AU"/>
        </w:rPr>
        <w:t>intravenous</w:t>
      </w:r>
      <w:r w:rsidRPr="00A2688D">
        <w:rPr>
          <w:rFonts w:eastAsia="Times New Roman"/>
          <w:szCs w:val="24"/>
          <w:lang w:eastAsia="en-AU"/>
        </w:rPr>
        <w:t xml:space="preserve"> </w:t>
      </w:r>
      <w:r>
        <w:rPr>
          <w:rFonts w:eastAsia="Times New Roman"/>
          <w:szCs w:val="24"/>
          <w:lang w:eastAsia="en-AU"/>
        </w:rPr>
        <w:t>l</w:t>
      </w:r>
      <w:r w:rsidRPr="00A2688D">
        <w:rPr>
          <w:rFonts w:eastAsia="Times New Roman"/>
          <w:szCs w:val="24"/>
          <w:lang w:eastAsia="en-AU"/>
        </w:rPr>
        <w:t xml:space="preserve">oading </w:t>
      </w:r>
      <w:r>
        <w:rPr>
          <w:rFonts w:eastAsia="Times New Roman"/>
          <w:szCs w:val="24"/>
          <w:lang w:eastAsia="en-AU"/>
        </w:rPr>
        <w:t>d</w:t>
      </w:r>
      <w:r w:rsidRPr="00A2688D">
        <w:rPr>
          <w:rFonts w:eastAsia="Times New Roman"/>
          <w:szCs w:val="24"/>
          <w:lang w:eastAsia="en-AU"/>
        </w:rPr>
        <w:t xml:space="preserve">ose and the </w:t>
      </w:r>
      <w:r>
        <w:rPr>
          <w:rFonts w:eastAsia="Times New Roman"/>
          <w:szCs w:val="24"/>
          <w:lang w:eastAsia="en-AU"/>
        </w:rPr>
        <w:t>l</w:t>
      </w:r>
      <w:r w:rsidRPr="00A2688D">
        <w:rPr>
          <w:rFonts w:eastAsia="Times New Roman"/>
          <w:szCs w:val="24"/>
          <w:lang w:eastAsia="en-AU"/>
        </w:rPr>
        <w:t xml:space="preserve">ast </w:t>
      </w:r>
      <w:r w:rsidR="001C29B2">
        <w:rPr>
          <w:rFonts w:eastAsia="Times New Roman"/>
          <w:szCs w:val="24"/>
          <w:lang w:eastAsia="en-AU"/>
        </w:rPr>
        <w:t>intravenous</w:t>
      </w:r>
      <w:r w:rsidRPr="00A2688D">
        <w:rPr>
          <w:rFonts w:eastAsia="Times New Roman"/>
          <w:szCs w:val="24"/>
          <w:lang w:eastAsia="en-AU"/>
        </w:rPr>
        <w:t xml:space="preserve"> </w:t>
      </w:r>
      <w:r>
        <w:rPr>
          <w:rFonts w:eastAsia="Times New Roman"/>
          <w:szCs w:val="24"/>
          <w:lang w:eastAsia="en-AU"/>
        </w:rPr>
        <w:t>m</w:t>
      </w:r>
      <w:r w:rsidRPr="00A2688D">
        <w:rPr>
          <w:rFonts w:eastAsia="Times New Roman"/>
          <w:szCs w:val="24"/>
          <w:lang w:eastAsia="en-AU"/>
        </w:rPr>
        <w:t xml:space="preserve">aintenance </w:t>
      </w:r>
      <w:r>
        <w:rPr>
          <w:rFonts w:eastAsia="Times New Roman"/>
          <w:szCs w:val="24"/>
          <w:lang w:eastAsia="en-AU"/>
        </w:rPr>
        <w:t>d</w:t>
      </w:r>
      <w:r w:rsidRPr="00A2688D">
        <w:rPr>
          <w:rFonts w:eastAsia="Times New Roman"/>
          <w:szCs w:val="24"/>
          <w:lang w:eastAsia="en-AU"/>
        </w:rPr>
        <w:t xml:space="preserve">ose </w:t>
      </w:r>
      <w:r>
        <w:rPr>
          <w:rFonts w:eastAsia="Times New Roman"/>
          <w:szCs w:val="24"/>
          <w:lang w:eastAsia="en-AU"/>
        </w:rPr>
        <w:t>d</w:t>
      </w:r>
      <w:r w:rsidRPr="00A2688D">
        <w:rPr>
          <w:rFonts w:eastAsia="Times New Roman"/>
          <w:szCs w:val="24"/>
          <w:lang w:eastAsia="en-AU"/>
        </w:rPr>
        <w:t xml:space="preserve">uring the </w:t>
      </w:r>
      <w:r>
        <w:rPr>
          <w:rFonts w:eastAsia="Times New Roman"/>
          <w:szCs w:val="24"/>
          <w:lang w:eastAsia="en-AU"/>
        </w:rPr>
        <w:t>p</w:t>
      </w:r>
      <w:r w:rsidRPr="00A2688D">
        <w:rPr>
          <w:rFonts w:eastAsia="Times New Roman"/>
          <w:szCs w:val="24"/>
          <w:lang w:eastAsia="en-AU"/>
        </w:rPr>
        <w:t xml:space="preserve">rimary </w:t>
      </w:r>
      <w:r>
        <w:rPr>
          <w:rFonts w:eastAsia="Times New Roman"/>
          <w:szCs w:val="24"/>
          <w:lang w:eastAsia="en-AU"/>
        </w:rPr>
        <w:t>e</w:t>
      </w:r>
      <w:r w:rsidRPr="00A2688D">
        <w:rPr>
          <w:rFonts w:eastAsia="Times New Roman"/>
          <w:szCs w:val="24"/>
          <w:lang w:eastAsia="en-AU"/>
        </w:rPr>
        <w:t xml:space="preserve">valuation </w:t>
      </w:r>
      <w:r>
        <w:rPr>
          <w:rFonts w:eastAsia="Times New Roman"/>
          <w:szCs w:val="24"/>
          <w:lang w:eastAsia="en-AU"/>
        </w:rPr>
        <w:t>p</w:t>
      </w:r>
      <w:r w:rsidRPr="00A2688D">
        <w:rPr>
          <w:rFonts w:eastAsia="Times New Roman"/>
          <w:szCs w:val="24"/>
          <w:lang w:eastAsia="en-AU"/>
        </w:rPr>
        <w:t xml:space="preserve">eriod for </w:t>
      </w:r>
      <w:r>
        <w:rPr>
          <w:rFonts w:eastAsia="Times New Roman"/>
          <w:szCs w:val="24"/>
          <w:lang w:eastAsia="en-AU"/>
        </w:rPr>
        <w:t>a</w:t>
      </w:r>
      <w:r w:rsidRPr="00A2688D">
        <w:rPr>
          <w:rFonts w:eastAsia="Times New Roman"/>
          <w:szCs w:val="24"/>
          <w:lang w:eastAsia="en-AU"/>
        </w:rPr>
        <w:t xml:space="preserve">dolescent and </w:t>
      </w:r>
      <w:r>
        <w:rPr>
          <w:rFonts w:eastAsia="Times New Roman"/>
          <w:szCs w:val="24"/>
          <w:lang w:eastAsia="en-AU"/>
        </w:rPr>
        <w:t>a</w:t>
      </w:r>
      <w:r w:rsidRPr="00A2688D">
        <w:rPr>
          <w:rFonts w:eastAsia="Times New Roman"/>
          <w:szCs w:val="24"/>
          <w:lang w:eastAsia="en-AU"/>
        </w:rPr>
        <w:t xml:space="preserve">dult </w:t>
      </w:r>
      <w:r>
        <w:rPr>
          <w:rFonts w:eastAsia="Times New Roman"/>
          <w:szCs w:val="24"/>
          <w:lang w:eastAsia="en-AU"/>
        </w:rPr>
        <w:t>p</w:t>
      </w:r>
      <w:r w:rsidRPr="00A2688D">
        <w:rPr>
          <w:rFonts w:eastAsia="Times New Roman"/>
          <w:szCs w:val="24"/>
          <w:lang w:eastAsia="en-AU"/>
        </w:rPr>
        <w:t xml:space="preserve">atients </w:t>
      </w:r>
      <w:r>
        <w:rPr>
          <w:rFonts w:eastAsia="Times New Roman"/>
          <w:szCs w:val="24"/>
          <w:lang w:eastAsia="en-AU"/>
        </w:rPr>
        <w:t>w</w:t>
      </w:r>
      <w:r w:rsidRPr="00A2688D">
        <w:rPr>
          <w:rFonts w:eastAsia="Times New Roman"/>
          <w:szCs w:val="24"/>
          <w:lang w:eastAsia="en-AU"/>
        </w:rPr>
        <w:t>ith PNH</w:t>
      </w:r>
      <w:r>
        <w:rPr>
          <w:rFonts w:eastAsia="Times New Roman"/>
          <w:szCs w:val="24"/>
          <w:lang w:eastAsia="en-AU"/>
        </w:rPr>
        <w:t xml:space="preserve"> is shown in</w:t>
      </w:r>
      <w:r w:rsidR="00690538">
        <w:rPr>
          <w:rFonts w:eastAsia="Times New Roman"/>
          <w:szCs w:val="24"/>
          <w:lang w:eastAsia="en-AU"/>
        </w:rPr>
        <w:t xml:space="preserve"> </w:t>
      </w:r>
      <w:r w:rsidR="00690538">
        <w:rPr>
          <w:rFonts w:eastAsia="Times New Roman"/>
          <w:szCs w:val="24"/>
          <w:lang w:eastAsia="en-AU"/>
        </w:rPr>
        <w:fldChar w:fldCharType="begin"/>
      </w:r>
      <w:r w:rsidR="00690538">
        <w:rPr>
          <w:rFonts w:eastAsia="Times New Roman"/>
          <w:szCs w:val="24"/>
          <w:lang w:eastAsia="en-AU"/>
        </w:rPr>
        <w:instrText xml:space="preserve"> REF _Ref132622330 \h </w:instrText>
      </w:r>
      <w:r w:rsidR="00690538">
        <w:rPr>
          <w:rFonts w:eastAsia="Times New Roman"/>
          <w:szCs w:val="24"/>
          <w:lang w:eastAsia="en-AU"/>
        </w:rPr>
      </w:r>
      <w:r w:rsidR="00690538">
        <w:rPr>
          <w:rFonts w:eastAsia="Times New Roman"/>
          <w:szCs w:val="24"/>
          <w:lang w:eastAsia="en-AU"/>
        </w:rPr>
        <w:fldChar w:fldCharType="separate"/>
      </w:r>
      <w:r w:rsidR="004C7A29">
        <w:t xml:space="preserve">Table </w:t>
      </w:r>
      <w:r w:rsidR="004C7A29">
        <w:rPr>
          <w:noProof/>
        </w:rPr>
        <w:t>8</w:t>
      </w:r>
      <w:r w:rsidR="00690538">
        <w:rPr>
          <w:rFonts w:eastAsia="Times New Roman"/>
          <w:szCs w:val="24"/>
          <w:lang w:eastAsia="en-AU"/>
        </w:rPr>
        <w:fldChar w:fldCharType="end"/>
      </w:r>
      <w:r>
        <w:rPr>
          <w:rFonts w:eastAsia="Times New Roman"/>
          <w:szCs w:val="24"/>
          <w:lang w:eastAsia="en-AU"/>
        </w:rPr>
        <w:t xml:space="preserve"> .</w:t>
      </w:r>
    </w:p>
    <w:p w14:paraId="19F65CD9" w14:textId="5A982F76" w:rsidR="00A2688D" w:rsidRPr="00F55979" w:rsidRDefault="00A2688D" w:rsidP="00690538">
      <w:pPr>
        <w:pStyle w:val="TableTitle"/>
        <w:rPr>
          <w:sz w:val="20"/>
        </w:rPr>
      </w:pPr>
      <w:bookmarkStart w:id="77" w:name="_Ref132622330"/>
      <w:r>
        <w:t xml:space="preserve">Table </w:t>
      </w:r>
      <w:fldSimple w:instr=" SEQ Table \* ARABIC ">
        <w:r w:rsidR="004C7A29">
          <w:rPr>
            <w:noProof/>
          </w:rPr>
          <w:t>8</w:t>
        </w:r>
      </w:fldSimple>
      <w:bookmarkEnd w:id="77"/>
      <w:r>
        <w:t xml:space="preserve">: </w:t>
      </w:r>
      <w:r w:rsidR="00690538">
        <w:t>M</w:t>
      </w:r>
      <w:r w:rsidRPr="00A2688D">
        <w:t xml:space="preserve">ean pharmacokinetic parameters of ravulizumab following the first </w:t>
      </w:r>
      <w:r w:rsidR="0087722B">
        <w:t>intravenous</w:t>
      </w:r>
      <w:r w:rsidRPr="00A2688D">
        <w:t xml:space="preserve"> loading dose and the last </w:t>
      </w:r>
      <w:r w:rsidR="0087722B">
        <w:t>intravenous</w:t>
      </w:r>
      <w:r w:rsidRPr="00A2688D">
        <w:t xml:space="preserve"> maintenance dose during the primary evaluation period for adolescent and adult patients with PNH</w:t>
      </w:r>
    </w:p>
    <w:p w14:paraId="737ACA70" w14:textId="42C0F2CF" w:rsidR="0036478A" w:rsidRDefault="0036478A" w:rsidP="0036478A">
      <w:pPr>
        <w:rPr>
          <w:rFonts w:eastAsia="Times New Roman"/>
          <w:szCs w:val="24"/>
          <w:lang w:eastAsia="en-AU"/>
        </w:rPr>
      </w:pPr>
      <w:r>
        <w:rPr>
          <w:noProof/>
          <w:lang w:val="en-GB" w:eastAsia="en-GB"/>
        </w:rPr>
        <w:drawing>
          <wp:inline distT="0" distB="0" distL="0" distR="0" wp14:anchorId="174BA000" wp14:editId="6069DA8C">
            <wp:extent cx="5523091" cy="2019300"/>
            <wp:effectExtent l="0" t="0" r="1905" b="0"/>
            <wp:docPr id="20" name="Picture 20" descr="This table shows Mean pharmacokinetic parameters of ravulizumab following the first intravenous loading dose and the last intravenous maintenance dose during the primary evaluation period for adolescent and adult patients with P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table shows Mean pharmacokinetic parameters of ravulizumab following the first intravenous loading dose and the last intravenous maintenance dose during the primary evaluation period for adolescent and adult patients with PNH."/>
                    <pic:cNvPicPr/>
                  </pic:nvPicPr>
                  <pic:blipFill>
                    <a:blip r:embed="rId28"/>
                    <a:stretch>
                      <a:fillRect/>
                    </a:stretch>
                  </pic:blipFill>
                  <pic:spPr>
                    <a:xfrm>
                      <a:off x="0" y="0"/>
                      <a:ext cx="5529561" cy="2021665"/>
                    </a:xfrm>
                    <a:prstGeom prst="rect">
                      <a:avLst/>
                    </a:prstGeom>
                  </pic:spPr>
                </pic:pic>
              </a:graphicData>
            </a:graphic>
          </wp:inline>
        </w:drawing>
      </w:r>
    </w:p>
    <w:p w14:paraId="38733B3E" w14:textId="3816E044" w:rsidR="00856026" w:rsidRDefault="0036478A" w:rsidP="0005096B">
      <w:pPr>
        <w:pStyle w:val="TableDescription"/>
      </w:pPr>
      <w:r w:rsidRPr="004F2FDB">
        <w:rPr>
          <w:vertAlign w:val="superscript"/>
        </w:rPr>
        <w:t>a</w:t>
      </w:r>
      <w:r w:rsidRPr="004F2FDB">
        <w:t xml:space="preserve"> Data for adolescent patients with PNH are from Study ALXN1210-PNH-304 Primary Evaluation Period. </w:t>
      </w:r>
      <w:r w:rsidRPr="004F2FDB">
        <w:rPr>
          <w:vertAlign w:val="superscript"/>
        </w:rPr>
        <w:t>b</w:t>
      </w:r>
      <w:r w:rsidRPr="004F2FDB">
        <w:t xml:space="preserve"> Data for complement inhibitor treatment-</w:t>
      </w:r>
      <w:r w:rsidR="00446075">
        <w:t>naive</w:t>
      </w:r>
      <w:r w:rsidRPr="004F2FDB">
        <w:t xml:space="preserve"> adult patients with PNH are from Study ALXN1210-PNH-301 and data for eculizumab-experienced adult patients with PNH are from Study ALXN1210-PNH-302, Primary Evaluation Periods. </w:t>
      </w:r>
      <w:r w:rsidRPr="004F2FDB">
        <w:rPr>
          <w:vertAlign w:val="superscript"/>
        </w:rPr>
        <w:t>c</w:t>
      </w:r>
      <w:r w:rsidRPr="004F2FDB">
        <w:t xml:space="preserve"> Serum ravulizumab concentrations from </w:t>
      </w:r>
      <w:r w:rsidR="002F77DE">
        <w:t xml:space="preserve">an </w:t>
      </w:r>
      <w:r w:rsidRPr="004F2FDB">
        <w:t xml:space="preserve">adolescent </w:t>
      </w:r>
      <w:r w:rsidR="00A04E5B">
        <w:t>p</w:t>
      </w:r>
      <w:r w:rsidRPr="004F2FDB">
        <w:t>atient (complement inhibitor treatment-</w:t>
      </w:r>
      <w:r w:rsidR="00446075">
        <w:t>naive</w:t>
      </w:r>
      <w:r w:rsidRPr="004F2FDB">
        <w:t xml:space="preserve">) were excluded due to administration of packed red blood cell transfusions during the study. Because n = 2, SD and %CV are not applicable. </w:t>
      </w:r>
      <w:r w:rsidRPr="004F2FDB">
        <w:rPr>
          <w:vertAlign w:val="superscript"/>
        </w:rPr>
        <w:t>d</w:t>
      </w:r>
      <w:r w:rsidRPr="004F2FDB">
        <w:t xml:space="preserve"> Data for </w:t>
      </w:r>
      <w:r w:rsidR="00A04E5B">
        <w:t>a p</w:t>
      </w:r>
      <w:r w:rsidRPr="004F2FDB">
        <w:t xml:space="preserve">atient were not included due to missing concentration records; thus, n = 96. </w:t>
      </w:r>
      <w:r w:rsidRPr="004F2FDB">
        <w:rPr>
          <w:vertAlign w:val="superscript"/>
        </w:rPr>
        <w:t>e</w:t>
      </w:r>
      <w:r w:rsidRPr="004F2FDB">
        <w:t xml:space="preserve"> Data for </w:t>
      </w:r>
      <w:r w:rsidR="002F77DE">
        <w:t>a p</w:t>
      </w:r>
      <w:r w:rsidRPr="004F2FDB">
        <w:t xml:space="preserve">atient were excluded from the summary statistics for the last MD dosing period due to missing Day 127 dosing </w:t>
      </w:r>
      <w:proofErr w:type="gramStart"/>
      <w:r w:rsidRPr="004F2FDB">
        <w:t>information;</w:t>
      </w:r>
      <w:proofErr w:type="gramEnd"/>
      <w:r w:rsidRPr="004F2FDB">
        <w:t xml:space="preserve"> thus, n = 124. </w:t>
      </w:r>
      <w:r w:rsidRPr="004F2FDB">
        <w:rPr>
          <w:vertAlign w:val="superscript"/>
        </w:rPr>
        <w:t>f</w:t>
      </w:r>
      <w:r w:rsidRPr="004F2FDB">
        <w:t xml:space="preserve"> </w:t>
      </w:r>
      <w:proofErr w:type="gramStart"/>
      <w:r w:rsidRPr="004F2FDB">
        <w:t>In</w:t>
      </w:r>
      <w:proofErr w:type="gramEnd"/>
      <w:r w:rsidRPr="004F2FDB">
        <w:t xml:space="preserve"> addition to data for </w:t>
      </w:r>
      <w:r w:rsidR="00A04E5B">
        <w:t>p</w:t>
      </w:r>
      <w:r w:rsidRPr="004F2FDB">
        <w:t xml:space="preserve">atient not included (footnote c above), data for </w:t>
      </w:r>
      <w:r w:rsidR="00A04E5B">
        <w:t>a p</w:t>
      </w:r>
      <w:r w:rsidRPr="004F2FDB">
        <w:t xml:space="preserve">atient are not included because the Day 127 end of infusion sample was missing; thus, n = 95. </w:t>
      </w:r>
      <w:r w:rsidRPr="004F2FDB">
        <w:rPr>
          <w:vertAlign w:val="superscript"/>
        </w:rPr>
        <w:t>g</w:t>
      </w:r>
      <w:r w:rsidRPr="004F2FDB">
        <w:t xml:space="preserve"> </w:t>
      </w:r>
      <w:proofErr w:type="gramStart"/>
      <w:r w:rsidRPr="004F2FDB">
        <w:t>In</w:t>
      </w:r>
      <w:proofErr w:type="gramEnd"/>
      <w:r w:rsidRPr="004F2FDB">
        <w:t xml:space="preserve"> addition to data for </w:t>
      </w:r>
      <w:r w:rsidR="00A04E5B">
        <w:t>a p</w:t>
      </w:r>
      <w:r w:rsidRPr="004F2FDB">
        <w:t xml:space="preserve">atient not included (footnote c above), data for </w:t>
      </w:r>
      <w:r w:rsidR="00A04E5B">
        <w:t>a p</w:t>
      </w:r>
      <w:r w:rsidRPr="004F2FDB">
        <w:t xml:space="preserve">atient are not included because the Day 183 </w:t>
      </w:r>
      <w:proofErr w:type="spellStart"/>
      <w:r w:rsidRPr="004F2FDB">
        <w:t>predose</w:t>
      </w:r>
      <w:proofErr w:type="spellEnd"/>
      <w:r w:rsidRPr="004F2FDB">
        <w:t xml:space="preserve"> sample was missing; thus, n = 95.</w:t>
      </w:r>
    </w:p>
    <w:p w14:paraId="3E5437C5" w14:textId="46A280B3" w:rsidR="00B9110E" w:rsidRPr="00B82827" w:rsidRDefault="0036478A">
      <w:pPr>
        <w:spacing w:before="0"/>
      </w:pPr>
      <w:r w:rsidRPr="006516CC">
        <w:t xml:space="preserve">Observed ravulizumab serum concentrations for adolescent patients with PNH are overlaid on the simulated concentration-time profile for adult patients with PNH from Phase </w:t>
      </w:r>
      <w:r w:rsidR="00B8491F">
        <w:t>III</w:t>
      </w:r>
      <w:r w:rsidRPr="006516CC">
        <w:t xml:space="preserve"> studies using the Final PNH </w:t>
      </w:r>
      <w:r w:rsidR="00B8491F">
        <w:t>population pharmacokinetics</w:t>
      </w:r>
      <w:r w:rsidRPr="006516CC">
        <w:t xml:space="preserve"> model</w:t>
      </w:r>
      <w:r>
        <w:t xml:space="preserve"> below</w:t>
      </w:r>
      <w:r w:rsidRPr="006516CC">
        <w:t>. One adolescent patien</w:t>
      </w:r>
      <w:r>
        <w:t>t received multiple p</w:t>
      </w:r>
      <w:r w:rsidR="00EB25DE">
        <w:t>acked red blood cell</w:t>
      </w:r>
      <w:r w:rsidRPr="006516CC">
        <w:t xml:space="preserve"> transfusions during the </w:t>
      </w:r>
      <w:r w:rsidR="00B8491F">
        <w:t>p</w:t>
      </w:r>
      <w:r w:rsidRPr="006516CC">
        <w:t xml:space="preserve">rimary </w:t>
      </w:r>
      <w:r w:rsidR="00B8491F">
        <w:t>e</w:t>
      </w:r>
      <w:r w:rsidRPr="006516CC">
        <w:t xml:space="preserve">valuation </w:t>
      </w:r>
      <w:r w:rsidR="00B8491F">
        <w:t>p</w:t>
      </w:r>
      <w:r w:rsidRPr="006516CC">
        <w:t xml:space="preserve">eriod (data represented as blue </w:t>
      </w:r>
      <w:r>
        <w:t>points</w:t>
      </w:r>
      <w:r w:rsidRPr="006516CC">
        <w:t xml:space="preserve"> in</w:t>
      </w:r>
      <w:r w:rsidR="00690538">
        <w:t xml:space="preserve"> </w:t>
      </w:r>
      <w:r w:rsidR="00690538">
        <w:fldChar w:fldCharType="begin"/>
      </w:r>
      <w:r w:rsidR="00690538">
        <w:instrText xml:space="preserve"> REF _Ref132622630 \h </w:instrText>
      </w:r>
      <w:r w:rsidR="00690538">
        <w:fldChar w:fldCharType="separate"/>
      </w:r>
      <w:r w:rsidR="004C7A29">
        <w:t xml:space="preserve">Figure </w:t>
      </w:r>
      <w:r w:rsidR="004C7A29">
        <w:rPr>
          <w:noProof/>
        </w:rPr>
        <w:t>1</w:t>
      </w:r>
      <w:r w:rsidR="00690538">
        <w:fldChar w:fldCharType="end"/>
      </w:r>
      <w:r w:rsidR="00B445F7">
        <w:t xml:space="preserve"> and </w:t>
      </w:r>
      <w:r w:rsidR="00B445F7">
        <w:fldChar w:fldCharType="begin"/>
      </w:r>
      <w:r w:rsidR="00B445F7">
        <w:instrText xml:space="preserve"> REF _Ref132623498 \h </w:instrText>
      </w:r>
      <w:r w:rsidR="00B445F7">
        <w:fldChar w:fldCharType="separate"/>
      </w:r>
      <w:r w:rsidR="004C7A29">
        <w:t xml:space="preserve">Figure </w:t>
      </w:r>
      <w:r w:rsidR="004C7A29">
        <w:rPr>
          <w:noProof/>
        </w:rPr>
        <w:t>3</w:t>
      </w:r>
      <w:r w:rsidR="00B445F7">
        <w:fldChar w:fldCharType="end"/>
      </w:r>
      <w:r w:rsidR="00B445F7">
        <w:t>.</w:t>
      </w:r>
      <w:r w:rsidRPr="006516CC">
        <w:t xml:space="preserve"> Transfusion was identified as significant covariate on ravulizumab </w:t>
      </w:r>
      <w:r w:rsidR="00B8491F">
        <w:t>pharmacokinetics</w:t>
      </w:r>
      <w:r w:rsidRPr="006516CC">
        <w:t xml:space="preserve"> in the pop</w:t>
      </w:r>
      <w:r w:rsidR="00B8491F">
        <w:t>ulation pharmacokinetics</w:t>
      </w:r>
      <w:r w:rsidRPr="006516CC">
        <w:t xml:space="preserve"> analysis of ravulizumab in patients with </w:t>
      </w:r>
      <w:proofErr w:type="spellStart"/>
      <w:r w:rsidRPr="006516CC">
        <w:t>aHUS</w:t>
      </w:r>
      <w:proofErr w:type="spellEnd"/>
      <w:r>
        <w:t>.</w:t>
      </w:r>
      <w:bookmarkStart w:id="78" w:name="_Ref132622630"/>
    </w:p>
    <w:p w14:paraId="4BDEB573" w14:textId="5F16CD1D" w:rsidR="00690538" w:rsidRDefault="00690538" w:rsidP="00B82827">
      <w:pPr>
        <w:pStyle w:val="TableTitle"/>
        <w:pageBreakBefore/>
      </w:pPr>
      <w:r>
        <w:lastRenderedPageBreak/>
        <w:t xml:space="preserve">Figure </w:t>
      </w:r>
      <w:fldSimple w:instr=" SEQ Figure \* ARABIC ">
        <w:r w:rsidR="004C7A29">
          <w:rPr>
            <w:noProof/>
          </w:rPr>
          <w:t>1</w:t>
        </w:r>
      </w:fldSimple>
      <w:bookmarkEnd w:id="78"/>
      <w:r w:rsidR="00B9110E">
        <w:rPr>
          <w:noProof/>
        </w:rPr>
        <w:t>:</w:t>
      </w:r>
      <w:r w:rsidRPr="00690538">
        <w:t xml:space="preserve"> Observed </w:t>
      </w:r>
      <w:r>
        <w:t>pharmacokinetic</w:t>
      </w:r>
      <w:r w:rsidRPr="00690538">
        <w:t xml:space="preserve"> </w:t>
      </w:r>
      <w:r>
        <w:t>d</w:t>
      </w:r>
      <w:r w:rsidRPr="00690538">
        <w:t xml:space="preserve">ata </w:t>
      </w:r>
      <w:r>
        <w:t>f</w:t>
      </w:r>
      <w:r w:rsidRPr="00690538">
        <w:t xml:space="preserve">rom </w:t>
      </w:r>
      <w:r>
        <w:t>a</w:t>
      </w:r>
      <w:r w:rsidRPr="00690538">
        <w:t xml:space="preserve">dolescent </w:t>
      </w:r>
      <w:r>
        <w:t>p</w:t>
      </w:r>
      <w:r w:rsidRPr="00690538">
        <w:t xml:space="preserve">atients </w:t>
      </w:r>
      <w:r>
        <w:t>w</w:t>
      </w:r>
      <w:r w:rsidRPr="00690538">
        <w:t xml:space="preserve">ith PNH </w:t>
      </w:r>
      <w:r>
        <w:t>o</w:t>
      </w:r>
      <w:r w:rsidRPr="00690538">
        <w:t xml:space="preserve">verlaid on </w:t>
      </w:r>
      <w:r>
        <w:t>s</w:t>
      </w:r>
      <w:r w:rsidRPr="00690538">
        <w:t xml:space="preserve">imulations of </w:t>
      </w:r>
      <w:r>
        <w:t>m</w:t>
      </w:r>
      <w:r w:rsidRPr="00690538">
        <w:t xml:space="preserve">edian </w:t>
      </w:r>
      <w:r>
        <w:t>s</w:t>
      </w:r>
      <w:r w:rsidRPr="00690538">
        <w:t xml:space="preserve">erum </w:t>
      </w:r>
      <w:r>
        <w:t>r</w:t>
      </w:r>
      <w:r w:rsidRPr="00690538">
        <w:t xml:space="preserve">avulizumab </w:t>
      </w:r>
      <w:r>
        <w:t>c</w:t>
      </w:r>
      <w:r w:rsidRPr="00690538">
        <w:t>oncentration-</w:t>
      </w:r>
      <w:r>
        <w:t>t</w:t>
      </w:r>
      <w:r w:rsidRPr="00690538">
        <w:t xml:space="preserve">ime </w:t>
      </w:r>
      <w:r>
        <w:t>p</w:t>
      </w:r>
      <w:r w:rsidRPr="00690538">
        <w:t xml:space="preserve">rofile (95% </w:t>
      </w:r>
      <w:r>
        <w:t>prediction interval</w:t>
      </w:r>
      <w:r w:rsidRPr="00690538">
        <w:t xml:space="preserve">) for </w:t>
      </w:r>
      <w:r>
        <w:t>a</w:t>
      </w:r>
      <w:r w:rsidRPr="00690538">
        <w:t xml:space="preserve">dult </w:t>
      </w:r>
      <w:r>
        <w:t>p</w:t>
      </w:r>
      <w:r w:rsidRPr="00690538">
        <w:t xml:space="preserve">atients </w:t>
      </w:r>
      <w:r>
        <w:t>w</w:t>
      </w:r>
      <w:r w:rsidRPr="00690538">
        <w:t xml:space="preserve">ith PNH </w:t>
      </w:r>
      <w:r>
        <w:t>f</w:t>
      </w:r>
      <w:r w:rsidRPr="00690538">
        <w:t xml:space="preserve">rom Phase III </w:t>
      </w:r>
      <w:r>
        <w:t>s</w:t>
      </w:r>
      <w:r w:rsidRPr="00690538">
        <w:t xml:space="preserve">tudies </w:t>
      </w:r>
      <w:r>
        <w:t>u</w:t>
      </w:r>
      <w:r w:rsidRPr="00690538">
        <w:t xml:space="preserve">sing the </w:t>
      </w:r>
      <w:r>
        <w:t>f</w:t>
      </w:r>
      <w:r w:rsidRPr="00690538">
        <w:t xml:space="preserve">inal PNH </w:t>
      </w:r>
      <w:r>
        <w:t>p</w:t>
      </w:r>
      <w:r w:rsidRPr="00690538">
        <w:t xml:space="preserve">opulation </w:t>
      </w:r>
      <w:r>
        <w:t>pharmacokinetic m</w:t>
      </w:r>
      <w:r w:rsidRPr="00690538">
        <w:t>odel</w:t>
      </w:r>
    </w:p>
    <w:p w14:paraId="77BCC1E4" w14:textId="30DDB78B" w:rsidR="00690538" w:rsidRDefault="00690538" w:rsidP="00B82827">
      <w:pPr>
        <w:pStyle w:val="NormalWeb"/>
      </w:pPr>
      <w:r>
        <w:rPr>
          <w:noProof/>
          <w:lang w:val="en-GB" w:eastAsia="en-GB"/>
        </w:rPr>
        <w:drawing>
          <wp:inline distT="0" distB="0" distL="0" distR="0" wp14:anchorId="44D72DD5" wp14:editId="5D9070F3">
            <wp:extent cx="5759450" cy="2964180"/>
            <wp:effectExtent l="0" t="0" r="0" b="7620"/>
            <wp:docPr id="18" name="Picture 18" descr="This figure shows observed pharmacokinetic data from adolescent patients with PNH overlaid on simulations of median serum ravulizumab concentration-time profile (95% prediction interval) for adult patients with PNH from Phase III studies using the final PNH population pharmacokinet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figure shows observed pharmacokinetic data from adolescent patients with PNH overlaid on simulations of median serum ravulizumab concentration-time profile (95% prediction interval) for adult patients with PNH from Phase III studies using the final PNH population pharmacokinetic model"/>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5759450" cy="2964180"/>
                    </a:xfrm>
                    <a:prstGeom prst="rect">
                      <a:avLst/>
                    </a:prstGeom>
                  </pic:spPr>
                </pic:pic>
              </a:graphicData>
            </a:graphic>
          </wp:inline>
        </w:drawing>
      </w:r>
    </w:p>
    <w:p w14:paraId="4D1E7191" w14:textId="2A558C07" w:rsidR="00AA678E" w:rsidRPr="00690538" w:rsidRDefault="00AA678E" w:rsidP="00690538">
      <w:pPr>
        <w:pStyle w:val="TableDescription"/>
      </w:pPr>
      <w:r w:rsidRPr="00690538">
        <w:t xml:space="preserve">Note: Data for adolescent patients from Study ALXN1210-PNH-304 Primary Evaluation Period are overlaid on </w:t>
      </w:r>
      <w:r w:rsidR="00690538">
        <w:t>pharmacokinetic</w:t>
      </w:r>
      <w:r w:rsidRPr="00690538">
        <w:t xml:space="preserve"> simulations (N = 500) of </w:t>
      </w:r>
      <w:r w:rsidR="00B8491F" w:rsidRPr="00690538">
        <w:t>Phase III</w:t>
      </w:r>
      <w:r w:rsidRPr="00690538">
        <w:t xml:space="preserve"> data from adult patients with PNH using the final PNH population PK model. The lower dashed horizontal line indicates serum concentration of 175 </w:t>
      </w:r>
      <w:proofErr w:type="spellStart"/>
      <w:r w:rsidRPr="00690538">
        <w:t>μg</w:t>
      </w:r>
      <w:proofErr w:type="spellEnd"/>
      <w:r w:rsidRPr="00690538">
        <w:t xml:space="preserve">/mL, the therapeutic PK threshold for ravulizumab, and the upper dashed horizontal line indicates the maximum serum concentration observed in the ravulizumab clinical development program. Observed adolescent ravulizumab serum concentration data from End of Infusion and Predose are displayed using triangles and circles, respectively. Black lines represent median observed data from adult patients with PNH and grey lines represent the simulated data (median and 95% </w:t>
      </w:r>
      <w:r w:rsidR="00690538">
        <w:t>prediction interval</w:t>
      </w:r>
      <w:r w:rsidRPr="00690538">
        <w:t>) for adult patients with PNH. Ravulizumab serum concentrations for</w:t>
      </w:r>
      <w:r w:rsidR="00505493">
        <w:t xml:space="preserve"> an</w:t>
      </w:r>
      <w:r w:rsidRPr="00690538">
        <w:t xml:space="preserve"> adolescent </w:t>
      </w:r>
      <w:r w:rsidR="00A04E5B">
        <w:t>p</w:t>
      </w:r>
      <w:r w:rsidRPr="00690538">
        <w:t xml:space="preserve">atient who received multiple packed red blood cell transfusions during the Primary Evaluation Period of Study ALXN1210-PNH-304 are highlighted in blue. </w:t>
      </w:r>
    </w:p>
    <w:p w14:paraId="0B6F07FE" w14:textId="6ADC38B5" w:rsidR="00AA678E" w:rsidRDefault="00AA678E" w:rsidP="00AA678E">
      <w:r w:rsidRPr="008032B3">
        <w:t>All post</w:t>
      </w:r>
      <w:r>
        <w:t>-</w:t>
      </w:r>
      <w:r w:rsidRPr="008032B3">
        <w:t xml:space="preserve">baseline individual serum free C5 concentrations were </w:t>
      </w:r>
      <w:r w:rsidR="00B8491F">
        <w:t xml:space="preserve">less than </w:t>
      </w:r>
      <w:r w:rsidRPr="008032B3">
        <w:t xml:space="preserve">0.5 </w:t>
      </w:r>
      <w:proofErr w:type="spellStart"/>
      <w:r w:rsidRPr="008032B3">
        <w:t>μg</w:t>
      </w:r>
      <w:proofErr w:type="spellEnd"/>
      <w:r w:rsidRPr="008032B3">
        <w:t>/mL in</w:t>
      </w:r>
      <w:r>
        <w:t xml:space="preserve"> adolescent and adult PNH </w:t>
      </w:r>
      <w:r w:rsidRPr="0039414C">
        <w:t>patients</w:t>
      </w:r>
      <w:r w:rsidRPr="0016103D">
        <w:t>.</w:t>
      </w:r>
    </w:p>
    <w:p w14:paraId="312EAA10" w14:textId="4E3E608B" w:rsidR="00AA678E" w:rsidRDefault="00AA678E" w:rsidP="00B8491F">
      <w:pPr>
        <w:pStyle w:val="Heading7"/>
      </w:pPr>
      <w:r w:rsidRPr="00B8491F">
        <w:lastRenderedPageBreak/>
        <w:t xml:space="preserve">Ravulizumab </w:t>
      </w:r>
      <w:r w:rsidR="001C1826">
        <w:t>pharmacokinetic</w:t>
      </w:r>
      <w:r w:rsidRPr="00B8491F">
        <w:t xml:space="preserve"> and </w:t>
      </w:r>
      <w:r w:rsidR="001C1826">
        <w:t>pharmacodynamic</w:t>
      </w:r>
      <w:r w:rsidRPr="00B8491F">
        <w:t xml:space="preserve"> comparison of children (birth </w:t>
      </w:r>
      <w:r w:rsidR="001C1826">
        <w:t>to</w:t>
      </w:r>
      <w:r w:rsidRPr="00B8491F">
        <w:t xml:space="preserve"> &lt; 12 years) and adult patients with PNH</w:t>
      </w:r>
    </w:p>
    <w:p w14:paraId="21C69E67" w14:textId="2FA28390" w:rsidR="00690538" w:rsidRPr="00690538" w:rsidRDefault="00690538" w:rsidP="00690538">
      <w:pPr>
        <w:pStyle w:val="TableTitle"/>
      </w:pPr>
      <w:r>
        <w:t xml:space="preserve">Table </w:t>
      </w:r>
      <w:fldSimple w:instr=" SEQ Table \* ARABIC ">
        <w:r w:rsidR="004C7A29">
          <w:rPr>
            <w:noProof/>
          </w:rPr>
          <w:t>9</w:t>
        </w:r>
      </w:fldSimple>
      <w:r>
        <w:t>: Pharmacokinetic parameters of ravulizumab following the first intravenous loading dose and the last intravenous maintenance dose during the Primary Evaluation Period for children and adult patients with PNH</w:t>
      </w:r>
    </w:p>
    <w:p w14:paraId="08B7BADB" w14:textId="77777777" w:rsidR="00AA678E" w:rsidRPr="00290E90" w:rsidRDefault="00AA678E" w:rsidP="00AA678E">
      <w:r>
        <w:rPr>
          <w:noProof/>
          <w:lang w:val="en-GB" w:eastAsia="en-GB"/>
        </w:rPr>
        <w:drawing>
          <wp:inline distT="0" distB="0" distL="0" distR="0" wp14:anchorId="4A86F805" wp14:editId="72340D2B">
            <wp:extent cx="5731510" cy="2388235"/>
            <wp:effectExtent l="0" t="0" r="2540" b="0"/>
            <wp:docPr id="21" name="Picture 21" descr="This table shows the Pharmacokinetic parameters of ravulizumab following the first intravenous loading dose and the last intravenous maintenance dose during the Primary Evaluation Period for children and adult patients with P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table shows the Pharmacokinetic parameters of ravulizumab following the first intravenous loading dose and the last intravenous maintenance dose during the Primary Evaluation Period for children and adult patients with PNH."/>
                    <pic:cNvPicPr/>
                  </pic:nvPicPr>
                  <pic:blipFill>
                    <a:blip r:embed="rId31"/>
                    <a:stretch>
                      <a:fillRect/>
                    </a:stretch>
                  </pic:blipFill>
                  <pic:spPr>
                    <a:xfrm>
                      <a:off x="0" y="0"/>
                      <a:ext cx="5731510" cy="2388235"/>
                    </a:xfrm>
                    <a:prstGeom prst="rect">
                      <a:avLst/>
                    </a:prstGeom>
                  </pic:spPr>
                </pic:pic>
              </a:graphicData>
            </a:graphic>
          </wp:inline>
        </w:drawing>
      </w:r>
    </w:p>
    <w:p w14:paraId="0B881B50" w14:textId="2112804C" w:rsidR="00AA678E" w:rsidRDefault="00AA678E" w:rsidP="00690538">
      <w:pPr>
        <w:pStyle w:val="TableDescription"/>
      </w:pPr>
      <w:r w:rsidRPr="00290E90">
        <w:rPr>
          <w:vertAlign w:val="superscript"/>
        </w:rPr>
        <w:t>a</w:t>
      </w:r>
      <w:r w:rsidRPr="00290E90">
        <w:t xml:space="preserve"> Data for children with PNH are from Study ALXN1210-PNH-304. </w:t>
      </w:r>
      <w:r w:rsidRPr="00290E90">
        <w:rPr>
          <w:vertAlign w:val="superscript"/>
        </w:rPr>
        <w:t>b</w:t>
      </w:r>
      <w:r w:rsidRPr="00290E90">
        <w:t xml:space="preserve"> Data for complement inhibitor treatment-</w:t>
      </w:r>
      <w:r w:rsidR="00446075">
        <w:t>naive</w:t>
      </w:r>
      <w:r w:rsidRPr="00290E90">
        <w:t xml:space="preserve"> adult patients with PNH are from Study ALXN1210-PNH-301 and data for eculizumab-experienced adult patients with PNH are from Study ALXN1210-PNH-302. </w:t>
      </w:r>
      <w:r w:rsidRPr="00290E90">
        <w:rPr>
          <w:vertAlign w:val="superscript"/>
        </w:rPr>
        <w:t>c</w:t>
      </w:r>
      <w:r w:rsidRPr="00290E90">
        <w:t xml:space="preserve"> Data for </w:t>
      </w:r>
      <w:r w:rsidR="00A04E5B">
        <w:t>one p</w:t>
      </w:r>
      <w:r w:rsidRPr="00290E90">
        <w:t xml:space="preserve">atient were not included due to missing concentration </w:t>
      </w:r>
      <w:proofErr w:type="gramStart"/>
      <w:r w:rsidRPr="00290E90">
        <w:t>records;</w:t>
      </w:r>
      <w:proofErr w:type="gramEnd"/>
      <w:r w:rsidRPr="00290E90">
        <w:t xml:space="preserve"> thus, n = 96. </w:t>
      </w:r>
      <w:r w:rsidRPr="00290E90">
        <w:rPr>
          <w:vertAlign w:val="superscript"/>
        </w:rPr>
        <w:t>d</w:t>
      </w:r>
      <w:r w:rsidRPr="00290E90">
        <w:t xml:space="preserve"> Data for </w:t>
      </w:r>
      <w:r w:rsidR="00A04E5B">
        <w:t>one p</w:t>
      </w:r>
      <w:r w:rsidRPr="00290E90">
        <w:t xml:space="preserve">atient were excluded from the summary statistics for the last MD dosing period due to missing Day 127 dosing </w:t>
      </w:r>
      <w:proofErr w:type="gramStart"/>
      <w:r w:rsidRPr="00290E90">
        <w:t>information;</w:t>
      </w:r>
      <w:proofErr w:type="gramEnd"/>
      <w:r w:rsidRPr="00290E90">
        <w:t xml:space="preserve"> thus, n = 124. </w:t>
      </w:r>
      <w:r w:rsidRPr="00290E90">
        <w:rPr>
          <w:vertAlign w:val="superscript"/>
        </w:rPr>
        <w:t>e</w:t>
      </w:r>
      <w:r w:rsidRPr="00290E90">
        <w:t xml:space="preserve"> </w:t>
      </w:r>
      <w:proofErr w:type="gramStart"/>
      <w:r w:rsidRPr="00290E90">
        <w:t>In</w:t>
      </w:r>
      <w:proofErr w:type="gramEnd"/>
      <w:r w:rsidRPr="00290E90">
        <w:t xml:space="preserve"> addition to data for </w:t>
      </w:r>
      <w:r w:rsidR="00A04E5B">
        <w:t>one p</w:t>
      </w:r>
      <w:r w:rsidRPr="00290E90">
        <w:t xml:space="preserve">atient not included (footnote c above), data for </w:t>
      </w:r>
      <w:r w:rsidR="00A04E5B">
        <w:t>one</w:t>
      </w:r>
      <w:r w:rsidR="00B82827">
        <w:t xml:space="preserve"> p</w:t>
      </w:r>
      <w:r w:rsidRPr="00290E90">
        <w:t xml:space="preserve">atient are not included because the Day 127 end of infusion sample was missing; thus, n = 95. </w:t>
      </w:r>
      <w:r w:rsidRPr="00290E90">
        <w:rPr>
          <w:vertAlign w:val="superscript"/>
        </w:rPr>
        <w:t>f</w:t>
      </w:r>
      <w:r w:rsidRPr="00290E90">
        <w:t xml:space="preserve"> </w:t>
      </w:r>
      <w:proofErr w:type="gramStart"/>
      <w:r w:rsidRPr="00290E90">
        <w:t>In</w:t>
      </w:r>
      <w:proofErr w:type="gramEnd"/>
      <w:r w:rsidRPr="00290E90">
        <w:t xml:space="preserve"> addition to data for </w:t>
      </w:r>
      <w:r w:rsidR="00A04E5B">
        <w:t>one p</w:t>
      </w:r>
      <w:r w:rsidRPr="00290E90">
        <w:t xml:space="preserve">atient not included (footnote c above), data for </w:t>
      </w:r>
      <w:r w:rsidR="00A04E5B">
        <w:t>one p</w:t>
      </w:r>
      <w:r w:rsidRPr="00290E90">
        <w:t>atient are not included because the Day 183 pre</w:t>
      </w:r>
      <w:r w:rsidR="00690538">
        <w:t>-</w:t>
      </w:r>
      <w:r w:rsidRPr="00290E90">
        <w:t xml:space="preserve">dose sample was </w:t>
      </w:r>
      <w:r w:rsidR="00690538">
        <w:t>m</w:t>
      </w:r>
      <w:r w:rsidRPr="00290E90">
        <w:t>issing; thus, n = 95.</w:t>
      </w:r>
    </w:p>
    <w:p w14:paraId="69CAF426" w14:textId="75EC979D" w:rsidR="00B9110E" w:rsidRPr="00B82827" w:rsidRDefault="00AA678E" w:rsidP="00B82827">
      <w:r w:rsidRPr="00237DC7">
        <w:t xml:space="preserve">Observed ravulizumab serum concentrations for children with PNH are overlaid on the simulation of the </w:t>
      </w:r>
      <w:r w:rsidR="00B8491F">
        <w:t>pharmacokinetics</w:t>
      </w:r>
      <w:r w:rsidRPr="00237DC7">
        <w:t xml:space="preserve"> for adults with PNH from Phase </w:t>
      </w:r>
      <w:r w:rsidR="00B8491F">
        <w:t>III</w:t>
      </w:r>
      <w:r w:rsidRPr="00237DC7">
        <w:t xml:space="preserve"> studies using the </w:t>
      </w:r>
      <w:r w:rsidR="00B8491F">
        <w:t>f</w:t>
      </w:r>
      <w:r w:rsidRPr="00237DC7">
        <w:t xml:space="preserve">inal PNH </w:t>
      </w:r>
      <w:r w:rsidR="00B8491F">
        <w:t>population pharmacokinetics</w:t>
      </w:r>
      <w:r w:rsidRPr="00237DC7">
        <w:t xml:space="preserve"> model. There were no adult PNH patients with body weight 30 </w:t>
      </w:r>
      <w:r w:rsidR="00B8491F">
        <w:t xml:space="preserve">to </w:t>
      </w:r>
      <w:r w:rsidR="00B445F7">
        <w:t>less than</w:t>
      </w:r>
      <w:r w:rsidRPr="00237DC7">
        <w:t xml:space="preserve"> 40 kg.</w:t>
      </w:r>
    </w:p>
    <w:p w14:paraId="1F99510E" w14:textId="54EA39EF" w:rsidR="00B445F7" w:rsidRDefault="00B445F7" w:rsidP="00B82827">
      <w:pPr>
        <w:pStyle w:val="TableTitle"/>
        <w:pageBreakBefore/>
      </w:pPr>
      <w:r>
        <w:lastRenderedPageBreak/>
        <w:t xml:space="preserve">Figure </w:t>
      </w:r>
      <w:fldSimple w:instr=" SEQ Figure \* ARABIC ">
        <w:r w:rsidR="004C7A29">
          <w:rPr>
            <w:noProof/>
          </w:rPr>
          <w:t>2</w:t>
        </w:r>
      </w:fldSimple>
      <w:r>
        <w:t>: Observed pharmacokinetic data from children with PHN overlaid on simulations of median serum ravulizumab concentration-time profile (95% prediction interval) for adult patients with PNH from the Phase III studies using the final PNH population pharmacokinetic model</w:t>
      </w:r>
    </w:p>
    <w:p w14:paraId="07F0DF0E" w14:textId="7AA7E8E0" w:rsidR="00B445F7" w:rsidRDefault="00B445F7" w:rsidP="00B82827">
      <w:r>
        <w:rPr>
          <w:noProof/>
          <w:lang w:val="en-GB" w:eastAsia="en-GB"/>
        </w:rPr>
        <w:drawing>
          <wp:inline distT="0" distB="0" distL="0" distR="0" wp14:anchorId="169DD3BC" wp14:editId="492BBDFA">
            <wp:extent cx="5759450" cy="2967990"/>
            <wp:effectExtent l="0" t="0" r="0" b="3810"/>
            <wp:docPr id="30" name="Picture 30" descr="This figure shows observed pharmacokinetic data from children with PHN overlaid on simulations of median serum ravulizumab concentration-time profile (95% prediction interval) for adult patients with PNH from the Phase III studies using the final PNH population pharmacokinet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figure shows observed pharmacokinetic data from children with PHN overlaid on simulations of median serum ravulizumab concentration-time profile (95% prediction interval) for adult patients with PNH from the Phase III studies using the final PNH population pharmacokinetic model."/>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5759450" cy="2967990"/>
                    </a:xfrm>
                    <a:prstGeom prst="rect">
                      <a:avLst/>
                    </a:prstGeom>
                  </pic:spPr>
                </pic:pic>
              </a:graphicData>
            </a:graphic>
          </wp:inline>
        </w:drawing>
      </w:r>
    </w:p>
    <w:p w14:paraId="5D06FAEB" w14:textId="19CA0F06" w:rsidR="00AA678E" w:rsidRPr="00A47C8E" w:rsidRDefault="00AA678E" w:rsidP="00B8491F">
      <w:pPr>
        <w:pStyle w:val="TableDescription"/>
      </w:pPr>
      <w:r w:rsidRPr="00A47C8E">
        <w:t xml:space="preserve">Note: Data for children with PNH from Study ALXN1210-PNH-304 Primary Evaluation </w:t>
      </w:r>
      <w:proofErr w:type="gramStart"/>
      <w:r w:rsidRPr="00A47C8E">
        <w:t>Period  are</w:t>
      </w:r>
      <w:proofErr w:type="gramEnd"/>
      <w:r w:rsidRPr="00A47C8E">
        <w:t xml:space="preserve"> overlaid on </w:t>
      </w:r>
      <w:r w:rsidR="00B445F7">
        <w:t>pharmacokinetic</w:t>
      </w:r>
      <w:r w:rsidRPr="00A47C8E">
        <w:t xml:space="preserve"> simulations of </w:t>
      </w:r>
      <w:r w:rsidR="00B8491F">
        <w:t>Phase III</w:t>
      </w:r>
      <w:r w:rsidRPr="00A47C8E">
        <w:t xml:space="preserve"> data from adult patients with PNH using the final PNH population </w:t>
      </w:r>
      <w:r w:rsidR="00B445F7" w:rsidRPr="00B445F7">
        <w:t>pharmacokinetic</w:t>
      </w:r>
      <w:r w:rsidRPr="00A47C8E">
        <w:t xml:space="preserve"> model. The lower dashed horizontal line indicates serum concentration of 175 </w:t>
      </w:r>
      <w:proofErr w:type="spellStart"/>
      <w:r w:rsidRPr="00A47C8E">
        <w:t>μg</w:t>
      </w:r>
      <w:proofErr w:type="spellEnd"/>
      <w:r w:rsidRPr="00A47C8E">
        <w:t xml:space="preserve">/mL, the therapeutic </w:t>
      </w:r>
      <w:r w:rsidR="00B445F7" w:rsidRPr="00B445F7">
        <w:t>pharmacokinetic</w:t>
      </w:r>
      <w:r w:rsidRPr="00A47C8E">
        <w:t xml:space="preserve"> threshold for ravulizumab, and the upper dashed horizontal line indicates the maximum serum concentration observed in the ravulizumab clinical development program. Black lines represent median observed data from adult patients with PNH and grey lines represent the simulated data (median and 95% </w:t>
      </w:r>
      <w:r w:rsidR="00B445F7">
        <w:t>prediction interval</w:t>
      </w:r>
      <w:r w:rsidRPr="00A47C8E">
        <w:t>) for adult patients with PNH. Observed ravulizumab serum concentration data for children from End of Infusion and Predose are displayed using triangles and circles, respectively.</w:t>
      </w:r>
    </w:p>
    <w:p w14:paraId="55C9D887" w14:textId="6F4CFBB4" w:rsidR="00AA678E" w:rsidRDefault="00AA678E" w:rsidP="00AA678E">
      <w:r w:rsidRPr="008032B3">
        <w:t>All post</w:t>
      </w:r>
      <w:r>
        <w:t>-</w:t>
      </w:r>
      <w:r w:rsidRPr="008032B3">
        <w:t xml:space="preserve">baseline individual serum free C5 concentrations were </w:t>
      </w:r>
      <w:r w:rsidR="00B8491F">
        <w:t>less than</w:t>
      </w:r>
      <w:r w:rsidRPr="008032B3">
        <w:t xml:space="preserve"> 0.5 </w:t>
      </w:r>
      <w:proofErr w:type="spellStart"/>
      <w:r w:rsidRPr="008032B3">
        <w:t>μg</w:t>
      </w:r>
      <w:proofErr w:type="spellEnd"/>
      <w:r w:rsidRPr="008032B3">
        <w:t>/mL in</w:t>
      </w:r>
      <w:r>
        <w:t xml:space="preserve"> children and adults with PNH treated with ravulizumab.</w:t>
      </w:r>
    </w:p>
    <w:p w14:paraId="583F9D7C" w14:textId="7A8C6CBB" w:rsidR="00856026" w:rsidRPr="00B8491F" w:rsidRDefault="00AA678E" w:rsidP="00B8491F">
      <w:pPr>
        <w:pStyle w:val="Heading7"/>
      </w:pPr>
      <w:r w:rsidRPr="00B8491F">
        <w:t xml:space="preserve">Ravulizumab </w:t>
      </w:r>
      <w:r w:rsidR="00B445F7">
        <w:t>pharmacokinetic</w:t>
      </w:r>
      <w:r w:rsidRPr="00B8491F">
        <w:t xml:space="preserve"> and </w:t>
      </w:r>
      <w:r w:rsidR="00B445F7">
        <w:t>pharmacodynamic</w:t>
      </w:r>
      <w:r w:rsidRPr="00B8491F">
        <w:t xml:space="preserve"> comparison of adolescent patients with PNH and patients with aHUS</w:t>
      </w:r>
    </w:p>
    <w:p w14:paraId="3AC4C6DA" w14:textId="2CDE2564" w:rsidR="00AA678E" w:rsidRDefault="00AA678E" w:rsidP="00AA678E">
      <w:r w:rsidRPr="009F7ABD">
        <w:t xml:space="preserve">The mean </w:t>
      </w:r>
      <w:proofErr w:type="spellStart"/>
      <w:r w:rsidRPr="009F7ABD">
        <w:t>C</w:t>
      </w:r>
      <w:r w:rsidRPr="009F7ABD">
        <w:rPr>
          <w:vertAlign w:val="subscript"/>
        </w:rPr>
        <w:t>max</w:t>
      </w:r>
      <w:proofErr w:type="spellEnd"/>
      <w:r w:rsidRPr="009F7ABD">
        <w:t xml:space="preserve"> and </w:t>
      </w:r>
      <w:proofErr w:type="spellStart"/>
      <w:r w:rsidRPr="009F7ABD">
        <w:t>C</w:t>
      </w:r>
      <w:r w:rsidRPr="009F7ABD">
        <w:rPr>
          <w:vertAlign w:val="subscript"/>
        </w:rPr>
        <w:t>trough</w:t>
      </w:r>
      <w:proofErr w:type="spellEnd"/>
      <w:r w:rsidRPr="009F7ABD">
        <w:t xml:space="preserve"> following the loading dose and last maintenance dose of ravulizumab in adolescent patients with PNH (</w:t>
      </w:r>
      <w:r w:rsidR="004B3190">
        <w:t xml:space="preserve">three </w:t>
      </w:r>
      <w:r w:rsidRPr="009F7ABD">
        <w:t>complement inhibitor treat</w:t>
      </w:r>
      <w:r>
        <w:t>ment-</w:t>
      </w:r>
      <w:r w:rsidR="00446075">
        <w:t>naive</w:t>
      </w:r>
      <w:r>
        <w:t xml:space="preserve"> and </w:t>
      </w:r>
      <w:r w:rsidR="004B3190">
        <w:t>seven</w:t>
      </w:r>
      <w:r>
        <w:t xml:space="preserve"> eculizumab-</w:t>
      </w:r>
      <w:r w:rsidRPr="009F7ABD">
        <w:t xml:space="preserve">experienced) and adult and paediatric aHUS </w:t>
      </w:r>
      <w:r>
        <w:t xml:space="preserve">patients </w:t>
      </w:r>
      <w:r w:rsidRPr="009F7ABD">
        <w:t>with body weight 20 kg</w:t>
      </w:r>
      <w:r w:rsidR="00B8491F">
        <w:t xml:space="preserve"> or more</w:t>
      </w:r>
      <w:r w:rsidRPr="009F7ABD">
        <w:t xml:space="preserve"> (</w:t>
      </w:r>
      <w:r w:rsidR="00B8491F">
        <w:t>that is</w:t>
      </w:r>
      <w:r w:rsidRPr="009F7ABD">
        <w:t xml:space="preserve"> those with </w:t>
      </w:r>
      <w:r w:rsidR="00B8491F">
        <w:t>once every eight weeks</w:t>
      </w:r>
      <w:r w:rsidRPr="009F7ABD">
        <w:t xml:space="preserve"> maintenance dosing interval)</w:t>
      </w:r>
      <w:r>
        <w:t xml:space="preserve"> are shown below:</w:t>
      </w:r>
    </w:p>
    <w:p w14:paraId="07A36CD9" w14:textId="52C983D6" w:rsidR="00B445F7" w:rsidRDefault="00B445F7" w:rsidP="00B445F7">
      <w:pPr>
        <w:pStyle w:val="TableTitle"/>
      </w:pPr>
      <w:r>
        <w:lastRenderedPageBreak/>
        <w:t xml:space="preserve">Table </w:t>
      </w:r>
      <w:fldSimple w:instr=" SEQ Table \* ARABIC ">
        <w:r w:rsidR="004C7A29">
          <w:rPr>
            <w:noProof/>
          </w:rPr>
          <w:t>10</w:t>
        </w:r>
      </w:fldSimple>
      <w:r>
        <w:t>: Pharmacokinetic parameters of ravulizumab following the first intravenous loading dose and the last intravenous maintenance dose during the Primary Evaluation Period for adolescent patients with PNH and patients with aHUS</w:t>
      </w:r>
    </w:p>
    <w:p w14:paraId="5E8A8E64" w14:textId="77777777" w:rsidR="00AA678E" w:rsidRPr="00B24CDE" w:rsidRDefault="00AA678E" w:rsidP="00AA678E">
      <w:r>
        <w:rPr>
          <w:noProof/>
          <w:lang w:val="en-GB" w:eastAsia="en-GB"/>
        </w:rPr>
        <w:drawing>
          <wp:inline distT="0" distB="0" distL="0" distR="0" wp14:anchorId="69FEC2DD" wp14:editId="6E70BDBC">
            <wp:extent cx="5731510" cy="1708785"/>
            <wp:effectExtent l="0" t="0" r="2540" b="5715"/>
            <wp:docPr id="29" name="Picture 29" descr="This table shows the pharmacokinetic parameters of ravulizumab following the first intravenous loading dose and the last intravenous maintenance dose during the Primary Evaluation Period for adolescent patients with PNH and patients with a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table shows the pharmacokinetic parameters of ravulizumab following the first intravenous loading dose and the last intravenous maintenance dose during the Primary Evaluation Period for adolescent patients with PNH and patients with aHUS."/>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5731510" cy="1708785"/>
                    </a:xfrm>
                    <a:prstGeom prst="rect">
                      <a:avLst/>
                    </a:prstGeom>
                  </pic:spPr>
                </pic:pic>
              </a:graphicData>
            </a:graphic>
          </wp:inline>
        </w:drawing>
      </w:r>
    </w:p>
    <w:p w14:paraId="04858400" w14:textId="3BB71E0A" w:rsidR="00AA678E" w:rsidRDefault="00AA678E" w:rsidP="00B8491F">
      <w:pPr>
        <w:pStyle w:val="TableDescription"/>
      </w:pPr>
      <w:r w:rsidRPr="009F7ABD">
        <w:rPr>
          <w:vertAlign w:val="superscript"/>
        </w:rPr>
        <w:t>a</w:t>
      </w:r>
      <w:r w:rsidRPr="009F7ABD">
        <w:t xml:space="preserve"> Data for children who received ravulizumab once every 4 weeks are not included. </w:t>
      </w:r>
      <w:r w:rsidRPr="009F7ABD">
        <w:rPr>
          <w:vertAlign w:val="superscript"/>
        </w:rPr>
        <w:t>b</w:t>
      </w:r>
      <w:r w:rsidRPr="009F7ABD">
        <w:t xml:space="preserve"> Because n = 2, SD and %CV are not applicable. </w:t>
      </w:r>
      <w:r w:rsidRPr="009F7ABD">
        <w:rPr>
          <w:vertAlign w:val="superscript"/>
        </w:rPr>
        <w:t>c</w:t>
      </w:r>
      <w:r w:rsidRPr="009F7ABD">
        <w:t xml:space="preserve"> Observed value only presented as n = 1.</w:t>
      </w:r>
    </w:p>
    <w:p w14:paraId="7B0838BA" w14:textId="54CE3F01" w:rsidR="00B445F7" w:rsidRDefault="00B445F7" w:rsidP="00B445F7">
      <w:pPr>
        <w:pStyle w:val="TableTitle"/>
      </w:pPr>
      <w:bookmarkStart w:id="79" w:name="_Ref132623498"/>
      <w:r>
        <w:t xml:space="preserve">Figure </w:t>
      </w:r>
      <w:fldSimple w:instr=" SEQ Figure \* ARABIC ">
        <w:r w:rsidR="004C7A29">
          <w:rPr>
            <w:noProof/>
          </w:rPr>
          <w:t>3</w:t>
        </w:r>
      </w:fldSimple>
      <w:bookmarkEnd w:id="79"/>
      <w:r>
        <w:t>: Observed pharmacokinetic data from adolescent patients with PNH overlaid on simulations of median serum ravulizumab concentration-time profile (95% prediction interval) for patients with aHUS from the Phase III studies using the final aHUS population pharmacokinetic model</w:t>
      </w:r>
    </w:p>
    <w:p w14:paraId="2650EA54" w14:textId="7C821B19" w:rsidR="003D1A14" w:rsidRPr="00B445F7" w:rsidRDefault="003D1A14" w:rsidP="00B82827">
      <w:r>
        <w:rPr>
          <w:noProof/>
          <w:lang w:val="en-GB" w:eastAsia="en-GB"/>
        </w:rPr>
        <w:drawing>
          <wp:inline distT="0" distB="0" distL="0" distR="0" wp14:anchorId="265683F2" wp14:editId="2C8ABD6D">
            <wp:extent cx="5759450" cy="2958465"/>
            <wp:effectExtent l="0" t="0" r="0" b="0"/>
            <wp:docPr id="35" name="Picture 35" descr="This figure shows observed pharmacokinetic data from adolescent patients with PNH overlaid on simulations of median serum ravulizumab concentration-time profile (95% prediction interval) for patients with aHUS from the Phase III studies using the final aHUS population pharmacokinet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figure shows observed pharmacokinetic data from adolescent patients with PNH overlaid on simulations of median serum ravulizumab concentration-time profile (95% prediction interval) for patients with aHUS from the Phase III studies using the final aHUS population pharmacokinetic model."/>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5759450" cy="2958465"/>
                    </a:xfrm>
                    <a:prstGeom prst="rect">
                      <a:avLst/>
                    </a:prstGeom>
                  </pic:spPr>
                </pic:pic>
              </a:graphicData>
            </a:graphic>
          </wp:inline>
        </w:drawing>
      </w:r>
    </w:p>
    <w:p w14:paraId="3BCE7B87" w14:textId="2D61D801" w:rsidR="00AA678E" w:rsidRPr="0033128A" w:rsidRDefault="00AA678E" w:rsidP="00B8491F">
      <w:pPr>
        <w:pStyle w:val="TableDescription"/>
      </w:pPr>
      <w:r w:rsidRPr="0033128A">
        <w:t xml:space="preserve">Note: Data for adolescent patients with PNH from Study ALXN1210-PNH-304 Primary Evaluation Period are overlaid on </w:t>
      </w:r>
      <w:r w:rsidR="003D1A14">
        <w:t>pharmacokinetic</w:t>
      </w:r>
      <w:r w:rsidRPr="0033128A">
        <w:t xml:space="preserve"> simulations of </w:t>
      </w:r>
      <w:r w:rsidR="00B8491F">
        <w:t>Phase III</w:t>
      </w:r>
      <w:r w:rsidRPr="0033128A">
        <w:t xml:space="preserve"> data from patients with aHUS using the final aHUS population </w:t>
      </w:r>
      <w:r w:rsidR="003D1A14" w:rsidRPr="003D1A14">
        <w:t>pharmacokinetic</w:t>
      </w:r>
      <w:r w:rsidRPr="0033128A">
        <w:t xml:space="preserve"> model. The lower dashed horizontal line indicates serum concentration of 175</w:t>
      </w:r>
      <w:r w:rsidR="003D1A14">
        <w:t> </w:t>
      </w:r>
      <w:proofErr w:type="spellStart"/>
      <w:r w:rsidRPr="0033128A">
        <w:t>μg</w:t>
      </w:r>
      <w:proofErr w:type="spellEnd"/>
      <w:r w:rsidRPr="0033128A">
        <w:t xml:space="preserve">/mL, the therapeutic </w:t>
      </w:r>
      <w:r w:rsidR="003D1A14" w:rsidRPr="003D1A14">
        <w:t>pharmacokinetic</w:t>
      </w:r>
      <w:r w:rsidRPr="0033128A">
        <w:t xml:space="preserve"> threshold for ravulizumab, and the upper dashed horizontal line indicates the maximum serum concentration observed in the ravulizumab clinical development program. Black lines represent median observed data from adult patients with PNH and grey lines represent the simulated data (median and 95% </w:t>
      </w:r>
      <w:r w:rsidR="003D1A14">
        <w:t>prediction interval</w:t>
      </w:r>
      <w:r w:rsidRPr="0033128A">
        <w:t xml:space="preserve">) for adult patients with PNH. Observed adolescent ravulizumab serum concentration data from End of Infusion and Predose are displayed using triangles and circles, respectively. Ravulizumab serum concentrations for </w:t>
      </w:r>
      <w:r w:rsidR="00A04E5B">
        <w:t xml:space="preserve">an </w:t>
      </w:r>
      <w:r w:rsidRPr="0033128A">
        <w:t xml:space="preserve">adolescent </w:t>
      </w:r>
      <w:r w:rsidR="00A04E5B">
        <w:t>p</w:t>
      </w:r>
      <w:r w:rsidRPr="0033128A">
        <w:t>atient who received multiple packed red blood cell transfusions during the Primary Evaluation Period of Study ALXN1210-PNH-304 are highlighted in blue.</w:t>
      </w:r>
    </w:p>
    <w:p w14:paraId="05448012" w14:textId="102B10C8" w:rsidR="00856026" w:rsidRDefault="00AA678E" w:rsidP="00AA678E">
      <w:r w:rsidRPr="008032B3">
        <w:t>All post</w:t>
      </w:r>
      <w:r>
        <w:t>-</w:t>
      </w:r>
      <w:r w:rsidRPr="008032B3">
        <w:t xml:space="preserve">baseline individual serum free C5 concentrations were </w:t>
      </w:r>
      <w:r w:rsidR="00B8491F">
        <w:t>less than</w:t>
      </w:r>
      <w:r w:rsidRPr="008032B3">
        <w:t xml:space="preserve"> 0.5 </w:t>
      </w:r>
      <w:proofErr w:type="spellStart"/>
      <w:r w:rsidRPr="008032B3">
        <w:t>μg</w:t>
      </w:r>
      <w:proofErr w:type="spellEnd"/>
      <w:r w:rsidRPr="008032B3">
        <w:t>/mL in</w:t>
      </w:r>
      <w:r>
        <w:t xml:space="preserve"> adolescent PNH patients and </w:t>
      </w:r>
      <w:r w:rsidR="00B8491F">
        <w:t>greater than</w:t>
      </w:r>
      <w:r>
        <w:t xml:space="preserve"> 99.5% analysed samples in patients with aHUS.</w:t>
      </w:r>
    </w:p>
    <w:p w14:paraId="6CF845CC" w14:textId="4269FF5D" w:rsidR="00856026" w:rsidRDefault="00AA678E" w:rsidP="00B8491F">
      <w:pPr>
        <w:pStyle w:val="Heading7"/>
      </w:pPr>
      <w:r>
        <w:lastRenderedPageBreak/>
        <w:t xml:space="preserve">Ravulizumab </w:t>
      </w:r>
      <w:r w:rsidR="001C1826">
        <w:t>pharmacokinetic</w:t>
      </w:r>
      <w:r>
        <w:t xml:space="preserve"> and </w:t>
      </w:r>
      <w:r w:rsidR="001C1826">
        <w:t>pharmacodynamic</w:t>
      </w:r>
      <w:r>
        <w:t xml:space="preserve"> comparison of children with PNH and </w:t>
      </w:r>
      <w:r w:rsidRPr="00372FA0">
        <w:t xml:space="preserve">patients with </w:t>
      </w:r>
      <w:r>
        <w:t>aHUS</w:t>
      </w:r>
    </w:p>
    <w:p w14:paraId="43AF25E2" w14:textId="237D7077" w:rsidR="00856026" w:rsidRDefault="00AA678E" w:rsidP="00AA678E">
      <w:r>
        <w:t>P</w:t>
      </w:r>
      <w:r w:rsidR="00B8491F">
        <w:t>harmacokinetic</w:t>
      </w:r>
      <w:r>
        <w:t xml:space="preserve"> parameters</w:t>
      </w:r>
      <w:r w:rsidRPr="00237DC7">
        <w:t xml:space="preserve"> following the loading dose and last maintenance dose of ravulizumab in children with PNH (</w:t>
      </w:r>
      <w:r w:rsidR="004B3190">
        <w:t>one</w:t>
      </w:r>
      <w:r>
        <w:t xml:space="preserve"> complement inhibitor treatment-</w:t>
      </w:r>
      <w:r w:rsidR="00446075">
        <w:t>naive</w:t>
      </w:r>
      <w:r>
        <w:t xml:space="preserve"> and </w:t>
      </w:r>
      <w:r w:rsidR="004B3190">
        <w:t>one</w:t>
      </w:r>
      <w:r>
        <w:t xml:space="preserve"> eculizumab-</w:t>
      </w:r>
      <w:r w:rsidRPr="00237DC7">
        <w:t>experienced) and</w:t>
      </w:r>
      <w:r w:rsidRPr="00A869C7">
        <w:t xml:space="preserve"> </w:t>
      </w:r>
      <w:r w:rsidRPr="009F7ABD">
        <w:t xml:space="preserve">adult and paediatric aHUS </w:t>
      </w:r>
      <w:r>
        <w:t xml:space="preserve">patients </w:t>
      </w:r>
      <w:r w:rsidRPr="009F7ABD">
        <w:t>with body weight 20 kg</w:t>
      </w:r>
      <w:r>
        <w:t xml:space="preserve"> </w:t>
      </w:r>
      <w:r w:rsidR="00B8491F">
        <w:t xml:space="preserve">or more </w:t>
      </w:r>
      <w:r>
        <w:t>are shown below:</w:t>
      </w:r>
    </w:p>
    <w:p w14:paraId="365F1B15" w14:textId="3BC0D910" w:rsidR="003D1A14" w:rsidRDefault="003D1A14" w:rsidP="003D1A14">
      <w:pPr>
        <w:pStyle w:val="TableTitle"/>
      </w:pPr>
      <w:r>
        <w:t xml:space="preserve">Table </w:t>
      </w:r>
      <w:fldSimple w:instr=" SEQ Table \* ARABIC ">
        <w:r w:rsidR="004C7A29">
          <w:rPr>
            <w:noProof/>
          </w:rPr>
          <w:t>11</w:t>
        </w:r>
      </w:fldSimple>
      <w:r>
        <w:t>: Pharmacokinetic parameters of ravulizumab following the first intravenous loading dose and the last intravenous maintenance dose during the Primary Evaluation Period for children with PNH and patients with aHUS</w:t>
      </w:r>
    </w:p>
    <w:p w14:paraId="0643CB96" w14:textId="77777777" w:rsidR="00AA678E" w:rsidRPr="00A869C7" w:rsidRDefault="00AA678E" w:rsidP="00AA678E">
      <w:r>
        <w:rPr>
          <w:noProof/>
          <w:lang w:val="en-GB" w:eastAsia="en-GB"/>
        </w:rPr>
        <w:drawing>
          <wp:inline distT="0" distB="0" distL="0" distR="0" wp14:anchorId="71E5EE64" wp14:editId="2089059F">
            <wp:extent cx="5731510" cy="1827530"/>
            <wp:effectExtent l="0" t="0" r="2540" b="1270"/>
            <wp:docPr id="25" name="Picture 25" descr="This table shows the pharmacokinetic parameters of ravulizumab following the first intravenous loading dose and the last intravenous maintenance dose during the Primary Evaluation Period for children with PNH and patients with a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table shows the pharmacokinetic parameters of ravulizumab following the first intravenous loading dose and the last intravenous maintenance dose during the Primary Evaluation Period for children with PNH and patients with aHUS."/>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5731510" cy="1827530"/>
                    </a:xfrm>
                    <a:prstGeom prst="rect">
                      <a:avLst/>
                    </a:prstGeom>
                  </pic:spPr>
                </pic:pic>
              </a:graphicData>
            </a:graphic>
          </wp:inline>
        </w:drawing>
      </w:r>
    </w:p>
    <w:p w14:paraId="76FA859A" w14:textId="4F6BB42E" w:rsidR="00AA678E" w:rsidRDefault="00AA678E" w:rsidP="00B8491F">
      <w:pPr>
        <w:pStyle w:val="TableDescription"/>
      </w:pPr>
      <w:r w:rsidRPr="00A869C7">
        <w:rPr>
          <w:vertAlign w:val="superscript"/>
        </w:rPr>
        <w:t>a</w:t>
      </w:r>
      <w:r w:rsidRPr="00A869C7">
        <w:t xml:space="preserve"> Data for children who received ravulizumab once every 4 weeks are not included. </w:t>
      </w:r>
      <w:r w:rsidRPr="00A869C7">
        <w:rPr>
          <w:vertAlign w:val="superscript"/>
        </w:rPr>
        <w:t>b</w:t>
      </w:r>
      <w:r w:rsidRPr="00A869C7">
        <w:t xml:space="preserve"> Observed value only presented as n = 1. </w:t>
      </w:r>
      <w:r w:rsidRPr="00A869C7">
        <w:rPr>
          <w:vertAlign w:val="superscript"/>
        </w:rPr>
        <w:t>c</w:t>
      </w:r>
      <w:r w:rsidRPr="00A869C7">
        <w:t xml:space="preserve"> Because n = 2, SD and %CV are not applicable</w:t>
      </w:r>
    </w:p>
    <w:p w14:paraId="71EC1908" w14:textId="5F5AB6FD" w:rsidR="003D1A14" w:rsidRDefault="003D1A14" w:rsidP="003D1A14">
      <w:pPr>
        <w:pStyle w:val="TableTitle"/>
      </w:pPr>
      <w:r>
        <w:t xml:space="preserve">Figure </w:t>
      </w:r>
      <w:fldSimple w:instr=" SEQ Figure \* ARABIC ">
        <w:r w:rsidR="004C7A29">
          <w:rPr>
            <w:noProof/>
          </w:rPr>
          <w:t>4</w:t>
        </w:r>
      </w:fldSimple>
      <w:r>
        <w:t>: Observed pharmacokinetic data from children with PNH overlaid on simulations of median serum ravulizumab concentration-time profile (95% prediction interval) for patients with aHUS from the Phase III studies using the final aHUS population pharmacokinetic model</w:t>
      </w:r>
    </w:p>
    <w:p w14:paraId="45B425A0" w14:textId="597CE98E" w:rsidR="003D1A14" w:rsidRPr="00A869C7" w:rsidRDefault="003D1A14" w:rsidP="00B82827">
      <w:r>
        <w:rPr>
          <w:noProof/>
          <w:lang w:val="en-GB" w:eastAsia="en-GB"/>
        </w:rPr>
        <w:drawing>
          <wp:inline distT="0" distB="0" distL="0" distR="0" wp14:anchorId="2818C621" wp14:editId="7FDD525D">
            <wp:extent cx="5759450" cy="2974975"/>
            <wp:effectExtent l="0" t="0" r="0" b="0"/>
            <wp:docPr id="40" name="Picture 40" descr="This figure shows observed pharmacokinetic data from children with PNH overlaid on simulations of median serum ravulizumab concentration-time profile (95% prediction interval) for patients with aHUS from the Phase III studies using the final aHUS population pharmacokinet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figure shows observed pharmacokinetic data from children with PNH overlaid on simulations of median serum ravulizumab concentration-time profile (95% prediction interval) for patients with aHUS from the Phase III studies using the final aHUS population pharmacokinetic model"/>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5759450" cy="2974975"/>
                    </a:xfrm>
                    <a:prstGeom prst="rect">
                      <a:avLst/>
                    </a:prstGeom>
                  </pic:spPr>
                </pic:pic>
              </a:graphicData>
            </a:graphic>
          </wp:inline>
        </w:drawing>
      </w:r>
    </w:p>
    <w:p w14:paraId="531FAC4C" w14:textId="79816969" w:rsidR="00AA678E" w:rsidRPr="003A2438" w:rsidRDefault="00AA678E" w:rsidP="00B8491F">
      <w:pPr>
        <w:pStyle w:val="TableDescription"/>
      </w:pPr>
      <w:r w:rsidRPr="003A2438">
        <w:t xml:space="preserve">Note: Data for children with PNH from Study ALXN1210-PNH-304 Primary Evaluation </w:t>
      </w:r>
      <w:proofErr w:type="gramStart"/>
      <w:r w:rsidRPr="003A2438">
        <w:t>Period  are</w:t>
      </w:r>
      <w:proofErr w:type="gramEnd"/>
      <w:r w:rsidRPr="003A2438">
        <w:t xml:space="preserve"> overlaid on </w:t>
      </w:r>
      <w:r w:rsidR="003D1A14">
        <w:t>pharmacokinetic</w:t>
      </w:r>
      <w:r w:rsidRPr="003A2438">
        <w:t xml:space="preserve"> simulations of </w:t>
      </w:r>
      <w:r w:rsidR="00B8491F">
        <w:t>Phase III</w:t>
      </w:r>
      <w:r w:rsidRPr="003A2438">
        <w:t xml:space="preserve"> data from patients with aHUS using the final aHUS population </w:t>
      </w:r>
      <w:r w:rsidR="003D1A14" w:rsidRPr="003D1A14">
        <w:t>pharmacokinetic</w:t>
      </w:r>
      <w:r w:rsidRPr="003A2438">
        <w:t xml:space="preserve"> model. The lower dashed horizontal line indicates serum concentration of 175 </w:t>
      </w:r>
      <w:proofErr w:type="spellStart"/>
      <w:r w:rsidRPr="003A2438">
        <w:t>μg</w:t>
      </w:r>
      <w:proofErr w:type="spellEnd"/>
      <w:r w:rsidRPr="003A2438">
        <w:t xml:space="preserve">/mL, the therapeutic </w:t>
      </w:r>
      <w:r w:rsidR="003D1A14" w:rsidRPr="003D1A14">
        <w:t>pharmacokinetic</w:t>
      </w:r>
      <w:r w:rsidRPr="003A2438">
        <w:t xml:space="preserve"> threshold for ravulizumab, and the upper dashed horizontal line indicates the maximum serum concentration observed in the ravulizumab clinical development program. Black lines represent median observed data from adult patients with PNH and grey lines represent the simulated data (median and 95% </w:t>
      </w:r>
      <w:r w:rsidR="003D1A14">
        <w:t>prediction interval</w:t>
      </w:r>
      <w:r w:rsidRPr="003A2438">
        <w:t>) for adult patients with PNH.</w:t>
      </w:r>
    </w:p>
    <w:p w14:paraId="29FFC4B1" w14:textId="0D247D0B" w:rsidR="00AA678E" w:rsidRDefault="00AA678E" w:rsidP="00AA678E">
      <w:r w:rsidRPr="008032B3">
        <w:lastRenderedPageBreak/>
        <w:t>All post</w:t>
      </w:r>
      <w:r>
        <w:t>-</w:t>
      </w:r>
      <w:r w:rsidRPr="008032B3">
        <w:t xml:space="preserve">baseline individual serum free C5 concentrations were </w:t>
      </w:r>
      <w:r w:rsidR="00B8491F">
        <w:t>less than</w:t>
      </w:r>
      <w:r w:rsidRPr="008032B3">
        <w:t xml:space="preserve"> 0.5 </w:t>
      </w:r>
      <w:proofErr w:type="spellStart"/>
      <w:r w:rsidRPr="008032B3">
        <w:t>μg</w:t>
      </w:r>
      <w:proofErr w:type="spellEnd"/>
      <w:r w:rsidRPr="008032B3">
        <w:t>/mL in</w:t>
      </w:r>
      <w:r>
        <w:t xml:space="preserve"> children with PNH and </w:t>
      </w:r>
      <w:r w:rsidR="00B8491F">
        <w:t>more than</w:t>
      </w:r>
      <w:r>
        <w:t xml:space="preserve"> 99.5% analysed samples in patients with aHUS.</w:t>
      </w:r>
    </w:p>
    <w:p w14:paraId="15522F71" w14:textId="134692CF" w:rsidR="008169AB" w:rsidRDefault="008169AB" w:rsidP="008169AB">
      <w:pPr>
        <w:pStyle w:val="Heading7"/>
      </w:pPr>
      <w:r w:rsidRPr="008A6587">
        <w:t>Serum ravulizumab concentrations v</w:t>
      </w:r>
      <w:r w:rsidR="003D1A14">
        <w:t>ersus</w:t>
      </w:r>
      <w:r w:rsidRPr="008A6587">
        <w:t xml:space="preserve"> serum free C5 concentrations by age </w:t>
      </w:r>
      <w:r>
        <w:t xml:space="preserve">(paediatric and adults) </w:t>
      </w:r>
      <w:r w:rsidRPr="008A6587">
        <w:t>and disease</w:t>
      </w:r>
      <w:r>
        <w:t xml:space="preserve"> (PNH and aHUS)</w:t>
      </w:r>
    </w:p>
    <w:p w14:paraId="157AC1A1" w14:textId="33147F27" w:rsidR="003D1A14" w:rsidRPr="003D1A14" w:rsidRDefault="003D1A14" w:rsidP="003D1A14">
      <w:pPr>
        <w:pStyle w:val="TableTitle"/>
      </w:pPr>
      <w:r>
        <w:t xml:space="preserve">Figure </w:t>
      </w:r>
      <w:fldSimple w:instr=" SEQ Figure \* ARABIC ">
        <w:r w:rsidR="004C7A29">
          <w:rPr>
            <w:noProof/>
          </w:rPr>
          <w:t>5</w:t>
        </w:r>
      </w:fldSimple>
      <w:r>
        <w:t>: Serum ravulizumab concentrations versus time matched serum free C5 concentration for paediatric patients with PNH, adult patients with PNH, paediatric patients with aHUS and adult patients with aHUS</w:t>
      </w:r>
    </w:p>
    <w:p w14:paraId="472EE15A" w14:textId="22C50ED9" w:rsidR="003D1A14" w:rsidRPr="00B8491F" w:rsidRDefault="003D1A14" w:rsidP="00B82827">
      <w:r>
        <w:rPr>
          <w:noProof/>
          <w:lang w:val="en-GB" w:eastAsia="en-GB"/>
        </w:rPr>
        <w:drawing>
          <wp:inline distT="0" distB="0" distL="0" distR="0" wp14:anchorId="7CD7641C" wp14:editId="19E1F7A9">
            <wp:extent cx="5759450" cy="3993515"/>
            <wp:effectExtent l="0" t="0" r="0" b="6985"/>
            <wp:docPr id="41" name="Picture 41" descr="This figure shows serum ravulizumab concentrations versus time matched serum free C5 concentration for paediatric patients with PNH, adult patients with PNH, paediatric patients with aHUS and adult patients with a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figure shows serum ravulizumab concentrations versus time matched serum free C5 concentration for paediatric patients with PNH, adult patients with PNH, paediatric patients with aHUS and adult patients with aHUS."/>
                    <pic:cNvPicPr/>
                  </pic:nvPicPr>
                  <pic:blipFill>
                    <a:blip r:embed="rId42"/>
                    <a:stretch>
                      <a:fillRect/>
                    </a:stretch>
                  </pic:blipFill>
                  <pic:spPr>
                    <a:xfrm>
                      <a:off x="0" y="0"/>
                      <a:ext cx="5759450" cy="3993515"/>
                    </a:xfrm>
                    <a:prstGeom prst="rect">
                      <a:avLst/>
                    </a:prstGeom>
                  </pic:spPr>
                </pic:pic>
              </a:graphicData>
            </a:graphic>
          </wp:inline>
        </w:drawing>
      </w:r>
    </w:p>
    <w:p w14:paraId="59A3A092" w14:textId="486C1839" w:rsidR="00AA678E" w:rsidRPr="00D923C6" w:rsidRDefault="00AA678E" w:rsidP="008169AB">
      <w:pPr>
        <w:pStyle w:val="TableDescription"/>
      </w:pPr>
      <w:r w:rsidRPr="00D923C6">
        <w:t xml:space="preserve">Note: The dashed horizontal line indicates serum free C5 concentration of 0.5 </w:t>
      </w:r>
      <w:proofErr w:type="spellStart"/>
      <w:r w:rsidRPr="00D923C6">
        <w:t>μg</w:t>
      </w:r>
      <w:proofErr w:type="spellEnd"/>
      <w:r w:rsidRPr="00D923C6">
        <w:t xml:space="preserve">/mL, the level at which complete terminal complement inhibition occurs. The dashed vertical line indicates serum ravulizumab concentration of 175 </w:t>
      </w:r>
      <w:proofErr w:type="spellStart"/>
      <w:r w:rsidRPr="00D923C6">
        <w:t>μg</w:t>
      </w:r>
      <w:proofErr w:type="spellEnd"/>
      <w:r w:rsidRPr="00D923C6">
        <w:t xml:space="preserve">/mL, the therapeutic </w:t>
      </w:r>
      <w:r w:rsidR="003C38D8">
        <w:t>pharmacokinetic</w:t>
      </w:r>
      <w:r w:rsidRPr="00D923C6">
        <w:t xml:space="preserve"> threshold for ravulizumab</w:t>
      </w:r>
    </w:p>
    <w:p w14:paraId="5F63ECA3" w14:textId="0AE38F29" w:rsidR="00856026" w:rsidRPr="005F3F4F" w:rsidRDefault="00AA678E" w:rsidP="00AA678E">
      <w:r w:rsidRPr="00800AC2">
        <w:t xml:space="preserve">The </w:t>
      </w:r>
      <w:r w:rsidR="003D1A14">
        <w:t>p</w:t>
      </w:r>
      <w:r w:rsidRPr="00800AC2">
        <w:t xml:space="preserve">harmacometrics </w:t>
      </w:r>
      <w:r w:rsidRPr="005F3F4F">
        <w:t xml:space="preserve">expert reviewed the data from the </w:t>
      </w:r>
      <w:r w:rsidR="004B3190" w:rsidRPr="005F3F4F">
        <w:t>e</w:t>
      </w:r>
      <w:r w:rsidRPr="005F3F4F">
        <w:t>xtrapolation report, with limitations of the data noted</w:t>
      </w:r>
      <w:r w:rsidR="003D1A14" w:rsidRPr="005F3F4F">
        <w:t>.</w:t>
      </w:r>
    </w:p>
    <w:p w14:paraId="41ED5E10" w14:textId="0B7A3CDB" w:rsidR="00856026" w:rsidRDefault="00AA678E" w:rsidP="00AA678E">
      <w:pPr>
        <w:rPr>
          <w:lang w:val="en-US"/>
        </w:rPr>
      </w:pPr>
      <w:r w:rsidRPr="00800AC2">
        <w:rPr>
          <w:lang w:val="en-US"/>
        </w:rPr>
        <w:t xml:space="preserve">Advice from the </w:t>
      </w:r>
      <w:r w:rsidR="008169AB">
        <w:rPr>
          <w:lang w:val="en-US"/>
        </w:rPr>
        <w:t>p</w:t>
      </w:r>
      <w:r w:rsidRPr="00800AC2">
        <w:rPr>
          <w:lang w:val="en-US"/>
        </w:rPr>
        <w:t xml:space="preserve">harmacometrics </w:t>
      </w:r>
      <w:r w:rsidRPr="005F3F4F">
        <w:t>expert is summarised as</w:t>
      </w:r>
      <w:r w:rsidRPr="00800AC2">
        <w:rPr>
          <w:lang w:val="en-US"/>
        </w:rPr>
        <w:t xml:space="preserve"> follows:</w:t>
      </w:r>
    </w:p>
    <w:p w14:paraId="58C2B2D6" w14:textId="5BF6118C" w:rsidR="00856026" w:rsidRPr="003C38D8" w:rsidRDefault="00AA678E" w:rsidP="003C38D8">
      <w:pPr>
        <w:pStyle w:val="ListBullet"/>
      </w:pPr>
      <w:r w:rsidRPr="003C38D8">
        <w:t xml:space="preserve">Based on limited </w:t>
      </w:r>
      <w:r w:rsidR="008169AB" w:rsidRPr="003C38D8">
        <w:t>pharmacokinetics</w:t>
      </w:r>
      <w:r w:rsidRPr="003C38D8">
        <w:t xml:space="preserve"> data, the </w:t>
      </w:r>
      <w:r w:rsidR="008169AB" w:rsidRPr="003C38D8">
        <w:t>once every eight weeks</w:t>
      </w:r>
      <w:r w:rsidRPr="003C38D8">
        <w:t xml:space="preserve"> regimens (≥ 20 kg) were adequately described and supports the weight-based dosing for these patients.</w:t>
      </w:r>
    </w:p>
    <w:p w14:paraId="63533324" w14:textId="71783782" w:rsidR="00856026" w:rsidRPr="003C38D8" w:rsidRDefault="00AA678E" w:rsidP="003C38D8">
      <w:pPr>
        <w:pStyle w:val="ListBullet"/>
      </w:pPr>
      <w:r w:rsidRPr="003C38D8">
        <w:t xml:space="preserve">Based on </w:t>
      </w:r>
      <w:r w:rsidR="005F3F4F">
        <w:t>visual predictive checks</w:t>
      </w:r>
      <w:r w:rsidRPr="003C38D8">
        <w:t xml:space="preserve">, the population </w:t>
      </w:r>
      <w:r w:rsidR="003D1A14" w:rsidRPr="003C38D8">
        <w:t>pharmacokinetic</w:t>
      </w:r>
      <w:r w:rsidRPr="003C38D8">
        <w:t xml:space="preserve"> model failed to adequately describe the </w:t>
      </w:r>
      <w:r w:rsidR="003D1A14" w:rsidRPr="003C38D8">
        <w:t>pharmacokinetic</w:t>
      </w:r>
      <w:r w:rsidRPr="003C38D8">
        <w:t xml:space="preserve"> data for the</w:t>
      </w:r>
      <w:r w:rsidR="008169AB" w:rsidRPr="003C38D8">
        <w:t xml:space="preserve"> once every four weeks </w:t>
      </w:r>
      <w:r w:rsidRPr="003C38D8">
        <w:t xml:space="preserve">regimen in children in the body weight groups </w:t>
      </w:r>
      <w:r w:rsidR="003D1A14" w:rsidRPr="003C38D8">
        <w:t xml:space="preserve">less than </w:t>
      </w:r>
      <w:r w:rsidRPr="003C38D8">
        <w:t xml:space="preserve">20 kg (5 </w:t>
      </w:r>
      <w:r w:rsidR="008169AB" w:rsidRPr="003C38D8">
        <w:t>to</w:t>
      </w:r>
      <w:r w:rsidRPr="003C38D8">
        <w:t xml:space="preserve"> &lt; 10 kg, </w:t>
      </w:r>
      <w:r w:rsidR="004B3190">
        <w:t>1</w:t>
      </w:r>
      <w:r w:rsidRPr="003C38D8">
        <w:t xml:space="preserve">0 </w:t>
      </w:r>
      <w:r w:rsidR="008169AB" w:rsidRPr="003C38D8">
        <w:t>to</w:t>
      </w:r>
      <w:r w:rsidRPr="003C38D8">
        <w:t xml:space="preserve"> &lt; 20 kg).</w:t>
      </w:r>
    </w:p>
    <w:p w14:paraId="1FCA2E55" w14:textId="7CA0F2D1" w:rsidR="00856026" w:rsidRPr="003C38D8" w:rsidRDefault="00AA678E" w:rsidP="003C38D8">
      <w:pPr>
        <w:pStyle w:val="ListBullet"/>
      </w:pPr>
      <w:r w:rsidRPr="003C38D8">
        <w:t xml:space="preserve">The data support the weight-based dosing regimen for paediatric PNH patients over the body weight range studied (paediatric PNH patients with body weights ranging from 36.7 to 72.0 kg </w:t>
      </w:r>
      <w:r w:rsidR="00FD0821">
        <w:t>at Baseline</w:t>
      </w:r>
      <w:r w:rsidRPr="003C38D8">
        <w:t>).</w:t>
      </w:r>
    </w:p>
    <w:p w14:paraId="2509A4AF" w14:textId="658841D6" w:rsidR="00AA678E" w:rsidRDefault="00AA678E" w:rsidP="00AA678E">
      <w:pPr>
        <w:pStyle w:val="Heading5"/>
      </w:pPr>
      <w:bookmarkStart w:id="80" w:name="_Ref135398480"/>
      <w:r w:rsidRPr="00AA53F4">
        <w:lastRenderedPageBreak/>
        <w:t>Pharmacodynamics</w:t>
      </w:r>
      <w:bookmarkEnd w:id="80"/>
    </w:p>
    <w:p w14:paraId="2382D125" w14:textId="77777777" w:rsidR="008169AB" w:rsidRDefault="00AA678E" w:rsidP="00AA678E">
      <w:r w:rsidRPr="009E4D2B">
        <w:t xml:space="preserve">In adult aHUS patients, immediate and complete inhibition of terminal complement (free C5 serum concentration </w:t>
      </w:r>
      <w:r w:rsidR="008169AB">
        <w:t>less than</w:t>
      </w:r>
      <w:r w:rsidRPr="009E4D2B">
        <w:t xml:space="preserve"> 0.5 µg/mL) was observed by the end of the first ravulizumab infusion and sustained throughout the </w:t>
      </w:r>
      <w:r w:rsidR="008169AB">
        <w:t>i</w:t>
      </w:r>
      <w:r w:rsidRPr="009E4D2B">
        <w:t xml:space="preserve">nitial </w:t>
      </w:r>
      <w:r w:rsidR="008169AB">
        <w:t>e</w:t>
      </w:r>
      <w:r w:rsidRPr="009E4D2B">
        <w:t xml:space="preserve">valuation </w:t>
      </w:r>
      <w:r w:rsidR="008169AB">
        <w:t>p</w:t>
      </w:r>
      <w:r w:rsidRPr="009E4D2B">
        <w:t xml:space="preserve">eriod and during the </w:t>
      </w:r>
      <w:r w:rsidR="008169AB">
        <w:t>e</w:t>
      </w:r>
      <w:r w:rsidRPr="009E4D2B">
        <w:t xml:space="preserve">xtension </w:t>
      </w:r>
      <w:r w:rsidR="008169AB">
        <w:t>p</w:t>
      </w:r>
      <w:r w:rsidRPr="009E4D2B">
        <w:t xml:space="preserve">eriod, with </w:t>
      </w:r>
      <w:r w:rsidR="008169AB">
        <w:t>more than</w:t>
      </w:r>
      <w:r w:rsidRPr="009E4D2B">
        <w:t xml:space="preserve"> 99.5% all collected serum free C5 samples ≤ 0.5 </w:t>
      </w:r>
      <w:proofErr w:type="spellStart"/>
      <w:r w:rsidRPr="009E4D2B">
        <w:t>μg</w:t>
      </w:r>
      <w:proofErr w:type="spellEnd"/>
      <w:r w:rsidRPr="009E4D2B">
        <w:t>/</w:t>
      </w:r>
      <w:proofErr w:type="spellStart"/>
      <w:r w:rsidRPr="009E4D2B">
        <w:t>mL.</w:t>
      </w:r>
      <w:proofErr w:type="spellEnd"/>
    </w:p>
    <w:p w14:paraId="62C9FDA0" w14:textId="655CA2B7" w:rsidR="00AA678E" w:rsidRPr="009E4D2B" w:rsidRDefault="00AA678E" w:rsidP="00AA678E">
      <w:r w:rsidRPr="009E4D2B">
        <w:t>In paediatric patients with aHUS, complete terminal complement inhibition was sustained</w:t>
      </w:r>
      <w:r w:rsidRPr="009E4D2B">
        <w:rPr>
          <w:rFonts w:eastAsia="TimesNewRoman" w:cs="Calibri"/>
          <w:bCs/>
        </w:rPr>
        <w:t xml:space="preserve"> throughout the entire treatment period</w:t>
      </w:r>
      <w:r w:rsidRPr="009E4D2B">
        <w:t xml:space="preserve"> in </w:t>
      </w:r>
      <w:r w:rsidRPr="009E4D2B">
        <w:rPr>
          <w:rFonts w:eastAsia="Times New Roman"/>
          <w:szCs w:val="24"/>
          <w:lang w:eastAsia="en-AU"/>
        </w:rPr>
        <w:t>complement inhibitor treatment-</w:t>
      </w:r>
      <w:r w:rsidR="00446075">
        <w:rPr>
          <w:rFonts w:eastAsia="Times New Roman"/>
          <w:szCs w:val="24"/>
          <w:lang w:eastAsia="en-AU"/>
        </w:rPr>
        <w:t>naive</w:t>
      </w:r>
      <w:r w:rsidRPr="009E4D2B">
        <w:rPr>
          <w:rFonts w:eastAsia="Times New Roman"/>
          <w:szCs w:val="24"/>
          <w:lang w:eastAsia="en-AU"/>
        </w:rPr>
        <w:t xml:space="preserve"> patients and eculizumab-experienced patients.</w:t>
      </w:r>
    </w:p>
    <w:p w14:paraId="7A13E0DA" w14:textId="199ED6D4" w:rsidR="00AA678E" w:rsidRDefault="00AA678E" w:rsidP="00AA678E">
      <w:r w:rsidRPr="009E4D2B">
        <w:t>In paediatric patients with PNH, c</w:t>
      </w:r>
      <w:r w:rsidRPr="009E4D2B">
        <w:rPr>
          <w:rFonts w:eastAsia="Times New Roman"/>
          <w:szCs w:val="24"/>
          <w:lang w:eastAsia="en-AU"/>
        </w:rPr>
        <w:t xml:space="preserve">omplete terminal complement inhibition was observed </w:t>
      </w:r>
      <w:r w:rsidR="00FD0821">
        <w:rPr>
          <w:rFonts w:eastAsia="Times New Roman"/>
          <w:szCs w:val="24"/>
          <w:lang w:eastAsia="en-AU"/>
        </w:rPr>
        <w:t>at Baseline</w:t>
      </w:r>
      <w:r w:rsidRPr="009E4D2B">
        <w:rPr>
          <w:rFonts w:eastAsia="Times New Roman"/>
          <w:szCs w:val="24"/>
          <w:lang w:eastAsia="en-AU"/>
        </w:rPr>
        <w:t xml:space="preserve"> in eculizumab-experienced patients and by the end of the first ravulizumab infusion in complement inhibitor treatment-</w:t>
      </w:r>
      <w:r w:rsidR="00446075">
        <w:rPr>
          <w:rFonts w:eastAsia="Times New Roman"/>
          <w:szCs w:val="24"/>
          <w:lang w:eastAsia="en-AU"/>
        </w:rPr>
        <w:t>naive</w:t>
      </w:r>
      <w:r w:rsidRPr="009E4D2B">
        <w:rPr>
          <w:rFonts w:eastAsia="Times New Roman"/>
          <w:szCs w:val="24"/>
          <w:lang w:eastAsia="en-AU"/>
        </w:rPr>
        <w:t xml:space="preserve"> </w:t>
      </w:r>
      <w:r w:rsidR="004B3190" w:rsidRPr="009E4D2B">
        <w:rPr>
          <w:rFonts w:eastAsia="Times New Roman"/>
          <w:szCs w:val="24"/>
          <w:lang w:eastAsia="en-AU"/>
        </w:rPr>
        <w:t>patients and</w:t>
      </w:r>
      <w:r w:rsidRPr="009E4D2B">
        <w:rPr>
          <w:rFonts w:eastAsia="Times New Roman"/>
          <w:szCs w:val="24"/>
          <w:lang w:eastAsia="en-AU"/>
        </w:rPr>
        <w:t xml:space="preserve"> sustained throughout the </w:t>
      </w:r>
      <w:r w:rsidR="008169AB">
        <w:rPr>
          <w:rFonts w:eastAsia="Times New Roman"/>
          <w:szCs w:val="24"/>
          <w:lang w:eastAsia="en-AU"/>
        </w:rPr>
        <w:t>p</w:t>
      </w:r>
      <w:r w:rsidRPr="009E4D2B">
        <w:rPr>
          <w:rFonts w:eastAsia="Times New Roman"/>
          <w:szCs w:val="24"/>
          <w:lang w:eastAsia="en-AU"/>
        </w:rPr>
        <w:t xml:space="preserve">rimary </w:t>
      </w:r>
      <w:r w:rsidR="008169AB">
        <w:rPr>
          <w:rFonts w:eastAsia="Times New Roman"/>
          <w:szCs w:val="24"/>
          <w:lang w:eastAsia="en-AU"/>
        </w:rPr>
        <w:t>e</w:t>
      </w:r>
      <w:r w:rsidRPr="009E4D2B">
        <w:rPr>
          <w:rFonts w:eastAsia="Times New Roman"/>
          <w:szCs w:val="24"/>
          <w:lang w:eastAsia="en-AU"/>
        </w:rPr>
        <w:t xml:space="preserve">valuation </w:t>
      </w:r>
      <w:r w:rsidR="008169AB">
        <w:rPr>
          <w:rFonts w:eastAsia="Times New Roman"/>
          <w:szCs w:val="24"/>
          <w:lang w:eastAsia="en-AU"/>
        </w:rPr>
        <w:t>p</w:t>
      </w:r>
      <w:r w:rsidRPr="009E4D2B">
        <w:rPr>
          <w:rFonts w:eastAsia="Times New Roman"/>
          <w:szCs w:val="24"/>
          <w:lang w:eastAsia="en-AU"/>
        </w:rPr>
        <w:t>eriod in both groups</w:t>
      </w:r>
      <w:r w:rsidRPr="009E4D2B">
        <w:t>.</w:t>
      </w:r>
    </w:p>
    <w:p w14:paraId="67A60374" w14:textId="74B5EADC" w:rsidR="00AA678E" w:rsidRDefault="00AA678E" w:rsidP="00AA678E">
      <w:r w:rsidRPr="00E97BBE">
        <w:t xml:space="preserve">Among aHUS </w:t>
      </w:r>
      <w:r>
        <w:t>adult</w:t>
      </w:r>
      <w:r w:rsidRPr="00E97BBE">
        <w:t xml:space="preserve"> and paediatric patients, </w:t>
      </w:r>
      <w:r w:rsidR="008169AB">
        <w:t>one</w:t>
      </w:r>
      <w:r w:rsidRPr="00E97BBE">
        <w:t xml:space="preserve"> treatment-emergent </w:t>
      </w:r>
      <w:r w:rsidR="003C38D8">
        <w:t>anti-drug antibodies</w:t>
      </w:r>
      <w:r w:rsidRPr="00E97BBE">
        <w:t xml:space="preserve"> positive result was observed in a complement inhibitor-</w:t>
      </w:r>
      <w:r w:rsidR="00446075">
        <w:t>naive</w:t>
      </w:r>
      <w:r w:rsidRPr="00E97BBE">
        <w:t xml:space="preserve"> adult aHUS patient on Day 68 with a low </w:t>
      </w:r>
      <w:r w:rsidR="008560C2" w:rsidRPr="00E97BBE">
        <w:t>titre</w:t>
      </w:r>
      <w:r w:rsidRPr="00E97BBE">
        <w:t xml:space="preserve"> (&lt; 1:1), no evidence of neutralisation, and no apparent impact on </w:t>
      </w:r>
      <w:r w:rsidR="008169AB">
        <w:t>pharmacokinetics/ pharmacodynamics</w:t>
      </w:r>
      <w:r w:rsidRPr="00E97BBE">
        <w:t xml:space="preserve">, </w:t>
      </w:r>
      <w:proofErr w:type="gramStart"/>
      <w:r w:rsidRPr="00E97BBE">
        <w:t>safety</w:t>
      </w:r>
      <w:proofErr w:type="gramEnd"/>
      <w:r w:rsidRPr="00E97BBE">
        <w:t xml:space="preserve"> or efficacy. No paediatric PNH patients developed </w:t>
      </w:r>
      <w:r w:rsidR="003C38D8">
        <w:t xml:space="preserve">anti-drug antibodies </w:t>
      </w:r>
      <w:r w:rsidRPr="00E97BBE">
        <w:t xml:space="preserve">to ravulizumab at any time during the </w:t>
      </w:r>
      <w:r w:rsidR="008169AB">
        <w:t>p</w:t>
      </w:r>
      <w:r w:rsidRPr="00E97BBE">
        <w:t xml:space="preserve">rimary </w:t>
      </w:r>
      <w:r w:rsidR="008169AB">
        <w:t>e</w:t>
      </w:r>
      <w:r w:rsidRPr="00E97BBE">
        <w:t xml:space="preserve">valuation </w:t>
      </w:r>
      <w:r w:rsidR="008169AB">
        <w:t>p</w:t>
      </w:r>
      <w:r w:rsidRPr="00E97BBE">
        <w:t>eriod.</w:t>
      </w:r>
    </w:p>
    <w:p w14:paraId="24C319F1" w14:textId="1C9EC222" w:rsidR="00856026" w:rsidRPr="004B3190" w:rsidRDefault="00AA678E" w:rsidP="004B3190">
      <w:r w:rsidRPr="004B3190">
        <w:t xml:space="preserve">On review of the </w:t>
      </w:r>
      <w:r w:rsidR="003C38D8" w:rsidRPr="004B3190">
        <w:t>f</w:t>
      </w:r>
      <w:r w:rsidRPr="004B3190">
        <w:t xml:space="preserve">inal </w:t>
      </w:r>
      <w:proofErr w:type="gramStart"/>
      <w:r w:rsidRPr="004B3190">
        <w:t>aHUS</w:t>
      </w:r>
      <w:proofErr w:type="gramEnd"/>
      <w:r w:rsidRPr="004B3190">
        <w:t xml:space="preserve"> </w:t>
      </w:r>
      <w:r w:rsidR="008169AB" w:rsidRPr="004B3190">
        <w:t>population pharmacokinetics r</w:t>
      </w:r>
      <w:r w:rsidRPr="004B3190">
        <w:t xml:space="preserve">eport, the </w:t>
      </w:r>
      <w:r w:rsidR="008169AB" w:rsidRPr="004B3190">
        <w:t>p</w:t>
      </w:r>
      <w:r w:rsidRPr="004B3190">
        <w:t>harmacometrics expert stated no exposure-safety analysis was conducted as there were no clear trends in the frequency of adverse events over quartiles of exposu</w:t>
      </w:r>
      <w:r w:rsidR="003C38D8" w:rsidRPr="004B3190">
        <w:t>re</w:t>
      </w:r>
      <w:r w:rsidRPr="004B3190">
        <w:t>.</w:t>
      </w:r>
    </w:p>
    <w:p w14:paraId="4B4761C3" w14:textId="6440CB46" w:rsidR="00AA678E" w:rsidRDefault="00AA678E" w:rsidP="005E44B2">
      <w:pPr>
        <w:pStyle w:val="Heading4"/>
      </w:pPr>
      <w:bookmarkStart w:id="81" w:name="_Toc135662383"/>
      <w:r w:rsidRPr="005E44B2">
        <w:t>Efficacy</w:t>
      </w:r>
      <w:bookmarkEnd w:id="81"/>
    </w:p>
    <w:p w14:paraId="09135F3F" w14:textId="7790284B" w:rsidR="00893B21" w:rsidRDefault="008169AB" w:rsidP="00893B21">
      <w:pPr>
        <w:pStyle w:val="Heading5"/>
      </w:pPr>
      <w:r w:rsidRPr="008169AB">
        <w:t>Atypical h</w:t>
      </w:r>
      <w:r w:rsidR="00B70E76">
        <w:t>a</w:t>
      </w:r>
      <w:r w:rsidRPr="008169AB">
        <w:t>emolytic uraemic syndrome</w:t>
      </w:r>
    </w:p>
    <w:p w14:paraId="61A6382C" w14:textId="37529E50" w:rsidR="008169AB" w:rsidRDefault="008169AB" w:rsidP="00893B21">
      <w:pPr>
        <w:pStyle w:val="Heading6"/>
      </w:pPr>
      <w:r w:rsidRPr="008169AB">
        <w:t>Study ALXN1210-aHUS-311</w:t>
      </w:r>
    </w:p>
    <w:p w14:paraId="4C673EB1" w14:textId="5B131287" w:rsidR="00856026" w:rsidRDefault="008169AB" w:rsidP="008169AB">
      <w:pPr>
        <w:rPr>
          <w:lang w:eastAsia="ja-JP"/>
        </w:rPr>
      </w:pPr>
      <w:r w:rsidRPr="008169AB">
        <w:t>Study ALXN1210-aHUS-311</w:t>
      </w:r>
      <w:r w:rsidR="008560C2">
        <w:t>;</w:t>
      </w:r>
      <w:r w:rsidR="008560C2">
        <w:rPr>
          <w:rStyle w:val="FootnoteReference"/>
        </w:rPr>
        <w:footnoteReference w:id="15"/>
      </w:r>
      <w:r w:rsidRPr="008169AB">
        <w:t xml:space="preserve"> </w:t>
      </w:r>
      <w:r w:rsidR="00AA678E">
        <w:t xml:space="preserve">is an ongoing </w:t>
      </w:r>
      <w:r w:rsidR="00B8491F">
        <w:t>Phase III</w:t>
      </w:r>
      <w:r w:rsidR="00AA678E">
        <w:t xml:space="preserve">, </w:t>
      </w:r>
      <w:r w:rsidR="00AA678E">
        <w:rPr>
          <w:lang w:eastAsia="ja-JP"/>
        </w:rPr>
        <w:t>open-label, multinational, multicentre, single-arm study to evaluate the safety and efficacy of ravulizumab in complement inhibitor treatment-</w:t>
      </w:r>
      <w:r w:rsidR="00446075">
        <w:rPr>
          <w:lang w:eastAsia="ja-JP"/>
        </w:rPr>
        <w:t>naive</w:t>
      </w:r>
      <w:r w:rsidR="00AA678E">
        <w:rPr>
          <w:lang w:eastAsia="ja-JP"/>
        </w:rPr>
        <w:t xml:space="preserve"> adult and adolescent patients with aHUS.</w:t>
      </w:r>
      <w:r w:rsidR="00AA678E" w:rsidRPr="00DD1BF7">
        <w:rPr>
          <w:lang w:eastAsia="ja-JP"/>
        </w:rPr>
        <w:t xml:space="preserve"> </w:t>
      </w:r>
      <w:r w:rsidR="00AA678E">
        <w:rPr>
          <w:lang w:eastAsia="ja-JP"/>
        </w:rPr>
        <w:t xml:space="preserve">The study comprised a 26-week </w:t>
      </w:r>
      <w:r>
        <w:rPr>
          <w:lang w:eastAsia="ja-JP"/>
        </w:rPr>
        <w:t>i</w:t>
      </w:r>
      <w:r w:rsidR="00AA678E" w:rsidRPr="005F5DDF">
        <w:rPr>
          <w:lang w:eastAsia="ja-JP"/>
        </w:rPr>
        <w:t xml:space="preserve">nitial </w:t>
      </w:r>
      <w:r>
        <w:rPr>
          <w:lang w:eastAsia="ja-JP"/>
        </w:rPr>
        <w:t>e</w:t>
      </w:r>
      <w:r w:rsidR="00AA678E" w:rsidRPr="005F5DDF">
        <w:rPr>
          <w:lang w:eastAsia="ja-JP"/>
        </w:rPr>
        <w:t xml:space="preserve">valuation </w:t>
      </w:r>
      <w:r>
        <w:rPr>
          <w:lang w:eastAsia="ja-JP"/>
        </w:rPr>
        <w:t>p</w:t>
      </w:r>
      <w:r w:rsidR="00AA678E" w:rsidRPr="005F5DDF">
        <w:rPr>
          <w:lang w:eastAsia="ja-JP"/>
        </w:rPr>
        <w:t>eriod</w:t>
      </w:r>
      <w:r w:rsidR="00AA678E">
        <w:rPr>
          <w:lang w:eastAsia="ja-JP"/>
        </w:rPr>
        <w:t xml:space="preserve"> and </w:t>
      </w:r>
      <w:r>
        <w:rPr>
          <w:lang w:eastAsia="ja-JP"/>
        </w:rPr>
        <w:t>e</w:t>
      </w:r>
      <w:r w:rsidR="00AA678E">
        <w:rPr>
          <w:lang w:eastAsia="ja-JP"/>
        </w:rPr>
        <w:t xml:space="preserve">xtension </w:t>
      </w:r>
      <w:r>
        <w:rPr>
          <w:lang w:eastAsia="ja-JP"/>
        </w:rPr>
        <w:t>p</w:t>
      </w:r>
      <w:r w:rsidR="00AA678E">
        <w:rPr>
          <w:lang w:eastAsia="ja-JP"/>
        </w:rPr>
        <w:t>eriod (up to 4.5 years).</w:t>
      </w:r>
    </w:p>
    <w:p w14:paraId="01BF22CE" w14:textId="1E06981B" w:rsidR="00AA678E" w:rsidRDefault="00AA678E" w:rsidP="00AA678E">
      <w:pPr>
        <w:rPr>
          <w:lang w:eastAsia="ja-JP"/>
        </w:rPr>
      </w:pPr>
      <w:r>
        <w:rPr>
          <w:lang w:eastAsia="ja-JP"/>
        </w:rPr>
        <w:t xml:space="preserve">Data were provided for the </w:t>
      </w:r>
      <w:r w:rsidRPr="00E7509A">
        <w:rPr>
          <w:lang w:eastAsia="ja-JP"/>
        </w:rPr>
        <w:t>26-week Initial Evaluation Period</w:t>
      </w:r>
      <w:r>
        <w:rPr>
          <w:lang w:eastAsia="ja-JP"/>
        </w:rPr>
        <w:t xml:space="preserve"> and for patients </w:t>
      </w:r>
      <w:r w:rsidRPr="00E7509A">
        <w:rPr>
          <w:lang w:eastAsia="ja-JP"/>
        </w:rPr>
        <w:t>who had at least</w:t>
      </w:r>
      <w:r w:rsidR="005E44B2">
        <w:rPr>
          <w:lang w:eastAsia="ja-JP"/>
        </w:rPr>
        <w:t xml:space="preserve"> one </w:t>
      </w:r>
      <w:r w:rsidRPr="00E7509A">
        <w:rPr>
          <w:lang w:eastAsia="ja-JP"/>
        </w:rPr>
        <w:t>visit during the Extension Period, including at least 52 weeks of treatment for all ongoing patients</w:t>
      </w:r>
      <w:r>
        <w:rPr>
          <w:lang w:eastAsia="ja-JP"/>
        </w:rPr>
        <w:t xml:space="preserve"> as of the data cut-off date (2</w:t>
      </w:r>
      <w:r w:rsidR="005E44B2">
        <w:rPr>
          <w:lang w:eastAsia="ja-JP"/>
        </w:rPr>
        <w:t xml:space="preserve"> </w:t>
      </w:r>
      <w:r>
        <w:rPr>
          <w:lang w:eastAsia="ja-JP"/>
        </w:rPr>
        <w:t xml:space="preserve">July 2019). </w:t>
      </w:r>
      <w:r w:rsidRPr="00680CC3">
        <w:rPr>
          <w:lang w:eastAsia="ja-JP"/>
        </w:rPr>
        <w:t>The</w:t>
      </w:r>
      <w:r>
        <w:rPr>
          <w:lang w:eastAsia="ja-JP"/>
        </w:rPr>
        <w:t xml:space="preserve"> study design is summarised </w:t>
      </w:r>
      <w:r w:rsidR="00893B21">
        <w:rPr>
          <w:lang w:eastAsia="ja-JP"/>
        </w:rPr>
        <w:t xml:space="preserve">in </w:t>
      </w:r>
      <w:r w:rsidR="00893B21">
        <w:rPr>
          <w:lang w:eastAsia="ja-JP"/>
        </w:rPr>
        <w:fldChar w:fldCharType="begin"/>
      </w:r>
      <w:r w:rsidR="00893B21">
        <w:rPr>
          <w:lang w:eastAsia="ja-JP"/>
        </w:rPr>
        <w:instrText xml:space="preserve"> REF _Ref131420204 \h </w:instrText>
      </w:r>
      <w:r w:rsidR="00893B21">
        <w:rPr>
          <w:lang w:eastAsia="ja-JP"/>
        </w:rPr>
      </w:r>
      <w:r w:rsidR="00893B21">
        <w:rPr>
          <w:lang w:eastAsia="ja-JP"/>
        </w:rPr>
        <w:fldChar w:fldCharType="separate"/>
      </w:r>
      <w:r w:rsidR="004C7A29">
        <w:t xml:space="preserve">Figure </w:t>
      </w:r>
      <w:r w:rsidR="004C7A29">
        <w:rPr>
          <w:noProof/>
        </w:rPr>
        <w:t>6</w:t>
      </w:r>
      <w:r w:rsidR="00893B21">
        <w:rPr>
          <w:lang w:eastAsia="ja-JP"/>
        </w:rPr>
        <w:fldChar w:fldCharType="end"/>
      </w:r>
      <w:r w:rsidR="008560C2">
        <w:rPr>
          <w:lang w:eastAsia="ja-JP"/>
        </w:rPr>
        <w:t>, shown below.</w:t>
      </w:r>
    </w:p>
    <w:p w14:paraId="7EC555D2" w14:textId="2EE0D5DB" w:rsidR="00893B21" w:rsidRDefault="00893B21" w:rsidP="00893B21">
      <w:pPr>
        <w:pStyle w:val="TableTitle"/>
      </w:pPr>
      <w:bookmarkStart w:id="82" w:name="_Ref131420204"/>
      <w:r>
        <w:lastRenderedPageBreak/>
        <w:t xml:space="preserve">Figure </w:t>
      </w:r>
      <w:fldSimple w:instr=" SEQ Figure \* ARABIC ">
        <w:r w:rsidR="004C7A29">
          <w:rPr>
            <w:noProof/>
          </w:rPr>
          <w:t>6</w:t>
        </w:r>
      </w:fldSimple>
      <w:bookmarkEnd w:id="82"/>
      <w:r>
        <w:t xml:space="preserve">: </w:t>
      </w:r>
      <w:r w:rsidRPr="00893B21">
        <w:t>Study ALXN1210-aHUS-311</w:t>
      </w:r>
      <w:r>
        <w:t xml:space="preserve"> Study design</w:t>
      </w:r>
    </w:p>
    <w:p w14:paraId="44EF4F77" w14:textId="2EE456C8" w:rsidR="00893B21" w:rsidRDefault="00893B21" w:rsidP="0005096B">
      <w:pPr>
        <w:rPr>
          <w:lang w:eastAsia="ja-JP"/>
        </w:rPr>
      </w:pPr>
      <w:r w:rsidRPr="00680CC3">
        <w:rPr>
          <w:noProof/>
          <w:lang w:val="en-GB" w:eastAsia="en-GB"/>
        </w:rPr>
        <w:drawing>
          <wp:inline distT="0" distB="0" distL="0" distR="0" wp14:anchorId="3EB25D61" wp14:editId="51187347">
            <wp:extent cx="4882904" cy="1299980"/>
            <wp:effectExtent l="0" t="0" r="0" b="0"/>
            <wp:docPr id="1" name="Picture 1" descr="The figures shows Study ALXN1210-aHUS-311 Study design.  The screening period was up to seven days before the screening period.  The initial evaluation period was 26 weeks long.  It comprised of loading dosing and maintenance dosing from Day 15 and once every 8 weeks.  The extension period was every 8 weeks for up to 4.5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figures shows Study ALXN1210-aHUS-311 Study design.  The screening period was up to seven days before the screening period.  The initial evaluation period was 26 weeks long.  It comprised of loading dosing and maintenance dosing from Day 15 and once every 8 weeks.  The extension period was every 8 weeks for up to 4.5 years. "/>
                    <pic:cNvPicPr/>
                  </pic:nvPicPr>
                  <pic:blipFill>
                    <a:blip r:embed="rId43"/>
                    <a:stretch>
                      <a:fillRect/>
                    </a:stretch>
                  </pic:blipFill>
                  <pic:spPr>
                    <a:xfrm>
                      <a:off x="0" y="0"/>
                      <a:ext cx="4931544" cy="1312929"/>
                    </a:xfrm>
                    <a:prstGeom prst="rect">
                      <a:avLst/>
                    </a:prstGeom>
                  </pic:spPr>
                </pic:pic>
              </a:graphicData>
            </a:graphic>
          </wp:inline>
        </w:drawing>
      </w:r>
    </w:p>
    <w:p w14:paraId="08E1FC6B" w14:textId="44E3C503" w:rsidR="00893B21" w:rsidRDefault="00893B21" w:rsidP="00893B21">
      <w:pPr>
        <w:rPr>
          <w:lang w:eastAsia="ja-JP"/>
        </w:rPr>
      </w:pPr>
      <w:r>
        <w:rPr>
          <w:lang w:eastAsia="ja-JP"/>
        </w:rPr>
        <w:t>The first patient was treated 18 March 2017.</w:t>
      </w:r>
      <w:r w:rsidR="00B9110E">
        <w:rPr>
          <w:lang w:eastAsia="ja-JP"/>
        </w:rPr>
        <w:t xml:space="preserve"> </w:t>
      </w:r>
      <w:r>
        <w:rPr>
          <w:lang w:eastAsia="ja-JP"/>
        </w:rPr>
        <w:t>The extension period data cut-off was 2 July 2019.</w:t>
      </w:r>
      <w:r w:rsidR="00B9110E">
        <w:rPr>
          <w:lang w:eastAsia="ja-JP"/>
        </w:rPr>
        <w:t xml:space="preserve"> </w:t>
      </w:r>
      <w:r>
        <w:rPr>
          <w:lang w:eastAsia="ja-JP"/>
        </w:rPr>
        <w:t xml:space="preserve">The study centres were </w:t>
      </w:r>
      <w:r w:rsidR="005E44B2">
        <w:rPr>
          <w:lang w:eastAsia="ja-JP"/>
        </w:rPr>
        <w:t>across</w:t>
      </w:r>
      <w:r>
        <w:rPr>
          <w:lang w:eastAsia="ja-JP"/>
        </w:rPr>
        <w:t xml:space="preserve"> 41 sites in 14 countries (</w:t>
      </w:r>
      <w:r w:rsidRPr="00893B21">
        <w:rPr>
          <w:lang w:eastAsia="ja-JP"/>
        </w:rPr>
        <w:t xml:space="preserve">Australia, Austria, Belgium, Canada, France, Germany, Italy, Japan, Korea, Russia, Spain, Taiwan, United </w:t>
      </w:r>
      <w:proofErr w:type="gramStart"/>
      <w:r w:rsidRPr="00893B21">
        <w:rPr>
          <w:lang w:eastAsia="ja-JP"/>
        </w:rPr>
        <w:t>Kingdom</w:t>
      </w:r>
      <w:proofErr w:type="gramEnd"/>
      <w:r w:rsidRPr="00893B21">
        <w:rPr>
          <w:lang w:eastAsia="ja-JP"/>
        </w:rPr>
        <w:t xml:space="preserve"> and the United States).</w:t>
      </w:r>
    </w:p>
    <w:p w14:paraId="681FCBBE" w14:textId="42F0A86E" w:rsidR="00893B21" w:rsidRDefault="00893B21" w:rsidP="00893B21">
      <w:pPr>
        <w:rPr>
          <w:lang w:eastAsia="ja-JP"/>
        </w:rPr>
      </w:pPr>
      <w:r>
        <w:rPr>
          <w:lang w:eastAsia="ja-JP"/>
        </w:rPr>
        <w:t>All patients r</w:t>
      </w:r>
      <w:r w:rsidRPr="00893B21">
        <w:rPr>
          <w:lang w:eastAsia="ja-JP"/>
        </w:rPr>
        <w:t>eceived ravulizumab loading dose on Day 1 and weight-based maintenance dosing on Day 15 and once every eight weeks th</w:t>
      </w:r>
      <w:r>
        <w:rPr>
          <w:lang w:eastAsia="ja-JP"/>
        </w:rPr>
        <w:t xml:space="preserve">ereafter as per </w:t>
      </w:r>
      <w:r>
        <w:rPr>
          <w:lang w:eastAsia="ja-JP"/>
        </w:rPr>
        <w:fldChar w:fldCharType="begin"/>
      </w:r>
      <w:r>
        <w:rPr>
          <w:lang w:eastAsia="ja-JP"/>
        </w:rPr>
        <w:instrText xml:space="preserve"> REF _Ref131420204 \h </w:instrText>
      </w:r>
      <w:r>
        <w:rPr>
          <w:lang w:eastAsia="ja-JP"/>
        </w:rPr>
      </w:r>
      <w:r>
        <w:rPr>
          <w:lang w:eastAsia="ja-JP"/>
        </w:rPr>
        <w:fldChar w:fldCharType="separate"/>
      </w:r>
      <w:r w:rsidR="004C7A29">
        <w:t xml:space="preserve">Figure </w:t>
      </w:r>
      <w:r w:rsidR="004C7A29">
        <w:rPr>
          <w:noProof/>
        </w:rPr>
        <w:t>6</w:t>
      </w:r>
      <w:r>
        <w:rPr>
          <w:lang w:eastAsia="ja-JP"/>
        </w:rPr>
        <w:fldChar w:fldCharType="end"/>
      </w:r>
      <w:r w:rsidRPr="00893B21">
        <w:rPr>
          <w:lang w:eastAsia="ja-JP"/>
        </w:rPr>
        <w:t>.</w:t>
      </w:r>
    </w:p>
    <w:p w14:paraId="4822A744" w14:textId="234D8BA2" w:rsidR="00893B21" w:rsidRDefault="007B4C10" w:rsidP="00893B21">
      <w:pPr>
        <w:pStyle w:val="Heading7"/>
        <w:rPr>
          <w:lang w:eastAsia="ja-JP"/>
        </w:rPr>
      </w:pPr>
      <w:bookmarkStart w:id="83" w:name="_Ref135313859"/>
      <w:r>
        <w:rPr>
          <w:lang w:eastAsia="ja-JP"/>
        </w:rPr>
        <w:t>Inclusion and exclusion</w:t>
      </w:r>
      <w:r w:rsidR="00893B21" w:rsidRPr="00893B21">
        <w:rPr>
          <w:lang w:eastAsia="ja-JP"/>
        </w:rPr>
        <w:t xml:space="preserve"> criteria</w:t>
      </w:r>
      <w:bookmarkEnd w:id="83"/>
    </w:p>
    <w:p w14:paraId="069ECDE9" w14:textId="78F377EE" w:rsidR="005E44B2" w:rsidRPr="005E44B2" w:rsidRDefault="005E44B2" w:rsidP="005E44B2">
      <w:pPr>
        <w:rPr>
          <w:lang w:eastAsia="ja-JP"/>
        </w:rPr>
      </w:pPr>
      <w:r>
        <w:rPr>
          <w:lang w:eastAsia="ja-JP"/>
        </w:rPr>
        <w:t>The main inclusion criteria were:</w:t>
      </w:r>
    </w:p>
    <w:p w14:paraId="31EF63DA" w14:textId="6DA1701C" w:rsidR="00893B21" w:rsidRDefault="007B4C10" w:rsidP="00893B21">
      <w:pPr>
        <w:pStyle w:val="ListBullet"/>
        <w:rPr>
          <w:lang w:eastAsia="ja-JP"/>
        </w:rPr>
      </w:pPr>
      <w:r>
        <w:rPr>
          <w:lang w:eastAsia="ja-JP"/>
        </w:rPr>
        <w:t>A</w:t>
      </w:r>
      <w:r w:rsidR="00893B21">
        <w:rPr>
          <w:lang w:eastAsia="ja-JP"/>
        </w:rPr>
        <w:t>ge ≥ 12 years</w:t>
      </w:r>
    </w:p>
    <w:p w14:paraId="47D66029" w14:textId="4CC2220A" w:rsidR="00893B21" w:rsidRDefault="007B4C10" w:rsidP="00893B21">
      <w:pPr>
        <w:pStyle w:val="ListBullet"/>
        <w:rPr>
          <w:lang w:eastAsia="ja-JP"/>
        </w:rPr>
      </w:pPr>
      <w:r>
        <w:rPr>
          <w:lang w:eastAsia="ja-JP"/>
        </w:rPr>
        <w:t>B</w:t>
      </w:r>
      <w:r w:rsidR="00893B21">
        <w:rPr>
          <w:lang w:eastAsia="ja-JP"/>
        </w:rPr>
        <w:t>ody weight ≥ 40 kg</w:t>
      </w:r>
    </w:p>
    <w:p w14:paraId="0633E70E" w14:textId="060F1AC3" w:rsidR="00893B21" w:rsidRDefault="007B4C10" w:rsidP="00893B21">
      <w:pPr>
        <w:pStyle w:val="ListBullet"/>
        <w:rPr>
          <w:lang w:eastAsia="ja-JP"/>
        </w:rPr>
      </w:pPr>
      <w:r>
        <w:rPr>
          <w:lang w:eastAsia="ja-JP"/>
        </w:rPr>
        <w:t>E</w:t>
      </w:r>
      <w:r w:rsidR="00893B21">
        <w:rPr>
          <w:lang w:eastAsia="ja-JP"/>
        </w:rPr>
        <w:t>vidence of thrombotic microangiopathy (TMA) including thrombocytopenia, evidence of haemolysis, and kidney injury based on:</w:t>
      </w:r>
    </w:p>
    <w:p w14:paraId="1033B59E" w14:textId="3E684F6D" w:rsidR="00893B21" w:rsidRDefault="00893B21" w:rsidP="00893B21">
      <w:pPr>
        <w:pStyle w:val="ListBullet2"/>
        <w:rPr>
          <w:lang w:eastAsia="ja-JP"/>
        </w:rPr>
      </w:pPr>
      <w:r>
        <w:rPr>
          <w:lang w:eastAsia="ja-JP"/>
        </w:rPr>
        <w:t>platelet count &lt; 150,000/μL and</w:t>
      </w:r>
    </w:p>
    <w:p w14:paraId="2ACB2459" w14:textId="18FCE0A9" w:rsidR="00893B21" w:rsidRDefault="00893B21" w:rsidP="00893B21">
      <w:pPr>
        <w:pStyle w:val="ListBullet2"/>
        <w:rPr>
          <w:lang w:eastAsia="ja-JP"/>
        </w:rPr>
      </w:pPr>
      <w:r>
        <w:rPr>
          <w:lang w:eastAsia="ja-JP"/>
        </w:rPr>
        <w:t xml:space="preserve">lactate dehydrogenase (LDH) ≥ 1.5 x </w:t>
      </w:r>
      <w:r w:rsidR="005D4971">
        <w:rPr>
          <w:lang w:eastAsia="ja-JP"/>
        </w:rPr>
        <w:t>upper limit of normal (</w:t>
      </w:r>
      <w:r>
        <w:rPr>
          <w:lang w:eastAsia="ja-JP"/>
        </w:rPr>
        <w:t>ULN</w:t>
      </w:r>
      <w:r w:rsidR="005D4971">
        <w:rPr>
          <w:lang w:eastAsia="ja-JP"/>
        </w:rPr>
        <w:t>)</w:t>
      </w:r>
      <w:r>
        <w:rPr>
          <w:lang w:eastAsia="ja-JP"/>
        </w:rPr>
        <w:t xml:space="preserve"> and haemoglobin (Hb) ≤ </w:t>
      </w:r>
      <w:r w:rsidR="005D4971">
        <w:rPr>
          <w:lang w:eastAsia="ja-JP"/>
        </w:rPr>
        <w:t xml:space="preserve">lower limit of normal </w:t>
      </w:r>
      <w:r>
        <w:rPr>
          <w:lang w:eastAsia="ja-JP"/>
        </w:rPr>
        <w:t>for age and gender and</w:t>
      </w:r>
    </w:p>
    <w:p w14:paraId="21D8D8D3" w14:textId="224F6D6E" w:rsidR="00893B21" w:rsidRDefault="00893B21" w:rsidP="00893B21">
      <w:pPr>
        <w:pStyle w:val="ListBullet2"/>
        <w:rPr>
          <w:lang w:eastAsia="ja-JP"/>
        </w:rPr>
      </w:pPr>
      <w:r>
        <w:rPr>
          <w:lang w:eastAsia="ja-JP"/>
        </w:rPr>
        <w:t>serum creatinine ≥ ULN in adults or ≥ 97.5th percentile for adolescent</w:t>
      </w:r>
    </w:p>
    <w:p w14:paraId="5BE9EAC4" w14:textId="00F5F4C4" w:rsidR="00893B21" w:rsidRDefault="007B4C10" w:rsidP="00893B21">
      <w:pPr>
        <w:pStyle w:val="ListBullet"/>
        <w:rPr>
          <w:lang w:eastAsia="ja-JP"/>
        </w:rPr>
      </w:pPr>
      <w:r>
        <w:rPr>
          <w:lang w:eastAsia="ja-JP"/>
        </w:rPr>
        <w:t>V</w:t>
      </w:r>
      <w:r w:rsidR="00893B21">
        <w:rPr>
          <w:lang w:eastAsia="ja-JP"/>
        </w:rPr>
        <w:t xml:space="preserve">accination against meningococcal infections (and </w:t>
      </w:r>
      <w:r w:rsidR="00893B21" w:rsidRPr="0035187D">
        <w:rPr>
          <w:i/>
          <w:lang w:eastAsia="ja-JP"/>
        </w:rPr>
        <w:t>Haemophilus influenzae</w:t>
      </w:r>
      <w:r w:rsidR="00893B21">
        <w:rPr>
          <w:lang w:eastAsia="ja-JP"/>
        </w:rPr>
        <w:t xml:space="preserve"> type b (Hib) and </w:t>
      </w:r>
      <w:r w:rsidR="00893B21" w:rsidRPr="0035187D">
        <w:rPr>
          <w:i/>
          <w:lang w:eastAsia="ja-JP"/>
        </w:rPr>
        <w:t>Streptococcus pneumoniae</w:t>
      </w:r>
      <w:r w:rsidR="00893B21">
        <w:rPr>
          <w:lang w:eastAsia="ja-JP"/>
        </w:rPr>
        <w:t xml:space="preserve"> if less than 18 years of age</w:t>
      </w:r>
    </w:p>
    <w:p w14:paraId="215EDA9A" w14:textId="129E3430" w:rsidR="007B4C10" w:rsidRDefault="007B4C10" w:rsidP="007B4C10">
      <w:pPr>
        <w:pStyle w:val="ListBullet"/>
        <w:numPr>
          <w:ilvl w:val="0"/>
          <w:numId w:val="0"/>
        </w:numPr>
        <w:rPr>
          <w:lang w:eastAsia="ja-JP"/>
        </w:rPr>
      </w:pPr>
      <w:r>
        <w:rPr>
          <w:lang w:eastAsia="ja-JP"/>
        </w:rPr>
        <w:t>The main exclusion criteria were:</w:t>
      </w:r>
    </w:p>
    <w:p w14:paraId="4BD7CBDE" w14:textId="134DE5B7" w:rsidR="002C3BD7" w:rsidRDefault="002C3BD7" w:rsidP="002C3BD7">
      <w:pPr>
        <w:pStyle w:val="ListBullet"/>
        <w:rPr>
          <w:lang w:eastAsia="ja-JP"/>
        </w:rPr>
      </w:pPr>
      <w:r>
        <w:rPr>
          <w:lang w:eastAsia="ja-JP"/>
        </w:rPr>
        <w:t xml:space="preserve">ADAMTS13 (a </w:t>
      </w:r>
      <w:proofErr w:type="spellStart"/>
      <w:r>
        <w:rPr>
          <w:lang w:eastAsia="ja-JP"/>
        </w:rPr>
        <w:t>disintegrin</w:t>
      </w:r>
      <w:proofErr w:type="spellEnd"/>
      <w:r>
        <w:rPr>
          <w:lang w:eastAsia="ja-JP"/>
        </w:rPr>
        <w:t xml:space="preserve"> and metalloproteinase with a thrombospondin type 1 motif, member 13) deficiency</w:t>
      </w:r>
    </w:p>
    <w:p w14:paraId="30B4E189" w14:textId="737BAE75" w:rsidR="002C3BD7" w:rsidRDefault="002C3BD7" w:rsidP="002C3BD7">
      <w:pPr>
        <w:pStyle w:val="ListBullet"/>
        <w:rPr>
          <w:lang w:eastAsia="ja-JP"/>
        </w:rPr>
      </w:pPr>
      <w:r>
        <w:rPr>
          <w:lang w:eastAsia="ja-JP"/>
        </w:rPr>
        <w:t>Shiga toxin-related HUS</w:t>
      </w:r>
    </w:p>
    <w:p w14:paraId="263D0F1A" w14:textId="18C6B51F" w:rsidR="002C3BD7" w:rsidRDefault="007B4C10" w:rsidP="002C3BD7">
      <w:pPr>
        <w:pStyle w:val="ListBullet"/>
        <w:rPr>
          <w:lang w:eastAsia="ja-JP"/>
        </w:rPr>
      </w:pPr>
      <w:r>
        <w:rPr>
          <w:lang w:eastAsia="ja-JP"/>
        </w:rPr>
        <w:t>P</w:t>
      </w:r>
      <w:r w:rsidR="002C3BD7">
        <w:rPr>
          <w:lang w:eastAsia="ja-JP"/>
        </w:rPr>
        <w:t xml:space="preserve">ositive direct </w:t>
      </w:r>
      <w:proofErr w:type="gramStart"/>
      <w:r w:rsidR="002C3BD7">
        <w:rPr>
          <w:lang w:eastAsia="ja-JP"/>
        </w:rPr>
        <w:t>Coombs</w:t>
      </w:r>
      <w:proofErr w:type="gramEnd"/>
      <w:r w:rsidR="002C3BD7">
        <w:rPr>
          <w:lang w:eastAsia="ja-JP"/>
        </w:rPr>
        <w:t xml:space="preserve"> test</w:t>
      </w:r>
    </w:p>
    <w:p w14:paraId="0F79131E" w14:textId="38AF1C5D" w:rsidR="002C3BD7" w:rsidRDefault="007B4C10" w:rsidP="002C3BD7">
      <w:pPr>
        <w:pStyle w:val="ListBullet"/>
        <w:rPr>
          <w:lang w:eastAsia="ja-JP"/>
        </w:rPr>
      </w:pPr>
      <w:r>
        <w:rPr>
          <w:lang w:eastAsia="ja-JP"/>
        </w:rPr>
        <w:t>I</w:t>
      </w:r>
      <w:r w:rsidR="002C3BD7">
        <w:rPr>
          <w:lang w:eastAsia="ja-JP"/>
        </w:rPr>
        <w:t>dentified drug exposure-related HUS</w:t>
      </w:r>
    </w:p>
    <w:p w14:paraId="32DF21FE" w14:textId="54EF19A1" w:rsidR="002C3BD7" w:rsidRDefault="002C3BD7" w:rsidP="002C3BD7">
      <w:pPr>
        <w:pStyle w:val="ListBullet"/>
        <w:rPr>
          <w:lang w:eastAsia="ja-JP"/>
        </w:rPr>
      </w:pPr>
      <w:r>
        <w:rPr>
          <w:lang w:eastAsia="ja-JP"/>
        </w:rPr>
        <w:t>HUS due to a known genetic defects of cobalamin C metabolism</w:t>
      </w:r>
    </w:p>
    <w:p w14:paraId="3527DAAD" w14:textId="1A7191B7" w:rsidR="002C3BD7" w:rsidRDefault="007B4C10" w:rsidP="002C3BD7">
      <w:pPr>
        <w:pStyle w:val="ListBullet"/>
        <w:rPr>
          <w:lang w:eastAsia="ja-JP"/>
        </w:rPr>
      </w:pPr>
      <w:r>
        <w:rPr>
          <w:lang w:eastAsia="ja-JP"/>
        </w:rPr>
        <w:t>K</w:t>
      </w:r>
      <w:r w:rsidR="002C3BD7">
        <w:rPr>
          <w:lang w:eastAsia="ja-JP"/>
        </w:rPr>
        <w:t>idney disease other than aHUS</w:t>
      </w:r>
    </w:p>
    <w:p w14:paraId="54FCEAAD" w14:textId="37FE2005" w:rsidR="002C3BD7" w:rsidRDefault="007B4C10" w:rsidP="002C3BD7">
      <w:pPr>
        <w:pStyle w:val="ListBullet"/>
        <w:rPr>
          <w:lang w:eastAsia="ja-JP"/>
        </w:rPr>
      </w:pPr>
      <w:r>
        <w:rPr>
          <w:lang w:eastAsia="ja-JP"/>
        </w:rPr>
        <w:t>C</w:t>
      </w:r>
      <w:r w:rsidR="002C3BD7">
        <w:rPr>
          <w:lang w:eastAsia="ja-JP"/>
        </w:rPr>
        <w:t>hronic dialysis</w:t>
      </w:r>
    </w:p>
    <w:p w14:paraId="05C3C1CC" w14:textId="68A5EBAF" w:rsidR="002C3BD7" w:rsidRDefault="007B4C10" w:rsidP="002C3BD7">
      <w:pPr>
        <w:pStyle w:val="ListBullet"/>
        <w:rPr>
          <w:lang w:eastAsia="ja-JP"/>
        </w:rPr>
      </w:pPr>
      <w:r>
        <w:rPr>
          <w:lang w:eastAsia="ja-JP"/>
        </w:rPr>
        <w:t>P</w:t>
      </w:r>
      <w:r w:rsidR="002C3BD7">
        <w:rPr>
          <w:lang w:eastAsia="ja-JP"/>
        </w:rPr>
        <w:t>lasma exchange/plasma infusion ≥ 28 days prior to screening</w:t>
      </w:r>
    </w:p>
    <w:p w14:paraId="41EE6582" w14:textId="44C80874" w:rsidR="002C3BD7" w:rsidRDefault="007B4C10" w:rsidP="002C3BD7">
      <w:pPr>
        <w:pStyle w:val="ListBullet"/>
        <w:rPr>
          <w:lang w:eastAsia="ja-JP"/>
        </w:rPr>
      </w:pPr>
      <w:r>
        <w:rPr>
          <w:lang w:eastAsia="ja-JP"/>
        </w:rPr>
        <w:t>P</w:t>
      </w:r>
      <w:r w:rsidR="002C3BD7">
        <w:rPr>
          <w:lang w:eastAsia="ja-JP"/>
        </w:rPr>
        <w:t>rior use of complement inhibitors</w:t>
      </w:r>
    </w:p>
    <w:p w14:paraId="71B9011E" w14:textId="188FE9BD" w:rsidR="002C3BD7" w:rsidRDefault="007B4C10" w:rsidP="002C3BD7">
      <w:pPr>
        <w:pStyle w:val="ListBullet"/>
        <w:rPr>
          <w:lang w:eastAsia="ja-JP"/>
        </w:rPr>
      </w:pPr>
      <w:r>
        <w:rPr>
          <w:lang w:eastAsia="ja-JP"/>
        </w:rPr>
        <w:lastRenderedPageBreak/>
        <w:t>C</w:t>
      </w:r>
      <w:r w:rsidR="002C3BD7">
        <w:rPr>
          <w:lang w:eastAsia="ja-JP"/>
        </w:rPr>
        <w:t>hronic</w:t>
      </w:r>
      <w:r>
        <w:rPr>
          <w:lang w:eastAsia="ja-JP"/>
        </w:rPr>
        <w:t xml:space="preserve"> intravenous immune globin (</w:t>
      </w:r>
      <w:r w:rsidR="002C3BD7">
        <w:rPr>
          <w:lang w:eastAsia="ja-JP"/>
        </w:rPr>
        <w:t>IVIg</w:t>
      </w:r>
      <w:r>
        <w:rPr>
          <w:lang w:eastAsia="ja-JP"/>
        </w:rPr>
        <w:t>)</w:t>
      </w:r>
      <w:r w:rsidR="002C3BD7">
        <w:rPr>
          <w:lang w:eastAsia="ja-JP"/>
        </w:rPr>
        <w:t xml:space="preserve"> within 8 weeks or chronic rituximab within 12</w:t>
      </w:r>
      <w:r>
        <w:rPr>
          <w:lang w:eastAsia="ja-JP"/>
        </w:rPr>
        <w:t> </w:t>
      </w:r>
      <w:r w:rsidR="002C3BD7">
        <w:rPr>
          <w:lang w:eastAsia="ja-JP"/>
        </w:rPr>
        <w:t>weeks of screening</w:t>
      </w:r>
    </w:p>
    <w:p w14:paraId="616CD462" w14:textId="7016A16B" w:rsidR="002C3BD7" w:rsidRDefault="007B4C10" w:rsidP="002C3BD7">
      <w:pPr>
        <w:pStyle w:val="ListBullet"/>
        <w:rPr>
          <w:lang w:eastAsia="ja-JP"/>
        </w:rPr>
      </w:pPr>
      <w:r>
        <w:rPr>
          <w:lang w:eastAsia="ja-JP"/>
        </w:rPr>
        <w:t>O</w:t>
      </w:r>
      <w:r w:rsidR="002C3BD7">
        <w:rPr>
          <w:lang w:eastAsia="ja-JP"/>
        </w:rPr>
        <w:t>ther immunosuppressive therapies unless confirmed anti-complement factor antibodies requiring immunosuppressive therapy</w:t>
      </w:r>
      <w:r>
        <w:rPr>
          <w:lang w:eastAsia="ja-JP"/>
        </w:rPr>
        <w:t xml:space="preserve">, </w:t>
      </w:r>
      <w:r w:rsidR="002C3BD7">
        <w:rPr>
          <w:lang w:eastAsia="ja-JP"/>
        </w:rPr>
        <w:t>part of established post-transplant regimen</w:t>
      </w:r>
      <w:r>
        <w:rPr>
          <w:lang w:eastAsia="ja-JP"/>
        </w:rPr>
        <w:t xml:space="preserve"> or</w:t>
      </w:r>
      <w:r w:rsidR="002C3BD7">
        <w:rPr>
          <w:lang w:eastAsia="ja-JP"/>
        </w:rPr>
        <w:t xml:space="preserve"> steroids for another condition</w:t>
      </w:r>
    </w:p>
    <w:p w14:paraId="271C9071" w14:textId="160CC143" w:rsidR="002C3BD7" w:rsidRDefault="007B4C10" w:rsidP="002C3BD7">
      <w:pPr>
        <w:pStyle w:val="ListBullet"/>
        <w:rPr>
          <w:lang w:eastAsia="ja-JP"/>
        </w:rPr>
      </w:pPr>
      <w:r>
        <w:rPr>
          <w:lang w:eastAsia="ja-JP"/>
        </w:rPr>
        <w:t>H</w:t>
      </w:r>
      <w:r w:rsidR="002C3BD7">
        <w:rPr>
          <w:lang w:eastAsia="ja-JP"/>
        </w:rPr>
        <w:t>istory of heart, lung, small bowel, pancreas, or liver transplant</w:t>
      </w:r>
    </w:p>
    <w:p w14:paraId="0DDDF48E" w14:textId="0B6ABC32" w:rsidR="002C3BD7" w:rsidRDefault="007B4C10" w:rsidP="002C3BD7">
      <w:pPr>
        <w:pStyle w:val="ListBullet"/>
        <w:rPr>
          <w:lang w:eastAsia="ja-JP"/>
        </w:rPr>
      </w:pPr>
      <w:r>
        <w:rPr>
          <w:lang w:eastAsia="ja-JP"/>
        </w:rPr>
        <w:t>B</w:t>
      </w:r>
      <w:r w:rsidR="002C3BD7">
        <w:rPr>
          <w:lang w:eastAsia="ja-JP"/>
        </w:rPr>
        <w:t>one marrow transplant</w:t>
      </w:r>
      <w:r>
        <w:rPr>
          <w:lang w:eastAsia="ja-JP"/>
        </w:rPr>
        <w:t xml:space="preserve"> or</w:t>
      </w:r>
      <w:r w:rsidR="002C3BD7">
        <w:rPr>
          <w:lang w:eastAsia="ja-JP"/>
        </w:rPr>
        <w:t xml:space="preserve"> haematopoietic stem cell transplant within the last 6 months</w:t>
      </w:r>
    </w:p>
    <w:p w14:paraId="20350705" w14:textId="7B09E655" w:rsidR="00893B21" w:rsidRDefault="007B4C10" w:rsidP="002C3BD7">
      <w:pPr>
        <w:pStyle w:val="ListBullet"/>
        <w:rPr>
          <w:lang w:eastAsia="ja-JP"/>
        </w:rPr>
      </w:pPr>
      <w:r>
        <w:rPr>
          <w:lang w:eastAsia="ja-JP"/>
        </w:rPr>
        <w:t>H</w:t>
      </w:r>
      <w:r w:rsidR="002C3BD7">
        <w:rPr>
          <w:lang w:eastAsia="ja-JP"/>
        </w:rPr>
        <w:t xml:space="preserve">istory of malignancy within 5 years (except treated non-melanoma skin cancer, carcinoma </w:t>
      </w:r>
      <w:r w:rsidR="002C3BD7" w:rsidRPr="007B4C10">
        <w:rPr>
          <w:i/>
          <w:iCs/>
          <w:lang w:eastAsia="ja-JP"/>
        </w:rPr>
        <w:t>in situ</w:t>
      </w:r>
      <w:r w:rsidR="002C3BD7">
        <w:rPr>
          <w:lang w:eastAsia="ja-JP"/>
        </w:rPr>
        <w:t xml:space="preserve"> of cervix)</w:t>
      </w:r>
    </w:p>
    <w:p w14:paraId="2B5B8A67" w14:textId="7A099F4E" w:rsidR="002C3BD7" w:rsidRDefault="002C3BD7" w:rsidP="002C3BD7">
      <w:pPr>
        <w:pStyle w:val="Heading7"/>
        <w:rPr>
          <w:lang w:eastAsia="ja-JP"/>
        </w:rPr>
      </w:pPr>
      <w:bookmarkStart w:id="84" w:name="_Ref135313966"/>
      <w:r w:rsidRPr="002C3BD7">
        <w:rPr>
          <w:lang w:eastAsia="ja-JP"/>
        </w:rPr>
        <w:t>Efficacy endpoints</w:t>
      </w:r>
      <w:bookmarkEnd w:id="84"/>
    </w:p>
    <w:p w14:paraId="5CF9B336" w14:textId="3D7498C1" w:rsidR="002C3BD7" w:rsidRDefault="00EB25DE" w:rsidP="002C3BD7">
      <w:pPr>
        <w:rPr>
          <w:lang w:eastAsia="ja-JP"/>
        </w:rPr>
      </w:pPr>
      <w:r>
        <w:rPr>
          <w:lang w:eastAsia="ja-JP"/>
        </w:rPr>
        <w:t>The p</w:t>
      </w:r>
      <w:r w:rsidR="002C3BD7" w:rsidRPr="002C3BD7">
        <w:rPr>
          <w:lang w:eastAsia="ja-JP"/>
        </w:rPr>
        <w:t>rimary endpoint</w:t>
      </w:r>
      <w:r>
        <w:rPr>
          <w:lang w:eastAsia="ja-JP"/>
        </w:rPr>
        <w:t xml:space="preserve">s </w:t>
      </w:r>
      <w:r w:rsidR="004B3190">
        <w:rPr>
          <w:lang w:eastAsia="ja-JP"/>
        </w:rPr>
        <w:t>were</w:t>
      </w:r>
      <w:r>
        <w:rPr>
          <w:lang w:eastAsia="ja-JP"/>
        </w:rPr>
        <w:t xml:space="preserve"> c</w:t>
      </w:r>
      <w:r w:rsidR="002C3BD7" w:rsidRPr="002C3BD7">
        <w:rPr>
          <w:lang w:eastAsia="ja-JP"/>
        </w:rPr>
        <w:t xml:space="preserve">omplete </w:t>
      </w:r>
      <w:r w:rsidR="005F3F4F" w:rsidRPr="005F3F4F">
        <w:rPr>
          <w:lang w:eastAsia="ja-JP"/>
        </w:rPr>
        <w:t>thrombotic microangiopathy</w:t>
      </w:r>
      <w:r w:rsidR="002C3BD7" w:rsidRPr="002C3BD7">
        <w:rPr>
          <w:lang w:eastAsia="ja-JP"/>
        </w:rPr>
        <w:t xml:space="preserve"> </w:t>
      </w:r>
      <w:r w:rsidR="007B4C10">
        <w:rPr>
          <w:lang w:eastAsia="ja-JP"/>
        </w:rPr>
        <w:t>r</w:t>
      </w:r>
      <w:r w:rsidR="002C3BD7" w:rsidRPr="002C3BD7">
        <w:rPr>
          <w:lang w:eastAsia="ja-JP"/>
        </w:rPr>
        <w:t>esponse during the 26</w:t>
      </w:r>
      <w:r w:rsidR="008560C2">
        <w:rPr>
          <w:lang w:eastAsia="ja-JP"/>
        </w:rPr>
        <w:noBreakHyphen/>
      </w:r>
      <w:r w:rsidR="002C3BD7" w:rsidRPr="002C3BD7">
        <w:rPr>
          <w:lang w:eastAsia="ja-JP"/>
        </w:rPr>
        <w:t>week Initial Evaluation Period</w:t>
      </w:r>
      <w:r w:rsidR="008560C2">
        <w:rPr>
          <w:lang w:eastAsia="ja-JP"/>
        </w:rPr>
        <w:t xml:space="preserve">. This was the </w:t>
      </w:r>
      <w:r w:rsidR="002C3BD7" w:rsidRPr="002C3BD7">
        <w:rPr>
          <w:lang w:eastAsia="ja-JP"/>
        </w:rPr>
        <w:t xml:space="preserve">composite of normalisation of platelet count, normalisation of </w:t>
      </w:r>
      <w:r w:rsidR="008560C2">
        <w:rPr>
          <w:lang w:eastAsia="ja-JP"/>
        </w:rPr>
        <w:t>lactate dehydrogenase</w:t>
      </w:r>
      <w:r w:rsidR="008560C2" w:rsidRPr="002C3BD7">
        <w:rPr>
          <w:lang w:eastAsia="ja-JP"/>
        </w:rPr>
        <w:t xml:space="preserve"> </w:t>
      </w:r>
      <w:r w:rsidR="002C3BD7" w:rsidRPr="002C3BD7">
        <w:rPr>
          <w:lang w:eastAsia="ja-JP"/>
        </w:rPr>
        <w:t xml:space="preserve">and ≥ 25% improvement in serum creatinine </w:t>
      </w:r>
      <w:r w:rsidR="00FD0821">
        <w:rPr>
          <w:lang w:eastAsia="ja-JP"/>
        </w:rPr>
        <w:t>at Baseline</w:t>
      </w:r>
      <w:r w:rsidR="002C3BD7" w:rsidRPr="002C3BD7">
        <w:rPr>
          <w:lang w:eastAsia="ja-JP"/>
        </w:rPr>
        <w:t xml:space="preserve"> (for patients on dialysis at </w:t>
      </w:r>
      <w:r w:rsidR="007B4C10">
        <w:rPr>
          <w:lang w:eastAsia="ja-JP"/>
        </w:rPr>
        <w:t>B</w:t>
      </w:r>
      <w:r w:rsidR="002C3BD7" w:rsidRPr="002C3BD7">
        <w:rPr>
          <w:lang w:eastAsia="ja-JP"/>
        </w:rPr>
        <w:t xml:space="preserve">aseline </w:t>
      </w:r>
      <w:r w:rsidR="008560C2">
        <w:rPr>
          <w:lang w:eastAsia="ja-JP"/>
        </w:rPr>
        <w:t>(</w:t>
      </w:r>
      <w:r w:rsidR="002C3BD7" w:rsidRPr="002C3BD7">
        <w:rPr>
          <w:lang w:eastAsia="ja-JP"/>
        </w:rPr>
        <w:t>within 5 days of first dose study drug</w:t>
      </w:r>
      <w:r w:rsidR="008560C2">
        <w:rPr>
          <w:lang w:eastAsia="ja-JP"/>
        </w:rPr>
        <w:t>)</w:t>
      </w:r>
      <w:r w:rsidR="002C3BD7" w:rsidRPr="002C3BD7">
        <w:rPr>
          <w:lang w:eastAsia="ja-JP"/>
        </w:rPr>
        <w:t>, the first valid creatinine value to be used as the baseline value was the first assessment ≥</w:t>
      </w:r>
      <w:r w:rsidR="007B4C10">
        <w:rPr>
          <w:lang w:eastAsia="ja-JP"/>
        </w:rPr>
        <w:t> </w:t>
      </w:r>
      <w:r w:rsidR="002C3BD7" w:rsidRPr="002C3BD7">
        <w:rPr>
          <w:lang w:eastAsia="ja-JP"/>
        </w:rPr>
        <w:t xml:space="preserve">6 days post dialysis). The criteria were to be met at </w:t>
      </w:r>
      <w:r w:rsidR="007B4C10">
        <w:rPr>
          <w:lang w:eastAsia="ja-JP"/>
        </w:rPr>
        <w:t>two</w:t>
      </w:r>
      <w:r w:rsidR="002C3BD7" w:rsidRPr="002C3BD7">
        <w:rPr>
          <w:lang w:eastAsia="ja-JP"/>
        </w:rPr>
        <w:t xml:space="preserve"> separate assessments ≥ 28 days apart and any measurement in between.</w:t>
      </w:r>
    </w:p>
    <w:p w14:paraId="0C22D3F4" w14:textId="6E36B7BC" w:rsidR="002C3BD7" w:rsidRDefault="00EB25DE" w:rsidP="002C3BD7">
      <w:pPr>
        <w:rPr>
          <w:lang w:eastAsia="ja-JP"/>
        </w:rPr>
      </w:pPr>
      <w:r>
        <w:rPr>
          <w:lang w:eastAsia="ja-JP"/>
        </w:rPr>
        <w:t>The s</w:t>
      </w:r>
      <w:r w:rsidR="002C3BD7" w:rsidRPr="002C3BD7">
        <w:rPr>
          <w:lang w:eastAsia="ja-JP"/>
        </w:rPr>
        <w:t>econdary endpoints</w:t>
      </w:r>
      <w:r>
        <w:rPr>
          <w:lang w:eastAsia="ja-JP"/>
        </w:rPr>
        <w:t xml:space="preserve"> were:</w:t>
      </w:r>
    </w:p>
    <w:p w14:paraId="291D1374" w14:textId="377DF3B4" w:rsidR="002C3BD7" w:rsidRPr="007B4C10" w:rsidRDefault="007B4C10" w:rsidP="007B4C10">
      <w:pPr>
        <w:pStyle w:val="ListBullet"/>
      </w:pPr>
      <w:r w:rsidRPr="007B4C10">
        <w:t>T</w:t>
      </w:r>
      <w:r w:rsidR="002C3BD7" w:rsidRPr="007B4C10">
        <w:t xml:space="preserve">ime to </w:t>
      </w:r>
      <w:r w:rsidR="00FD0821">
        <w:t xml:space="preserve">complete </w:t>
      </w:r>
      <w:r w:rsidR="008560C2">
        <w:rPr>
          <w:szCs w:val="22"/>
        </w:rPr>
        <w:t>t</w:t>
      </w:r>
      <w:r w:rsidR="008560C2" w:rsidRPr="001700D5">
        <w:rPr>
          <w:szCs w:val="22"/>
        </w:rPr>
        <w:t>hrombotic microangiopathy</w:t>
      </w:r>
      <w:r w:rsidR="008560C2">
        <w:t xml:space="preserve"> (</w:t>
      </w:r>
      <w:r w:rsidR="00FD0821">
        <w:t>TMA</w:t>
      </w:r>
      <w:r w:rsidR="008560C2">
        <w:t>)</w:t>
      </w:r>
      <w:r w:rsidR="00FD0821">
        <w:t xml:space="preserve"> response</w:t>
      </w:r>
    </w:p>
    <w:p w14:paraId="5B800994" w14:textId="325A32B6" w:rsidR="002C3BD7" w:rsidRPr="007B4C10" w:rsidRDefault="005F3F4F" w:rsidP="007B4C10">
      <w:pPr>
        <w:pStyle w:val="ListBullet"/>
      </w:pPr>
      <w:r>
        <w:t>C</w:t>
      </w:r>
      <w:r w:rsidR="00FD0821">
        <w:t>omplete TMA response</w:t>
      </w:r>
      <w:r w:rsidR="002C3BD7" w:rsidRPr="007B4C10">
        <w:t xml:space="preserve"> status over time</w:t>
      </w:r>
    </w:p>
    <w:p w14:paraId="59FC54B2" w14:textId="3D15072B" w:rsidR="002C3BD7" w:rsidRPr="007B4C10" w:rsidRDefault="002C3BD7" w:rsidP="007B4C10">
      <w:pPr>
        <w:pStyle w:val="ListBullet"/>
      </w:pPr>
      <w:r w:rsidRPr="007B4C10">
        <w:t xml:space="preserve">Observed value and change from baseline in haematologic parameters (platelets, </w:t>
      </w:r>
      <w:r w:rsidR="008560C2">
        <w:t>lactate dehydrogenase</w:t>
      </w:r>
      <w:r w:rsidRPr="007B4C10">
        <w:t xml:space="preserve">, </w:t>
      </w:r>
      <w:r w:rsidR="008560C2">
        <w:t>haemoglobin (</w:t>
      </w:r>
      <w:r w:rsidRPr="007B4C10">
        <w:t>Hb</w:t>
      </w:r>
      <w:r w:rsidR="008560C2">
        <w:t>)</w:t>
      </w:r>
      <w:r w:rsidRPr="007B4C10">
        <w:t>)</w:t>
      </w:r>
    </w:p>
    <w:p w14:paraId="404A1A03" w14:textId="03ADF602" w:rsidR="002C3BD7" w:rsidRPr="007B4C10" w:rsidRDefault="00505493" w:rsidP="007B4C10">
      <w:pPr>
        <w:pStyle w:val="ListBullet"/>
      </w:pPr>
      <w:r w:rsidRPr="007B4C10">
        <w:t>H</w:t>
      </w:r>
      <w:r>
        <w:t>aemoglobin</w:t>
      </w:r>
      <w:r w:rsidR="002C3BD7" w:rsidRPr="007B4C10">
        <w:t xml:space="preserve"> response: Hb increase ≥ 20 g/L from baseline observed at </w:t>
      </w:r>
      <w:r w:rsidR="007B4C10" w:rsidRPr="007B4C10">
        <w:t>two</w:t>
      </w:r>
      <w:r w:rsidR="002C3BD7" w:rsidRPr="007B4C10">
        <w:t xml:space="preserve"> separate assessments ≥ 28</w:t>
      </w:r>
      <w:r w:rsidR="007B4C10" w:rsidRPr="007B4C10">
        <w:t> </w:t>
      </w:r>
      <w:r w:rsidR="002C3BD7" w:rsidRPr="007B4C10">
        <w:t>days apart and any measurements in between</w:t>
      </w:r>
    </w:p>
    <w:p w14:paraId="75D4CDC3" w14:textId="36110CEE" w:rsidR="002C3BD7" w:rsidRPr="007B4C10" w:rsidRDefault="002C3BD7" w:rsidP="007B4C10">
      <w:pPr>
        <w:pStyle w:val="ListBullet"/>
      </w:pPr>
      <w:r w:rsidRPr="007B4C10">
        <w:t>Dialysis requirement</w:t>
      </w:r>
    </w:p>
    <w:p w14:paraId="7FE6A886" w14:textId="6053DF50" w:rsidR="002C3BD7" w:rsidRPr="007B4C10" w:rsidRDefault="002C3BD7" w:rsidP="007B4C10">
      <w:pPr>
        <w:pStyle w:val="ListBullet"/>
      </w:pPr>
      <w:r w:rsidRPr="007B4C10">
        <w:t>Observed value and change from baseline in</w:t>
      </w:r>
      <w:r w:rsidR="007B4C10" w:rsidRPr="007B4C10">
        <w:t xml:space="preserve"> estimated glomerular filtration rate</w:t>
      </w:r>
      <w:r w:rsidRPr="007B4C10">
        <w:t xml:space="preserve"> </w:t>
      </w:r>
      <w:r w:rsidR="007B4C10" w:rsidRPr="007B4C10">
        <w:t>(</w:t>
      </w:r>
      <w:r w:rsidRPr="007B4C10">
        <w:t>eGFR</w:t>
      </w:r>
      <w:r w:rsidR="007B4C10" w:rsidRPr="007B4C10">
        <w:t>)</w:t>
      </w:r>
    </w:p>
    <w:p w14:paraId="4EDC1217" w14:textId="1F742FE2" w:rsidR="002C3BD7" w:rsidRPr="007B4C10" w:rsidRDefault="002C3BD7" w:rsidP="007B4C10">
      <w:pPr>
        <w:pStyle w:val="ListBullet"/>
      </w:pPr>
      <w:r w:rsidRPr="007B4C10">
        <w:t>C</w:t>
      </w:r>
      <w:r w:rsidR="007B4C10">
        <w:t>hronic kidney disease (CKD)</w:t>
      </w:r>
      <w:r w:rsidRPr="007B4C10">
        <w:t xml:space="preserve"> stage compared to baseline</w:t>
      </w:r>
    </w:p>
    <w:p w14:paraId="35970911" w14:textId="41CB390F" w:rsidR="002C3BD7" w:rsidRPr="007B4C10" w:rsidRDefault="002C3BD7" w:rsidP="007B4C10">
      <w:pPr>
        <w:pStyle w:val="ListBullet"/>
      </w:pPr>
      <w:r w:rsidRPr="007B4C10">
        <w:t xml:space="preserve">Change from baseline in </w:t>
      </w:r>
      <w:r w:rsidR="007B4C10">
        <w:t>quality of life</w:t>
      </w:r>
    </w:p>
    <w:p w14:paraId="02BE93A6" w14:textId="695BC3E2" w:rsidR="002C3BD7" w:rsidRDefault="002C3BD7" w:rsidP="002C3BD7">
      <w:pPr>
        <w:pStyle w:val="Heading7"/>
        <w:rPr>
          <w:lang w:eastAsia="ja-JP"/>
        </w:rPr>
      </w:pPr>
      <w:r w:rsidRPr="002C3BD7">
        <w:rPr>
          <w:lang w:eastAsia="ja-JP"/>
        </w:rPr>
        <w:t>Statistical methods</w:t>
      </w:r>
    </w:p>
    <w:p w14:paraId="486901F3" w14:textId="18FAC403" w:rsidR="002C3BD7" w:rsidRDefault="002C3BD7" w:rsidP="00FE2164">
      <w:pPr>
        <w:rPr>
          <w:lang w:eastAsia="ja-JP"/>
        </w:rPr>
      </w:pPr>
      <w:r w:rsidRPr="002C3BD7">
        <w:rPr>
          <w:lang w:eastAsia="ja-JP"/>
        </w:rPr>
        <w:t xml:space="preserve">This was an estimation </w:t>
      </w:r>
      <w:r w:rsidR="00FE2164" w:rsidRPr="002C3BD7">
        <w:rPr>
          <w:lang w:eastAsia="ja-JP"/>
        </w:rPr>
        <w:t>study,</w:t>
      </w:r>
      <w:r w:rsidRPr="002C3BD7">
        <w:rPr>
          <w:lang w:eastAsia="ja-JP"/>
        </w:rPr>
        <w:t xml:space="preserve"> and no formal statistical tests were planned. Efficacy analyses were performed using the </w:t>
      </w:r>
      <w:r w:rsidR="005D46B2">
        <w:rPr>
          <w:lang w:eastAsia="ja-JP"/>
        </w:rPr>
        <w:t>full analysis set (</w:t>
      </w:r>
      <w:r w:rsidRPr="002C3BD7">
        <w:rPr>
          <w:lang w:eastAsia="ja-JP"/>
        </w:rPr>
        <w:t>FAS</w:t>
      </w:r>
      <w:r w:rsidR="005D46B2">
        <w:rPr>
          <w:lang w:eastAsia="ja-JP"/>
        </w:rPr>
        <w:t>)</w:t>
      </w:r>
      <w:r w:rsidRPr="002C3BD7">
        <w:rPr>
          <w:lang w:eastAsia="ja-JP"/>
        </w:rPr>
        <w:t xml:space="preserve"> with the primary analysis and selected secondary efficacy analyses repeated on the </w:t>
      </w:r>
      <w:r w:rsidR="005D46B2">
        <w:rPr>
          <w:lang w:eastAsia="ja-JP"/>
        </w:rPr>
        <w:t>per protocol (</w:t>
      </w:r>
      <w:r w:rsidRPr="002C3BD7">
        <w:rPr>
          <w:lang w:eastAsia="ja-JP"/>
        </w:rPr>
        <w:t>PP</w:t>
      </w:r>
      <w:r w:rsidR="005D46B2">
        <w:rPr>
          <w:lang w:eastAsia="ja-JP"/>
        </w:rPr>
        <w:t>)</w:t>
      </w:r>
      <w:r w:rsidRPr="002C3BD7">
        <w:rPr>
          <w:lang w:eastAsia="ja-JP"/>
        </w:rPr>
        <w:t xml:space="preserve"> </w:t>
      </w:r>
      <w:r w:rsidR="005D46B2">
        <w:rPr>
          <w:lang w:eastAsia="ja-JP"/>
        </w:rPr>
        <w:t>s</w:t>
      </w:r>
      <w:r w:rsidRPr="002C3BD7">
        <w:rPr>
          <w:lang w:eastAsia="ja-JP"/>
        </w:rPr>
        <w:t xml:space="preserve">et as sensitivity analyses. For evaluation of the primary endpoint, patients missing an efficacy assessment that was part of the definition of </w:t>
      </w:r>
      <w:r w:rsidR="005D46B2">
        <w:rPr>
          <w:lang w:eastAsia="ja-JP"/>
        </w:rPr>
        <w:t>c</w:t>
      </w:r>
      <w:r w:rsidRPr="002C3BD7">
        <w:rPr>
          <w:lang w:eastAsia="ja-JP"/>
        </w:rPr>
        <w:t xml:space="preserve">omplete </w:t>
      </w:r>
      <w:r w:rsidR="005F3F4F" w:rsidRPr="005F3F4F">
        <w:rPr>
          <w:lang w:eastAsia="ja-JP"/>
        </w:rPr>
        <w:t>thrombotic microangiopathy</w:t>
      </w:r>
      <w:r w:rsidRPr="002C3BD7">
        <w:rPr>
          <w:lang w:eastAsia="ja-JP"/>
        </w:rPr>
        <w:t xml:space="preserve"> </w:t>
      </w:r>
      <w:r w:rsidR="005D46B2">
        <w:rPr>
          <w:lang w:eastAsia="ja-JP"/>
        </w:rPr>
        <w:t>r</w:t>
      </w:r>
      <w:r w:rsidRPr="002C3BD7">
        <w:rPr>
          <w:lang w:eastAsia="ja-JP"/>
        </w:rPr>
        <w:t>esponse while still on study had their last observation carried forward.</w:t>
      </w:r>
      <w:r w:rsidR="005D46B2">
        <w:rPr>
          <w:lang w:eastAsia="ja-JP"/>
        </w:rPr>
        <w:t xml:space="preserve"> The number of patients for each set were: </w:t>
      </w:r>
      <w:r w:rsidRPr="002C3BD7">
        <w:rPr>
          <w:lang w:eastAsia="ja-JP"/>
        </w:rPr>
        <w:t>FAS: 56</w:t>
      </w:r>
      <w:r w:rsidR="008560C2">
        <w:rPr>
          <w:lang w:eastAsia="ja-JP"/>
        </w:rPr>
        <w:t xml:space="preserve"> patients;</w:t>
      </w:r>
      <w:r w:rsidRPr="002C3BD7">
        <w:rPr>
          <w:lang w:eastAsia="ja-JP"/>
        </w:rPr>
        <w:t xml:space="preserve"> PP</w:t>
      </w:r>
      <w:r w:rsidR="008560C2">
        <w:rPr>
          <w:lang w:eastAsia="ja-JP"/>
        </w:rPr>
        <w:t> </w:t>
      </w:r>
      <w:r w:rsidR="005D46B2">
        <w:rPr>
          <w:lang w:eastAsia="ja-JP"/>
        </w:rPr>
        <w:t>s</w:t>
      </w:r>
      <w:r w:rsidRPr="002C3BD7">
        <w:rPr>
          <w:lang w:eastAsia="ja-JP"/>
        </w:rPr>
        <w:t>et:</w:t>
      </w:r>
      <w:r w:rsidR="008560C2">
        <w:rPr>
          <w:lang w:eastAsia="ja-JP"/>
        </w:rPr>
        <w:t> </w:t>
      </w:r>
      <w:r w:rsidRPr="002C3BD7">
        <w:rPr>
          <w:lang w:eastAsia="ja-JP"/>
        </w:rPr>
        <w:t>44</w:t>
      </w:r>
      <w:r w:rsidR="008560C2">
        <w:rPr>
          <w:lang w:eastAsia="ja-JP"/>
        </w:rPr>
        <w:t xml:space="preserve"> patients;</w:t>
      </w:r>
      <w:r w:rsidRPr="002C3BD7">
        <w:rPr>
          <w:lang w:eastAsia="ja-JP"/>
        </w:rPr>
        <w:t xml:space="preserve"> </w:t>
      </w:r>
      <w:r w:rsidR="005D46B2">
        <w:rPr>
          <w:lang w:eastAsia="ja-JP"/>
        </w:rPr>
        <w:t>s</w:t>
      </w:r>
      <w:r w:rsidRPr="002C3BD7">
        <w:rPr>
          <w:lang w:eastAsia="ja-JP"/>
        </w:rPr>
        <w:t xml:space="preserve">afety </w:t>
      </w:r>
      <w:r w:rsidR="005D46B2">
        <w:rPr>
          <w:lang w:eastAsia="ja-JP"/>
        </w:rPr>
        <w:t>s</w:t>
      </w:r>
      <w:r w:rsidRPr="002C3BD7">
        <w:rPr>
          <w:lang w:eastAsia="ja-JP"/>
        </w:rPr>
        <w:t>et: 58</w:t>
      </w:r>
      <w:r w:rsidR="008560C2">
        <w:rPr>
          <w:lang w:eastAsia="ja-JP"/>
        </w:rPr>
        <w:t xml:space="preserve"> patients</w:t>
      </w:r>
      <w:r w:rsidR="005D46B2">
        <w:rPr>
          <w:lang w:eastAsia="ja-JP"/>
        </w:rPr>
        <w:t>.</w:t>
      </w:r>
    </w:p>
    <w:p w14:paraId="30243BEF" w14:textId="717D94BC" w:rsidR="002C3BD7" w:rsidRDefault="002C3BD7" w:rsidP="002C3BD7">
      <w:pPr>
        <w:pStyle w:val="Heading7"/>
        <w:rPr>
          <w:lang w:eastAsia="ja-JP"/>
        </w:rPr>
      </w:pPr>
      <w:r w:rsidRPr="002C3BD7">
        <w:rPr>
          <w:lang w:eastAsia="ja-JP"/>
        </w:rPr>
        <w:t>Patient Disposition</w:t>
      </w:r>
    </w:p>
    <w:p w14:paraId="79BFD931" w14:textId="3873A0FD" w:rsidR="005D46B2" w:rsidRPr="005D46B2" w:rsidRDefault="005D46B2" w:rsidP="005D46B2">
      <w:pPr>
        <w:rPr>
          <w:lang w:eastAsia="ja-JP"/>
        </w:rPr>
      </w:pPr>
      <w:r>
        <w:rPr>
          <w:lang w:eastAsia="ja-JP"/>
        </w:rPr>
        <w:t>Seventy four patients were screened.</w:t>
      </w:r>
      <w:r w:rsidR="00B9110E">
        <w:rPr>
          <w:lang w:eastAsia="ja-JP"/>
        </w:rPr>
        <w:t xml:space="preserve"> </w:t>
      </w:r>
      <w:r>
        <w:rPr>
          <w:lang w:eastAsia="ja-JP"/>
        </w:rPr>
        <w:t>Of these, 58 were enrolled and treated.</w:t>
      </w:r>
      <w:r w:rsidR="00B9110E">
        <w:rPr>
          <w:lang w:eastAsia="ja-JP"/>
        </w:rPr>
        <w:t xml:space="preserve"> </w:t>
      </w:r>
      <w:r>
        <w:rPr>
          <w:lang w:eastAsia="ja-JP"/>
        </w:rPr>
        <w:t>Fifty six were included in the FDA</w:t>
      </w:r>
      <w:r w:rsidR="008560C2">
        <w:rPr>
          <w:lang w:eastAsia="ja-JP"/>
        </w:rPr>
        <w:t xml:space="preserve"> submission</w:t>
      </w:r>
      <w:r>
        <w:rPr>
          <w:lang w:eastAsia="ja-JP"/>
        </w:rPr>
        <w:t xml:space="preserve"> as two were excluded due to positive stool Shiga toxin test.</w:t>
      </w:r>
      <w:r w:rsidR="00B9110E">
        <w:rPr>
          <w:lang w:eastAsia="ja-JP"/>
        </w:rPr>
        <w:t xml:space="preserve"> </w:t>
      </w:r>
      <w:proofErr w:type="gramStart"/>
      <w:r>
        <w:rPr>
          <w:lang w:eastAsia="ja-JP"/>
        </w:rPr>
        <w:t>Forty nine</w:t>
      </w:r>
      <w:proofErr w:type="gramEnd"/>
      <w:r>
        <w:rPr>
          <w:lang w:eastAsia="ja-JP"/>
        </w:rPr>
        <w:t xml:space="preserve"> completed the 26-week Initial Evaluation Period as seven discontinued treatment </w:t>
      </w:r>
      <w:r>
        <w:rPr>
          <w:lang w:eastAsia="ja-JP"/>
        </w:rPr>
        <w:lastRenderedPageBreak/>
        <w:t xml:space="preserve">(three due to adverse events, two to death, one due to a major protocol deviation and one due to physician </w:t>
      </w:r>
      <w:r w:rsidR="007E513E">
        <w:rPr>
          <w:lang w:eastAsia="ja-JP"/>
        </w:rPr>
        <w:t>Decision</w:t>
      </w:r>
      <w:r>
        <w:rPr>
          <w:lang w:eastAsia="ja-JP"/>
        </w:rPr>
        <w:t xml:space="preserve">). Forty nine entered the extension study. Eleven discontinued the study drug (five due to patient </w:t>
      </w:r>
      <w:r w:rsidR="007E513E">
        <w:rPr>
          <w:lang w:eastAsia="ja-JP"/>
        </w:rPr>
        <w:t>Decision</w:t>
      </w:r>
      <w:r>
        <w:rPr>
          <w:lang w:eastAsia="ja-JP"/>
        </w:rPr>
        <w:t xml:space="preserve">, four due to physician </w:t>
      </w:r>
      <w:r w:rsidR="007E513E">
        <w:rPr>
          <w:lang w:eastAsia="ja-JP"/>
        </w:rPr>
        <w:t>Decision</w:t>
      </w:r>
      <w:r>
        <w:rPr>
          <w:lang w:eastAsia="ja-JP"/>
        </w:rPr>
        <w:t xml:space="preserve">, one due to protocol violation and one due to other reasons). </w:t>
      </w:r>
    </w:p>
    <w:p w14:paraId="23148EAE" w14:textId="3A48C6EC" w:rsidR="002C3BD7" w:rsidRDefault="002C3BD7" w:rsidP="002C3BD7">
      <w:pPr>
        <w:pStyle w:val="Heading7"/>
        <w:rPr>
          <w:lang w:eastAsia="ja-JP"/>
        </w:rPr>
      </w:pPr>
      <w:r w:rsidRPr="002C3BD7">
        <w:rPr>
          <w:lang w:eastAsia="ja-JP"/>
        </w:rPr>
        <w:t>Protocol deviations</w:t>
      </w:r>
    </w:p>
    <w:p w14:paraId="150410E5" w14:textId="18007DEB" w:rsidR="002C3BD7" w:rsidRPr="002C3BD7" w:rsidRDefault="005D46B2" w:rsidP="005D46B2">
      <w:pPr>
        <w:pStyle w:val="ListBullet"/>
        <w:numPr>
          <w:ilvl w:val="0"/>
          <w:numId w:val="0"/>
        </w:numPr>
        <w:rPr>
          <w:lang w:eastAsia="ja-JP"/>
        </w:rPr>
      </w:pPr>
      <w:r>
        <w:rPr>
          <w:lang w:eastAsia="ja-JP"/>
        </w:rPr>
        <w:t xml:space="preserve">There were </w:t>
      </w:r>
      <w:r w:rsidR="002C3BD7">
        <w:rPr>
          <w:lang w:eastAsia="ja-JP"/>
        </w:rPr>
        <w:t>major protocol deviations were reported for 43 (74.1%) patients, mostly related to eligibility and entry criteria.</w:t>
      </w:r>
      <w:r>
        <w:rPr>
          <w:lang w:eastAsia="ja-JP"/>
        </w:rPr>
        <w:t xml:space="preserve"> Twelve </w:t>
      </w:r>
      <w:r w:rsidR="002C3BD7">
        <w:rPr>
          <w:lang w:eastAsia="ja-JP"/>
        </w:rPr>
        <w:t>(20.7%) patients were excluded from</w:t>
      </w:r>
      <w:r>
        <w:rPr>
          <w:lang w:eastAsia="ja-JP"/>
        </w:rPr>
        <w:t xml:space="preserve"> the</w:t>
      </w:r>
      <w:r w:rsidR="002C3BD7">
        <w:rPr>
          <w:lang w:eastAsia="ja-JP"/>
        </w:rPr>
        <w:t xml:space="preserve"> PP </w:t>
      </w:r>
      <w:r>
        <w:rPr>
          <w:lang w:eastAsia="ja-JP"/>
        </w:rPr>
        <w:t>s</w:t>
      </w:r>
      <w:r w:rsidR="002C3BD7">
        <w:rPr>
          <w:lang w:eastAsia="ja-JP"/>
        </w:rPr>
        <w:t>et due to major protocol violations relating to eligibility and entry criteria and use of prohibited concomitant medication.</w:t>
      </w:r>
    </w:p>
    <w:p w14:paraId="5DD847F0" w14:textId="2A209DD3" w:rsidR="00856026" w:rsidRDefault="00AA678E" w:rsidP="00AA678E">
      <w:r w:rsidRPr="00A36BE0">
        <w:t xml:space="preserve">All patients were adults, </w:t>
      </w:r>
      <w:r w:rsidRPr="0016103D">
        <w:t>including 8 (14.3%) aged ≥ 60 years</w:t>
      </w:r>
      <w:r>
        <w:t xml:space="preserve">, mostly female (66.1%), White (51.8%) </w:t>
      </w:r>
      <w:r w:rsidRPr="00A36BE0">
        <w:t>with median age at first infusion 40.1 years (range: 19.5, 76.6</w:t>
      </w:r>
      <w:r w:rsidRPr="0016103D">
        <w:t>)</w:t>
      </w:r>
      <w:r w:rsidRPr="00A36BE0">
        <w:t xml:space="preserve">. At </w:t>
      </w:r>
      <w:r w:rsidR="005D46B2">
        <w:t>B</w:t>
      </w:r>
      <w:r w:rsidRPr="00A36BE0">
        <w:t>aseline 92.9% patients had extra-renal signs or symptoms of aHUS, most commonly in the cardiovascular (69.6%), CNS (51.8%) and pulmonary (</w:t>
      </w:r>
      <w:r>
        <w:t>44.6</w:t>
      </w:r>
      <w:r w:rsidRPr="00A36BE0">
        <w:t>%) organ systems</w:t>
      </w:r>
      <w:r>
        <w:t xml:space="preserve">. </w:t>
      </w:r>
      <w:proofErr w:type="gramStart"/>
      <w:r>
        <w:t>The majority of</w:t>
      </w:r>
      <w:proofErr w:type="gramEnd"/>
      <w:r>
        <w:t xml:space="preserve"> patients had </w:t>
      </w:r>
      <w:r w:rsidRPr="00A36BE0">
        <w:t xml:space="preserve">Stage 5 CKD at </w:t>
      </w:r>
      <w:r w:rsidR="005D46B2">
        <w:t>B</w:t>
      </w:r>
      <w:r w:rsidRPr="00A36BE0">
        <w:t xml:space="preserve">aseline (n = 39 </w:t>
      </w:r>
      <w:r w:rsidR="005D46B2">
        <w:t>(</w:t>
      </w:r>
      <w:r w:rsidRPr="00A36BE0">
        <w:t>72.2%</w:t>
      </w:r>
      <w:r w:rsidR="005D46B2">
        <w:t>)</w:t>
      </w:r>
      <w:r w:rsidRPr="00A36BE0">
        <w:t>) and 51.8% were receiving dialysis</w:t>
      </w:r>
      <w:r w:rsidRPr="00597995">
        <w:t xml:space="preserve">. </w:t>
      </w:r>
      <w:r>
        <w:t>The study population included 8 (14.3%) patients with kidney transplant and 8 (14.3%) postpartum patients.</w:t>
      </w:r>
    </w:p>
    <w:p w14:paraId="1CF8FE8F" w14:textId="124C692B" w:rsidR="00AA678E" w:rsidRDefault="00AA678E" w:rsidP="002C3BD7">
      <w:pPr>
        <w:pStyle w:val="Heading7"/>
        <w:rPr>
          <w:rFonts w:eastAsia="Times New Roman"/>
        </w:rPr>
      </w:pPr>
      <w:r>
        <w:t>Primary endpoint</w:t>
      </w:r>
    </w:p>
    <w:p w14:paraId="174A699A" w14:textId="598EA21E" w:rsidR="00AA678E" w:rsidRDefault="00AA678E" w:rsidP="00AA678E">
      <w:r>
        <w:t xml:space="preserve">Complete </w:t>
      </w:r>
      <w:r w:rsidR="005F3F4F" w:rsidRPr="005F3F4F">
        <w:t>thrombotic microangiopathy</w:t>
      </w:r>
      <w:r>
        <w:t xml:space="preserve"> </w:t>
      </w:r>
      <w:r w:rsidR="004934F4">
        <w:t xml:space="preserve">(TMA) </w:t>
      </w:r>
      <w:r w:rsidR="005D46B2">
        <w:t>r</w:t>
      </w:r>
      <w:r>
        <w:t>esponse was observed in 30 of 56 (53.6%; 95%</w:t>
      </w:r>
      <w:r w:rsidR="00FD0821">
        <w:t xml:space="preserve"> confidence interval (</w:t>
      </w:r>
      <w:r>
        <w:t>CI</w:t>
      </w:r>
      <w:r w:rsidR="00FD0821">
        <w:t>)</w:t>
      </w:r>
      <w:r>
        <w:t>: 39.6, 67.5) patients in the FAS</w:t>
      </w:r>
      <w:r w:rsidR="005D46B2">
        <w:t xml:space="preserve"> (</w:t>
      </w:r>
      <w:r w:rsidR="005D46B2" w:rsidRPr="005D46B2">
        <w:t>Table 12</w:t>
      </w:r>
      <w:r w:rsidR="005D46B2">
        <w:t>).</w:t>
      </w:r>
    </w:p>
    <w:p w14:paraId="1CC1EE86" w14:textId="50951F68" w:rsidR="00AA678E" w:rsidRDefault="00AA678E" w:rsidP="005D46B2">
      <w:pPr>
        <w:pStyle w:val="TableTitle"/>
      </w:pPr>
      <w:bookmarkStart w:id="85" w:name="_Ref132626116"/>
      <w:bookmarkStart w:id="86" w:name="_Ref132626111"/>
      <w:r>
        <w:t xml:space="preserve">Table </w:t>
      </w:r>
      <w:fldSimple w:instr=" SEQ Table \* ARABIC ">
        <w:r w:rsidR="004C7A29">
          <w:rPr>
            <w:noProof/>
          </w:rPr>
          <w:t>12</w:t>
        </w:r>
      </w:fldSimple>
      <w:bookmarkEnd w:id="85"/>
      <w:r>
        <w:t xml:space="preserve">: </w:t>
      </w:r>
      <w:r w:rsidR="004934F4">
        <w:t xml:space="preserve">Study ALXN1210-aHUS-311 </w:t>
      </w:r>
      <w:r w:rsidRPr="00A33EE6">
        <w:t xml:space="preserve">Complete </w:t>
      </w:r>
      <w:r w:rsidR="005F3F4F" w:rsidRPr="005F3F4F">
        <w:t>thrombotic microangiopathy</w:t>
      </w:r>
      <w:r w:rsidRPr="00A33EE6">
        <w:t xml:space="preserve"> </w:t>
      </w:r>
      <w:r w:rsidR="005D46B2">
        <w:t>r</w:t>
      </w:r>
      <w:r w:rsidRPr="00A33EE6">
        <w:t xml:space="preserve">esponse and </w:t>
      </w:r>
      <w:r w:rsidR="005D46B2">
        <w:t>c</w:t>
      </w:r>
      <w:r w:rsidRPr="00A33EE6">
        <w:t xml:space="preserve">omplete </w:t>
      </w:r>
      <w:r w:rsidR="005F3F4F" w:rsidRPr="005F3F4F">
        <w:t>thrombotic microangiopathy</w:t>
      </w:r>
      <w:r w:rsidRPr="00A33EE6">
        <w:t xml:space="preserve"> </w:t>
      </w:r>
      <w:r w:rsidR="005D46B2">
        <w:t>r</w:t>
      </w:r>
      <w:r w:rsidRPr="00A33EE6">
        <w:t xml:space="preserve">esponse </w:t>
      </w:r>
      <w:r w:rsidR="005D46B2">
        <w:t>c</w:t>
      </w:r>
      <w:r w:rsidRPr="00A33EE6">
        <w:t xml:space="preserve">omponents </w:t>
      </w:r>
      <w:r w:rsidR="005D46B2">
        <w:t>a</w:t>
      </w:r>
      <w:r w:rsidRPr="00A33EE6">
        <w:t xml:space="preserve">nalysis </w:t>
      </w:r>
      <w:r w:rsidR="005D46B2">
        <w:t>d</w:t>
      </w:r>
      <w:r w:rsidRPr="00A33EE6">
        <w:t>uring the 26-Week Initial Evaluation Period (</w:t>
      </w:r>
      <w:r w:rsidR="00AB0591">
        <w:t>Full Analysis Set</w:t>
      </w:r>
      <w:r>
        <w:t>)</w:t>
      </w:r>
      <w:bookmarkEnd w:id="86"/>
    </w:p>
    <w:p w14:paraId="56E83949" w14:textId="77777777" w:rsidR="00AA678E" w:rsidRDefault="00AA678E" w:rsidP="00AA678E">
      <w:r>
        <w:rPr>
          <w:noProof/>
          <w:lang w:val="en-GB" w:eastAsia="en-GB"/>
        </w:rPr>
        <w:drawing>
          <wp:inline distT="0" distB="0" distL="0" distR="0" wp14:anchorId="14ECCB39" wp14:editId="25F3F8DE">
            <wp:extent cx="5731510" cy="1339850"/>
            <wp:effectExtent l="0" t="0" r="2540" b="0"/>
            <wp:docPr id="7" name="Picture 7" descr="This table shows complete thrombotic microangiopathy response and complete thrombotic microangiopathy response components analysis during the 26-Week Initial Evaluation Period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table shows complete thrombotic microangiopathy response and complete thrombotic microangiopathy response components analysis during the 26-Week Initial Evaluation Period (FAS)."/>
                    <pic:cNvPicPr/>
                  </pic:nvPicPr>
                  <pic:blipFill>
                    <a:blip r:embed="rId44"/>
                    <a:stretch>
                      <a:fillRect/>
                    </a:stretch>
                  </pic:blipFill>
                  <pic:spPr>
                    <a:xfrm>
                      <a:off x="0" y="0"/>
                      <a:ext cx="5731510" cy="1339850"/>
                    </a:xfrm>
                    <a:prstGeom prst="rect">
                      <a:avLst/>
                    </a:prstGeom>
                  </pic:spPr>
                </pic:pic>
              </a:graphicData>
            </a:graphic>
          </wp:inline>
        </w:drawing>
      </w:r>
    </w:p>
    <w:p w14:paraId="69064461" w14:textId="60087F8F" w:rsidR="004934F4" w:rsidRDefault="004934F4" w:rsidP="0035187D">
      <w:pPr>
        <w:pStyle w:val="TableDescription"/>
      </w:pPr>
      <w:r>
        <w:t xml:space="preserve">Abbreviations: CI = confidence interval; LDH = lactate dehydrogenase; TMA = </w:t>
      </w:r>
      <w:r>
        <w:rPr>
          <w:szCs w:val="22"/>
        </w:rPr>
        <w:t>thrombotic microangiopathy.</w:t>
      </w:r>
    </w:p>
    <w:p w14:paraId="25EA7E9C" w14:textId="2931729A" w:rsidR="00AA678E" w:rsidRPr="006642D4" w:rsidRDefault="00AA678E" w:rsidP="0035187D">
      <w:pPr>
        <w:pStyle w:val="TableDescription"/>
      </w:pPr>
      <w:r w:rsidRPr="006642D4">
        <w:t xml:space="preserve">Note: Patients must have met all </w:t>
      </w:r>
      <w:r w:rsidR="005D46B2">
        <w:t>c</w:t>
      </w:r>
      <w:r w:rsidRPr="006642D4">
        <w:t xml:space="preserve">omplete TMA </w:t>
      </w:r>
      <w:r w:rsidR="005D46B2">
        <w:t>r</w:t>
      </w:r>
      <w:r w:rsidRPr="006642D4">
        <w:t xml:space="preserve">esponse criteria concurrently, and each criterion must have been met at </w:t>
      </w:r>
      <w:r w:rsidR="005D46B2">
        <w:t>tw</w:t>
      </w:r>
      <w:r w:rsidR="00CA7B59">
        <w:t>o</w:t>
      </w:r>
      <w:r w:rsidRPr="006642D4">
        <w:t xml:space="preserve"> separate assessments obtained at least 4 weeks (28 days) apart, and any measurement in between. The proportion of </w:t>
      </w:r>
      <w:r w:rsidR="005D46B2">
        <w:t>c</w:t>
      </w:r>
      <w:r w:rsidRPr="006642D4">
        <w:t xml:space="preserve">omplete TMA </w:t>
      </w:r>
      <w:r w:rsidR="005D46B2">
        <w:t>r</w:t>
      </w:r>
      <w:r w:rsidRPr="006642D4">
        <w:t xml:space="preserve">esponse was based on the responders among treated patients. The numerator was the number of patients achieving </w:t>
      </w:r>
      <w:r w:rsidR="005D46B2">
        <w:t>c</w:t>
      </w:r>
      <w:r w:rsidRPr="006642D4">
        <w:t xml:space="preserve">omplete TMA </w:t>
      </w:r>
      <w:r w:rsidR="005D46B2">
        <w:t>r</w:t>
      </w:r>
      <w:r w:rsidRPr="006642D4">
        <w:t xml:space="preserve">esponse during the 26-week Initial Evaluation Period and the denominator was the number of patients in the FAS. Platelet values obtained from the day of a blood transfusion of platelets through 3 days after the transfusion were excluded from all analyses. All serum creatinine values obtained while a patient was on dialysis were excluded from all analyses. When a patient was on dialysis </w:t>
      </w:r>
      <w:r w:rsidR="00FD0821">
        <w:t>at Baseline</w:t>
      </w:r>
      <w:r w:rsidRPr="006642D4">
        <w:t>, then the first valid creatinine value used as the baseline value was the first assessment ≥ 6 days post dialysis. If a patient was on dialysis during the entire 26-week Initial Evaluation Period, then the baseline creatinine was not calculated.</w:t>
      </w:r>
      <w:r w:rsidR="00B9110E">
        <w:t xml:space="preserve"> </w:t>
      </w:r>
      <w:r w:rsidRPr="006642D4">
        <w:t>95% confidence intervals</w:t>
      </w:r>
      <w:r w:rsidR="00CA7B59">
        <w:t xml:space="preserve"> </w:t>
      </w:r>
      <w:r w:rsidRPr="006642D4">
        <w:t>(95% CI) for the proportion were based on the asymptotic Gaussian approximation method with a continuity correction. b Hematologic normalization includes normalization of platelet count (≥ 150 × 10</w:t>
      </w:r>
      <w:r w:rsidRPr="00FD0821">
        <w:rPr>
          <w:vertAlign w:val="superscript"/>
        </w:rPr>
        <w:t>9</w:t>
      </w:r>
      <w:r w:rsidRPr="006642D4">
        <w:t xml:space="preserve"> </w:t>
      </w:r>
      <w:r w:rsidR="00FD0821">
        <w:t>/</w:t>
      </w:r>
      <w:r w:rsidRPr="006642D4">
        <w:t>L) and normalization of LDH (≤ 246 U/L).</w:t>
      </w:r>
    </w:p>
    <w:p w14:paraId="6F1A765E" w14:textId="673E7371" w:rsidR="00AA678E" w:rsidRDefault="00AA678E" w:rsidP="00AA678E">
      <w:r>
        <w:t xml:space="preserve">As of data cut-off (2 July 2019), an additional </w:t>
      </w:r>
      <w:r w:rsidR="008A2B72">
        <w:t>four</w:t>
      </w:r>
      <w:r>
        <w:t xml:space="preserve"> patients had confirmation of a </w:t>
      </w:r>
      <w:r w:rsidR="005D46B2">
        <w:t>c</w:t>
      </w:r>
      <w:r>
        <w:t xml:space="preserve">omplete </w:t>
      </w:r>
      <w:r w:rsidR="005F3F4F" w:rsidRPr="005F3F4F">
        <w:t>thrombotic microangiopathy</w:t>
      </w:r>
      <w:r>
        <w:t xml:space="preserve"> </w:t>
      </w:r>
      <w:r w:rsidR="005D46B2">
        <w:t>r</w:t>
      </w:r>
      <w:r>
        <w:t>esponse during the Extension Period: 34</w:t>
      </w:r>
      <w:r w:rsidR="005D46B2">
        <w:t xml:space="preserve"> out of </w:t>
      </w:r>
      <w:r>
        <w:t>56 (60.7%; 95%</w:t>
      </w:r>
      <w:r w:rsidR="004934F4">
        <w:t> </w:t>
      </w:r>
      <w:r>
        <w:t>CI: 47.0, 74.4).</w:t>
      </w:r>
    </w:p>
    <w:p w14:paraId="10609AD4" w14:textId="572F25F2" w:rsidR="00856026" w:rsidRDefault="00AA678E" w:rsidP="00AA678E">
      <w:r>
        <w:lastRenderedPageBreak/>
        <w:t xml:space="preserve">Results in the PP </w:t>
      </w:r>
      <w:r w:rsidR="00FD0821">
        <w:t>s</w:t>
      </w:r>
      <w:r>
        <w:t xml:space="preserve">et were similar; </w:t>
      </w:r>
      <w:r w:rsidR="00FD0821">
        <w:t>c</w:t>
      </w:r>
      <w:r w:rsidRPr="00E75D06">
        <w:t xml:space="preserve">omplete </w:t>
      </w:r>
      <w:r w:rsidR="005F3F4F" w:rsidRPr="005F3F4F">
        <w:t>thrombotic microangiopathy</w:t>
      </w:r>
      <w:r w:rsidRPr="00E75D06">
        <w:t xml:space="preserve"> </w:t>
      </w:r>
      <w:r w:rsidR="00FD0821">
        <w:t>r</w:t>
      </w:r>
      <w:r w:rsidRPr="00E75D06">
        <w:t>esponse was observed in 2</w:t>
      </w:r>
      <w:r>
        <w:t>2</w:t>
      </w:r>
      <w:r w:rsidRPr="00E75D06">
        <w:t xml:space="preserve"> </w:t>
      </w:r>
      <w:r w:rsidR="00FD0821">
        <w:t xml:space="preserve">out </w:t>
      </w:r>
      <w:r w:rsidRPr="00E75D06">
        <w:t>of 44 patients (50.0%</w:t>
      </w:r>
      <w:r w:rsidR="00FD0821">
        <w:t xml:space="preserve">; </w:t>
      </w:r>
      <w:r w:rsidRPr="00E75D06">
        <w:t>95% CI: 34.1, 65.9) during the 26-week Initial Evaluation Period and in 26 of 44 patients (59.1%</w:t>
      </w:r>
      <w:r w:rsidR="00FD0821">
        <w:t xml:space="preserve">; </w:t>
      </w:r>
      <w:r w:rsidRPr="00E75D06">
        <w:t>95% CI: 43.4, 74.8) as of data cut-off date</w:t>
      </w:r>
      <w:r>
        <w:t>.</w:t>
      </w:r>
    </w:p>
    <w:p w14:paraId="1333968F" w14:textId="7776594A" w:rsidR="00AA678E" w:rsidRDefault="00AA678E" w:rsidP="002C3BD7">
      <w:pPr>
        <w:pStyle w:val="Heading7"/>
      </w:pPr>
      <w:r>
        <w:t>Secondary endpoints</w:t>
      </w:r>
    </w:p>
    <w:p w14:paraId="28D007DE" w14:textId="53B9FFF7" w:rsidR="00856026" w:rsidRDefault="00AA678E" w:rsidP="00AA678E">
      <w:pPr>
        <w:rPr>
          <w:lang w:eastAsia="ja-JP"/>
        </w:rPr>
      </w:pPr>
      <w:r>
        <w:rPr>
          <w:lang w:eastAsia="ja-JP"/>
        </w:rPr>
        <w:t xml:space="preserve">Complete </w:t>
      </w:r>
      <w:r w:rsidR="005F3F4F" w:rsidRPr="005F3F4F">
        <w:rPr>
          <w:lang w:eastAsia="ja-JP"/>
        </w:rPr>
        <w:t xml:space="preserve">thrombotic microangiopathy </w:t>
      </w:r>
      <w:r w:rsidR="002C3BD7">
        <w:rPr>
          <w:lang w:eastAsia="ja-JP"/>
        </w:rPr>
        <w:t>r</w:t>
      </w:r>
      <w:r>
        <w:rPr>
          <w:lang w:eastAsia="ja-JP"/>
        </w:rPr>
        <w:t>esponse was achieved at a median time of 86 days and occurred as early as</w:t>
      </w:r>
      <w:r w:rsidR="002C3BD7">
        <w:rPr>
          <w:lang w:eastAsia="ja-JP"/>
        </w:rPr>
        <w:t xml:space="preserve"> seven </w:t>
      </w:r>
      <w:r>
        <w:rPr>
          <w:lang w:eastAsia="ja-JP"/>
        </w:rPr>
        <w:t>days following the first dose of ravulizumab, with the latest response observed at Day 401.</w:t>
      </w:r>
    </w:p>
    <w:p w14:paraId="1CA1D383" w14:textId="0F3D33B4" w:rsidR="00AA678E" w:rsidRDefault="00AA678E" w:rsidP="00AA678E">
      <w:pPr>
        <w:spacing w:after="0" w:line="240" w:lineRule="auto"/>
        <w:rPr>
          <w:rFonts w:eastAsia="Times New Roman"/>
          <w:szCs w:val="24"/>
          <w:lang w:eastAsia="en-AU"/>
        </w:rPr>
      </w:pPr>
      <w:r w:rsidRPr="00A856B9">
        <w:rPr>
          <w:rFonts w:eastAsia="Times New Roman"/>
          <w:szCs w:val="24"/>
          <w:lang w:eastAsia="en-AU"/>
        </w:rPr>
        <w:t xml:space="preserve">The 30 patients who achieved </w:t>
      </w:r>
      <w:r w:rsidR="00FD0821">
        <w:rPr>
          <w:rFonts w:eastAsia="Times New Roman"/>
          <w:szCs w:val="24"/>
          <w:lang w:eastAsia="en-AU"/>
        </w:rPr>
        <w:t>c</w:t>
      </w:r>
      <w:r w:rsidRPr="00A856B9">
        <w:rPr>
          <w:rFonts w:eastAsia="Times New Roman"/>
          <w:szCs w:val="24"/>
          <w:lang w:eastAsia="en-AU"/>
        </w:rPr>
        <w:t xml:space="preserve">omplete </w:t>
      </w:r>
      <w:r w:rsidR="005F3F4F" w:rsidRPr="005F3F4F">
        <w:rPr>
          <w:rFonts w:eastAsia="Times New Roman"/>
          <w:szCs w:val="24"/>
          <w:lang w:eastAsia="en-AU"/>
        </w:rPr>
        <w:t xml:space="preserve">thrombotic microangiopathy </w:t>
      </w:r>
      <w:r w:rsidR="00FD0821">
        <w:rPr>
          <w:rFonts w:eastAsia="Times New Roman"/>
          <w:szCs w:val="24"/>
          <w:lang w:eastAsia="en-AU"/>
        </w:rPr>
        <w:t>r</w:t>
      </w:r>
      <w:r w:rsidRPr="00A856B9">
        <w:rPr>
          <w:rFonts w:eastAsia="Times New Roman"/>
          <w:szCs w:val="24"/>
          <w:lang w:eastAsia="en-AU"/>
        </w:rPr>
        <w:t xml:space="preserve">esponse status during the Initial Evaluation Period had all done so by the Day 141 visit. From the median time to </w:t>
      </w:r>
      <w:r w:rsidR="00FD0821">
        <w:rPr>
          <w:rFonts w:eastAsia="Times New Roman"/>
          <w:szCs w:val="24"/>
          <w:lang w:eastAsia="en-AU"/>
        </w:rPr>
        <w:t xml:space="preserve">complete </w:t>
      </w:r>
      <w:r w:rsidR="005F3F4F" w:rsidRPr="005F3F4F">
        <w:rPr>
          <w:rFonts w:eastAsia="Times New Roman"/>
          <w:szCs w:val="24"/>
          <w:lang w:eastAsia="en-AU"/>
        </w:rPr>
        <w:t>thrombotic microangiopathy</w:t>
      </w:r>
      <w:r w:rsidR="00FD0821">
        <w:rPr>
          <w:rFonts w:eastAsia="Times New Roman"/>
          <w:szCs w:val="24"/>
          <w:lang w:eastAsia="en-AU"/>
        </w:rPr>
        <w:t xml:space="preserve"> response</w:t>
      </w:r>
      <w:r w:rsidRPr="00A856B9">
        <w:rPr>
          <w:rFonts w:eastAsia="Times New Roman"/>
          <w:szCs w:val="24"/>
          <w:lang w:eastAsia="en-AU"/>
        </w:rPr>
        <w:t xml:space="preserve"> the proportion of responders was stable, although some patients who had achieved a </w:t>
      </w:r>
      <w:r w:rsidR="00FD0821">
        <w:rPr>
          <w:rFonts w:eastAsia="Times New Roman"/>
          <w:szCs w:val="24"/>
          <w:lang w:eastAsia="en-AU"/>
        </w:rPr>
        <w:t xml:space="preserve">complete </w:t>
      </w:r>
      <w:r w:rsidR="005F3F4F" w:rsidRPr="005F3F4F">
        <w:rPr>
          <w:rFonts w:eastAsia="Times New Roman"/>
          <w:szCs w:val="24"/>
          <w:lang w:eastAsia="en-AU"/>
        </w:rPr>
        <w:t>thrombotic microangiopathy</w:t>
      </w:r>
      <w:r w:rsidR="00FD0821">
        <w:rPr>
          <w:rFonts w:eastAsia="Times New Roman"/>
          <w:szCs w:val="24"/>
          <w:lang w:eastAsia="en-AU"/>
        </w:rPr>
        <w:t xml:space="preserve"> response</w:t>
      </w:r>
      <w:r w:rsidRPr="00A856B9">
        <w:rPr>
          <w:rFonts w:eastAsia="Times New Roman"/>
          <w:szCs w:val="24"/>
          <w:lang w:eastAsia="en-AU"/>
        </w:rPr>
        <w:t xml:space="preserve"> had transient periods during which not all components of response continued to be met.</w:t>
      </w:r>
    </w:p>
    <w:p w14:paraId="073BFF37" w14:textId="7419101A" w:rsidR="00AA678E" w:rsidRPr="00D737BD" w:rsidRDefault="00AA678E" w:rsidP="00AA678E">
      <w:pPr>
        <w:rPr>
          <w:lang w:eastAsia="ja-JP"/>
        </w:rPr>
      </w:pPr>
      <w:r>
        <w:rPr>
          <w:lang w:eastAsia="ja-JP"/>
        </w:rPr>
        <w:t>Of the</w:t>
      </w:r>
      <w:r w:rsidR="002C3BD7">
        <w:rPr>
          <w:lang w:eastAsia="ja-JP"/>
        </w:rPr>
        <w:t xml:space="preserve"> three c</w:t>
      </w:r>
      <w:r>
        <w:rPr>
          <w:lang w:eastAsia="ja-JP"/>
        </w:rPr>
        <w:t xml:space="preserve">omplete </w:t>
      </w:r>
      <w:r w:rsidR="005F3F4F" w:rsidRPr="005F3F4F">
        <w:rPr>
          <w:lang w:eastAsia="ja-JP"/>
        </w:rPr>
        <w:t>thrombotic microangiopathy</w:t>
      </w:r>
      <w:r>
        <w:rPr>
          <w:lang w:eastAsia="ja-JP"/>
        </w:rPr>
        <w:t xml:space="preserve"> </w:t>
      </w:r>
      <w:r w:rsidR="002C3BD7">
        <w:rPr>
          <w:lang w:eastAsia="ja-JP"/>
        </w:rPr>
        <w:t>r</w:t>
      </w:r>
      <w:r>
        <w:rPr>
          <w:lang w:eastAsia="ja-JP"/>
        </w:rPr>
        <w:t>esponse components, platelets showed the earliest response, with normalisation of LDH and renal function improvement requiring a longer duration of treatment to show the same extent of improvement.</w:t>
      </w:r>
    </w:p>
    <w:p w14:paraId="36D49343" w14:textId="3036C96B" w:rsidR="002C3BD7" w:rsidRPr="002C3BD7" w:rsidRDefault="002C3BD7" w:rsidP="002C3BD7">
      <w:pPr>
        <w:pStyle w:val="TableTitle"/>
      </w:pPr>
      <w:r>
        <w:t xml:space="preserve">Figure </w:t>
      </w:r>
      <w:fldSimple w:instr=" SEQ Figure \* ARABIC ">
        <w:r w:rsidR="004C7A29">
          <w:rPr>
            <w:noProof/>
          </w:rPr>
          <w:t>7</w:t>
        </w:r>
      </w:fldSimple>
      <w:r>
        <w:t xml:space="preserve">: </w:t>
      </w:r>
      <w:r w:rsidR="004934F4">
        <w:t xml:space="preserve">Study ALXN1210-aHUS-311 </w:t>
      </w:r>
      <w:r w:rsidR="00FD0821">
        <w:t xml:space="preserve">Complete </w:t>
      </w:r>
      <w:r w:rsidR="00387478">
        <w:t>t</w:t>
      </w:r>
      <w:r w:rsidR="00387478" w:rsidRPr="00387478">
        <w:t>hrombotic microangiopathy</w:t>
      </w:r>
      <w:r w:rsidR="00FD0821">
        <w:t xml:space="preserve"> response</w:t>
      </w:r>
      <w:r w:rsidRPr="002C3BD7">
        <w:t xml:space="preserve"> </w:t>
      </w:r>
      <w:r w:rsidR="00FD0821">
        <w:t>c</w:t>
      </w:r>
      <w:r w:rsidRPr="002C3BD7">
        <w:t xml:space="preserve">omponents and </w:t>
      </w:r>
      <w:r w:rsidR="00FD0821">
        <w:t>h</w:t>
      </w:r>
      <w:r w:rsidRPr="002C3BD7">
        <w:t xml:space="preserve">aematologic </w:t>
      </w:r>
      <w:r w:rsidR="00FD0821">
        <w:t>n</w:t>
      </w:r>
      <w:r w:rsidRPr="002C3BD7">
        <w:t xml:space="preserve">ormalisation </w:t>
      </w:r>
      <w:r w:rsidR="00FD0821">
        <w:t>s</w:t>
      </w:r>
      <w:r w:rsidRPr="002C3BD7">
        <w:t xml:space="preserve">tatus </w:t>
      </w:r>
      <w:r w:rsidR="00FD0821">
        <w:t>o</w:t>
      </w:r>
      <w:r w:rsidRPr="002C3BD7">
        <w:t xml:space="preserve">ver </w:t>
      </w:r>
      <w:r w:rsidR="00FD0821">
        <w:t>t</w:t>
      </w:r>
      <w:r w:rsidRPr="002C3BD7">
        <w:t xml:space="preserve">ime </w:t>
      </w:r>
      <w:r w:rsidR="00FD0821">
        <w:t>d</w:t>
      </w:r>
      <w:r w:rsidRPr="002C3BD7">
        <w:t>uring the Initial Evaluation Period (</w:t>
      </w:r>
      <w:r w:rsidR="00AB0591">
        <w:t>Full Analysis Set</w:t>
      </w:r>
      <w:r w:rsidRPr="002C3BD7">
        <w:t>)</w:t>
      </w:r>
    </w:p>
    <w:p w14:paraId="4A4262A1" w14:textId="77777777" w:rsidR="00AA678E" w:rsidRDefault="00AA678E" w:rsidP="00AA678E">
      <w:pPr>
        <w:rPr>
          <w:i/>
          <w:sz w:val="20"/>
        </w:rPr>
      </w:pPr>
      <w:r>
        <w:rPr>
          <w:noProof/>
          <w:lang w:val="en-GB" w:eastAsia="en-GB"/>
        </w:rPr>
        <w:drawing>
          <wp:inline distT="0" distB="0" distL="0" distR="0" wp14:anchorId="4E428050" wp14:editId="12FCD524">
            <wp:extent cx="5731510" cy="2680970"/>
            <wp:effectExtent l="0" t="0" r="2540" b="5080"/>
            <wp:docPr id="9" name="Picture 9" descr="This figure shows complete thrombotic microangiopathy response components and haematologic normalisation status over time during the Initial Evaluation Perio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figure shows complete thrombotic microangiopathy response components and haematologic normalisation status over time during the Initial Evaluation Period (Full Analysis Set)"/>
                    <pic:cNvPicPr/>
                  </pic:nvPicPr>
                  <pic:blipFill>
                    <a:blip r:embed="rId45"/>
                    <a:stretch>
                      <a:fillRect/>
                    </a:stretch>
                  </pic:blipFill>
                  <pic:spPr>
                    <a:xfrm>
                      <a:off x="0" y="0"/>
                      <a:ext cx="5731510" cy="2680970"/>
                    </a:xfrm>
                    <a:prstGeom prst="rect">
                      <a:avLst/>
                    </a:prstGeom>
                  </pic:spPr>
                </pic:pic>
              </a:graphicData>
            </a:graphic>
          </wp:inline>
        </w:drawing>
      </w:r>
    </w:p>
    <w:p w14:paraId="6FCE9872" w14:textId="66DDC6CE" w:rsidR="00AA678E" w:rsidRPr="00A856B9" w:rsidRDefault="00AA678E" w:rsidP="002C3BD7">
      <w:pPr>
        <w:pStyle w:val="TableDescription"/>
      </w:pPr>
      <w:r w:rsidRPr="00A856B9">
        <w:t xml:space="preserve">Note: The criteria for </w:t>
      </w:r>
      <w:r w:rsidR="00FD0821">
        <w:t>complete TMA response</w:t>
      </w:r>
      <w:r w:rsidRPr="00A856B9">
        <w:t xml:space="preserve"> are 1) normalization of platelet count; 2) normalization of LDH; and 3) ≥ 25% </w:t>
      </w:r>
      <w:proofErr w:type="gramStart"/>
      <w:r w:rsidRPr="00A856B9">
        <w:t>improvement</w:t>
      </w:r>
      <w:proofErr w:type="gramEnd"/>
      <w:r w:rsidRPr="00A856B9">
        <w:t xml:space="preserve"> in serum creatinine from </w:t>
      </w:r>
      <w:r w:rsidR="00FD0821">
        <w:t>B</w:t>
      </w:r>
      <w:r w:rsidRPr="00A856B9">
        <w:t xml:space="preserve">aseline. A patient was in the analysis for a specific post-baseline time point if it was possible for the result at that time point to be confirmed. Hematologic normalization includes normalization of platelets and LDH. Platelet values obtained from the day of a blood transfusion of platelets through 3 days after the transfusion were excluded from all analyses. All serum creatinine values obtained while a patient was on dialysis were excluded from all analyses. When a patient was on dialysis </w:t>
      </w:r>
      <w:r w:rsidR="00FD0821">
        <w:t>at Baseline</w:t>
      </w:r>
      <w:r w:rsidRPr="00A856B9">
        <w:t>, then the first valid creatinine value to be used as the baseline value was the first assessment ≥ 6 days post dialysis. If a patient was on dialysis during the entire 26-week Initial Evaluation Period, then the baseline creatinine was not calculated</w:t>
      </w:r>
    </w:p>
    <w:p w14:paraId="2F6B48F8" w14:textId="40C6B6F1" w:rsidR="004934F4" w:rsidRDefault="00AA678E" w:rsidP="00AA678E">
      <w:r>
        <w:t xml:space="preserve">The mean change from baseline in haematologic parameters at Day 183 is shown </w:t>
      </w:r>
      <w:r w:rsidR="00FD0821">
        <w:t xml:space="preserve">in </w:t>
      </w:r>
      <w:r w:rsidR="00FD0821">
        <w:fldChar w:fldCharType="begin"/>
      </w:r>
      <w:r w:rsidR="00FD0821">
        <w:instrText xml:space="preserve"> REF _Ref132626505 \h </w:instrText>
      </w:r>
      <w:r w:rsidR="00FD0821">
        <w:fldChar w:fldCharType="separate"/>
      </w:r>
      <w:r w:rsidR="004C7A29">
        <w:t xml:space="preserve">Table </w:t>
      </w:r>
      <w:r w:rsidR="004C7A29">
        <w:rPr>
          <w:noProof/>
        </w:rPr>
        <w:t>13</w:t>
      </w:r>
      <w:r w:rsidR="00FD0821">
        <w:fldChar w:fldCharType="end"/>
      </w:r>
      <w:r w:rsidR="00FD0821">
        <w:t>.</w:t>
      </w:r>
    </w:p>
    <w:p w14:paraId="2BD9D14E" w14:textId="5927096C" w:rsidR="002C3BD7" w:rsidRDefault="002C3BD7" w:rsidP="00B82827">
      <w:pPr>
        <w:pStyle w:val="TableTitle"/>
        <w:pageBreakBefore/>
      </w:pPr>
      <w:bookmarkStart w:id="87" w:name="_Ref132626505"/>
      <w:r>
        <w:lastRenderedPageBreak/>
        <w:t xml:space="preserve">Table </w:t>
      </w:r>
      <w:fldSimple w:instr=" SEQ Table \* ARABIC ">
        <w:r w:rsidR="004C7A29">
          <w:rPr>
            <w:noProof/>
          </w:rPr>
          <w:t>13</w:t>
        </w:r>
      </w:fldSimple>
      <w:bookmarkEnd w:id="87"/>
      <w:r>
        <w:t xml:space="preserve">: </w:t>
      </w:r>
      <w:r w:rsidR="004934F4">
        <w:t xml:space="preserve">Study ALXN1210-aHUS-311 </w:t>
      </w:r>
      <w:r>
        <w:t>M</w:t>
      </w:r>
      <w:r w:rsidRPr="002C3BD7">
        <w:t xml:space="preserve">ean change from </w:t>
      </w:r>
      <w:r w:rsidR="004934F4">
        <w:t>B</w:t>
      </w:r>
      <w:r w:rsidRPr="002C3BD7">
        <w:t>aseline in haematologic parameters at Day 183</w:t>
      </w:r>
    </w:p>
    <w:tbl>
      <w:tblPr>
        <w:tblStyle w:val="TableGrid"/>
        <w:tblW w:w="0" w:type="auto"/>
        <w:tblLook w:val="04A0" w:firstRow="1" w:lastRow="0" w:firstColumn="1" w:lastColumn="0" w:noHBand="0" w:noVBand="1"/>
      </w:tblPr>
      <w:tblGrid>
        <w:gridCol w:w="2254"/>
        <w:gridCol w:w="2254"/>
        <w:gridCol w:w="2254"/>
        <w:gridCol w:w="2254"/>
      </w:tblGrid>
      <w:tr w:rsidR="00AA678E" w14:paraId="5CE7E011" w14:textId="77777777">
        <w:tc>
          <w:tcPr>
            <w:tcW w:w="2254" w:type="dxa"/>
            <w:tcBorders>
              <w:top w:val="single" w:sz="4" w:space="0" w:color="auto"/>
              <w:left w:val="single" w:sz="4" w:space="0" w:color="auto"/>
              <w:bottom w:val="single" w:sz="4" w:space="0" w:color="auto"/>
              <w:right w:val="single" w:sz="4" w:space="0" w:color="auto"/>
            </w:tcBorders>
            <w:hideMark/>
          </w:tcPr>
          <w:p w14:paraId="74FDE275" w14:textId="77777777" w:rsidR="00AA678E" w:rsidRDefault="00AA678E">
            <w:pPr>
              <w:jc w:val="center"/>
              <w:rPr>
                <w:rFonts w:eastAsia="Times New Roman"/>
                <w:b/>
                <w:sz w:val="20"/>
                <w:lang w:eastAsia="en-US"/>
              </w:rPr>
            </w:pPr>
            <w:r>
              <w:rPr>
                <w:b/>
                <w:sz w:val="20"/>
                <w:lang w:eastAsia="en-US"/>
              </w:rPr>
              <w:t xml:space="preserve">Haematologic </w:t>
            </w:r>
            <w:r w:rsidRPr="005E21D1">
              <w:rPr>
                <w:b/>
                <w:sz w:val="20"/>
                <w:lang w:eastAsia="en-US"/>
              </w:rPr>
              <w:t>TMA</w:t>
            </w:r>
            <w:r>
              <w:rPr>
                <w:b/>
                <w:sz w:val="20"/>
                <w:lang w:eastAsia="en-US"/>
              </w:rPr>
              <w:t xml:space="preserve"> Parameter</w:t>
            </w:r>
          </w:p>
        </w:tc>
        <w:tc>
          <w:tcPr>
            <w:tcW w:w="2254" w:type="dxa"/>
            <w:tcBorders>
              <w:top w:val="single" w:sz="4" w:space="0" w:color="auto"/>
              <w:left w:val="single" w:sz="4" w:space="0" w:color="auto"/>
              <w:bottom w:val="single" w:sz="4" w:space="0" w:color="auto"/>
              <w:right w:val="single" w:sz="4" w:space="0" w:color="auto"/>
            </w:tcBorders>
            <w:hideMark/>
          </w:tcPr>
          <w:p w14:paraId="4AE5A6D4" w14:textId="77777777" w:rsidR="00AA678E" w:rsidRDefault="00AA678E">
            <w:pPr>
              <w:jc w:val="center"/>
              <w:rPr>
                <w:b/>
                <w:sz w:val="20"/>
                <w:lang w:eastAsia="en-US"/>
              </w:rPr>
            </w:pPr>
            <w:r>
              <w:rPr>
                <w:b/>
                <w:sz w:val="20"/>
                <w:lang w:eastAsia="en-US"/>
              </w:rPr>
              <w:t>Baseline (mean)</w:t>
            </w:r>
          </w:p>
        </w:tc>
        <w:tc>
          <w:tcPr>
            <w:tcW w:w="2254" w:type="dxa"/>
            <w:tcBorders>
              <w:top w:val="single" w:sz="4" w:space="0" w:color="auto"/>
              <w:left w:val="single" w:sz="4" w:space="0" w:color="auto"/>
              <w:bottom w:val="single" w:sz="4" w:space="0" w:color="auto"/>
              <w:right w:val="single" w:sz="4" w:space="0" w:color="auto"/>
            </w:tcBorders>
            <w:hideMark/>
          </w:tcPr>
          <w:p w14:paraId="673DE476" w14:textId="77777777" w:rsidR="00AA678E" w:rsidRDefault="00AA678E">
            <w:pPr>
              <w:jc w:val="center"/>
              <w:rPr>
                <w:b/>
                <w:sz w:val="20"/>
                <w:lang w:eastAsia="en-US"/>
              </w:rPr>
            </w:pPr>
            <w:r>
              <w:rPr>
                <w:b/>
                <w:sz w:val="20"/>
                <w:lang w:eastAsia="en-US"/>
              </w:rPr>
              <w:t>Day 183 (mean)</w:t>
            </w:r>
          </w:p>
        </w:tc>
        <w:tc>
          <w:tcPr>
            <w:tcW w:w="2254" w:type="dxa"/>
            <w:tcBorders>
              <w:top w:val="single" w:sz="4" w:space="0" w:color="auto"/>
              <w:left w:val="single" w:sz="4" w:space="0" w:color="auto"/>
              <w:bottom w:val="single" w:sz="4" w:space="0" w:color="auto"/>
              <w:right w:val="single" w:sz="4" w:space="0" w:color="auto"/>
            </w:tcBorders>
            <w:hideMark/>
          </w:tcPr>
          <w:p w14:paraId="4C726DB7" w14:textId="49A14BC0" w:rsidR="00AA678E" w:rsidRDefault="00AA678E">
            <w:pPr>
              <w:jc w:val="center"/>
              <w:rPr>
                <w:b/>
                <w:sz w:val="20"/>
                <w:lang w:eastAsia="en-US"/>
              </w:rPr>
            </w:pPr>
            <w:r>
              <w:rPr>
                <w:b/>
                <w:sz w:val="20"/>
                <w:lang w:eastAsia="en-US"/>
              </w:rPr>
              <w:t xml:space="preserve">Mean change from </w:t>
            </w:r>
            <w:r w:rsidR="004934F4">
              <w:rPr>
                <w:b/>
                <w:sz w:val="20"/>
                <w:lang w:eastAsia="en-US"/>
              </w:rPr>
              <w:t>B</w:t>
            </w:r>
            <w:r>
              <w:rPr>
                <w:b/>
                <w:sz w:val="20"/>
                <w:lang w:eastAsia="en-US"/>
              </w:rPr>
              <w:t>aseline</w:t>
            </w:r>
          </w:p>
        </w:tc>
      </w:tr>
      <w:tr w:rsidR="00AA678E" w14:paraId="17C648BA" w14:textId="77777777">
        <w:tc>
          <w:tcPr>
            <w:tcW w:w="2254" w:type="dxa"/>
            <w:tcBorders>
              <w:top w:val="single" w:sz="4" w:space="0" w:color="auto"/>
              <w:left w:val="single" w:sz="4" w:space="0" w:color="auto"/>
              <w:bottom w:val="single" w:sz="4" w:space="0" w:color="auto"/>
              <w:right w:val="single" w:sz="4" w:space="0" w:color="auto"/>
            </w:tcBorders>
            <w:hideMark/>
          </w:tcPr>
          <w:p w14:paraId="468BDD2B" w14:textId="77777777" w:rsidR="00AA678E" w:rsidRDefault="00AA678E">
            <w:pPr>
              <w:rPr>
                <w:sz w:val="20"/>
                <w:lang w:eastAsia="en-US"/>
              </w:rPr>
            </w:pPr>
            <w:r>
              <w:rPr>
                <w:sz w:val="20"/>
                <w:lang w:eastAsia="en-US"/>
              </w:rPr>
              <w:t>Platelet count (</w:t>
            </w:r>
            <w:r>
              <w:rPr>
                <w:sz w:val="20"/>
                <w:szCs w:val="20"/>
                <w:lang w:eastAsia="ja-JP"/>
              </w:rPr>
              <w:t>x 10</w:t>
            </w:r>
            <w:r>
              <w:rPr>
                <w:sz w:val="20"/>
                <w:szCs w:val="20"/>
                <w:vertAlign w:val="superscript"/>
                <w:lang w:eastAsia="ja-JP"/>
              </w:rPr>
              <w:t>9</w:t>
            </w:r>
            <w:r>
              <w:rPr>
                <w:sz w:val="20"/>
                <w:szCs w:val="20"/>
                <w:lang w:eastAsia="ja-JP"/>
              </w:rPr>
              <w:t>/L)</w:t>
            </w:r>
          </w:p>
        </w:tc>
        <w:tc>
          <w:tcPr>
            <w:tcW w:w="2254" w:type="dxa"/>
            <w:tcBorders>
              <w:top w:val="single" w:sz="4" w:space="0" w:color="auto"/>
              <w:left w:val="single" w:sz="4" w:space="0" w:color="auto"/>
              <w:bottom w:val="single" w:sz="4" w:space="0" w:color="auto"/>
              <w:right w:val="single" w:sz="4" w:space="0" w:color="auto"/>
            </w:tcBorders>
            <w:hideMark/>
          </w:tcPr>
          <w:p w14:paraId="7EB09129" w14:textId="77777777" w:rsidR="00AA678E" w:rsidRDefault="00AA678E">
            <w:pPr>
              <w:jc w:val="center"/>
              <w:rPr>
                <w:sz w:val="20"/>
                <w:szCs w:val="20"/>
                <w:lang w:eastAsia="en-US"/>
              </w:rPr>
            </w:pPr>
            <w:r>
              <w:rPr>
                <w:sz w:val="20"/>
                <w:szCs w:val="20"/>
                <w:lang w:eastAsia="en-US"/>
              </w:rPr>
              <w:t>118.52</w:t>
            </w:r>
          </w:p>
        </w:tc>
        <w:tc>
          <w:tcPr>
            <w:tcW w:w="2254" w:type="dxa"/>
            <w:tcBorders>
              <w:top w:val="single" w:sz="4" w:space="0" w:color="auto"/>
              <w:left w:val="single" w:sz="4" w:space="0" w:color="auto"/>
              <w:bottom w:val="single" w:sz="4" w:space="0" w:color="auto"/>
              <w:right w:val="single" w:sz="4" w:space="0" w:color="auto"/>
            </w:tcBorders>
            <w:hideMark/>
          </w:tcPr>
          <w:p w14:paraId="56BDCA3A" w14:textId="77777777" w:rsidR="00AA678E" w:rsidRDefault="00AA678E">
            <w:pPr>
              <w:jc w:val="center"/>
              <w:rPr>
                <w:sz w:val="20"/>
                <w:szCs w:val="24"/>
                <w:lang w:eastAsia="en-US"/>
              </w:rPr>
            </w:pPr>
            <w:r>
              <w:rPr>
                <w:sz w:val="20"/>
                <w:szCs w:val="20"/>
                <w:lang w:eastAsia="en-US"/>
              </w:rPr>
              <w:t>237.96</w:t>
            </w:r>
          </w:p>
        </w:tc>
        <w:tc>
          <w:tcPr>
            <w:tcW w:w="2254" w:type="dxa"/>
            <w:tcBorders>
              <w:top w:val="single" w:sz="4" w:space="0" w:color="auto"/>
              <w:left w:val="single" w:sz="4" w:space="0" w:color="auto"/>
              <w:bottom w:val="single" w:sz="4" w:space="0" w:color="auto"/>
              <w:right w:val="single" w:sz="4" w:space="0" w:color="auto"/>
            </w:tcBorders>
            <w:hideMark/>
          </w:tcPr>
          <w:p w14:paraId="4A04087C" w14:textId="77777777" w:rsidR="00AA678E" w:rsidRDefault="00AA678E">
            <w:pPr>
              <w:jc w:val="center"/>
              <w:rPr>
                <w:sz w:val="20"/>
                <w:lang w:eastAsia="en-US"/>
              </w:rPr>
            </w:pPr>
            <w:r>
              <w:rPr>
                <w:sz w:val="20"/>
                <w:lang w:eastAsia="en-US"/>
              </w:rPr>
              <w:t>114.79</w:t>
            </w:r>
          </w:p>
        </w:tc>
      </w:tr>
      <w:tr w:rsidR="00AA678E" w14:paraId="4593B3D7" w14:textId="77777777">
        <w:tc>
          <w:tcPr>
            <w:tcW w:w="2254" w:type="dxa"/>
            <w:tcBorders>
              <w:top w:val="single" w:sz="4" w:space="0" w:color="auto"/>
              <w:left w:val="single" w:sz="4" w:space="0" w:color="auto"/>
              <w:bottom w:val="single" w:sz="4" w:space="0" w:color="auto"/>
              <w:right w:val="single" w:sz="4" w:space="0" w:color="auto"/>
            </w:tcBorders>
            <w:hideMark/>
          </w:tcPr>
          <w:p w14:paraId="2CE0CC95" w14:textId="77777777" w:rsidR="00AA678E" w:rsidRDefault="00AA678E">
            <w:pPr>
              <w:rPr>
                <w:sz w:val="20"/>
                <w:lang w:eastAsia="en-US"/>
              </w:rPr>
            </w:pPr>
            <w:r>
              <w:rPr>
                <w:sz w:val="20"/>
                <w:lang w:eastAsia="en-US"/>
              </w:rPr>
              <w:t>LDH (U/L)</w:t>
            </w:r>
          </w:p>
        </w:tc>
        <w:tc>
          <w:tcPr>
            <w:tcW w:w="2254" w:type="dxa"/>
            <w:tcBorders>
              <w:top w:val="single" w:sz="4" w:space="0" w:color="auto"/>
              <w:left w:val="single" w:sz="4" w:space="0" w:color="auto"/>
              <w:bottom w:val="single" w:sz="4" w:space="0" w:color="auto"/>
              <w:right w:val="single" w:sz="4" w:space="0" w:color="auto"/>
            </w:tcBorders>
            <w:hideMark/>
          </w:tcPr>
          <w:p w14:paraId="47152EC5" w14:textId="77777777" w:rsidR="00AA678E" w:rsidRDefault="00AA678E">
            <w:pPr>
              <w:jc w:val="center"/>
              <w:rPr>
                <w:sz w:val="20"/>
                <w:lang w:eastAsia="en-US"/>
              </w:rPr>
            </w:pPr>
            <w:r>
              <w:rPr>
                <w:sz w:val="20"/>
                <w:lang w:eastAsia="en-US"/>
              </w:rPr>
              <w:t>702.38</w:t>
            </w:r>
          </w:p>
        </w:tc>
        <w:tc>
          <w:tcPr>
            <w:tcW w:w="2254" w:type="dxa"/>
            <w:tcBorders>
              <w:top w:val="single" w:sz="4" w:space="0" w:color="auto"/>
              <w:left w:val="single" w:sz="4" w:space="0" w:color="auto"/>
              <w:bottom w:val="single" w:sz="4" w:space="0" w:color="auto"/>
              <w:right w:val="single" w:sz="4" w:space="0" w:color="auto"/>
            </w:tcBorders>
            <w:hideMark/>
          </w:tcPr>
          <w:p w14:paraId="12B00FB7" w14:textId="77777777" w:rsidR="00AA678E" w:rsidRDefault="00AA678E">
            <w:pPr>
              <w:jc w:val="center"/>
              <w:rPr>
                <w:sz w:val="20"/>
                <w:lang w:eastAsia="en-US"/>
              </w:rPr>
            </w:pPr>
            <w:r>
              <w:rPr>
                <w:sz w:val="20"/>
                <w:lang w:eastAsia="en-US"/>
              </w:rPr>
              <w:t>194.46</w:t>
            </w:r>
          </w:p>
        </w:tc>
        <w:tc>
          <w:tcPr>
            <w:tcW w:w="2254" w:type="dxa"/>
            <w:tcBorders>
              <w:top w:val="single" w:sz="4" w:space="0" w:color="auto"/>
              <w:left w:val="single" w:sz="4" w:space="0" w:color="auto"/>
              <w:bottom w:val="single" w:sz="4" w:space="0" w:color="auto"/>
              <w:right w:val="single" w:sz="4" w:space="0" w:color="auto"/>
            </w:tcBorders>
          </w:tcPr>
          <w:p w14:paraId="07579249" w14:textId="77777777" w:rsidR="00AA678E" w:rsidRDefault="00AA678E">
            <w:pPr>
              <w:jc w:val="center"/>
              <w:rPr>
                <w:sz w:val="20"/>
                <w:lang w:eastAsia="en-US"/>
              </w:rPr>
            </w:pPr>
            <w:r>
              <w:rPr>
                <w:sz w:val="20"/>
                <w:lang w:eastAsia="en-US"/>
              </w:rPr>
              <w:t>-519.83</w:t>
            </w:r>
          </w:p>
        </w:tc>
      </w:tr>
      <w:tr w:rsidR="00AA678E" w14:paraId="4C55B0DB" w14:textId="77777777">
        <w:tc>
          <w:tcPr>
            <w:tcW w:w="2254" w:type="dxa"/>
            <w:tcBorders>
              <w:top w:val="single" w:sz="4" w:space="0" w:color="auto"/>
              <w:left w:val="single" w:sz="4" w:space="0" w:color="auto"/>
              <w:bottom w:val="single" w:sz="4" w:space="0" w:color="auto"/>
              <w:right w:val="single" w:sz="4" w:space="0" w:color="auto"/>
            </w:tcBorders>
            <w:hideMark/>
          </w:tcPr>
          <w:p w14:paraId="4E671738" w14:textId="77777777" w:rsidR="00AA678E" w:rsidRDefault="00AA678E">
            <w:pPr>
              <w:rPr>
                <w:sz w:val="20"/>
                <w:lang w:eastAsia="en-US"/>
              </w:rPr>
            </w:pPr>
            <w:r>
              <w:rPr>
                <w:sz w:val="20"/>
                <w:lang w:eastAsia="en-US"/>
              </w:rPr>
              <w:t>Hb (g/L)</w:t>
            </w:r>
          </w:p>
        </w:tc>
        <w:tc>
          <w:tcPr>
            <w:tcW w:w="2254" w:type="dxa"/>
            <w:tcBorders>
              <w:top w:val="single" w:sz="4" w:space="0" w:color="auto"/>
              <w:left w:val="single" w:sz="4" w:space="0" w:color="auto"/>
              <w:bottom w:val="single" w:sz="4" w:space="0" w:color="auto"/>
              <w:right w:val="single" w:sz="4" w:space="0" w:color="auto"/>
            </w:tcBorders>
            <w:hideMark/>
          </w:tcPr>
          <w:p w14:paraId="63F2B08F" w14:textId="77777777" w:rsidR="00AA678E" w:rsidRDefault="00AA678E">
            <w:pPr>
              <w:jc w:val="center"/>
              <w:rPr>
                <w:sz w:val="20"/>
                <w:lang w:eastAsia="en-US"/>
              </w:rPr>
            </w:pPr>
            <w:r>
              <w:rPr>
                <w:sz w:val="20"/>
                <w:lang w:eastAsia="en-US"/>
              </w:rPr>
              <w:t>86.26</w:t>
            </w:r>
          </w:p>
        </w:tc>
        <w:tc>
          <w:tcPr>
            <w:tcW w:w="2254" w:type="dxa"/>
            <w:tcBorders>
              <w:top w:val="single" w:sz="4" w:space="0" w:color="auto"/>
              <w:left w:val="single" w:sz="4" w:space="0" w:color="auto"/>
              <w:bottom w:val="single" w:sz="4" w:space="0" w:color="auto"/>
              <w:right w:val="single" w:sz="4" w:space="0" w:color="auto"/>
            </w:tcBorders>
            <w:hideMark/>
          </w:tcPr>
          <w:p w14:paraId="706C4965" w14:textId="77777777" w:rsidR="00AA678E" w:rsidRDefault="00AA678E">
            <w:pPr>
              <w:jc w:val="center"/>
              <w:rPr>
                <w:sz w:val="20"/>
                <w:lang w:eastAsia="en-US"/>
              </w:rPr>
            </w:pPr>
            <w:r>
              <w:rPr>
                <w:sz w:val="20"/>
                <w:lang w:eastAsia="en-US"/>
              </w:rPr>
              <w:t>120.27</w:t>
            </w:r>
          </w:p>
        </w:tc>
        <w:tc>
          <w:tcPr>
            <w:tcW w:w="2254" w:type="dxa"/>
            <w:tcBorders>
              <w:top w:val="single" w:sz="4" w:space="0" w:color="auto"/>
              <w:left w:val="single" w:sz="4" w:space="0" w:color="auto"/>
              <w:bottom w:val="single" w:sz="4" w:space="0" w:color="auto"/>
              <w:right w:val="single" w:sz="4" w:space="0" w:color="auto"/>
            </w:tcBorders>
          </w:tcPr>
          <w:p w14:paraId="054893AB" w14:textId="77777777" w:rsidR="00AA678E" w:rsidRDefault="00AA678E">
            <w:pPr>
              <w:jc w:val="center"/>
              <w:rPr>
                <w:sz w:val="20"/>
                <w:lang w:eastAsia="en-US"/>
              </w:rPr>
            </w:pPr>
            <w:r>
              <w:rPr>
                <w:sz w:val="20"/>
                <w:lang w:eastAsia="en-US"/>
              </w:rPr>
              <w:t>34.64</w:t>
            </w:r>
          </w:p>
        </w:tc>
      </w:tr>
    </w:tbl>
    <w:p w14:paraId="3DCD7AB1" w14:textId="05B57E72" w:rsidR="004934F4" w:rsidRDefault="004934F4" w:rsidP="0035187D">
      <w:pPr>
        <w:pStyle w:val="TableDescription"/>
      </w:pPr>
      <w:r>
        <w:t xml:space="preserve">Abbreviations: Hb = haemoglobin; LDH = lactate dehydrogenase; TMA = </w:t>
      </w:r>
      <w:r>
        <w:rPr>
          <w:szCs w:val="22"/>
        </w:rPr>
        <w:t>thrombotic microangiopathy</w:t>
      </w:r>
    </w:p>
    <w:p w14:paraId="2B28A55A" w14:textId="371BBA79" w:rsidR="00856026" w:rsidRDefault="00AA678E" w:rsidP="00AA678E">
      <w:pPr>
        <w:rPr>
          <w:lang w:eastAsia="ja-JP"/>
        </w:rPr>
      </w:pPr>
      <w:r>
        <w:t>During the</w:t>
      </w:r>
      <w:r w:rsidRPr="00151A60">
        <w:rPr>
          <w:lang w:eastAsia="ja-JP"/>
        </w:rPr>
        <w:t xml:space="preserve"> </w:t>
      </w:r>
      <w:r w:rsidRPr="007E5D2B">
        <w:rPr>
          <w:lang w:eastAsia="ja-JP"/>
        </w:rPr>
        <w:t>Extension Period</w:t>
      </w:r>
      <w:r>
        <w:rPr>
          <w:lang w:eastAsia="ja-JP"/>
        </w:rPr>
        <w:t xml:space="preserve">, mean </w:t>
      </w:r>
      <w:r>
        <w:t xml:space="preserve">platelet count remained </w:t>
      </w:r>
      <w:r>
        <w:rPr>
          <w:lang w:eastAsia="ja-JP"/>
        </w:rPr>
        <w:t xml:space="preserve">≥ 205 </w:t>
      </w:r>
      <w:r w:rsidRPr="007E5D2B">
        <w:rPr>
          <w:lang w:eastAsia="ja-JP"/>
        </w:rPr>
        <w:t>x 10</w:t>
      </w:r>
      <w:r w:rsidRPr="00EA71EE">
        <w:rPr>
          <w:vertAlign w:val="superscript"/>
          <w:lang w:eastAsia="ja-JP"/>
        </w:rPr>
        <w:t>9</w:t>
      </w:r>
      <w:r w:rsidRPr="007E5D2B">
        <w:rPr>
          <w:lang w:eastAsia="ja-JP"/>
        </w:rPr>
        <w:t>/</w:t>
      </w:r>
      <w:r>
        <w:rPr>
          <w:lang w:eastAsia="ja-JP"/>
        </w:rPr>
        <w:t xml:space="preserve">L, mean LDH values remained ≤ 215 U/L and mean </w:t>
      </w:r>
      <w:r w:rsidR="00B70E76">
        <w:rPr>
          <w:lang w:eastAsia="ja-JP"/>
        </w:rPr>
        <w:t>haemoglobin</w:t>
      </w:r>
      <w:r>
        <w:rPr>
          <w:lang w:eastAsia="ja-JP"/>
        </w:rPr>
        <w:t xml:space="preserve"> values were ≥ 120 g/L.</w:t>
      </w:r>
    </w:p>
    <w:p w14:paraId="18FBAE3B" w14:textId="38D1FF15" w:rsidR="00AA678E" w:rsidRPr="007E5D2B" w:rsidRDefault="008A2B72" w:rsidP="00AA678E">
      <w:pPr>
        <w:rPr>
          <w:rFonts w:eastAsia="Times New Roman"/>
        </w:rPr>
      </w:pPr>
      <w:r>
        <w:t>D</w:t>
      </w:r>
      <w:r w:rsidRPr="008A2B72">
        <w:t>uring the Initial Evaluation Period,</w:t>
      </w:r>
      <w:r>
        <w:t xml:space="preserve"> </w:t>
      </w:r>
      <w:r w:rsidR="00AA678E">
        <w:t xml:space="preserve">71.4% (40/56; 95% CI: 58.7, 84.2) patients achieved </w:t>
      </w:r>
      <w:r w:rsidR="00B70E76" w:rsidRPr="00B70E76">
        <w:t xml:space="preserve">haemoglobin </w:t>
      </w:r>
      <w:r w:rsidR="00AA678E">
        <w:t xml:space="preserve">response with an additional </w:t>
      </w:r>
      <w:r>
        <w:t>five</w:t>
      </w:r>
      <w:r w:rsidR="00AA678E">
        <w:t xml:space="preserve"> patients achieving </w:t>
      </w:r>
      <w:r w:rsidR="00B70E76" w:rsidRPr="00B70E76">
        <w:t>haemoglobin</w:t>
      </w:r>
      <w:r w:rsidR="00AA678E">
        <w:t xml:space="preserve"> response at the time of data cut-off (80.4% </w:t>
      </w:r>
      <w:r w:rsidR="00FD0821">
        <w:t>(</w:t>
      </w:r>
      <w:r w:rsidR="00AA678E">
        <w:t>45/56</w:t>
      </w:r>
      <w:r w:rsidR="00FD0821">
        <w:t>);</w:t>
      </w:r>
      <w:r w:rsidR="00AA678E">
        <w:t xml:space="preserve"> 95% CI: 69.1, 91.7).</w:t>
      </w:r>
    </w:p>
    <w:p w14:paraId="0A57D6A4" w14:textId="75942897" w:rsidR="00AA678E" w:rsidRPr="007E5D2B" w:rsidRDefault="00AA678E" w:rsidP="00AA678E">
      <w:pPr>
        <w:rPr>
          <w:rFonts w:eastAsia="Times New Roman"/>
        </w:rPr>
      </w:pPr>
      <w:r w:rsidRPr="007E5D2B">
        <w:t xml:space="preserve">Of the 29 (51.8%) patients requiring dialysis at </w:t>
      </w:r>
      <w:r w:rsidR="00FD0821">
        <w:t>B</w:t>
      </w:r>
      <w:r w:rsidRPr="007E5D2B">
        <w:t>aseline:</w:t>
      </w:r>
    </w:p>
    <w:p w14:paraId="66D216CF" w14:textId="1F11240C" w:rsidR="00AA678E" w:rsidRPr="007E5D2B" w:rsidRDefault="008A2B72" w:rsidP="008A2B72">
      <w:pPr>
        <w:pStyle w:val="ListBullet"/>
      </w:pPr>
      <w:r>
        <w:t>1</w:t>
      </w:r>
      <w:r w:rsidR="00AA678E" w:rsidRPr="007E5D2B">
        <w:t>7 (58.6%) discontinued dialysis during</w:t>
      </w:r>
      <w:r w:rsidR="00AA678E">
        <w:t xml:space="preserve"> the Initial Evaluation Period</w:t>
      </w:r>
    </w:p>
    <w:p w14:paraId="5C2884D4" w14:textId="02D7D66E" w:rsidR="00856026" w:rsidRDefault="00AA678E" w:rsidP="008A2B72">
      <w:pPr>
        <w:pStyle w:val="ListBullet"/>
      </w:pPr>
      <w:r w:rsidRPr="007E5D2B">
        <w:t>18 (62.1%) discontinued dialysis duri</w:t>
      </w:r>
      <w:r>
        <w:t>ng the study as of data cut-off</w:t>
      </w:r>
    </w:p>
    <w:p w14:paraId="4117E2F4" w14:textId="6031754F" w:rsidR="00AA678E" w:rsidRPr="007E5D2B" w:rsidRDefault="00AA678E" w:rsidP="00AA678E">
      <w:r w:rsidRPr="007E5D2B">
        <w:t xml:space="preserve">Of the 27 patients who were not on dialysis at </w:t>
      </w:r>
      <w:r w:rsidR="00FD0821">
        <w:t>B</w:t>
      </w:r>
      <w:r w:rsidRPr="007E5D2B">
        <w:t>aseline, 7 (25.9%) initiated dialysis during the Initial Evaluation Period, with 6 rem</w:t>
      </w:r>
      <w:r>
        <w:t>aining on dialysis at Day 183.</w:t>
      </w:r>
    </w:p>
    <w:p w14:paraId="5CE3B8AB" w14:textId="54CD0D30" w:rsidR="00856026" w:rsidRDefault="00AA678E" w:rsidP="00AA678E">
      <w:r w:rsidRPr="007E5D2B">
        <w:t xml:space="preserve">Mean </w:t>
      </w:r>
      <w:r w:rsidR="004934F4">
        <w:t>estimated glomerular filtration rate (</w:t>
      </w:r>
      <w:r w:rsidRPr="007E5D2B">
        <w:t>eGFR</w:t>
      </w:r>
      <w:r w:rsidR="004934F4">
        <w:t>)</w:t>
      </w:r>
      <w:r w:rsidRPr="007E5D2B">
        <w:t xml:space="preserve"> increased over time during the Initial Evaluation Period; 15.86 mL/min/1.73 m</w:t>
      </w:r>
      <w:r w:rsidRPr="007E5D2B">
        <w:rPr>
          <w:vertAlign w:val="superscript"/>
        </w:rPr>
        <w:t>2</w:t>
      </w:r>
      <w:r w:rsidRPr="007E5D2B">
        <w:t>, 30.63 mL/min/1.73 m</w:t>
      </w:r>
      <w:r w:rsidRPr="007E5D2B">
        <w:rPr>
          <w:vertAlign w:val="superscript"/>
        </w:rPr>
        <w:t>2</w:t>
      </w:r>
      <w:r w:rsidRPr="007E5D2B">
        <w:t xml:space="preserve"> and 51.83 mL/min/1.73 m</w:t>
      </w:r>
      <w:r w:rsidRPr="007E5D2B">
        <w:rPr>
          <w:vertAlign w:val="superscript"/>
        </w:rPr>
        <w:t>2</w:t>
      </w:r>
      <w:r w:rsidRPr="007E5D2B">
        <w:t xml:space="preserve"> at </w:t>
      </w:r>
      <w:r w:rsidR="00FD0821">
        <w:t>B</w:t>
      </w:r>
      <w:r w:rsidRPr="007E5D2B">
        <w:t xml:space="preserve">aseline, Day </w:t>
      </w:r>
      <w:proofErr w:type="gramStart"/>
      <w:r w:rsidRPr="007E5D2B">
        <w:t>15</w:t>
      </w:r>
      <w:proofErr w:type="gramEnd"/>
      <w:r w:rsidRPr="007E5D2B">
        <w:t xml:space="preserve"> and Day 183 respectively. During the Extension Period, mean eGFR remained ≥ 50 mL/min/1.73 m</w:t>
      </w:r>
      <w:r w:rsidRPr="007E5D2B">
        <w:rPr>
          <w:vertAlign w:val="superscript"/>
        </w:rPr>
        <w:t>2</w:t>
      </w:r>
      <w:r w:rsidRPr="00A829F2">
        <w:t xml:space="preserve"> </w:t>
      </w:r>
      <w:r>
        <w:t>for the 43 patients that reached the Day 407 visit</w:t>
      </w:r>
      <w:r w:rsidRPr="007E5D2B">
        <w:t>.</w:t>
      </w:r>
    </w:p>
    <w:p w14:paraId="033E021F" w14:textId="66E4F36D" w:rsidR="00856026" w:rsidRDefault="008A2B72" w:rsidP="00AA678E">
      <w:r>
        <w:t>F</w:t>
      </w:r>
      <w:r w:rsidR="00AA678E" w:rsidRPr="007E5D2B">
        <w:t xml:space="preserve">or 32 of 47 (68.1%) patients with available data, </w:t>
      </w:r>
      <w:r w:rsidR="004934F4">
        <w:t>chronic kidney disease (</w:t>
      </w:r>
      <w:r w:rsidR="00AA678E" w:rsidRPr="007E5D2B">
        <w:t>CKD</w:t>
      </w:r>
      <w:r w:rsidR="004934F4">
        <w:t>)</w:t>
      </w:r>
      <w:r w:rsidR="00AA678E" w:rsidRPr="007E5D2B">
        <w:t xml:space="preserve"> stage</w:t>
      </w:r>
      <w:r w:rsidR="00AA678E">
        <w:t xml:space="preserve"> improved compared to baseline </w:t>
      </w:r>
      <w:r w:rsidR="00AA678E" w:rsidRPr="007E5D2B">
        <w:t xml:space="preserve">by ≥ 1 </w:t>
      </w:r>
      <w:r w:rsidR="00FD0821">
        <w:t>s</w:t>
      </w:r>
      <w:r w:rsidR="00AA678E" w:rsidRPr="007E5D2B">
        <w:t xml:space="preserve">tage. </w:t>
      </w:r>
      <w:r w:rsidR="00AA678E">
        <w:t xml:space="preserve">CKD stage worsened for </w:t>
      </w:r>
      <w:r w:rsidR="00FD0821">
        <w:t>two</w:t>
      </w:r>
      <w:r w:rsidR="00AA678E">
        <w:t xml:space="preserve"> patients (Stage 4 to Stage 5). </w:t>
      </w:r>
      <w:r w:rsidR="00AA678E" w:rsidRPr="007E5D2B">
        <w:t xml:space="preserve">During the Extension </w:t>
      </w:r>
      <w:r w:rsidR="00AA678E">
        <w:t>P</w:t>
      </w:r>
      <w:r w:rsidR="00AA678E" w:rsidRPr="007E5D2B">
        <w:t>eriod, 29 of 42 (69.0%) patients</w:t>
      </w:r>
      <w:r w:rsidR="00AA678E">
        <w:t xml:space="preserve"> with available baseline and Day 407 data</w:t>
      </w:r>
      <w:r w:rsidR="00AA678E" w:rsidRPr="007E5D2B">
        <w:t xml:space="preserve"> had improvement in CKD stage compared to baseline.</w:t>
      </w:r>
    </w:p>
    <w:p w14:paraId="0F4C690D" w14:textId="15EC7595" w:rsidR="008A2B72" w:rsidRDefault="008A2B72" w:rsidP="005D4971">
      <w:pPr>
        <w:pStyle w:val="Heading5"/>
      </w:pPr>
      <w:r w:rsidRPr="005D4971">
        <w:t>Paediatric</w:t>
      </w:r>
      <w:r w:rsidRPr="00FD0821">
        <w:t xml:space="preserve"> patients with </w:t>
      </w:r>
      <w:r w:rsidR="00330C22">
        <w:t>a</w:t>
      </w:r>
      <w:r w:rsidR="00330C22" w:rsidRPr="00330C22">
        <w:t>typical haemolytic uraemic syndrome</w:t>
      </w:r>
    </w:p>
    <w:p w14:paraId="0432B1C5" w14:textId="0E9D6875" w:rsidR="00AA678E" w:rsidRPr="00F72C49" w:rsidRDefault="008A2B72" w:rsidP="008A2B72">
      <w:pPr>
        <w:pStyle w:val="Heading6"/>
      </w:pPr>
      <w:r w:rsidRPr="008A2B72">
        <w:t>Study ALXN1210-aHUS-312</w:t>
      </w:r>
    </w:p>
    <w:p w14:paraId="27DA721D" w14:textId="786B9F9C" w:rsidR="00AA678E" w:rsidRDefault="008A2B72" w:rsidP="00AA678E">
      <w:pPr>
        <w:rPr>
          <w:rFonts w:eastAsia="Times New Roman"/>
          <w:szCs w:val="24"/>
          <w:lang w:eastAsia="ja-JP"/>
        </w:rPr>
      </w:pPr>
      <w:r w:rsidRPr="008A2B72">
        <w:rPr>
          <w:rFonts w:eastAsia="Times New Roman"/>
          <w:szCs w:val="24"/>
          <w:lang w:eastAsia="en-AU"/>
        </w:rPr>
        <w:t>Study ALXN1210-aHUS-312</w:t>
      </w:r>
      <w:r w:rsidR="004934F4">
        <w:rPr>
          <w:rFonts w:eastAsia="Times New Roman"/>
          <w:szCs w:val="24"/>
          <w:lang w:eastAsia="en-AU"/>
        </w:rPr>
        <w:t>;</w:t>
      </w:r>
      <w:r w:rsidR="004934F4">
        <w:rPr>
          <w:rStyle w:val="FootnoteReference"/>
          <w:rFonts w:eastAsia="Times New Roman"/>
          <w:szCs w:val="24"/>
          <w:lang w:eastAsia="en-AU"/>
        </w:rPr>
        <w:footnoteReference w:id="16"/>
      </w:r>
      <w:r>
        <w:rPr>
          <w:rFonts w:eastAsia="Times New Roman"/>
          <w:szCs w:val="24"/>
          <w:lang w:eastAsia="en-AU"/>
        </w:rPr>
        <w:t xml:space="preserve"> </w:t>
      </w:r>
      <w:r w:rsidR="00AA678E" w:rsidRPr="00E86474">
        <w:rPr>
          <w:rFonts w:eastAsia="Times New Roman"/>
          <w:szCs w:val="24"/>
          <w:lang w:eastAsia="en-AU"/>
        </w:rPr>
        <w:t xml:space="preserve">is an ongoing </w:t>
      </w:r>
      <w:r w:rsidR="00B8491F">
        <w:rPr>
          <w:rFonts w:eastAsia="Times New Roman"/>
          <w:szCs w:val="24"/>
          <w:lang w:eastAsia="en-AU"/>
        </w:rPr>
        <w:t>Phase III</w:t>
      </w:r>
      <w:r w:rsidR="00AA678E" w:rsidRPr="00E86474">
        <w:rPr>
          <w:rFonts w:eastAsia="Times New Roman"/>
          <w:szCs w:val="24"/>
          <w:lang w:eastAsia="en-AU"/>
        </w:rPr>
        <w:t xml:space="preserve">, </w:t>
      </w:r>
      <w:r w:rsidR="00AA678E" w:rsidRPr="00E86474">
        <w:rPr>
          <w:rFonts w:eastAsia="Times New Roman"/>
          <w:szCs w:val="24"/>
          <w:lang w:eastAsia="ja-JP"/>
        </w:rPr>
        <w:t xml:space="preserve">open-label, multinational, multicentre, single-arm study to evaluate the safety, efficacy, </w:t>
      </w:r>
      <w:proofErr w:type="gramStart"/>
      <w:r>
        <w:rPr>
          <w:rFonts w:eastAsia="Times New Roman"/>
          <w:szCs w:val="24"/>
          <w:lang w:eastAsia="ja-JP"/>
        </w:rPr>
        <w:t>pharmacokinetics</w:t>
      </w:r>
      <w:proofErr w:type="gramEnd"/>
      <w:r w:rsidR="00AA678E" w:rsidRPr="00E86474">
        <w:rPr>
          <w:rFonts w:eastAsia="Times New Roman"/>
          <w:szCs w:val="24"/>
          <w:lang w:eastAsia="ja-JP"/>
        </w:rPr>
        <w:t xml:space="preserve"> and </w:t>
      </w:r>
      <w:r>
        <w:rPr>
          <w:rFonts w:eastAsia="Times New Roman"/>
          <w:szCs w:val="24"/>
          <w:lang w:eastAsia="ja-JP"/>
        </w:rPr>
        <w:t>pharmacodynamics</w:t>
      </w:r>
      <w:r w:rsidR="00AA678E" w:rsidRPr="00E86474">
        <w:rPr>
          <w:rFonts w:eastAsia="Times New Roman"/>
          <w:szCs w:val="24"/>
          <w:lang w:eastAsia="ja-JP"/>
        </w:rPr>
        <w:t xml:space="preserve"> of ravulizumab in complement inhibitor treatment-</w:t>
      </w:r>
      <w:r w:rsidR="00446075">
        <w:rPr>
          <w:rFonts w:eastAsia="Times New Roman"/>
          <w:szCs w:val="24"/>
          <w:lang w:eastAsia="ja-JP"/>
        </w:rPr>
        <w:t>naive</w:t>
      </w:r>
      <w:r w:rsidR="00AA678E" w:rsidRPr="00E86474">
        <w:rPr>
          <w:rFonts w:eastAsia="Times New Roman"/>
          <w:szCs w:val="24"/>
          <w:lang w:eastAsia="ja-JP"/>
        </w:rPr>
        <w:t xml:space="preserve"> (Cohort 1) and eculizumab-exp</w:t>
      </w:r>
      <w:r w:rsidR="00AA678E">
        <w:rPr>
          <w:rFonts w:eastAsia="Times New Roman"/>
          <w:szCs w:val="24"/>
          <w:lang w:eastAsia="ja-JP"/>
        </w:rPr>
        <w:t xml:space="preserve">erienced (Cohort 2) paediatric </w:t>
      </w:r>
      <w:r w:rsidR="00AA678E" w:rsidRPr="00E86474">
        <w:rPr>
          <w:rFonts w:eastAsia="Times New Roman"/>
          <w:szCs w:val="24"/>
          <w:lang w:eastAsia="ja-JP"/>
        </w:rPr>
        <w:t xml:space="preserve">patients with aHUS. The study comprised a 26-week Initial Evaluation Period and </w:t>
      </w:r>
      <w:r w:rsidR="00AA678E">
        <w:rPr>
          <w:rFonts w:eastAsia="Times New Roman"/>
          <w:szCs w:val="24"/>
          <w:lang w:eastAsia="ja-JP"/>
        </w:rPr>
        <w:t>E</w:t>
      </w:r>
      <w:r w:rsidR="00AA678E" w:rsidRPr="00E86474">
        <w:rPr>
          <w:rFonts w:eastAsia="Times New Roman"/>
          <w:szCs w:val="24"/>
          <w:lang w:eastAsia="ja-JP"/>
        </w:rPr>
        <w:t xml:space="preserve">xtension </w:t>
      </w:r>
      <w:r w:rsidR="00AA678E">
        <w:rPr>
          <w:rFonts w:eastAsia="Times New Roman"/>
          <w:szCs w:val="24"/>
          <w:lang w:eastAsia="ja-JP"/>
        </w:rPr>
        <w:t>P</w:t>
      </w:r>
      <w:r w:rsidR="00AA678E" w:rsidRPr="00E86474">
        <w:rPr>
          <w:rFonts w:eastAsia="Times New Roman"/>
          <w:szCs w:val="24"/>
          <w:lang w:eastAsia="ja-JP"/>
        </w:rPr>
        <w:t>eriod (up to 4.5 years). Data were presented through data cut-off</w:t>
      </w:r>
      <w:r w:rsidR="00AA678E">
        <w:rPr>
          <w:rFonts w:eastAsia="Times New Roman"/>
          <w:szCs w:val="24"/>
          <w:lang w:eastAsia="ja-JP"/>
        </w:rPr>
        <w:t xml:space="preserve"> date</w:t>
      </w:r>
      <w:r w:rsidR="00AA678E" w:rsidRPr="00E86474">
        <w:rPr>
          <w:rFonts w:eastAsia="Times New Roman"/>
          <w:szCs w:val="24"/>
          <w:lang w:eastAsia="ja-JP"/>
        </w:rPr>
        <w:t xml:space="preserve"> of 3 </w:t>
      </w:r>
      <w:r w:rsidR="007E513E">
        <w:rPr>
          <w:rFonts w:eastAsia="Times New Roman"/>
          <w:szCs w:val="24"/>
          <w:lang w:eastAsia="ja-JP"/>
        </w:rPr>
        <w:t>December</w:t>
      </w:r>
      <w:r w:rsidR="00AA678E" w:rsidRPr="00E86474">
        <w:rPr>
          <w:rFonts w:eastAsia="Times New Roman"/>
          <w:szCs w:val="24"/>
          <w:lang w:eastAsia="ja-JP"/>
        </w:rPr>
        <w:t xml:space="preserve"> 2019 and included at least the 52 Week visit for all patients ongoing </w:t>
      </w:r>
      <w:r w:rsidR="00AA678E">
        <w:rPr>
          <w:rFonts w:eastAsia="Times New Roman"/>
          <w:szCs w:val="24"/>
          <w:lang w:eastAsia="ja-JP"/>
        </w:rPr>
        <w:t>i</w:t>
      </w:r>
      <w:r w:rsidR="00AA678E" w:rsidRPr="00E86474">
        <w:rPr>
          <w:rFonts w:eastAsia="Times New Roman"/>
          <w:szCs w:val="24"/>
          <w:lang w:eastAsia="ja-JP"/>
        </w:rPr>
        <w:t>n the study</w:t>
      </w:r>
      <w:r w:rsidR="00AA678E">
        <w:rPr>
          <w:rFonts w:eastAsia="Times New Roman"/>
          <w:szCs w:val="24"/>
          <w:lang w:eastAsia="ja-JP"/>
        </w:rPr>
        <w:t>.</w:t>
      </w:r>
    </w:p>
    <w:p w14:paraId="02588813" w14:textId="6003A961" w:rsidR="00AA678E" w:rsidRDefault="00AA678E" w:rsidP="00AA678E">
      <w:pPr>
        <w:rPr>
          <w:lang w:eastAsia="ja-JP"/>
        </w:rPr>
      </w:pPr>
      <w:r w:rsidRPr="00680CC3">
        <w:rPr>
          <w:lang w:eastAsia="ja-JP"/>
        </w:rPr>
        <w:t>The</w:t>
      </w:r>
      <w:r>
        <w:rPr>
          <w:lang w:eastAsia="ja-JP"/>
        </w:rPr>
        <w:t xml:space="preserve"> study design is summarised </w:t>
      </w:r>
      <w:r w:rsidR="00902727">
        <w:rPr>
          <w:lang w:eastAsia="ja-JP"/>
        </w:rPr>
        <w:t xml:space="preserve">in </w:t>
      </w:r>
      <w:r w:rsidR="00E93B71">
        <w:rPr>
          <w:lang w:eastAsia="ja-JP"/>
        </w:rPr>
        <w:t>Figure 8, below.</w:t>
      </w:r>
    </w:p>
    <w:p w14:paraId="58B4F396" w14:textId="07CD158A" w:rsidR="00902727" w:rsidRDefault="00902727" w:rsidP="00902727">
      <w:pPr>
        <w:pStyle w:val="TableTitle"/>
      </w:pPr>
      <w:r>
        <w:lastRenderedPageBreak/>
        <w:t xml:space="preserve">Figure </w:t>
      </w:r>
      <w:fldSimple w:instr=" SEQ Figure \* ARABIC ">
        <w:r w:rsidR="004C7A29">
          <w:rPr>
            <w:noProof/>
          </w:rPr>
          <w:t>8</w:t>
        </w:r>
      </w:fldSimple>
      <w:r>
        <w:t xml:space="preserve">: </w:t>
      </w:r>
      <w:r w:rsidRPr="00902727">
        <w:t>Study ALXN1210-aHUS-312</w:t>
      </w:r>
      <w:r>
        <w:t xml:space="preserve"> </w:t>
      </w:r>
      <w:r w:rsidR="00387478">
        <w:t>s</w:t>
      </w:r>
      <w:r>
        <w:t>tudy design</w:t>
      </w:r>
    </w:p>
    <w:p w14:paraId="7DF7F391" w14:textId="11B48C99" w:rsidR="00C74CF1" w:rsidRDefault="00C74CF1" w:rsidP="0058150A">
      <w:pPr>
        <w:rPr>
          <w:lang w:eastAsia="ja-JP"/>
        </w:rPr>
      </w:pPr>
      <w:r w:rsidRPr="00E86474">
        <w:rPr>
          <w:noProof/>
          <w:lang w:val="en-GB" w:eastAsia="en-GB"/>
        </w:rPr>
        <w:drawing>
          <wp:inline distT="0" distB="0" distL="0" distR="0" wp14:anchorId="6196C53F" wp14:editId="78CFEBA0">
            <wp:extent cx="5731511" cy="2266950"/>
            <wp:effectExtent l="0" t="0" r="2540" b="0"/>
            <wp:docPr id="8" name="Picture 8" descr="This figure shows Study ALXN1210-aHUS-312 study design.  The screening period was up to seven days for complement inhibitor treatment-naive patients and 28 days for eculizumab-experienced adolescent patients.  The Initial Evaluation Period was 26 weeks, comprising of a loading dose and maintenance dose.  The Extension Period was up to 4.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figure shows Study ALXN1210-aHUS-312 study design.  The screening period was up to seven days for complement inhibitor treatment-naive patients and 28 days for eculizumab-experienced adolescent patients.  The Initial Evaluation Period was 26 weeks, comprising of a loading dose and maintenance dose.  The Extension Period was up to 4.5 years."/>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Lst>
                    </a:blip>
                    <a:stretch>
                      <a:fillRect/>
                    </a:stretch>
                  </pic:blipFill>
                  <pic:spPr>
                    <a:xfrm>
                      <a:off x="0" y="0"/>
                      <a:ext cx="5745564" cy="2272508"/>
                    </a:xfrm>
                    <a:prstGeom prst="rect">
                      <a:avLst/>
                    </a:prstGeom>
                  </pic:spPr>
                </pic:pic>
              </a:graphicData>
            </a:graphic>
          </wp:inline>
        </w:drawing>
      </w:r>
    </w:p>
    <w:p w14:paraId="56827DF5" w14:textId="420167AF" w:rsidR="00C74CF1" w:rsidRDefault="00C74CF1" w:rsidP="00C74CF1">
      <w:pPr>
        <w:pStyle w:val="TableDescription"/>
        <w:rPr>
          <w:lang w:eastAsia="ja-JP"/>
        </w:rPr>
      </w:pPr>
      <w:proofErr w:type="spellStart"/>
      <w:r w:rsidRPr="00C74CF1">
        <w:rPr>
          <w:vertAlign w:val="superscript"/>
          <w:lang w:eastAsia="ja-JP"/>
        </w:rPr>
        <w:t>a</w:t>
      </w:r>
      <w:proofErr w:type="spellEnd"/>
      <w:r w:rsidRPr="00C74CF1">
        <w:rPr>
          <w:vertAlign w:val="superscript"/>
          <w:lang w:eastAsia="ja-JP"/>
        </w:rPr>
        <w:t xml:space="preserve"> </w:t>
      </w:r>
      <w:r w:rsidRPr="00C74CF1">
        <w:rPr>
          <w:lang w:eastAsia="ja-JP"/>
        </w:rPr>
        <w:t>The Screening Period was up to 7 days for complement inhibitor treatment-</w:t>
      </w:r>
      <w:r w:rsidR="00446075">
        <w:rPr>
          <w:lang w:eastAsia="ja-JP"/>
        </w:rPr>
        <w:t>naive</w:t>
      </w:r>
      <w:r w:rsidRPr="00C74CF1">
        <w:rPr>
          <w:lang w:eastAsia="ja-JP"/>
        </w:rPr>
        <w:t xml:space="preserve"> patients (that is, Cohort 1) and up to 28 days for eculizumab-experienced adolescent patients (that is, Cohort 2).</w:t>
      </w:r>
    </w:p>
    <w:p w14:paraId="16D1B0FE" w14:textId="4BE3E495" w:rsidR="00C74CF1" w:rsidRDefault="00C74CF1" w:rsidP="00452A6B">
      <w:pPr>
        <w:rPr>
          <w:lang w:eastAsia="ja-JP"/>
        </w:rPr>
      </w:pPr>
      <w:r>
        <w:rPr>
          <w:lang w:eastAsia="ja-JP"/>
        </w:rPr>
        <w:t>The first patient was treated on 1 September 2017.</w:t>
      </w:r>
      <w:r w:rsidR="00B9110E">
        <w:rPr>
          <w:lang w:eastAsia="ja-JP"/>
        </w:rPr>
        <w:t xml:space="preserve"> </w:t>
      </w:r>
      <w:r>
        <w:rPr>
          <w:lang w:eastAsia="ja-JP"/>
        </w:rPr>
        <w:t xml:space="preserve">The data cut-off was on 3 </w:t>
      </w:r>
      <w:r w:rsidR="007E513E">
        <w:rPr>
          <w:lang w:eastAsia="ja-JP"/>
        </w:rPr>
        <w:t>December</w:t>
      </w:r>
      <w:r>
        <w:rPr>
          <w:lang w:eastAsia="ja-JP"/>
        </w:rPr>
        <w:t xml:space="preserve"> 2019.</w:t>
      </w:r>
      <w:r w:rsidR="00B9110E">
        <w:rPr>
          <w:lang w:eastAsia="ja-JP"/>
        </w:rPr>
        <w:t xml:space="preserve"> </w:t>
      </w:r>
      <w:r>
        <w:rPr>
          <w:lang w:eastAsia="ja-JP"/>
        </w:rPr>
        <w:t>The study was conducted over 20 sites in 8 countries (</w:t>
      </w:r>
      <w:r w:rsidRPr="00C74CF1">
        <w:rPr>
          <w:lang w:eastAsia="ja-JP"/>
        </w:rPr>
        <w:t xml:space="preserve">Belgium, Germany, Italy, Japan, Korea, Spain, United </w:t>
      </w:r>
      <w:proofErr w:type="gramStart"/>
      <w:r w:rsidRPr="00C74CF1">
        <w:rPr>
          <w:lang w:eastAsia="ja-JP"/>
        </w:rPr>
        <w:t>Kingdom</w:t>
      </w:r>
      <w:proofErr w:type="gramEnd"/>
      <w:r w:rsidRPr="00C74CF1">
        <w:rPr>
          <w:lang w:eastAsia="ja-JP"/>
        </w:rPr>
        <w:t xml:space="preserve"> and the </w:t>
      </w:r>
      <w:r w:rsidR="00E93B71">
        <w:rPr>
          <w:lang w:eastAsia="ja-JP"/>
        </w:rPr>
        <w:t>USA</w:t>
      </w:r>
      <w:r w:rsidRPr="00C74CF1">
        <w:rPr>
          <w:lang w:eastAsia="ja-JP"/>
        </w:rPr>
        <w:t>).</w:t>
      </w:r>
    </w:p>
    <w:p w14:paraId="08483281" w14:textId="626E554F" w:rsidR="00C74CF1" w:rsidRDefault="00452A6B" w:rsidP="00452A6B">
      <w:pPr>
        <w:rPr>
          <w:lang w:eastAsia="ja-JP"/>
        </w:rPr>
      </w:pPr>
      <w:r w:rsidRPr="00452A6B">
        <w:rPr>
          <w:lang w:eastAsia="ja-JP"/>
        </w:rPr>
        <w:t xml:space="preserve">All patients received ravulizumab loading dose on Day 1 and weight-based maintenance dosing on Day 15 and once every eight weeks (body weight ≥ 20 kg) or </w:t>
      </w:r>
      <w:r w:rsidR="00F46EEC">
        <w:rPr>
          <w:lang w:eastAsia="ja-JP"/>
        </w:rPr>
        <w:t>once every four weeks</w:t>
      </w:r>
      <w:r w:rsidRPr="00452A6B">
        <w:rPr>
          <w:lang w:eastAsia="ja-JP"/>
        </w:rPr>
        <w:t xml:space="preserve"> (body weight &lt; 20 kg) thereafter as above. For eculizumab treated patients, Day 1 of study treatment occurred 14 days after the last dose of eculizumab.</w:t>
      </w:r>
    </w:p>
    <w:p w14:paraId="30EE7C3F" w14:textId="5313BB90" w:rsidR="00452A6B" w:rsidRDefault="00452A6B" w:rsidP="00452A6B">
      <w:pPr>
        <w:rPr>
          <w:lang w:eastAsia="ja-JP"/>
        </w:rPr>
      </w:pPr>
      <w:r w:rsidRPr="00452A6B">
        <w:rPr>
          <w:lang w:eastAsia="ja-JP"/>
        </w:rPr>
        <w:t xml:space="preserve">As part of Protocol Amendment 5 (23rd August 2018), the loading dose for patients with body weight 5 </w:t>
      </w:r>
      <w:r>
        <w:rPr>
          <w:lang w:eastAsia="ja-JP"/>
        </w:rPr>
        <w:t xml:space="preserve">to </w:t>
      </w:r>
      <w:r w:rsidRPr="00452A6B">
        <w:rPr>
          <w:lang w:eastAsia="ja-JP"/>
        </w:rPr>
        <w:t>&lt; 10 kg was increased from 300 mg to 600 mg.</w:t>
      </w:r>
    </w:p>
    <w:p w14:paraId="7FAEA7AB" w14:textId="25B7E833" w:rsidR="00452A6B" w:rsidRDefault="00452A6B" w:rsidP="00452A6B">
      <w:pPr>
        <w:pStyle w:val="Heading7"/>
        <w:rPr>
          <w:lang w:eastAsia="ja-JP"/>
        </w:rPr>
      </w:pPr>
      <w:r w:rsidRPr="00452A6B">
        <w:rPr>
          <w:lang w:eastAsia="ja-JP"/>
        </w:rPr>
        <w:t>Main inclusion</w:t>
      </w:r>
      <w:r w:rsidR="005D4971">
        <w:rPr>
          <w:lang w:eastAsia="ja-JP"/>
        </w:rPr>
        <w:t xml:space="preserve"> and exclusion</w:t>
      </w:r>
      <w:r w:rsidRPr="00452A6B">
        <w:rPr>
          <w:lang w:eastAsia="ja-JP"/>
        </w:rPr>
        <w:t xml:space="preserve"> criteria</w:t>
      </w:r>
    </w:p>
    <w:p w14:paraId="1B53B43C" w14:textId="747B9F70" w:rsidR="005D4971" w:rsidRPr="005D4971" w:rsidRDefault="005D4971" w:rsidP="005D4971">
      <w:pPr>
        <w:rPr>
          <w:lang w:eastAsia="ja-JP"/>
        </w:rPr>
      </w:pPr>
      <w:r>
        <w:rPr>
          <w:lang w:eastAsia="ja-JP"/>
        </w:rPr>
        <w:t>The main inclusion criteria were:</w:t>
      </w:r>
    </w:p>
    <w:p w14:paraId="6485DE4A" w14:textId="22BDE3B0" w:rsidR="00452A6B" w:rsidRPr="005D4971" w:rsidRDefault="005D4971" w:rsidP="005D4971">
      <w:pPr>
        <w:pStyle w:val="ListBullet"/>
      </w:pPr>
      <w:r w:rsidRPr="005D4971">
        <w:t>A</w:t>
      </w:r>
      <w:r w:rsidR="00452A6B" w:rsidRPr="005D4971">
        <w:t xml:space="preserve">ge </w:t>
      </w:r>
      <w:r w:rsidR="0053297A">
        <w:t>&lt;</w:t>
      </w:r>
      <w:r w:rsidR="00E93B71">
        <w:t xml:space="preserve"> </w:t>
      </w:r>
      <w:r w:rsidR="00452A6B" w:rsidRPr="005D4971">
        <w:t>18 years (Cohort 1 and Japanese sites for Cohort 2)</w:t>
      </w:r>
      <w:r w:rsidR="00E93B71">
        <w:t>;</w:t>
      </w:r>
      <w:r w:rsidR="00452A6B" w:rsidRPr="005D4971">
        <w:t xml:space="preserve"> age 12 </w:t>
      </w:r>
      <w:r w:rsidR="00F46EEC" w:rsidRPr="005D4971">
        <w:t>to</w:t>
      </w:r>
      <w:r w:rsidR="00452A6B" w:rsidRPr="005D4971">
        <w:t xml:space="preserve"> </w:t>
      </w:r>
      <w:r w:rsidR="0053297A">
        <w:t>&lt;</w:t>
      </w:r>
      <w:r w:rsidR="00F46EEC" w:rsidRPr="005D4971">
        <w:t xml:space="preserve"> </w:t>
      </w:r>
      <w:r w:rsidR="00452A6B" w:rsidRPr="005D4971">
        <w:t>18 years (non</w:t>
      </w:r>
      <w:r w:rsidR="00E93B71">
        <w:noBreakHyphen/>
      </w:r>
      <w:r w:rsidR="00452A6B" w:rsidRPr="005D4971">
        <w:t>Japanese sites for Cohort 2)</w:t>
      </w:r>
    </w:p>
    <w:p w14:paraId="7EADA913" w14:textId="0D04E849" w:rsidR="00452A6B" w:rsidRPr="005D4971" w:rsidRDefault="005D4971" w:rsidP="005D4971">
      <w:pPr>
        <w:pStyle w:val="ListBullet"/>
      </w:pPr>
      <w:r w:rsidRPr="005D4971">
        <w:t>B</w:t>
      </w:r>
      <w:r w:rsidR="00452A6B" w:rsidRPr="005D4971">
        <w:t>ody weight 5 kg</w:t>
      </w:r>
      <w:r w:rsidR="00F46EEC" w:rsidRPr="005D4971">
        <w:t xml:space="preserve"> or more</w:t>
      </w:r>
    </w:p>
    <w:p w14:paraId="673C4931" w14:textId="36BF29F0" w:rsidR="00452A6B" w:rsidRPr="005D4971" w:rsidRDefault="00452A6B" w:rsidP="005D4971">
      <w:pPr>
        <w:pStyle w:val="ListBullet"/>
      </w:pPr>
      <w:r w:rsidRPr="005D4971">
        <w:t>Cohort 1:</w:t>
      </w:r>
    </w:p>
    <w:p w14:paraId="0ED0D06B" w14:textId="7829CAA3" w:rsidR="00452A6B" w:rsidRPr="005D4971" w:rsidRDefault="005D4971" w:rsidP="005D4971">
      <w:pPr>
        <w:pStyle w:val="ListBullet2"/>
        <w:numPr>
          <w:ilvl w:val="0"/>
          <w:numId w:val="0"/>
        </w:numPr>
        <w:ind w:left="425"/>
      </w:pPr>
      <w:r>
        <w:t>E</w:t>
      </w:r>
      <w:r w:rsidR="00452A6B" w:rsidRPr="005D4971">
        <w:t xml:space="preserve">vidence of </w:t>
      </w:r>
      <w:r w:rsidR="00E93B71">
        <w:rPr>
          <w:szCs w:val="22"/>
        </w:rPr>
        <w:t>thrombotic microangiopathy (</w:t>
      </w:r>
      <w:r w:rsidR="00452A6B" w:rsidRPr="005D4971">
        <w:t>TMA</w:t>
      </w:r>
      <w:r w:rsidR="00E93B71">
        <w:t>)</w:t>
      </w:r>
      <w:r w:rsidR="00452A6B" w:rsidRPr="005D4971">
        <w:t xml:space="preserve"> including thrombocytopenia, evidence of haemolysis, and kidney injury based on:</w:t>
      </w:r>
    </w:p>
    <w:p w14:paraId="7BD856C2" w14:textId="02713081" w:rsidR="00452A6B" w:rsidRPr="005D4971" w:rsidRDefault="005D4971" w:rsidP="005D4971">
      <w:pPr>
        <w:pStyle w:val="ListBullet2"/>
      </w:pPr>
      <w:r>
        <w:t>P</w:t>
      </w:r>
      <w:r w:rsidR="00452A6B" w:rsidRPr="005D4971">
        <w:t>latelet count &lt; 150,000/μL and</w:t>
      </w:r>
    </w:p>
    <w:p w14:paraId="35855207" w14:textId="69D49CC5" w:rsidR="00452A6B" w:rsidRPr="005D4971" w:rsidRDefault="00E93B71" w:rsidP="005D4971">
      <w:pPr>
        <w:pStyle w:val="ListBullet2"/>
      </w:pPr>
      <w:r>
        <w:t>lactate dehydrogenase (</w:t>
      </w:r>
      <w:r w:rsidR="00452A6B" w:rsidRPr="005D4971">
        <w:t>LDH</w:t>
      </w:r>
      <w:r>
        <w:t>)</w:t>
      </w:r>
      <w:r w:rsidR="00452A6B" w:rsidRPr="005D4971">
        <w:t xml:space="preserve"> ≥ 1.5 x </w:t>
      </w:r>
      <w:r>
        <w:t>upper limit of normal (</w:t>
      </w:r>
      <w:r w:rsidR="00452A6B" w:rsidRPr="005D4971">
        <w:t>ULN</w:t>
      </w:r>
      <w:r>
        <w:t>)</w:t>
      </w:r>
      <w:r w:rsidR="00452A6B" w:rsidRPr="005D4971">
        <w:t xml:space="preserve"> and </w:t>
      </w:r>
      <w:r w:rsidR="00B70E76" w:rsidRPr="00B70E76">
        <w:t>haemoglobin</w:t>
      </w:r>
      <w:r w:rsidR="00452A6B" w:rsidRPr="005D4971">
        <w:t xml:space="preserve"> </w:t>
      </w:r>
      <w:r>
        <w:t>(Hb) </w:t>
      </w:r>
      <w:r w:rsidR="00452A6B" w:rsidRPr="005D4971">
        <w:t>≤</w:t>
      </w:r>
      <w:r>
        <w:t> </w:t>
      </w:r>
      <w:r w:rsidR="00B70E76">
        <w:t xml:space="preserve">lower limit of normal </w:t>
      </w:r>
      <w:r w:rsidR="00452A6B" w:rsidRPr="005D4971">
        <w:t>for age and gender and</w:t>
      </w:r>
    </w:p>
    <w:p w14:paraId="56A8B2A1" w14:textId="5C7041DC" w:rsidR="00452A6B" w:rsidRPr="005D4971" w:rsidRDefault="005D4971" w:rsidP="005D4971">
      <w:pPr>
        <w:pStyle w:val="ListBullet2"/>
      </w:pPr>
      <w:r>
        <w:t>S</w:t>
      </w:r>
      <w:r w:rsidR="00452A6B" w:rsidRPr="005D4971">
        <w:t>erum creatinine ≥ 97.5th percentile for age at screening</w:t>
      </w:r>
      <w:r>
        <w:t>.</w:t>
      </w:r>
    </w:p>
    <w:p w14:paraId="20D9AD65" w14:textId="6B15AB4A" w:rsidR="00452A6B" w:rsidRPr="005D4971" w:rsidRDefault="00452A6B" w:rsidP="005D4971">
      <w:pPr>
        <w:pStyle w:val="ListBullet"/>
      </w:pPr>
      <w:r w:rsidRPr="005D4971">
        <w:t>Cohort 2:</w:t>
      </w:r>
    </w:p>
    <w:p w14:paraId="59DDCC8A" w14:textId="7DF34F4F" w:rsidR="00452A6B" w:rsidRPr="005D4971" w:rsidRDefault="005D4971" w:rsidP="005D4971">
      <w:pPr>
        <w:pStyle w:val="ListBullet2"/>
      </w:pPr>
      <w:r>
        <w:t>D</w:t>
      </w:r>
      <w:r w:rsidR="00452A6B" w:rsidRPr="005D4971">
        <w:t>ocumented diagnosis of aHUS</w:t>
      </w:r>
    </w:p>
    <w:p w14:paraId="2CFCA399" w14:textId="19E7CE26" w:rsidR="00452A6B" w:rsidRPr="005D4971" w:rsidRDefault="005D4971" w:rsidP="005D4971">
      <w:pPr>
        <w:pStyle w:val="ListBullet2"/>
      </w:pPr>
      <w:r>
        <w:t>T</w:t>
      </w:r>
      <w:r w:rsidR="00452A6B" w:rsidRPr="005D4971">
        <w:t>reated with eculizumab for 90 days</w:t>
      </w:r>
      <w:r w:rsidR="00F46EEC" w:rsidRPr="005D4971">
        <w:t xml:space="preserve"> or longer</w:t>
      </w:r>
      <w:r w:rsidR="00452A6B" w:rsidRPr="005D4971">
        <w:t xml:space="preserve"> before screening</w:t>
      </w:r>
    </w:p>
    <w:p w14:paraId="731CF9C6" w14:textId="3A180F80" w:rsidR="00452A6B" w:rsidRPr="005D4971" w:rsidRDefault="005D4971" w:rsidP="005D4971">
      <w:pPr>
        <w:pStyle w:val="ListBullet2"/>
      </w:pPr>
      <w:r>
        <w:t>C</w:t>
      </w:r>
      <w:r w:rsidR="00452A6B" w:rsidRPr="005D4971">
        <w:t xml:space="preserve">linical evidence of response to eculizumab indicated by stable TMA parameters including LDH </w:t>
      </w:r>
      <w:r w:rsidR="0053297A">
        <w:t>&lt;</w:t>
      </w:r>
      <w:r w:rsidR="00452A6B" w:rsidRPr="005D4971">
        <w:t xml:space="preserve"> 1.5 x ULN and platelet count </w:t>
      </w:r>
      <w:r w:rsidR="0053297A">
        <w:t>≥</w:t>
      </w:r>
      <w:r w:rsidR="00452A6B" w:rsidRPr="005D4971">
        <w:t xml:space="preserve"> 150,000/μL and </w:t>
      </w:r>
      <w:r w:rsidR="00E93B71">
        <w:t xml:space="preserve">urine output/ </w:t>
      </w:r>
      <w:r w:rsidR="00E93B71">
        <w:lastRenderedPageBreak/>
        <w:t>estimated glomerular filtration rate (</w:t>
      </w:r>
      <w:r w:rsidR="00452A6B" w:rsidRPr="005D4971">
        <w:t>eGFR</w:t>
      </w:r>
      <w:r w:rsidR="00E93B71">
        <w:t>) </w:t>
      </w:r>
      <w:r w:rsidR="0053297A">
        <w:t>&gt;</w:t>
      </w:r>
      <w:r w:rsidR="00E93B71">
        <w:t> </w:t>
      </w:r>
      <w:r w:rsidR="00452A6B" w:rsidRPr="005D4971">
        <w:t>30</w:t>
      </w:r>
      <w:r w:rsidR="0053297A">
        <w:t> </w:t>
      </w:r>
      <w:r w:rsidR="00452A6B" w:rsidRPr="005D4971">
        <w:t>mL/min/1.73m</w:t>
      </w:r>
      <w:r w:rsidR="00452A6B" w:rsidRPr="0053297A">
        <w:rPr>
          <w:vertAlign w:val="superscript"/>
        </w:rPr>
        <w:t>2</w:t>
      </w:r>
      <w:r w:rsidR="00452A6B" w:rsidRPr="005D4971">
        <w:t xml:space="preserve"> using the Schwarz formula</w:t>
      </w:r>
    </w:p>
    <w:p w14:paraId="244CFC65" w14:textId="0CE42411" w:rsidR="00452A6B" w:rsidRDefault="00452A6B" w:rsidP="00452A6B">
      <w:pPr>
        <w:pStyle w:val="ListBullet"/>
        <w:rPr>
          <w:lang w:eastAsia="ja-JP"/>
        </w:rPr>
      </w:pPr>
      <w:r>
        <w:rPr>
          <w:lang w:eastAsia="ja-JP"/>
        </w:rPr>
        <w:t xml:space="preserve">Vaccination against meningococcal infections, </w:t>
      </w:r>
      <w:r w:rsidRPr="00452A6B">
        <w:rPr>
          <w:i/>
          <w:iCs/>
          <w:lang w:eastAsia="ja-JP"/>
        </w:rPr>
        <w:t>Haemophilus influenzae</w:t>
      </w:r>
      <w:r>
        <w:rPr>
          <w:lang w:eastAsia="ja-JP"/>
        </w:rPr>
        <w:t xml:space="preserve"> type b (Hib) and </w:t>
      </w:r>
      <w:r w:rsidRPr="00452A6B">
        <w:rPr>
          <w:i/>
          <w:iCs/>
          <w:lang w:eastAsia="ja-JP"/>
        </w:rPr>
        <w:t>Streptococcus pneumoniae</w:t>
      </w:r>
      <w:r w:rsidR="00E93B71">
        <w:rPr>
          <w:i/>
          <w:iCs/>
          <w:lang w:eastAsia="ja-JP"/>
        </w:rPr>
        <w:t>.</w:t>
      </w:r>
    </w:p>
    <w:p w14:paraId="35E5D947" w14:textId="7F8423B9" w:rsidR="005D4971" w:rsidRDefault="005D4971" w:rsidP="005D4971">
      <w:pPr>
        <w:pStyle w:val="ListBullet"/>
        <w:numPr>
          <w:ilvl w:val="0"/>
          <w:numId w:val="0"/>
        </w:numPr>
        <w:rPr>
          <w:lang w:eastAsia="ja-JP"/>
        </w:rPr>
      </w:pPr>
      <w:r>
        <w:rPr>
          <w:lang w:eastAsia="ja-JP"/>
        </w:rPr>
        <w:t>The main exclusion criteria were:</w:t>
      </w:r>
    </w:p>
    <w:p w14:paraId="2DF6EB34" w14:textId="7071E513" w:rsidR="00452A6B" w:rsidRDefault="00452A6B" w:rsidP="00452A6B">
      <w:pPr>
        <w:pStyle w:val="ListBullet"/>
        <w:rPr>
          <w:lang w:eastAsia="ja-JP"/>
        </w:rPr>
      </w:pPr>
      <w:r>
        <w:rPr>
          <w:lang w:eastAsia="ja-JP"/>
        </w:rPr>
        <w:t>Cohort 1:</w:t>
      </w:r>
    </w:p>
    <w:p w14:paraId="74AA072C" w14:textId="6E1456C5" w:rsidR="00452A6B" w:rsidRDefault="005D4971" w:rsidP="00452A6B">
      <w:pPr>
        <w:pStyle w:val="ListBullet2"/>
        <w:rPr>
          <w:lang w:eastAsia="ja-JP"/>
        </w:rPr>
      </w:pPr>
      <w:r>
        <w:rPr>
          <w:lang w:eastAsia="ja-JP"/>
        </w:rPr>
        <w:t>P</w:t>
      </w:r>
      <w:r w:rsidR="00452A6B">
        <w:rPr>
          <w:lang w:eastAsia="ja-JP"/>
        </w:rPr>
        <w:t>rior use of complement inhibitors</w:t>
      </w:r>
    </w:p>
    <w:p w14:paraId="39E228A8" w14:textId="60C55CDE" w:rsidR="00452A6B" w:rsidRDefault="005D4971" w:rsidP="00452A6B">
      <w:pPr>
        <w:pStyle w:val="ListBullet2"/>
        <w:rPr>
          <w:lang w:eastAsia="ja-JP"/>
        </w:rPr>
      </w:pPr>
      <w:r>
        <w:rPr>
          <w:lang w:eastAsia="ja-JP"/>
        </w:rPr>
        <w:t>P</w:t>
      </w:r>
      <w:r w:rsidR="00452A6B">
        <w:rPr>
          <w:lang w:eastAsia="ja-JP"/>
        </w:rPr>
        <w:t xml:space="preserve">lasma exchange/plasma infusion 28 days </w:t>
      </w:r>
      <w:r w:rsidR="00F46EEC">
        <w:rPr>
          <w:lang w:eastAsia="ja-JP"/>
        </w:rPr>
        <w:t xml:space="preserve">or longer </w:t>
      </w:r>
      <w:r w:rsidR="00452A6B">
        <w:rPr>
          <w:lang w:eastAsia="ja-JP"/>
        </w:rPr>
        <w:t>prior to screening</w:t>
      </w:r>
    </w:p>
    <w:p w14:paraId="343E90AB" w14:textId="2BB8D4B9" w:rsidR="00452A6B" w:rsidRDefault="00452A6B" w:rsidP="00452A6B">
      <w:pPr>
        <w:pStyle w:val="ListBullet"/>
        <w:rPr>
          <w:lang w:eastAsia="ja-JP"/>
        </w:rPr>
      </w:pPr>
      <w:r>
        <w:rPr>
          <w:lang w:eastAsia="ja-JP"/>
        </w:rPr>
        <w:t>Cohort 2:</w:t>
      </w:r>
    </w:p>
    <w:p w14:paraId="5F40CF94" w14:textId="2C0C9758" w:rsidR="00452A6B" w:rsidRDefault="005D4971" w:rsidP="00452A6B">
      <w:pPr>
        <w:pStyle w:val="ListBullet2"/>
        <w:rPr>
          <w:lang w:eastAsia="ja-JP"/>
        </w:rPr>
      </w:pPr>
      <w:r>
        <w:rPr>
          <w:lang w:eastAsia="ja-JP"/>
        </w:rPr>
        <w:t>P</w:t>
      </w:r>
      <w:r w:rsidR="00452A6B">
        <w:rPr>
          <w:lang w:eastAsia="ja-JP"/>
        </w:rPr>
        <w:t>rior use of complement inhibitors other than eculizumab</w:t>
      </w:r>
    </w:p>
    <w:p w14:paraId="54684A57" w14:textId="0C7D2838" w:rsidR="00452A6B" w:rsidRDefault="005D4971" w:rsidP="00452A6B">
      <w:pPr>
        <w:pStyle w:val="ListBullet2"/>
        <w:rPr>
          <w:lang w:eastAsia="ja-JP"/>
        </w:rPr>
      </w:pPr>
      <w:r>
        <w:rPr>
          <w:lang w:eastAsia="ja-JP"/>
        </w:rPr>
        <w:t>A</w:t>
      </w:r>
      <w:r w:rsidR="00452A6B">
        <w:rPr>
          <w:lang w:eastAsia="ja-JP"/>
        </w:rPr>
        <w:t xml:space="preserve">bnormal TMA parameters within 90 days of screening (LDH </w:t>
      </w:r>
      <w:r w:rsidR="0053297A">
        <w:rPr>
          <w:lang w:eastAsia="ja-JP"/>
        </w:rPr>
        <w:t>≥</w:t>
      </w:r>
      <w:r w:rsidR="00452A6B">
        <w:rPr>
          <w:lang w:eastAsia="ja-JP"/>
        </w:rPr>
        <w:t xml:space="preserve">1.5 x ULN, platelet count </w:t>
      </w:r>
      <w:r w:rsidR="00F46EEC">
        <w:rPr>
          <w:lang w:eastAsia="ja-JP"/>
        </w:rPr>
        <w:t xml:space="preserve">less than </w:t>
      </w:r>
      <w:r w:rsidR="00452A6B">
        <w:rPr>
          <w:lang w:eastAsia="ja-JP"/>
        </w:rPr>
        <w:t>150,000/</w:t>
      </w:r>
      <w:proofErr w:type="spellStart"/>
      <w:r w:rsidR="00452A6B">
        <w:rPr>
          <w:lang w:eastAsia="ja-JP"/>
        </w:rPr>
        <w:t>μL</w:t>
      </w:r>
      <w:proofErr w:type="spellEnd"/>
      <w:r w:rsidR="00452A6B">
        <w:rPr>
          <w:lang w:eastAsia="ja-JP"/>
        </w:rPr>
        <w:t xml:space="preserve"> or eGFR</w:t>
      </w:r>
      <w:r w:rsidR="00F46EEC">
        <w:rPr>
          <w:lang w:eastAsia="ja-JP"/>
        </w:rPr>
        <w:t xml:space="preserve"> </w:t>
      </w:r>
      <w:r w:rsidR="0053297A">
        <w:rPr>
          <w:lang w:eastAsia="ja-JP"/>
        </w:rPr>
        <w:t>≥</w:t>
      </w:r>
      <w:r w:rsidR="00452A6B">
        <w:rPr>
          <w:lang w:eastAsia="ja-JP"/>
        </w:rPr>
        <w:t>30</w:t>
      </w:r>
      <w:r w:rsidR="00F46EEC">
        <w:rPr>
          <w:lang w:eastAsia="ja-JP"/>
        </w:rPr>
        <w:t> </w:t>
      </w:r>
      <w:r w:rsidR="00452A6B">
        <w:rPr>
          <w:lang w:eastAsia="ja-JP"/>
        </w:rPr>
        <w:t>mL/min/1.73m</w:t>
      </w:r>
      <w:r w:rsidR="00452A6B" w:rsidRPr="0053297A">
        <w:rPr>
          <w:vertAlign w:val="superscript"/>
          <w:lang w:eastAsia="ja-JP"/>
        </w:rPr>
        <w:t>2</w:t>
      </w:r>
      <w:r w:rsidR="00452A6B">
        <w:rPr>
          <w:lang w:eastAsia="ja-JP"/>
        </w:rPr>
        <w:t xml:space="preserve"> using the Schwarz formula)</w:t>
      </w:r>
    </w:p>
    <w:p w14:paraId="74A7D923" w14:textId="38153033" w:rsidR="00452A6B" w:rsidRDefault="00452A6B" w:rsidP="00452A6B">
      <w:pPr>
        <w:pStyle w:val="ListBullet"/>
        <w:rPr>
          <w:lang w:eastAsia="ja-JP"/>
        </w:rPr>
      </w:pPr>
      <w:r>
        <w:rPr>
          <w:lang w:eastAsia="ja-JP"/>
        </w:rPr>
        <w:t xml:space="preserve">Other key exclusion criteria as per </w:t>
      </w:r>
      <w:r w:rsidR="005D4971" w:rsidRPr="005D4971">
        <w:rPr>
          <w:lang w:eastAsia="ja-JP"/>
        </w:rPr>
        <w:t>Study ALXN1210-aHUS-311</w:t>
      </w:r>
      <w:r w:rsidR="00E93B71">
        <w:rPr>
          <w:lang w:eastAsia="ja-JP"/>
        </w:rPr>
        <w:t xml:space="preserve"> (see </w:t>
      </w:r>
      <w:r w:rsidR="00E93B71">
        <w:rPr>
          <w:lang w:eastAsia="ja-JP"/>
        </w:rPr>
        <w:fldChar w:fldCharType="begin"/>
      </w:r>
      <w:r w:rsidR="00E93B71">
        <w:rPr>
          <w:lang w:eastAsia="ja-JP"/>
        </w:rPr>
        <w:instrText xml:space="preserve"> REF _Ref135313859 \h </w:instrText>
      </w:r>
      <w:r w:rsidR="00E93B71">
        <w:rPr>
          <w:lang w:eastAsia="ja-JP"/>
        </w:rPr>
      </w:r>
      <w:r w:rsidR="00E93B71">
        <w:rPr>
          <w:lang w:eastAsia="ja-JP"/>
        </w:rPr>
        <w:fldChar w:fldCharType="separate"/>
      </w:r>
      <w:r w:rsidR="00E93B71">
        <w:rPr>
          <w:lang w:eastAsia="ja-JP"/>
        </w:rPr>
        <w:t>Inclusion and exclusion</w:t>
      </w:r>
      <w:r w:rsidR="00E93B71" w:rsidRPr="00893B21">
        <w:rPr>
          <w:lang w:eastAsia="ja-JP"/>
        </w:rPr>
        <w:t xml:space="preserve"> criteria</w:t>
      </w:r>
      <w:r w:rsidR="00E93B71">
        <w:rPr>
          <w:lang w:eastAsia="ja-JP"/>
        </w:rPr>
        <w:fldChar w:fldCharType="end"/>
      </w:r>
      <w:r w:rsidR="00E93B71">
        <w:rPr>
          <w:lang w:eastAsia="ja-JP"/>
        </w:rPr>
        <w:t xml:space="preserve"> of </w:t>
      </w:r>
      <w:r w:rsidR="00E93B71">
        <w:t>Study ALXN1210-aHUS-311, above)</w:t>
      </w:r>
      <w:r>
        <w:rPr>
          <w:lang w:eastAsia="ja-JP"/>
        </w:rPr>
        <w:t>.</w:t>
      </w:r>
    </w:p>
    <w:p w14:paraId="64ECDDDE" w14:textId="689C22B6" w:rsidR="00452A6B" w:rsidRDefault="00452A6B" w:rsidP="00452A6B">
      <w:pPr>
        <w:pStyle w:val="Heading7"/>
        <w:rPr>
          <w:lang w:eastAsia="ja-JP"/>
        </w:rPr>
      </w:pPr>
      <w:r w:rsidRPr="00452A6B">
        <w:rPr>
          <w:lang w:eastAsia="ja-JP"/>
        </w:rPr>
        <w:t>Efficacy endpoints</w:t>
      </w:r>
    </w:p>
    <w:p w14:paraId="2B12B5E8" w14:textId="411AA39A" w:rsidR="00452A6B" w:rsidRDefault="00452A6B" w:rsidP="00452A6B">
      <w:pPr>
        <w:rPr>
          <w:lang w:eastAsia="ja-JP"/>
        </w:rPr>
      </w:pPr>
      <w:r>
        <w:rPr>
          <w:lang w:eastAsia="ja-JP"/>
        </w:rPr>
        <w:t xml:space="preserve">The primary endpoint (Cohort 1 only) was complete </w:t>
      </w:r>
      <w:r w:rsidR="005F3F4F" w:rsidRPr="005F3F4F">
        <w:rPr>
          <w:lang w:eastAsia="ja-JP"/>
        </w:rPr>
        <w:t>thrombotic microangiopathy</w:t>
      </w:r>
      <w:r>
        <w:rPr>
          <w:lang w:eastAsia="ja-JP"/>
        </w:rPr>
        <w:t xml:space="preserve"> Response during the 26-week Initial Evaluation Period (as defined for </w:t>
      </w:r>
      <w:r w:rsidR="005D4971" w:rsidRPr="005D4971">
        <w:rPr>
          <w:lang w:eastAsia="ja-JP"/>
        </w:rPr>
        <w:t>Study ALXN1210-aHUS-311</w:t>
      </w:r>
      <w:r w:rsidR="00E93B71">
        <w:rPr>
          <w:lang w:eastAsia="ja-JP"/>
        </w:rPr>
        <w:t xml:space="preserve">, see </w:t>
      </w:r>
      <w:r w:rsidR="00E93B71">
        <w:rPr>
          <w:lang w:eastAsia="ja-JP"/>
        </w:rPr>
        <w:fldChar w:fldCharType="begin"/>
      </w:r>
      <w:r w:rsidR="00E93B71">
        <w:rPr>
          <w:lang w:eastAsia="ja-JP"/>
        </w:rPr>
        <w:instrText xml:space="preserve"> REF _Ref135313966 \p \h </w:instrText>
      </w:r>
      <w:r w:rsidR="00E93B71">
        <w:rPr>
          <w:lang w:eastAsia="ja-JP"/>
        </w:rPr>
      </w:r>
      <w:r w:rsidR="00E93B71">
        <w:rPr>
          <w:lang w:eastAsia="ja-JP"/>
        </w:rPr>
        <w:fldChar w:fldCharType="separate"/>
      </w:r>
      <w:r w:rsidR="00E93B71">
        <w:rPr>
          <w:lang w:eastAsia="ja-JP"/>
        </w:rPr>
        <w:t>above</w:t>
      </w:r>
      <w:r w:rsidR="00E93B71">
        <w:rPr>
          <w:lang w:eastAsia="ja-JP"/>
        </w:rPr>
        <w:fldChar w:fldCharType="end"/>
      </w:r>
      <w:r>
        <w:rPr>
          <w:lang w:eastAsia="ja-JP"/>
        </w:rPr>
        <w:t>)</w:t>
      </w:r>
      <w:r w:rsidR="005D4971">
        <w:rPr>
          <w:lang w:eastAsia="ja-JP"/>
        </w:rPr>
        <w:t>.</w:t>
      </w:r>
    </w:p>
    <w:p w14:paraId="07D956BB" w14:textId="1BD4A920" w:rsidR="00452A6B" w:rsidRDefault="00452A6B" w:rsidP="00452A6B">
      <w:pPr>
        <w:rPr>
          <w:lang w:eastAsia="ja-JP"/>
        </w:rPr>
      </w:pPr>
      <w:r>
        <w:rPr>
          <w:lang w:eastAsia="ja-JP"/>
        </w:rPr>
        <w:t>The secondary endpoints</w:t>
      </w:r>
      <w:r w:rsidR="005D4971">
        <w:rPr>
          <w:lang w:eastAsia="ja-JP"/>
        </w:rPr>
        <w:t xml:space="preserve"> were</w:t>
      </w:r>
      <w:r>
        <w:rPr>
          <w:lang w:eastAsia="ja-JP"/>
        </w:rPr>
        <w:t>:</w:t>
      </w:r>
    </w:p>
    <w:p w14:paraId="37E1086B" w14:textId="7FB7216A" w:rsidR="00452A6B" w:rsidRDefault="00452A6B" w:rsidP="005D4971">
      <w:pPr>
        <w:pStyle w:val="ListBullet"/>
        <w:rPr>
          <w:lang w:eastAsia="ja-JP"/>
        </w:rPr>
      </w:pPr>
      <w:r>
        <w:rPr>
          <w:lang w:eastAsia="ja-JP"/>
        </w:rPr>
        <w:t xml:space="preserve">Time to </w:t>
      </w:r>
      <w:r w:rsidR="00FD0821">
        <w:rPr>
          <w:lang w:eastAsia="ja-JP"/>
        </w:rPr>
        <w:t>complete TMA response</w:t>
      </w:r>
      <w:r>
        <w:rPr>
          <w:lang w:eastAsia="ja-JP"/>
        </w:rPr>
        <w:t xml:space="preserve"> (Cohort 1 only)</w:t>
      </w:r>
    </w:p>
    <w:p w14:paraId="4F0CCB75" w14:textId="55FC4A96" w:rsidR="00452A6B" w:rsidRDefault="00FD0821" w:rsidP="005D4971">
      <w:pPr>
        <w:pStyle w:val="ListBullet"/>
        <w:rPr>
          <w:lang w:eastAsia="ja-JP"/>
        </w:rPr>
      </w:pPr>
      <w:r>
        <w:rPr>
          <w:lang w:eastAsia="ja-JP"/>
        </w:rPr>
        <w:t>complete TMA response</w:t>
      </w:r>
      <w:r w:rsidR="00452A6B">
        <w:rPr>
          <w:lang w:eastAsia="ja-JP"/>
        </w:rPr>
        <w:t xml:space="preserve"> status over time (Cohort 1 only)</w:t>
      </w:r>
    </w:p>
    <w:p w14:paraId="38E6387F" w14:textId="6B9167BE" w:rsidR="00452A6B" w:rsidRDefault="00452A6B" w:rsidP="005D4971">
      <w:pPr>
        <w:pStyle w:val="ListBullet"/>
        <w:rPr>
          <w:lang w:eastAsia="ja-JP"/>
        </w:rPr>
      </w:pPr>
      <w:r>
        <w:rPr>
          <w:lang w:eastAsia="ja-JP"/>
        </w:rPr>
        <w:t>Dialysis requirement status</w:t>
      </w:r>
    </w:p>
    <w:p w14:paraId="731236AD" w14:textId="48176F80" w:rsidR="00452A6B" w:rsidRDefault="00452A6B" w:rsidP="005D4971">
      <w:pPr>
        <w:pStyle w:val="ListBullet"/>
        <w:rPr>
          <w:lang w:eastAsia="ja-JP"/>
        </w:rPr>
      </w:pPr>
      <w:r>
        <w:rPr>
          <w:lang w:eastAsia="ja-JP"/>
        </w:rPr>
        <w:t xml:space="preserve">Observed value and change from </w:t>
      </w:r>
      <w:r w:rsidR="00E93B71">
        <w:rPr>
          <w:lang w:eastAsia="ja-JP"/>
        </w:rPr>
        <w:t>B</w:t>
      </w:r>
      <w:r>
        <w:rPr>
          <w:lang w:eastAsia="ja-JP"/>
        </w:rPr>
        <w:t>aseline in eGFR</w:t>
      </w:r>
    </w:p>
    <w:p w14:paraId="1CC8832F" w14:textId="461D5EB6" w:rsidR="00452A6B" w:rsidRDefault="00452A6B" w:rsidP="005D4971">
      <w:pPr>
        <w:pStyle w:val="ListBullet"/>
        <w:rPr>
          <w:lang w:eastAsia="ja-JP"/>
        </w:rPr>
      </w:pPr>
      <w:r>
        <w:rPr>
          <w:lang w:eastAsia="ja-JP"/>
        </w:rPr>
        <w:t xml:space="preserve">CKD stage compared to </w:t>
      </w:r>
      <w:r w:rsidR="00E93B71">
        <w:rPr>
          <w:lang w:eastAsia="ja-JP"/>
        </w:rPr>
        <w:t>B</w:t>
      </w:r>
      <w:r>
        <w:rPr>
          <w:lang w:eastAsia="ja-JP"/>
        </w:rPr>
        <w:t>aseline</w:t>
      </w:r>
    </w:p>
    <w:p w14:paraId="535D711F" w14:textId="541914BA" w:rsidR="00452A6B" w:rsidRDefault="00452A6B" w:rsidP="005D4971">
      <w:pPr>
        <w:pStyle w:val="ListBullet"/>
        <w:rPr>
          <w:lang w:eastAsia="ja-JP"/>
        </w:rPr>
      </w:pPr>
      <w:r>
        <w:rPr>
          <w:lang w:eastAsia="ja-JP"/>
        </w:rPr>
        <w:t>Observed value and change from baseline in haematologic parameters (platelets, LDH, Hb)</w:t>
      </w:r>
    </w:p>
    <w:p w14:paraId="42C9A44D" w14:textId="22431DC4" w:rsidR="00452A6B" w:rsidRDefault="00B70E76" w:rsidP="005D4971">
      <w:pPr>
        <w:pStyle w:val="ListBullet"/>
        <w:rPr>
          <w:lang w:eastAsia="ja-JP"/>
        </w:rPr>
      </w:pPr>
      <w:r>
        <w:rPr>
          <w:lang w:eastAsia="ja-JP"/>
        </w:rPr>
        <w:t>H</w:t>
      </w:r>
      <w:r w:rsidRPr="00B70E76">
        <w:rPr>
          <w:lang w:eastAsia="ja-JP"/>
        </w:rPr>
        <w:t>aemoglobin</w:t>
      </w:r>
      <w:r w:rsidR="00452A6B">
        <w:rPr>
          <w:lang w:eastAsia="ja-JP"/>
        </w:rPr>
        <w:t xml:space="preserve"> response (as previously defined; Cohort 1 only)</w:t>
      </w:r>
    </w:p>
    <w:p w14:paraId="48EC90F5" w14:textId="0031AAC6" w:rsidR="00452A6B" w:rsidRDefault="00452A6B" w:rsidP="005D4971">
      <w:pPr>
        <w:pStyle w:val="ListBullet"/>
        <w:rPr>
          <w:lang w:eastAsia="ja-JP"/>
        </w:rPr>
      </w:pPr>
      <w:r>
        <w:rPr>
          <w:lang w:eastAsia="ja-JP"/>
        </w:rPr>
        <w:t xml:space="preserve">Change from baseline in </w:t>
      </w:r>
      <w:r w:rsidR="007B4C10">
        <w:rPr>
          <w:lang w:eastAsia="ja-JP"/>
        </w:rPr>
        <w:t>quality of life</w:t>
      </w:r>
    </w:p>
    <w:p w14:paraId="5AC7AD98" w14:textId="40BCE18C" w:rsidR="00452A6B" w:rsidRDefault="00452A6B" w:rsidP="00452A6B">
      <w:pPr>
        <w:pStyle w:val="Heading7"/>
        <w:rPr>
          <w:lang w:eastAsia="ja-JP"/>
        </w:rPr>
      </w:pPr>
      <w:r>
        <w:rPr>
          <w:lang w:eastAsia="ja-JP"/>
        </w:rPr>
        <w:t>Statistical methods</w:t>
      </w:r>
    </w:p>
    <w:p w14:paraId="28246665" w14:textId="48DF2F0A" w:rsidR="00452A6B" w:rsidRDefault="00452A6B" w:rsidP="00452A6B">
      <w:pPr>
        <w:rPr>
          <w:lang w:eastAsia="ja-JP"/>
        </w:rPr>
      </w:pPr>
      <w:r>
        <w:rPr>
          <w:lang w:eastAsia="ja-JP"/>
        </w:rPr>
        <w:t xml:space="preserve">This was an estimation </w:t>
      </w:r>
      <w:r w:rsidR="004B3190">
        <w:rPr>
          <w:lang w:eastAsia="ja-JP"/>
        </w:rPr>
        <w:t>study,</w:t>
      </w:r>
      <w:r>
        <w:rPr>
          <w:lang w:eastAsia="ja-JP"/>
        </w:rPr>
        <w:t xml:space="preserve"> and no formal statistical tests were planned. The study planned at least </w:t>
      </w:r>
      <w:r w:rsidR="00F46EEC">
        <w:rPr>
          <w:lang w:eastAsia="ja-JP"/>
        </w:rPr>
        <w:t>four</w:t>
      </w:r>
      <w:r>
        <w:rPr>
          <w:lang w:eastAsia="ja-JP"/>
        </w:rPr>
        <w:t xml:space="preserve"> patients in each of the birth </w:t>
      </w:r>
      <w:r w:rsidR="00F46EEC">
        <w:rPr>
          <w:lang w:eastAsia="ja-JP"/>
        </w:rPr>
        <w:t xml:space="preserve">groups: </w:t>
      </w:r>
      <w:r w:rsidR="005D4971">
        <w:rPr>
          <w:lang w:eastAsia="ja-JP"/>
        </w:rPr>
        <w:t>&lt;</w:t>
      </w:r>
      <w:r>
        <w:rPr>
          <w:lang w:eastAsia="ja-JP"/>
        </w:rPr>
        <w:t xml:space="preserve"> 2 year, 2 </w:t>
      </w:r>
      <w:r w:rsidR="005D4971">
        <w:rPr>
          <w:lang w:eastAsia="ja-JP"/>
        </w:rPr>
        <w:t>to &lt;</w:t>
      </w:r>
      <w:r w:rsidR="00F46EEC">
        <w:rPr>
          <w:lang w:eastAsia="ja-JP"/>
        </w:rPr>
        <w:t xml:space="preserve"> </w:t>
      </w:r>
      <w:r>
        <w:rPr>
          <w:lang w:eastAsia="ja-JP"/>
        </w:rPr>
        <w:t xml:space="preserve">6 year and 6 </w:t>
      </w:r>
      <w:r w:rsidR="00F46EEC">
        <w:rPr>
          <w:lang w:eastAsia="ja-JP"/>
        </w:rPr>
        <w:t xml:space="preserve">to </w:t>
      </w:r>
      <w:r w:rsidR="005D4971">
        <w:rPr>
          <w:lang w:eastAsia="ja-JP"/>
        </w:rPr>
        <w:t>&lt;</w:t>
      </w:r>
      <w:r>
        <w:rPr>
          <w:lang w:eastAsia="ja-JP"/>
        </w:rPr>
        <w:t xml:space="preserve"> 12 year age groups and at least </w:t>
      </w:r>
      <w:r w:rsidR="005D4971">
        <w:rPr>
          <w:lang w:eastAsia="ja-JP"/>
        </w:rPr>
        <w:t>eight</w:t>
      </w:r>
      <w:r>
        <w:rPr>
          <w:lang w:eastAsia="ja-JP"/>
        </w:rPr>
        <w:t xml:space="preserve"> patients in the 12 </w:t>
      </w:r>
      <w:r w:rsidR="00F46EEC">
        <w:rPr>
          <w:lang w:eastAsia="ja-JP"/>
        </w:rPr>
        <w:t xml:space="preserve">to </w:t>
      </w:r>
      <w:r w:rsidR="005D4971">
        <w:rPr>
          <w:lang w:eastAsia="ja-JP"/>
        </w:rPr>
        <w:t>&lt;</w:t>
      </w:r>
      <w:r>
        <w:rPr>
          <w:lang w:eastAsia="ja-JP"/>
        </w:rPr>
        <w:t xml:space="preserve"> 18 year age group.</w:t>
      </w:r>
    </w:p>
    <w:p w14:paraId="29258FD4" w14:textId="75005B07" w:rsidR="00452A6B" w:rsidRDefault="00452A6B" w:rsidP="002C2BA0">
      <w:pPr>
        <w:rPr>
          <w:lang w:eastAsia="ja-JP"/>
        </w:rPr>
      </w:pPr>
      <w:r>
        <w:rPr>
          <w:lang w:eastAsia="ja-JP"/>
        </w:rPr>
        <w:t xml:space="preserve">Efficacy analyses were performed using the FAS with the primary analysis and selected secondary efficacy analyses repeated on the PP </w:t>
      </w:r>
      <w:r w:rsidR="005D4971">
        <w:rPr>
          <w:lang w:eastAsia="ja-JP"/>
        </w:rPr>
        <w:t>s</w:t>
      </w:r>
      <w:r>
        <w:rPr>
          <w:lang w:eastAsia="ja-JP"/>
        </w:rPr>
        <w:t>et as sensitivity analyses. The analyses for Cohort 1 and Cohort 2 were conducted and reported separately as planned.</w:t>
      </w:r>
      <w:r w:rsidR="00B9110E">
        <w:rPr>
          <w:lang w:eastAsia="ja-JP"/>
        </w:rPr>
        <w:t xml:space="preserve"> </w:t>
      </w:r>
      <w:r w:rsidR="005D4971">
        <w:rPr>
          <w:lang w:eastAsia="ja-JP"/>
        </w:rPr>
        <w:t>The number of patients in C</w:t>
      </w:r>
      <w:r w:rsidR="002C2BA0">
        <w:rPr>
          <w:lang w:eastAsia="ja-JP"/>
        </w:rPr>
        <w:t xml:space="preserve">ohort 1 was 18 for the </w:t>
      </w:r>
      <w:r>
        <w:rPr>
          <w:lang w:eastAsia="ja-JP"/>
        </w:rPr>
        <w:t>FAS</w:t>
      </w:r>
      <w:r w:rsidR="002C2BA0">
        <w:rPr>
          <w:lang w:eastAsia="ja-JP"/>
        </w:rPr>
        <w:t xml:space="preserve">, 18 in the </w:t>
      </w:r>
      <w:r>
        <w:rPr>
          <w:lang w:eastAsia="ja-JP"/>
        </w:rPr>
        <w:t xml:space="preserve">PP </w:t>
      </w:r>
      <w:r w:rsidR="002C2BA0">
        <w:rPr>
          <w:lang w:eastAsia="ja-JP"/>
        </w:rPr>
        <w:t>s</w:t>
      </w:r>
      <w:r>
        <w:rPr>
          <w:lang w:eastAsia="ja-JP"/>
        </w:rPr>
        <w:t>et</w:t>
      </w:r>
      <w:r w:rsidR="002C2BA0">
        <w:rPr>
          <w:lang w:eastAsia="ja-JP"/>
        </w:rPr>
        <w:t xml:space="preserve"> and 21 in the s</w:t>
      </w:r>
      <w:r>
        <w:rPr>
          <w:lang w:eastAsia="ja-JP"/>
        </w:rPr>
        <w:t xml:space="preserve">afety </w:t>
      </w:r>
      <w:r w:rsidR="002C2BA0">
        <w:rPr>
          <w:lang w:eastAsia="ja-JP"/>
        </w:rPr>
        <w:t>se</w:t>
      </w:r>
      <w:r>
        <w:rPr>
          <w:lang w:eastAsia="ja-JP"/>
        </w:rPr>
        <w:t>t</w:t>
      </w:r>
      <w:r w:rsidR="002C2BA0">
        <w:rPr>
          <w:lang w:eastAsia="ja-JP"/>
        </w:rPr>
        <w:t>.</w:t>
      </w:r>
      <w:r w:rsidR="00B9110E">
        <w:rPr>
          <w:lang w:eastAsia="ja-JP"/>
        </w:rPr>
        <w:t xml:space="preserve"> </w:t>
      </w:r>
      <w:r w:rsidR="002C2BA0">
        <w:rPr>
          <w:lang w:eastAsia="ja-JP"/>
        </w:rPr>
        <w:t xml:space="preserve">In Cohort 2, the number of patients were 10 in the FAS, 10 in the PP set and 10 in the safety set. </w:t>
      </w:r>
    </w:p>
    <w:p w14:paraId="5147D407" w14:textId="4C64F393" w:rsidR="00452A6B" w:rsidRDefault="00452A6B" w:rsidP="00452A6B">
      <w:pPr>
        <w:pStyle w:val="Heading7"/>
        <w:rPr>
          <w:lang w:eastAsia="ja-JP"/>
        </w:rPr>
      </w:pPr>
      <w:r w:rsidRPr="00452A6B">
        <w:rPr>
          <w:lang w:eastAsia="ja-JP"/>
        </w:rPr>
        <w:lastRenderedPageBreak/>
        <w:t>Patient Disposition</w:t>
      </w:r>
    </w:p>
    <w:p w14:paraId="24DAA4F7" w14:textId="2B843564" w:rsidR="00452A6B" w:rsidRDefault="002C2BA0" w:rsidP="002C2BA0">
      <w:pPr>
        <w:rPr>
          <w:lang w:eastAsia="ja-JP"/>
        </w:rPr>
      </w:pPr>
      <w:r>
        <w:rPr>
          <w:lang w:eastAsia="ja-JP"/>
        </w:rPr>
        <w:t xml:space="preserve">In </w:t>
      </w:r>
      <w:r w:rsidR="00452A6B">
        <w:rPr>
          <w:lang w:eastAsia="ja-JP"/>
        </w:rPr>
        <w:t>Cohort 1</w:t>
      </w:r>
      <w:r>
        <w:rPr>
          <w:lang w:eastAsia="ja-JP"/>
        </w:rPr>
        <w:t xml:space="preserve">, 21 patients were screened, </w:t>
      </w:r>
      <w:proofErr w:type="gramStart"/>
      <w:r>
        <w:rPr>
          <w:lang w:eastAsia="ja-JP"/>
        </w:rPr>
        <w:t>enrolled</w:t>
      </w:r>
      <w:proofErr w:type="gramEnd"/>
      <w:r>
        <w:rPr>
          <w:lang w:eastAsia="ja-JP"/>
        </w:rPr>
        <w:t xml:space="preserve"> and treated.</w:t>
      </w:r>
      <w:r w:rsidR="00B9110E">
        <w:rPr>
          <w:lang w:eastAsia="ja-JP"/>
        </w:rPr>
        <w:t xml:space="preserve"> </w:t>
      </w:r>
      <w:r>
        <w:rPr>
          <w:lang w:eastAsia="ja-JP"/>
        </w:rPr>
        <w:t>The FAS set comprised of 18</w:t>
      </w:r>
      <w:r w:rsidR="0053297A">
        <w:rPr>
          <w:lang w:eastAsia="ja-JP"/>
        </w:rPr>
        <w:t> </w:t>
      </w:r>
      <w:r>
        <w:rPr>
          <w:lang w:eastAsia="ja-JP"/>
        </w:rPr>
        <w:t xml:space="preserve">patients as three patients were excluded due to failure to meet </w:t>
      </w:r>
      <w:r w:rsidR="00452A6B">
        <w:rPr>
          <w:lang w:eastAsia="ja-JP"/>
        </w:rPr>
        <w:t>eligibility criteria based on laboratory confirmation (LDH/platelet, positive stool Shiga toxin test)</w:t>
      </w:r>
      <w:r>
        <w:rPr>
          <w:lang w:eastAsia="ja-JP"/>
        </w:rPr>
        <w:t>. Seventeen patients completed the 26-week Initial Evaluation Period as one patient discontinued treatment due to adverse events.</w:t>
      </w:r>
      <w:r w:rsidR="00B9110E">
        <w:rPr>
          <w:lang w:eastAsia="ja-JP"/>
        </w:rPr>
        <w:t xml:space="preserve"> </w:t>
      </w:r>
      <w:r>
        <w:rPr>
          <w:lang w:eastAsia="ja-JP"/>
        </w:rPr>
        <w:t>Seventeen patients entered the extension study.</w:t>
      </w:r>
      <w:r w:rsidR="00B9110E">
        <w:rPr>
          <w:lang w:eastAsia="ja-JP"/>
        </w:rPr>
        <w:t xml:space="preserve"> </w:t>
      </w:r>
      <w:r>
        <w:rPr>
          <w:lang w:eastAsia="ja-JP"/>
        </w:rPr>
        <w:t xml:space="preserve">Sixteen of the patients are ongoing as of the data cut-off; one patient discontinued due to physician’s </w:t>
      </w:r>
      <w:r w:rsidR="007E513E">
        <w:rPr>
          <w:lang w:eastAsia="ja-JP"/>
        </w:rPr>
        <w:t>Decision</w:t>
      </w:r>
      <w:r>
        <w:rPr>
          <w:lang w:eastAsia="ja-JP"/>
        </w:rPr>
        <w:t xml:space="preserve">. </w:t>
      </w:r>
    </w:p>
    <w:p w14:paraId="57E13760" w14:textId="526FEBFF" w:rsidR="00452A6B" w:rsidRDefault="002C2BA0" w:rsidP="00452A6B">
      <w:pPr>
        <w:rPr>
          <w:lang w:eastAsia="ja-JP"/>
        </w:rPr>
      </w:pPr>
      <w:r>
        <w:rPr>
          <w:lang w:eastAsia="ja-JP"/>
        </w:rPr>
        <w:t xml:space="preserve">In </w:t>
      </w:r>
      <w:r w:rsidR="00452A6B">
        <w:rPr>
          <w:lang w:eastAsia="ja-JP"/>
        </w:rPr>
        <w:t>Cohort 2</w:t>
      </w:r>
      <w:r>
        <w:rPr>
          <w:lang w:eastAsia="ja-JP"/>
        </w:rPr>
        <w:t>, t</w:t>
      </w:r>
      <w:r w:rsidR="00452A6B">
        <w:rPr>
          <w:lang w:eastAsia="ja-JP"/>
        </w:rPr>
        <w:t xml:space="preserve">here were 10 patients screened, </w:t>
      </w:r>
      <w:proofErr w:type="gramStart"/>
      <w:r w:rsidR="00452A6B">
        <w:rPr>
          <w:lang w:eastAsia="ja-JP"/>
        </w:rPr>
        <w:t>enrolled</w:t>
      </w:r>
      <w:proofErr w:type="gramEnd"/>
      <w:r w:rsidR="00452A6B">
        <w:rPr>
          <w:lang w:eastAsia="ja-JP"/>
        </w:rPr>
        <w:t xml:space="preserve"> and treated. All patients were included in the FAS and PP </w:t>
      </w:r>
      <w:r>
        <w:rPr>
          <w:lang w:eastAsia="ja-JP"/>
        </w:rPr>
        <w:t>s</w:t>
      </w:r>
      <w:r w:rsidR="00452A6B">
        <w:rPr>
          <w:lang w:eastAsia="ja-JP"/>
        </w:rPr>
        <w:t xml:space="preserve">et and completed the 26-week Initial Evaluation Period. All </w:t>
      </w:r>
      <w:r>
        <w:rPr>
          <w:lang w:eastAsia="ja-JP"/>
        </w:rPr>
        <w:t>ten</w:t>
      </w:r>
      <w:r w:rsidR="00452A6B">
        <w:rPr>
          <w:lang w:eastAsia="ja-JP"/>
        </w:rPr>
        <w:t xml:space="preserve"> patients were ongoing in the Extension Period at the time of data cut-off.</w:t>
      </w:r>
    </w:p>
    <w:p w14:paraId="2ACA68BC" w14:textId="039E5020" w:rsidR="00452A6B" w:rsidRDefault="00452A6B" w:rsidP="00452A6B">
      <w:pPr>
        <w:pStyle w:val="Heading7"/>
        <w:rPr>
          <w:lang w:eastAsia="ja-JP"/>
        </w:rPr>
      </w:pPr>
      <w:r w:rsidRPr="00452A6B">
        <w:rPr>
          <w:lang w:eastAsia="ja-JP"/>
        </w:rPr>
        <w:t>Protocol deviations</w:t>
      </w:r>
    </w:p>
    <w:p w14:paraId="2A2DA8F5" w14:textId="77777777" w:rsidR="00452A6B" w:rsidRDefault="00452A6B" w:rsidP="00452A6B">
      <w:pPr>
        <w:rPr>
          <w:lang w:eastAsia="ja-JP"/>
        </w:rPr>
      </w:pPr>
      <w:r>
        <w:rPr>
          <w:lang w:eastAsia="ja-JP"/>
        </w:rPr>
        <w:t>Major protocol deviations were reported for 14 (66.7%) patients in Cohort 1, most frequently related to eligibility and entry criteria. One (10.0%) patient in Cohort 2 had a major protocol violation relating to informed consent form.</w:t>
      </w:r>
    </w:p>
    <w:p w14:paraId="3983FC1C" w14:textId="4BBE914C" w:rsidR="00452A6B" w:rsidRPr="00452A6B" w:rsidRDefault="00452A6B" w:rsidP="00452A6B">
      <w:pPr>
        <w:rPr>
          <w:lang w:eastAsia="ja-JP"/>
        </w:rPr>
      </w:pPr>
      <w:r>
        <w:rPr>
          <w:lang w:eastAsia="ja-JP"/>
        </w:rPr>
        <w:t>In both cohorts, all patients included in the FAS were included in the PP</w:t>
      </w:r>
      <w:r w:rsidR="002C2BA0">
        <w:rPr>
          <w:lang w:eastAsia="ja-JP"/>
        </w:rPr>
        <w:t xml:space="preserve"> s</w:t>
      </w:r>
      <w:r>
        <w:rPr>
          <w:lang w:eastAsia="ja-JP"/>
        </w:rPr>
        <w:t>et.</w:t>
      </w:r>
    </w:p>
    <w:p w14:paraId="71327EC7" w14:textId="42920414" w:rsidR="00856026" w:rsidRDefault="00AA678E" w:rsidP="00AA678E">
      <w:pPr>
        <w:rPr>
          <w:rFonts w:eastAsia="Times New Roman"/>
          <w:szCs w:val="24"/>
          <w:lang w:eastAsia="en-AU"/>
        </w:rPr>
      </w:pPr>
      <w:r>
        <w:rPr>
          <w:rFonts w:eastAsia="Times New Roman"/>
          <w:szCs w:val="24"/>
          <w:lang w:eastAsia="en-AU"/>
        </w:rPr>
        <w:t xml:space="preserve">Baseline demographics </w:t>
      </w:r>
      <w:r w:rsidRPr="002071F1">
        <w:rPr>
          <w:rFonts w:eastAsia="Times New Roman"/>
          <w:szCs w:val="24"/>
          <w:lang w:eastAsia="en-AU"/>
        </w:rPr>
        <w:t>are summarised below</w:t>
      </w:r>
      <w:r>
        <w:rPr>
          <w:rFonts w:eastAsia="Times New Roman"/>
          <w:szCs w:val="24"/>
          <w:lang w:eastAsia="en-AU"/>
        </w:rPr>
        <w:t xml:space="preserve"> in </w:t>
      </w:r>
      <w:r>
        <w:rPr>
          <w:rFonts w:eastAsia="Times New Roman"/>
          <w:szCs w:val="24"/>
          <w:lang w:eastAsia="en-AU"/>
        </w:rPr>
        <w:fldChar w:fldCharType="begin"/>
      </w:r>
      <w:r>
        <w:rPr>
          <w:rFonts w:eastAsia="Times New Roman"/>
          <w:szCs w:val="24"/>
          <w:lang w:eastAsia="en-AU"/>
        </w:rPr>
        <w:instrText xml:space="preserve"> REF _Ref94604756 \h </w:instrText>
      </w:r>
      <w:r>
        <w:rPr>
          <w:rFonts w:eastAsia="Times New Roman"/>
          <w:szCs w:val="24"/>
          <w:lang w:eastAsia="en-AU"/>
        </w:rPr>
      </w:r>
      <w:r>
        <w:rPr>
          <w:rFonts w:eastAsia="Times New Roman"/>
          <w:szCs w:val="24"/>
          <w:lang w:eastAsia="en-AU"/>
        </w:rPr>
        <w:fldChar w:fldCharType="separate"/>
      </w:r>
      <w:r w:rsidR="004C7A29">
        <w:t xml:space="preserve">Table </w:t>
      </w:r>
      <w:r w:rsidR="004C7A29">
        <w:rPr>
          <w:noProof/>
        </w:rPr>
        <w:t>14</w:t>
      </w:r>
      <w:r>
        <w:rPr>
          <w:rFonts w:eastAsia="Times New Roman"/>
          <w:szCs w:val="24"/>
          <w:lang w:eastAsia="en-AU"/>
        </w:rPr>
        <w:fldChar w:fldCharType="end"/>
      </w:r>
      <w:r w:rsidRPr="002071F1">
        <w:rPr>
          <w:rFonts w:eastAsia="Times New Roman"/>
          <w:szCs w:val="24"/>
          <w:lang w:eastAsia="en-AU"/>
        </w:rPr>
        <w:t xml:space="preserve">. </w:t>
      </w:r>
      <w:r>
        <w:rPr>
          <w:rFonts w:eastAsia="Times New Roman"/>
          <w:szCs w:val="24"/>
          <w:lang w:eastAsia="en-AU"/>
        </w:rPr>
        <w:t>In Cohort 1</w:t>
      </w:r>
      <w:r w:rsidRPr="002071F1">
        <w:rPr>
          <w:rFonts w:eastAsia="Times New Roman"/>
          <w:szCs w:val="24"/>
          <w:lang w:eastAsia="en-AU"/>
        </w:rPr>
        <w:t>, 72.2% patients had extra-renal signs or symptoms of aHUS, most commonly in the gastrointestinal (61.1%), cardiovascular (50.0%) and skin (50.0%) organ systems</w:t>
      </w:r>
      <w:r>
        <w:rPr>
          <w:rFonts w:eastAsia="Times New Roman"/>
          <w:szCs w:val="24"/>
          <w:lang w:eastAsia="en-AU"/>
        </w:rPr>
        <w:t xml:space="preserve"> </w:t>
      </w:r>
      <w:r w:rsidR="00FD0821">
        <w:rPr>
          <w:rFonts w:eastAsia="Times New Roman"/>
          <w:szCs w:val="24"/>
          <w:lang w:eastAsia="en-AU"/>
        </w:rPr>
        <w:t>at Baseline</w:t>
      </w:r>
      <w:r w:rsidRPr="002071F1">
        <w:rPr>
          <w:rFonts w:eastAsia="Times New Roman"/>
          <w:szCs w:val="24"/>
          <w:lang w:eastAsia="en-AU"/>
        </w:rPr>
        <w:t xml:space="preserve">. </w:t>
      </w:r>
      <w:proofErr w:type="gramStart"/>
      <w:r>
        <w:rPr>
          <w:rFonts w:eastAsia="Times New Roman"/>
          <w:szCs w:val="24"/>
          <w:lang w:eastAsia="en-AU"/>
        </w:rPr>
        <w:t>The majority of</w:t>
      </w:r>
      <w:proofErr w:type="gramEnd"/>
      <w:r w:rsidRPr="002071F1">
        <w:rPr>
          <w:rFonts w:eastAsia="Times New Roman"/>
          <w:szCs w:val="24"/>
          <w:lang w:eastAsia="en-AU"/>
        </w:rPr>
        <w:t xml:space="preserve"> patients </w:t>
      </w:r>
      <w:r>
        <w:rPr>
          <w:rFonts w:eastAsia="Times New Roman"/>
          <w:szCs w:val="24"/>
          <w:lang w:eastAsia="en-AU"/>
        </w:rPr>
        <w:t>had</w:t>
      </w:r>
      <w:r w:rsidRPr="002071F1">
        <w:rPr>
          <w:rFonts w:eastAsia="Times New Roman"/>
          <w:szCs w:val="24"/>
          <w:lang w:eastAsia="en-AU"/>
        </w:rPr>
        <w:t xml:space="preserve"> Stage 4 (44.4%) or Stage 5 (33.3%) </w:t>
      </w:r>
      <w:r>
        <w:rPr>
          <w:rFonts w:eastAsia="Times New Roman"/>
          <w:szCs w:val="24"/>
          <w:lang w:eastAsia="en-AU"/>
        </w:rPr>
        <w:t xml:space="preserve">CKD </w:t>
      </w:r>
      <w:r w:rsidR="00FD0821">
        <w:rPr>
          <w:rFonts w:eastAsia="Times New Roman"/>
          <w:szCs w:val="24"/>
          <w:lang w:eastAsia="en-AU"/>
        </w:rPr>
        <w:t>at Baseline</w:t>
      </w:r>
      <w:r w:rsidRPr="002071F1">
        <w:rPr>
          <w:rFonts w:eastAsia="Times New Roman"/>
          <w:szCs w:val="24"/>
          <w:lang w:eastAsia="en-AU"/>
        </w:rPr>
        <w:t xml:space="preserve"> and 6 (33.3%) were receiving dialysis.</w:t>
      </w:r>
      <w:r>
        <w:rPr>
          <w:rFonts w:eastAsia="Times New Roman"/>
          <w:szCs w:val="24"/>
          <w:lang w:eastAsia="en-AU"/>
        </w:rPr>
        <w:t xml:space="preserve"> Among Cohort 2 patients, </w:t>
      </w:r>
      <w:r w:rsidRPr="002071F1">
        <w:rPr>
          <w:rFonts w:eastAsia="Times New Roman"/>
          <w:szCs w:val="24"/>
          <w:lang w:eastAsia="en-AU"/>
        </w:rPr>
        <w:t>1 (10.0%) patient had extra-renal signs or symptoms of aHUS and 80.0% had Stage 1 CKD</w:t>
      </w:r>
      <w:r>
        <w:rPr>
          <w:rFonts w:eastAsia="Times New Roman"/>
          <w:szCs w:val="24"/>
          <w:lang w:eastAsia="en-AU"/>
        </w:rPr>
        <w:t xml:space="preserve"> </w:t>
      </w:r>
      <w:r w:rsidR="00FD0821">
        <w:rPr>
          <w:rFonts w:eastAsia="Times New Roman"/>
          <w:szCs w:val="24"/>
          <w:lang w:eastAsia="en-AU"/>
        </w:rPr>
        <w:t>at Baseline</w:t>
      </w:r>
      <w:r w:rsidRPr="002071F1">
        <w:rPr>
          <w:rFonts w:eastAsia="Times New Roman"/>
          <w:szCs w:val="24"/>
          <w:lang w:eastAsia="en-AU"/>
        </w:rPr>
        <w:t xml:space="preserve">. There were no patients with Stage 4 or 5 CKD and no patients receiving dialysis. </w:t>
      </w:r>
    </w:p>
    <w:p w14:paraId="5A19B3F4" w14:textId="4A9A1C43" w:rsidR="00AA678E" w:rsidRPr="002071F1" w:rsidRDefault="00AA678E" w:rsidP="00452A6B">
      <w:pPr>
        <w:pStyle w:val="TableTitle"/>
        <w:rPr>
          <w:rFonts w:eastAsia="Times New Roman"/>
          <w:szCs w:val="24"/>
          <w:lang w:eastAsia="en-AU"/>
        </w:rPr>
      </w:pPr>
      <w:bookmarkStart w:id="88" w:name="_Ref94604756"/>
      <w:r>
        <w:t xml:space="preserve">Table </w:t>
      </w:r>
      <w:fldSimple w:instr=" SEQ Table \* ARABIC ">
        <w:r w:rsidR="004C7A29">
          <w:rPr>
            <w:noProof/>
          </w:rPr>
          <w:t>14</w:t>
        </w:r>
      </w:fldSimple>
      <w:bookmarkEnd w:id="88"/>
      <w:r>
        <w:rPr>
          <w:noProof/>
        </w:rPr>
        <w:t xml:space="preserve">: </w:t>
      </w:r>
      <w:r w:rsidR="001C5E4C">
        <w:rPr>
          <w:noProof/>
        </w:rPr>
        <w:t xml:space="preserve">Study </w:t>
      </w:r>
      <w:r w:rsidR="001C5E4C" w:rsidRPr="001C5E4C">
        <w:rPr>
          <w:noProof/>
        </w:rPr>
        <w:t>ALXN1210-aHUS-312</w:t>
      </w:r>
      <w:r w:rsidR="001C5E4C">
        <w:rPr>
          <w:noProof/>
        </w:rPr>
        <w:t xml:space="preserve"> </w:t>
      </w:r>
      <w:r>
        <w:rPr>
          <w:noProof/>
        </w:rPr>
        <w:t xml:space="preserve">Demographic </w:t>
      </w:r>
      <w:r w:rsidR="00682071">
        <w:rPr>
          <w:noProof/>
        </w:rPr>
        <w:t>c</w:t>
      </w:r>
      <w:r>
        <w:rPr>
          <w:noProof/>
        </w:rPr>
        <w:t>haracteristics (Cohort</w:t>
      </w:r>
      <w:r w:rsidR="00682071">
        <w:rPr>
          <w:noProof/>
        </w:rPr>
        <w:t>s</w:t>
      </w:r>
      <w:r>
        <w:rPr>
          <w:noProof/>
        </w:rPr>
        <w:t xml:space="preserve"> 1 and </w:t>
      </w:r>
      <w:r w:rsidR="00682071">
        <w:rPr>
          <w:noProof/>
        </w:rPr>
        <w:t>2</w:t>
      </w:r>
      <w:r>
        <w:rPr>
          <w:noProof/>
        </w:rPr>
        <w:t xml:space="preserve">, </w:t>
      </w:r>
      <w:r w:rsidR="00AB0591" w:rsidRPr="00AB0591">
        <w:rPr>
          <w:noProof/>
        </w:rPr>
        <w:t>Full Analysis Set</w:t>
      </w:r>
      <w:r>
        <w:rPr>
          <w:noProof/>
        </w:rPr>
        <w:t xml:space="preserve">) </w:t>
      </w:r>
    </w:p>
    <w:tbl>
      <w:tblPr>
        <w:tblStyle w:val="TGABlack2023"/>
        <w:tblW w:w="0" w:type="auto"/>
        <w:tblLook w:val="04A0" w:firstRow="1" w:lastRow="0" w:firstColumn="1" w:lastColumn="0" w:noHBand="0" w:noVBand="1"/>
      </w:tblPr>
      <w:tblGrid>
        <w:gridCol w:w="4390"/>
        <w:gridCol w:w="2409"/>
        <w:gridCol w:w="2217"/>
      </w:tblGrid>
      <w:tr w:rsidR="00AA678E" w:rsidRPr="0087722B" w14:paraId="6EF0B47D" w14:textId="77777777" w:rsidTr="004B3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27198111" w14:textId="77777777" w:rsidR="00AA678E" w:rsidRPr="0087722B" w:rsidRDefault="00AA678E" w:rsidP="0035187D">
            <w:pPr>
              <w:spacing w:after="120" w:line="276" w:lineRule="auto"/>
              <w:ind w:left="115"/>
              <w:jc w:val="center"/>
              <w:rPr>
                <w:b w:val="0"/>
                <w:color w:val="auto"/>
                <w:szCs w:val="22"/>
              </w:rPr>
            </w:pPr>
            <w:r w:rsidRPr="0087722B">
              <w:rPr>
                <w:color w:val="auto"/>
                <w:szCs w:val="22"/>
              </w:rPr>
              <w:t>Variable</w:t>
            </w:r>
          </w:p>
        </w:tc>
        <w:tc>
          <w:tcPr>
            <w:tcW w:w="2409" w:type="dxa"/>
            <w:shd w:val="clear" w:color="auto" w:fill="auto"/>
          </w:tcPr>
          <w:p w14:paraId="7C917EB4" w14:textId="7AAF354D" w:rsidR="00AA678E" w:rsidRPr="0087722B" w:rsidRDefault="00AA678E" w:rsidP="0035187D">
            <w:pPr>
              <w:spacing w:after="120" w:line="276" w:lineRule="auto"/>
              <w:ind w:left="115"/>
              <w:jc w:val="center"/>
              <w:cnfStyle w:val="100000000000" w:firstRow="1" w:lastRow="0" w:firstColumn="0" w:lastColumn="0" w:oddVBand="0" w:evenVBand="0" w:oddHBand="0" w:evenHBand="0" w:firstRowFirstColumn="0" w:firstRowLastColumn="0" w:lastRowFirstColumn="0" w:lastRowLastColumn="0"/>
              <w:rPr>
                <w:b w:val="0"/>
                <w:color w:val="auto"/>
                <w:szCs w:val="22"/>
              </w:rPr>
            </w:pPr>
            <w:r w:rsidRPr="0087722B">
              <w:rPr>
                <w:color w:val="auto"/>
                <w:szCs w:val="22"/>
              </w:rPr>
              <w:t>Cohort 1</w:t>
            </w:r>
            <w:r w:rsidR="00AB0591">
              <w:rPr>
                <w:color w:val="auto"/>
                <w:szCs w:val="22"/>
              </w:rPr>
              <w:br/>
            </w:r>
            <w:r w:rsidRPr="0087722B">
              <w:rPr>
                <w:color w:val="auto"/>
                <w:szCs w:val="22"/>
              </w:rPr>
              <w:t>FAS (n = 18)</w:t>
            </w:r>
          </w:p>
        </w:tc>
        <w:tc>
          <w:tcPr>
            <w:tcW w:w="2217" w:type="dxa"/>
            <w:shd w:val="clear" w:color="auto" w:fill="auto"/>
          </w:tcPr>
          <w:p w14:paraId="20516DDF" w14:textId="517B9FE3" w:rsidR="00AA678E" w:rsidRPr="0087722B" w:rsidRDefault="00AA678E" w:rsidP="0035187D">
            <w:pPr>
              <w:spacing w:after="120" w:line="276" w:lineRule="auto"/>
              <w:ind w:left="115"/>
              <w:jc w:val="center"/>
              <w:cnfStyle w:val="100000000000" w:firstRow="1" w:lastRow="0" w:firstColumn="0" w:lastColumn="0" w:oddVBand="0" w:evenVBand="0" w:oddHBand="0" w:evenHBand="0" w:firstRowFirstColumn="0" w:firstRowLastColumn="0" w:lastRowFirstColumn="0" w:lastRowLastColumn="0"/>
              <w:rPr>
                <w:b w:val="0"/>
                <w:color w:val="auto"/>
                <w:szCs w:val="22"/>
              </w:rPr>
            </w:pPr>
            <w:r w:rsidRPr="0087722B">
              <w:rPr>
                <w:color w:val="auto"/>
                <w:szCs w:val="22"/>
              </w:rPr>
              <w:t>Cohort 2</w:t>
            </w:r>
            <w:r w:rsidR="00AB0591">
              <w:rPr>
                <w:color w:val="auto"/>
                <w:szCs w:val="22"/>
              </w:rPr>
              <w:br/>
            </w:r>
            <w:r w:rsidRPr="0087722B">
              <w:rPr>
                <w:color w:val="auto"/>
                <w:szCs w:val="22"/>
              </w:rPr>
              <w:t>FAS (n = 10)</w:t>
            </w:r>
          </w:p>
        </w:tc>
      </w:tr>
      <w:tr w:rsidR="00AA678E" w:rsidRPr="0087722B" w14:paraId="39761775" w14:textId="77777777" w:rsidTr="004B3190">
        <w:tc>
          <w:tcPr>
            <w:cnfStyle w:val="001000000000" w:firstRow="0" w:lastRow="0" w:firstColumn="1" w:lastColumn="0" w:oddVBand="0" w:evenVBand="0" w:oddHBand="0" w:evenHBand="0" w:firstRowFirstColumn="0" w:firstRowLastColumn="0" w:lastRowFirstColumn="0" w:lastRowLastColumn="0"/>
            <w:tcW w:w="4390" w:type="dxa"/>
          </w:tcPr>
          <w:p w14:paraId="23490D42" w14:textId="77777777" w:rsidR="00AA678E" w:rsidRPr="00AB0591" w:rsidRDefault="00AA678E" w:rsidP="0035187D">
            <w:pPr>
              <w:pStyle w:val="TableText"/>
              <w:spacing w:after="120"/>
              <w:ind w:left="115"/>
              <w:rPr>
                <w:b/>
                <w:bCs/>
              </w:rPr>
            </w:pPr>
            <w:r w:rsidRPr="00AB0591">
              <w:rPr>
                <w:b/>
                <w:bCs/>
              </w:rPr>
              <w:t>Age at time of first infusion (years)</w:t>
            </w:r>
          </w:p>
          <w:p w14:paraId="448E5B8B" w14:textId="77777777" w:rsidR="00AA678E" w:rsidRPr="0087722B" w:rsidRDefault="00AA678E" w:rsidP="0035187D">
            <w:pPr>
              <w:pStyle w:val="TableText"/>
              <w:spacing w:after="120"/>
              <w:ind w:left="115"/>
            </w:pPr>
            <w:r w:rsidRPr="0087722B">
              <w:t>Mean (SD)</w:t>
            </w:r>
          </w:p>
          <w:p w14:paraId="245AB0AD" w14:textId="77777777" w:rsidR="00AA678E" w:rsidRPr="0087722B" w:rsidRDefault="00AA678E" w:rsidP="0035187D">
            <w:pPr>
              <w:pStyle w:val="TableText"/>
              <w:spacing w:after="120"/>
              <w:ind w:left="115"/>
            </w:pPr>
            <w:r w:rsidRPr="0087722B">
              <w:t>Median (min, max)</w:t>
            </w:r>
          </w:p>
        </w:tc>
        <w:tc>
          <w:tcPr>
            <w:tcW w:w="2409" w:type="dxa"/>
          </w:tcPr>
          <w:p w14:paraId="463893C5"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p>
          <w:p w14:paraId="0389CBE1"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6.4 (4.51)</w:t>
            </w:r>
          </w:p>
          <w:p w14:paraId="585F2C03"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5.2 (0.9, 17.3)</w:t>
            </w:r>
          </w:p>
        </w:tc>
        <w:tc>
          <w:tcPr>
            <w:tcW w:w="2217" w:type="dxa"/>
          </w:tcPr>
          <w:p w14:paraId="56284E8C"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p>
          <w:p w14:paraId="635A3A6E"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11.0 (4.97)</w:t>
            </w:r>
          </w:p>
          <w:p w14:paraId="17808B8B"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12.5 (1.2, 15.5)</w:t>
            </w:r>
          </w:p>
        </w:tc>
      </w:tr>
      <w:tr w:rsidR="00AA678E" w:rsidRPr="0087722B" w14:paraId="1C0D0067" w14:textId="77777777" w:rsidTr="004B3190">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026EB3AE" w14:textId="77777777" w:rsidR="00AA678E" w:rsidRPr="0087722B" w:rsidRDefault="00AA678E" w:rsidP="0035187D">
            <w:pPr>
              <w:pStyle w:val="TableText"/>
              <w:spacing w:after="120"/>
              <w:ind w:left="115"/>
              <w:rPr>
                <w:b/>
                <w:bCs/>
              </w:rPr>
            </w:pPr>
            <w:r w:rsidRPr="0087722B">
              <w:rPr>
                <w:b/>
                <w:bCs/>
              </w:rPr>
              <w:t>Age at time of first infusion (years) category, n (%)</w:t>
            </w:r>
          </w:p>
          <w:p w14:paraId="6BEFDB52" w14:textId="2E8A50EA" w:rsidR="00AA678E" w:rsidRPr="0087722B" w:rsidRDefault="00AA678E" w:rsidP="0035187D">
            <w:pPr>
              <w:pStyle w:val="TableText"/>
              <w:spacing w:after="120"/>
              <w:ind w:left="115"/>
            </w:pPr>
            <w:r w:rsidRPr="0087722B">
              <w:t xml:space="preserve">Birth </w:t>
            </w:r>
            <w:r w:rsidR="002C2BA0" w:rsidRPr="0087722B">
              <w:t>to</w:t>
            </w:r>
            <w:r w:rsidRPr="0087722B">
              <w:t xml:space="preserve"> &lt; 2 years</w:t>
            </w:r>
          </w:p>
          <w:p w14:paraId="6BBDD312" w14:textId="1231AA9A" w:rsidR="00AA678E" w:rsidRPr="0087722B" w:rsidRDefault="00AA678E" w:rsidP="0035187D">
            <w:pPr>
              <w:pStyle w:val="TableText"/>
              <w:spacing w:after="120"/>
              <w:ind w:left="115"/>
            </w:pPr>
            <w:r w:rsidRPr="0087722B">
              <w:t xml:space="preserve">2 </w:t>
            </w:r>
            <w:r w:rsidR="002C2BA0" w:rsidRPr="0087722B">
              <w:t>to</w:t>
            </w:r>
            <w:r w:rsidRPr="0087722B">
              <w:t xml:space="preserve"> &lt; 6 years</w:t>
            </w:r>
          </w:p>
          <w:p w14:paraId="6C575B3D" w14:textId="286C413E" w:rsidR="00AA678E" w:rsidRPr="0087722B" w:rsidRDefault="00AA678E" w:rsidP="0035187D">
            <w:pPr>
              <w:pStyle w:val="TableText"/>
              <w:spacing w:after="120"/>
              <w:ind w:left="115"/>
            </w:pPr>
            <w:r w:rsidRPr="0087722B">
              <w:t xml:space="preserve">6 </w:t>
            </w:r>
            <w:r w:rsidR="002C2BA0" w:rsidRPr="0087722B">
              <w:t>to</w:t>
            </w:r>
            <w:r w:rsidRPr="0087722B">
              <w:t xml:space="preserve"> &lt; 12 years</w:t>
            </w:r>
          </w:p>
          <w:p w14:paraId="6E541D2E" w14:textId="1C9BB7A7" w:rsidR="00AA678E" w:rsidRPr="0087722B" w:rsidRDefault="00AA678E" w:rsidP="0035187D">
            <w:pPr>
              <w:pStyle w:val="TableText"/>
              <w:spacing w:after="120"/>
              <w:ind w:left="115"/>
            </w:pPr>
            <w:r w:rsidRPr="0087722B">
              <w:t xml:space="preserve">12 </w:t>
            </w:r>
            <w:r w:rsidR="002C2BA0" w:rsidRPr="0087722B">
              <w:t>to</w:t>
            </w:r>
            <w:r w:rsidRPr="0087722B">
              <w:t xml:space="preserve"> &lt; 18 years</w:t>
            </w:r>
          </w:p>
        </w:tc>
        <w:tc>
          <w:tcPr>
            <w:tcW w:w="2409" w:type="dxa"/>
            <w:shd w:val="clear" w:color="auto" w:fill="auto"/>
          </w:tcPr>
          <w:p w14:paraId="41D7FA34" w14:textId="477AA415" w:rsidR="00AA678E" w:rsidRPr="0087722B" w:rsidRDefault="0087722B"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br/>
            </w:r>
          </w:p>
          <w:p w14:paraId="15A67229"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2 (11.1)</w:t>
            </w:r>
          </w:p>
          <w:p w14:paraId="2D765D7F"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9 (50.0)</w:t>
            </w:r>
          </w:p>
          <w:p w14:paraId="30ED995E"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5 (27.8)</w:t>
            </w:r>
          </w:p>
          <w:p w14:paraId="262188E3"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2 (11.1)</w:t>
            </w:r>
          </w:p>
        </w:tc>
        <w:tc>
          <w:tcPr>
            <w:tcW w:w="2217" w:type="dxa"/>
            <w:shd w:val="clear" w:color="auto" w:fill="auto"/>
          </w:tcPr>
          <w:p w14:paraId="156542D6" w14:textId="46F5853B" w:rsidR="00AA678E" w:rsidRPr="0087722B" w:rsidRDefault="0087722B"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br/>
            </w:r>
          </w:p>
          <w:p w14:paraId="68C1C728"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1 (10.0)</w:t>
            </w:r>
          </w:p>
          <w:p w14:paraId="6D024B4E"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1 (10.0)</w:t>
            </w:r>
          </w:p>
          <w:p w14:paraId="0C0FE042"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1 (10.0)</w:t>
            </w:r>
          </w:p>
          <w:p w14:paraId="581AED43"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7 (70.0)</w:t>
            </w:r>
          </w:p>
        </w:tc>
      </w:tr>
      <w:tr w:rsidR="00AA678E" w:rsidRPr="0087722B" w14:paraId="0E0645C9" w14:textId="77777777" w:rsidTr="004B3190">
        <w:tc>
          <w:tcPr>
            <w:cnfStyle w:val="001000000000" w:firstRow="0" w:lastRow="0" w:firstColumn="1" w:lastColumn="0" w:oddVBand="0" w:evenVBand="0" w:oddHBand="0" w:evenHBand="0" w:firstRowFirstColumn="0" w:firstRowLastColumn="0" w:lastRowFirstColumn="0" w:lastRowLastColumn="0"/>
            <w:tcW w:w="4390" w:type="dxa"/>
          </w:tcPr>
          <w:p w14:paraId="39D539D3" w14:textId="77777777" w:rsidR="00AA678E" w:rsidRPr="0087722B" w:rsidRDefault="00AA678E" w:rsidP="0035187D">
            <w:pPr>
              <w:pStyle w:val="TableText"/>
              <w:spacing w:after="120"/>
              <w:ind w:left="115"/>
              <w:rPr>
                <w:b/>
                <w:bCs/>
              </w:rPr>
            </w:pPr>
            <w:r w:rsidRPr="0087722B">
              <w:rPr>
                <w:b/>
                <w:bCs/>
              </w:rPr>
              <w:t>Sex, n (%)</w:t>
            </w:r>
          </w:p>
          <w:p w14:paraId="4418154A" w14:textId="77777777" w:rsidR="00AA678E" w:rsidRPr="0087722B" w:rsidRDefault="00AA678E" w:rsidP="0035187D">
            <w:pPr>
              <w:pStyle w:val="TableText"/>
              <w:spacing w:after="120"/>
              <w:ind w:left="115"/>
            </w:pPr>
            <w:r w:rsidRPr="0087722B">
              <w:t>Male</w:t>
            </w:r>
          </w:p>
          <w:p w14:paraId="6AF59637" w14:textId="77777777" w:rsidR="00AA678E" w:rsidRPr="0087722B" w:rsidRDefault="00AA678E" w:rsidP="0035187D">
            <w:pPr>
              <w:pStyle w:val="TableText"/>
              <w:spacing w:after="120"/>
              <w:ind w:left="115"/>
            </w:pPr>
            <w:r w:rsidRPr="0087722B">
              <w:t>Female</w:t>
            </w:r>
          </w:p>
        </w:tc>
        <w:tc>
          <w:tcPr>
            <w:tcW w:w="2409" w:type="dxa"/>
          </w:tcPr>
          <w:p w14:paraId="6A90B01E"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p>
          <w:p w14:paraId="4BC15DB8"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8 (44.4)</w:t>
            </w:r>
          </w:p>
          <w:p w14:paraId="5435281F"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10 (55.6)</w:t>
            </w:r>
          </w:p>
        </w:tc>
        <w:tc>
          <w:tcPr>
            <w:tcW w:w="2217" w:type="dxa"/>
          </w:tcPr>
          <w:p w14:paraId="165103A8"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p>
          <w:p w14:paraId="3D060811"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9 (90.0)</w:t>
            </w:r>
          </w:p>
          <w:p w14:paraId="2B704B52"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1 (10.0)</w:t>
            </w:r>
          </w:p>
        </w:tc>
      </w:tr>
      <w:tr w:rsidR="00AA678E" w:rsidRPr="0087722B" w14:paraId="2DA9F92D" w14:textId="77777777" w:rsidTr="004B3190">
        <w:tc>
          <w:tcPr>
            <w:cnfStyle w:val="001000000000" w:firstRow="0" w:lastRow="0" w:firstColumn="1" w:lastColumn="0" w:oddVBand="0" w:evenVBand="0" w:oddHBand="0" w:evenHBand="0" w:firstRowFirstColumn="0" w:firstRowLastColumn="0" w:lastRowFirstColumn="0" w:lastRowLastColumn="0"/>
            <w:tcW w:w="4390" w:type="dxa"/>
          </w:tcPr>
          <w:p w14:paraId="21AFDDF4" w14:textId="77777777" w:rsidR="00AA678E" w:rsidRPr="0087722B" w:rsidRDefault="00AA678E" w:rsidP="0035187D">
            <w:pPr>
              <w:pStyle w:val="TableText"/>
              <w:spacing w:after="120"/>
              <w:ind w:left="115"/>
              <w:rPr>
                <w:b/>
                <w:bCs/>
              </w:rPr>
            </w:pPr>
            <w:r w:rsidRPr="0087722B">
              <w:rPr>
                <w:b/>
                <w:bCs/>
              </w:rPr>
              <w:lastRenderedPageBreak/>
              <w:t>Race, n (</w:t>
            </w:r>
            <w:proofErr w:type="gramStart"/>
            <w:r w:rsidRPr="0087722B">
              <w:rPr>
                <w:b/>
                <w:bCs/>
              </w:rPr>
              <w:t>%)</w:t>
            </w:r>
            <w:r w:rsidRPr="0087722B">
              <w:rPr>
                <w:b/>
                <w:bCs/>
                <w:vertAlign w:val="superscript"/>
              </w:rPr>
              <w:t>a</w:t>
            </w:r>
            <w:proofErr w:type="gramEnd"/>
          </w:p>
          <w:p w14:paraId="72E29A60" w14:textId="77777777" w:rsidR="00AA678E" w:rsidRPr="0087722B" w:rsidRDefault="00AA678E" w:rsidP="0035187D">
            <w:pPr>
              <w:pStyle w:val="TableText"/>
              <w:spacing w:after="120"/>
              <w:ind w:left="115"/>
            </w:pPr>
            <w:r w:rsidRPr="0087722B">
              <w:t>American Indian or Alaskan Native</w:t>
            </w:r>
          </w:p>
          <w:p w14:paraId="7A4952AD" w14:textId="77777777" w:rsidR="00AA678E" w:rsidRPr="0087722B" w:rsidRDefault="00AA678E" w:rsidP="0035187D">
            <w:pPr>
              <w:pStyle w:val="TableText"/>
              <w:spacing w:after="120"/>
              <w:ind w:left="115"/>
            </w:pPr>
            <w:r w:rsidRPr="0087722B">
              <w:t>Asian</w:t>
            </w:r>
          </w:p>
          <w:p w14:paraId="69F5B626" w14:textId="77777777" w:rsidR="00AA678E" w:rsidRPr="0087722B" w:rsidRDefault="00AA678E" w:rsidP="0035187D">
            <w:pPr>
              <w:pStyle w:val="TableText"/>
              <w:spacing w:after="120"/>
              <w:ind w:left="115"/>
            </w:pPr>
            <w:r w:rsidRPr="0087722B">
              <w:t xml:space="preserve">Black or </w:t>
            </w:r>
            <w:proofErr w:type="gramStart"/>
            <w:r w:rsidRPr="0087722B">
              <w:t>African-American</w:t>
            </w:r>
            <w:proofErr w:type="gramEnd"/>
          </w:p>
          <w:p w14:paraId="1259C106" w14:textId="77777777" w:rsidR="00AA678E" w:rsidRPr="0087722B" w:rsidRDefault="00AA678E" w:rsidP="0035187D">
            <w:pPr>
              <w:pStyle w:val="TableText"/>
              <w:spacing w:after="120"/>
              <w:ind w:left="115"/>
            </w:pPr>
            <w:r w:rsidRPr="0087722B">
              <w:t>White</w:t>
            </w:r>
          </w:p>
          <w:p w14:paraId="184EC844" w14:textId="77777777" w:rsidR="00AA678E" w:rsidRPr="0087722B" w:rsidRDefault="00AA678E" w:rsidP="0035187D">
            <w:pPr>
              <w:pStyle w:val="TableText"/>
              <w:spacing w:after="120"/>
              <w:ind w:left="115"/>
            </w:pPr>
            <w:r w:rsidRPr="0087722B">
              <w:t>Unknown</w:t>
            </w:r>
          </w:p>
        </w:tc>
        <w:tc>
          <w:tcPr>
            <w:tcW w:w="2409" w:type="dxa"/>
          </w:tcPr>
          <w:p w14:paraId="21659E50"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p>
          <w:p w14:paraId="52773316"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1 (5.6)</w:t>
            </w:r>
          </w:p>
          <w:p w14:paraId="41EFAC88"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5 (27.8)</w:t>
            </w:r>
          </w:p>
          <w:p w14:paraId="22BAB992"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3 (16.7)</w:t>
            </w:r>
          </w:p>
          <w:p w14:paraId="706DD98C"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9 (50.0)</w:t>
            </w:r>
          </w:p>
          <w:p w14:paraId="413FC2F3"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1 (5.6)</w:t>
            </w:r>
          </w:p>
        </w:tc>
        <w:tc>
          <w:tcPr>
            <w:tcW w:w="2217" w:type="dxa"/>
          </w:tcPr>
          <w:p w14:paraId="4626BE1E"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p>
          <w:p w14:paraId="57585692"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0</w:t>
            </w:r>
          </w:p>
          <w:p w14:paraId="72FDF86D"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4 (40.0)</w:t>
            </w:r>
          </w:p>
          <w:p w14:paraId="14306230"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1 (10.0)</w:t>
            </w:r>
          </w:p>
          <w:p w14:paraId="1F339731"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5 (50.0)</w:t>
            </w:r>
          </w:p>
          <w:p w14:paraId="193BFEC8"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0</w:t>
            </w:r>
          </w:p>
        </w:tc>
      </w:tr>
      <w:tr w:rsidR="00AA678E" w:rsidRPr="0087722B" w14:paraId="255CFC70" w14:textId="77777777" w:rsidTr="004B3190">
        <w:tc>
          <w:tcPr>
            <w:cnfStyle w:val="001000000000" w:firstRow="0" w:lastRow="0" w:firstColumn="1" w:lastColumn="0" w:oddVBand="0" w:evenVBand="0" w:oddHBand="0" w:evenHBand="0" w:firstRowFirstColumn="0" w:firstRowLastColumn="0" w:lastRowFirstColumn="0" w:lastRowLastColumn="0"/>
            <w:tcW w:w="4390" w:type="dxa"/>
          </w:tcPr>
          <w:p w14:paraId="6CC907DD" w14:textId="77777777" w:rsidR="00AA678E" w:rsidRPr="0087722B" w:rsidRDefault="00AA678E" w:rsidP="0035187D">
            <w:pPr>
              <w:pStyle w:val="TableText"/>
              <w:spacing w:after="120"/>
              <w:ind w:left="115"/>
              <w:rPr>
                <w:b/>
                <w:bCs/>
              </w:rPr>
            </w:pPr>
            <w:r w:rsidRPr="0087722B">
              <w:rPr>
                <w:b/>
                <w:bCs/>
              </w:rPr>
              <w:t>Weight at time of at first infusion (kg)</w:t>
            </w:r>
          </w:p>
          <w:p w14:paraId="773FA54A" w14:textId="77777777" w:rsidR="00AA678E" w:rsidRPr="0087722B" w:rsidRDefault="00AA678E" w:rsidP="0035187D">
            <w:pPr>
              <w:pStyle w:val="TableText"/>
              <w:spacing w:after="120"/>
              <w:ind w:left="115"/>
            </w:pPr>
            <w:r w:rsidRPr="0087722B">
              <w:t>Mean (SD)</w:t>
            </w:r>
          </w:p>
          <w:p w14:paraId="5FB4F966" w14:textId="77777777" w:rsidR="00AA678E" w:rsidRPr="0087722B" w:rsidRDefault="00AA678E" w:rsidP="0035187D">
            <w:pPr>
              <w:pStyle w:val="TableText"/>
              <w:spacing w:after="120"/>
              <w:ind w:left="115"/>
            </w:pPr>
            <w:r w:rsidRPr="0087722B">
              <w:t>Median (min, max)</w:t>
            </w:r>
          </w:p>
        </w:tc>
        <w:tc>
          <w:tcPr>
            <w:tcW w:w="2409" w:type="dxa"/>
          </w:tcPr>
          <w:p w14:paraId="3CD09F16"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p>
          <w:p w14:paraId="2A73F173"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22.2 (14.64)</w:t>
            </w:r>
          </w:p>
          <w:p w14:paraId="3D02962E"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16.7 (8.4, 69.3)</w:t>
            </w:r>
          </w:p>
        </w:tc>
        <w:tc>
          <w:tcPr>
            <w:tcW w:w="2217" w:type="dxa"/>
          </w:tcPr>
          <w:p w14:paraId="27482E8A"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p>
          <w:p w14:paraId="172E3715"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41.6 (19.01)</w:t>
            </w:r>
          </w:p>
          <w:p w14:paraId="6303D706"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47.8 (8.82, 69)</w:t>
            </w:r>
          </w:p>
        </w:tc>
      </w:tr>
      <w:tr w:rsidR="00AA678E" w:rsidRPr="0087722B" w14:paraId="63FDA332" w14:textId="77777777" w:rsidTr="004B3190">
        <w:tc>
          <w:tcPr>
            <w:cnfStyle w:val="001000000000" w:firstRow="0" w:lastRow="0" w:firstColumn="1" w:lastColumn="0" w:oddVBand="0" w:evenVBand="0" w:oddHBand="0" w:evenHBand="0" w:firstRowFirstColumn="0" w:firstRowLastColumn="0" w:lastRowFirstColumn="0" w:lastRowLastColumn="0"/>
            <w:tcW w:w="4390" w:type="dxa"/>
          </w:tcPr>
          <w:p w14:paraId="7B4D26CE" w14:textId="77777777" w:rsidR="00AA678E" w:rsidRPr="0087722B" w:rsidRDefault="00AA678E" w:rsidP="0035187D">
            <w:pPr>
              <w:pStyle w:val="TableText"/>
              <w:spacing w:after="120"/>
              <w:ind w:left="115"/>
              <w:rPr>
                <w:b/>
                <w:bCs/>
              </w:rPr>
            </w:pPr>
            <w:r w:rsidRPr="0087722B">
              <w:rPr>
                <w:b/>
                <w:bCs/>
              </w:rPr>
              <w:t>Weight at time of first infusion (kg) category, n (%)</w:t>
            </w:r>
          </w:p>
          <w:p w14:paraId="59D6B009" w14:textId="6CAA41B8" w:rsidR="00AA678E" w:rsidRPr="0087722B" w:rsidRDefault="00AA678E" w:rsidP="0035187D">
            <w:pPr>
              <w:pStyle w:val="TableText"/>
              <w:spacing w:after="120"/>
              <w:ind w:left="115"/>
            </w:pPr>
            <w:r w:rsidRPr="0087722B">
              <w:t xml:space="preserve">≥ 5 </w:t>
            </w:r>
            <w:r w:rsidR="002C2BA0" w:rsidRPr="0087722B">
              <w:t>to</w:t>
            </w:r>
            <w:r w:rsidRPr="0087722B">
              <w:t xml:space="preserve"> &lt; 10 kg</w:t>
            </w:r>
          </w:p>
          <w:p w14:paraId="1C2C2536" w14:textId="2B3DF5E3" w:rsidR="00AA678E" w:rsidRPr="0087722B" w:rsidRDefault="00AA678E" w:rsidP="0035187D">
            <w:pPr>
              <w:pStyle w:val="TableText"/>
              <w:spacing w:after="120"/>
              <w:ind w:left="115"/>
            </w:pPr>
            <w:r w:rsidRPr="0087722B">
              <w:t xml:space="preserve">≥ 10 </w:t>
            </w:r>
            <w:r w:rsidR="002C2BA0" w:rsidRPr="0087722B">
              <w:t>to</w:t>
            </w:r>
            <w:r w:rsidRPr="0087722B">
              <w:t xml:space="preserve"> &lt; 20 kg</w:t>
            </w:r>
          </w:p>
          <w:p w14:paraId="649C3738" w14:textId="55F7782A" w:rsidR="00AA678E" w:rsidRPr="0087722B" w:rsidRDefault="00AA678E" w:rsidP="0035187D">
            <w:pPr>
              <w:pStyle w:val="TableText"/>
              <w:spacing w:after="120"/>
              <w:ind w:left="115"/>
            </w:pPr>
            <w:r w:rsidRPr="0087722B">
              <w:t xml:space="preserve">≥ 20 </w:t>
            </w:r>
            <w:r w:rsidR="002C2BA0" w:rsidRPr="0087722B">
              <w:t>to</w:t>
            </w:r>
            <w:r w:rsidRPr="0087722B">
              <w:t xml:space="preserve"> &lt; 30 kg</w:t>
            </w:r>
          </w:p>
          <w:p w14:paraId="57FF5ECC" w14:textId="6FF8D8A0" w:rsidR="00AA678E" w:rsidRPr="0087722B" w:rsidRDefault="00AA678E" w:rsidP="0035187D">
            <w:pPr>
              <w:pStyle w:val="TableText"/>
              <w:spacing w:after="120"/>
              <w:ind w:left="115"/>
            </w:pPr>
            <w:r w:rsidRPr="0087722B">
              <w:t xml:space="preserve">≥ 30 </w:t>
            </w:r>
            <w:r w:rsidR="002C2BA0" w:rsidRPr="0087722B">
              <w:t>to</w:t>
            </w:r>
            <w:r w:rsidRPr="0087722B">
              <w:t xml:space="preserve"> &lt; 40 kg</w:t>
            </w:r>
          </w:p>
          <w:p w14:paraId="7AE490D2" w14:textId="28CFA459" w:rsidR="00AA678E" w:rsidRPr="0087722B" w:rsidRDefault="00AA678E" w:rsidP="0035187D">
            <w:pPr>
              <w:pStyle w:val="TableText"/>
              <w:spacing w:after="120"/>
              <w:ind w:left="115"/>
            </w:pPr>
            <w:r w:rsidRPr="0087722B">
              <w:t xml:space="preserve">≥ 40 </w:t>
            </w:r>
            <w:r w:rsidR="002C2BA0" w:rsidRPr="0087722B">
              <w:t>to</w:t>
            </w:r>
            <w:r w:rsidRPr="0087722B">
              <w:t xml:space="preserve"> &lt; 60 kg</w:t>
            </w:r>
          </w:p>
          <w:p w14:paraId="2D94CAE4" w14:textId="4EC2525B" w:rsidR="00AA678E" w:rsidRPr="0087722B" w:rsidRDefault="00AA678E" w:rsidP="0035187D">
            <w:pPr>
              <w:pStyle w:val="TableText"/>
              <w:spacing w:after="120"/>
              <w:ind w:left="115"/>
            </w:pPr>
            <w:r w:rsidRPr="0087722B">
              <w:t xml:space="preserve">≥ 60 </w:t>
            </w:r>
            <w:r w:rsidR="002C2BA0" w:rsidRPr="0087722B">
              <w:t>to</w:t>
            </w:r>
            <w:r w:rsidRPr="0087722B">
              <w:t xml:space="preserve"> &lt; 100 kg</w:t>
            </w:r>
          </w:p>
        </w:tc>
        <w:tc>
          <w:tcPr>
            <w:tcW w:w="2409" w:type="dxa"/>
          </w:tcPr>
          <w:p w14:paraId="40385762"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p>
          <w:p w14:paraId="76620670" w14:textId="6E0BE3DB" w:rsidR="00AA678E" w:rsidRPr="0087722B" w:rsidRDefault="0087722B"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br/>
            </w:r>
            <w:r w:rsidR="00AA678E" w:rsidRPr="0087722B">
              <w:t>2 (11.1)</w:t>
            </w:r>
          </w:p>
          <w:p w14:paraId="299DEB94"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9 (50.0)</w:t>
            </w:r>
          </w:p>
          <w:p w14:paraId="2A634E08"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3 (16.7)</w:t>
            </w:r>
          </w:p>
          <w:p w14:paraId="3EB54466"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3 (16.7)</w:t>
            </w:r>
          </w:p>
          <w:p w14:paraId="4B0DDF6F"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0</w:t>
            </w:r>
          </w:p>
          <w:p w14:paraId="6E41921E"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1 (5.6)</w:t>
            </w:r>
          </w:p>
        </w:tc>
        <w:tc>
          <w:tcPr>
            <w:tcW w:w="2217" w:type="dxa"/>
          </w:tcPr>
          <w:p w14:paraId="648F7F35"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p>
          <w:p w14:paraId="32D9AA98" w14:textId="0D62C4E6" w:rsidR="00AA678E" w:rsidRPr="0087722B" w:rsidRDefault="0087722B"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br/>
            </w:r>
            <w:r w:rsidR="00AA678E" w:rsidRPr="0087722B">
              <w:t>1 (10.0)</w:t>
            </w:r>
          </w:p>
          <w:p w14:paraId="63724862"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1 (10.0)</w:t>
            </w:r>
          </w:p>
          <w:p w14:paraId="324FB62A"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1 (10.0)</w:t>
            </w:r>
          </w:p>
          <w:p w14:paraId="370C2593"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1 (10.0)</w:t>
            </w:r>
          </w:p>
          <w:p w14:paraId="680A5AB5"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5 (50.0)</w:t>
            </w:r>
          </w:p>
          <w:p w14:paraId="7046B794" w14:textId="77777777" w:rsidR="00AA678E" w:rsidRPr="0087722B" w:rsidRDefault="00AA678E" w:rsidP="0035187D">
            <w:pPr>
              <w:pStyle w:val="TableText"/>
              <w:spacing w:after="120"/>
              <w:ind w:left="115"/>
              <w:jc w:val="center"/>
              <w:cnfStyle w:val="000000000000" w:firstRow="0" w:lastRow="0" w:firstColumn="0" w:lastColumn="0" w:oddVBand="0" w:evenVBand="0" w:oddHBand="0" w:evenHBand="0" w:firstRowFirstColumn="0" w:firstRowLastColumn="0" w:lastRowFirstColumn="0" w:lastRowLastColumn="0"/>
            </w:pPr>
            <w:r w:rsidRPr="0087722B">
              <w:t>1 (10.0)</w:t>
            </w:r>
          </w:p>
        </w:tc>
      </w:tr>
    </w:tbl>
    <w:p w14:paraId="20C48957" w14:textId="736D7F39" w:rsidR="00AC31FD" w:rsidRDefault="00AC31FD" w:rsidP="00452A6B">
      <w:pPr>
        <w:pStyle w:val="TableDescription"/>
        <w:rPr>
          <w:lang w:eastAsia="en-AU"/>
        </w:rPr>
      </w:pPr>
      <w:r>
        <w:rPr>
          <w:lang w:eastAsia="en-AU"/>
        </w:rPr>
        <w:t>Abbreviations: FAS = full analysis set; SD = standard deviation.</w:t>
      </w:r>
    </w:p>
    <w:p w14:paraId="52007D2A" w14:textId="2E445505" w:rsidR="00856026" w:rsidRDefault="00AA678E" w:rsidP="00452A6B">
      <w:pPr>
        <w:pStyle w:val="TableDescription"/>
        <w:rPr>
          <w:lang w:eastAsia="en-AU"/>
        </w:rPr>
      </w:pPr>
      <w:r w:rsidRPr="00BA6A4B">
        <w:rPr>
          <w:lang w:eastAsia="en-AU"/>
        </w:rPr>
        <w:t xml:space="preserve">Note: Data as of 3 </w:t>
      </w:r>
      <w:r w:rsidR="004B3190">
        <w:rPr>
          <w:lang w:eastAsia="en-AU"/>
        </w:rPr>
        <w:t>December</w:t>
      </w:r>
      <w:r w:rsidRPr="00BA6A4B">
        <w:rPr>
          <w:lang w:eastAsia="en-AU"/>
        </w:rPr>
        <w:t xml:space="preserve"> 2019. Percentages were based on the total number of patients. </w:t>
      </w:r>
      <w:r w:rsidRPr="00BA6A4B">
        <w:rPr>
          <w:vertAlign w:val="superscript"/>
          <w:lang w:eastAsia="en-AU"/>
        </w:rPr>
        <w:t>a</w:t>
      </w:r>
      <w:r w:rsidRPr="00BA6A4B">
        <w:rPr>
          <w:lang w:eastAsia="en-AU"/>
        </w:rPr>
        <w:t xml:space="preserve"> Patients could have selected multiple races.</w:t>
      </w:r>
    </w:p>
    <w:p w14:paraId="59491002" w14:textId="78D052F4" w:rsidR="00AA678E" w:rsidRPr="0021413A" w:rsidRDefault="00AA678E" w:rsidP="00452A6B">
      <w:pPr>
        <w:pStyle w:val="Heading7"/>
      </w:pPr>
      <w:r w:rsidRPr="0021413A">
        <w:t>Primary endpoint</w:t>
      </w:r>
    </w:p>
    <w:p w14:paraId="587E7D69" w14:textId="636ED73E" w:rsidR="00AC31FD" w:rsidRPr="0021413A" w:rsidRDefault="002C2BA0" w:rsidP="00B82827">
      <w:r>
        <w:t>C</w:t>
      </w:r>
      <w:r w:rsidR="00FD0821">
        <w:t xml:space="preserve">omplete </w:t>
      </w:r>
      <w:r w:rsidR="005F3F4F" w:rsidRPr="005F3F4F">
        <w:t>thrombotic microangiopathy</w:t>
      </w:r>
      <w:r w:rsidR="00FD0821">
        <w:t xml:space="preserve"> </w:t>
      </w:r>
      <w:r w:rsidR="00AC31FD">
        <w:t xml:space="preserve">(TMA) </w:t>
      </w:r>
      <w:r w:rsidR="00FD0821">
        <w:t>response</w:t>
      </w:r>
      <w:r w:rsidR="00AA678E" w:rsidRPr="0021413A">
        <w:t xml:space="preserve"> was observed in 14 of 18 (77.8%</w:t>
      </w:r>
      <w:r w:rsidR="00AA678E">
        <w:t>; 95% CI: 52.4, 93.6</w:t>
      </w:r>
      <w:r w:rsidR="00AA678E" w:rsidRPr="0021413A">
        <w:t>) patients in Cohort</w:t>
      </w:r>
      <w:r>
        <w:t> </w:t>
      </w:r>
      <w:r w:rsidR="00AA678E" w:rsidRPr="0021413A">
        <w:t>1 during the Initial Evaluation Period</w:t>
      </w:r>
      <w:r>
        <w:t xml:space="preserve"> (</w:t>
      </w:r>
      <w:r w:rsidR="00AC31FD">
        <w:t xml:space="preserve">see </w:t>
      </w:r>
      <w:r>
        <w:fldChar w:fldCharType="begin"/>
      </w:r>
      <w:r>
        <w:instrText xml:space="preserve"> REF _Ref132632664 \h </w:instrText>
      </w:r>
      <w:r>
        <w:fldChar w:fldCharType="separate"/>
      </w:r>
      <w:r w:rsidR="004C7A29">
        <w:t xml:space="preserve">Table </w:t>
      </w:r>
      <w:r w:rsidR="004C7A29">
        <w:rPr>
          <w:noProof/>
        </w:rPr>
        <w:t>15</w:t>
      </w:r>
      <w:r>
        <w:fldChar w:fldCharType="end"/>
      </w:r>
      <w:r>
        <w:t>).</w:t>
      </w:r>
    </w:p>
    <w:p w14:paraId="60EB459E" w14:textId="6C45011B" w:rsidR="00AA678E" w:rsidRDefault="00AA678E" w:rsidP="00452A6B">
      <w:pPr>
        <w:pStyle w:val="TableTitle"/>
      </w:pPr>
      <w:bookmarkStart w:id="89" w:name="_Ref132632664"/>
      <w:r>
        <w:t xml:space="preserve">Table </w:t>
      </w:r>
      <w:fldSimple w:instr=" SEQ Table \* ARABIC ">
        <w:r w:rsidR="004C7A29">
          <w:rPr>
            <w:noProof/>
          </w:rPr>
          <w:t>15</w:t>
        </w:r>
      </w:fldSimple>
      <w:bookmarkEnd w:id="89"/>
      <w:r>
        <w:t xml:space="preserve">: </w:t>
      </w:r>
      <w:r w:rsidR="00AC31FD">
        <w:rPr>
          <w:noProof/>
        </w:rPr>
        <w:t xml:space="preserve">Study </w:t>
      </w:r>
      <w:r w:rsidR="00AC31FD" w:rsidRPr="001C5E4C">
        <w:rPr>
          <w:noProof/>
        </w:rPr>
        <w:t>ALXN1210-aHUS-312</w:t>
      </w:r>
      <w:r w:rsidR="00AC31FD">
        <w:rPr>
          <w:noProof/>
        </w:rPr>
        <w:t xml:space="preserve"> </w:t>
      </w:r>
      <w:r w:rsidR="002C2BA0">
        <w:t>C</w:t>
      </w:r>
      <w:r w:rsidR="00FD0821">
        <w:t xml:space="preserve">omplete </w:t>
      </w:r>
      <w:r w:rsidR="0087722B">
        <w:t>t</w:t>
      </w:r>
      <w:r w:rsidR="0087722B" w:rsidRPr="0087722B">
        <w:t>hrombotic microangiopathy</w:t>
      </w:r>
      <w:r w:rsidR="00FD0821">
        <w:t xml:space="preserve"> response</w:t>
      </w:r>
      <w:r w:rsidRPr="003D2C1F">
        <w:t xml:space="preserve"> and </w:t>
      </w:r>
      <w:r w:rsidR="00FD0821">
        <w:t xml:space="preserve">complete </w:t>
      </w:r>
      <w:r w:rsidR="0087722B">
        <w:t>T</w:t>
      </w:r>
      <w:r w:rsidR="0087722B" w:rsidRPr="001700D5">
        <w:t>hrombotic microangiopathy</w:t>
      </w:r>
      <w:r w:rsidR="0087722B">
        <w:t xml:space="preserve"> t</w:t>
      </w:r>
      <w:r w:rsidR="0087722B" w:rsidRPr="0087722B">
        <w:t>hrombotic microangiopathy</w:t>
      </w:r>
      <w:r w:rsidR="0087722B">
        <w:t xml:space="preserve"> </w:t>
      </w:r>
      <w:r w:rsidR="00FD0821">
        <w:t>response</w:t>
      </w:r>
      <w:r w:rsidRPr="003D2C1F">
        <w:t xml:space="preserve"> </w:t>
      </w:r>
      <w:r w:rsidR="002C2BA0">
        <w:t>c</w:t>
      </w:r>
      <w:r w:rsidRPr="003D2C1F">
        <w:t xml:space="preserve">omponents </w:t>
      </w:r>
      <w:r w:rsidR="002C2BA0">
        <w:t>a</w:t>
      </w:r>
      <w:r w:rsidRPr="003D2C1F">
        <w:t xml:space="preserve">nalysis </w:t>
      </w:r>
      <w:r w:rsidR="002C2BA0">
        <w:t>d</w:t>
      </w:r>
      <w:r w:rsidRPr="003D2C1F">
        <w:t xml:space="preserve">uring the 26-Week Initial Evaluation Period (Cohort 1 </w:t>
      </w:r>
      <w:r w:rsidR="00AB0591" w:rsidRPr="00AB0591">
        <w:t>Full Analysis Set</w:t>
      </w:r>
      <w:r w:rsidRPr="003D2C1F">
        <w:t>)</w:t>
      </w:r>
    </w:p>
    <w:p w14:paraId="3CDAAAAC" w14:textId="77777777" w:rsidR="00AA678E" w:rsidRDefault="00AA678E" w:rsidP="00AA678E">
      <w:r>
        <w:rPr>
          <w:noProof/>
          <w:lang w:val="en-GB" w:eastAsia="en-GB"/>
        </w:rPr>
        <w:drawing>
          <wp:inline distT="0" distB="0" distL="0" distR="0" wp14:anchorId="051C5A6E" wp14:editId="396BC5D6">
            <wp:extent cx="5731510" cy="1198880"/>
            <wp:effectExtent l="0" t="0" r="2540" b="1270"/>
            <wp:docPr id="14" name="Picture 14" descr="This table shows complete thrombotic microangiopathy response and complete Thrombotic microangiopathy thrombotic microangiopathy response components analysis during the 26-Week Initial Evaluation Period (Cohort 1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table shows complete thrombotic microangiopathy response and complete Thrombotic microangiopathy thrombotic microangiopathy response components analysis during the 26-Week Initial Evaluation Period (Cohort 1 FAS)"/>
                    <pic:cNvPicPr/>
                  </pic:nvPicPr>
                  <pic:blipFill>
                    <a:blip r:embed="rId48"/>
                    <a:stretch>
                      <a:fillRect/>
                    </a:stretch>
                  </pic:blipFill>
                  <pic:spPr>
                    <a:xfrm>
                      <a:off x="0" y="0"/>
                      <a:ext cx="5731510" cy="1198880"/>
                    </a:xfrm>
                    <a:prstGeom prst="rect">
                      <a:avLst/>
                    </a:prstGeom>
                  </pic:spPr>
                </pic:pic>
              </a:graphicData>
            </a:graphic>
          </wp:inline>
        </w:drawing>
      </w:r>
    </w:p>
    <w:p w14:paraId="15E9D8FB" w14:textId="4D36C602" w:rsidR="00AC31FD" w:rsidRDefault="00AC31FD" w:rsidP="00452A6B">
      <w:pPr>
        <w:pStyle w:val="TableDescription"/>
      </w:pPr>
      <w:r>
        <w:t>Abbreviations: LDH = lactate dehydrogenase; TMA = t</w:t>
      </w:r>
      <w:r w:rsidRPr="0087722B">
        <w:t>hrombotic microangiopathy</w:t>
      </w:r>
      <w:r>
        <w:t>.</w:t>
      </w:r>
    </w:p>
    <w:p w14:paraId="2BD24E05" w14:textId="556B7163" w:rsidR="00AA678E" w:rsidRPr="003D2C1F" w:rsidRDefault="00AA678E" w:rsidP="00452A6B">
      <w:pPr>
        <w:pStyle w:val="TableDescription"/>
      </w:pPr>
      <w:r w:rsidRPr="003D2C1F">
        <w:t xml:space="preserve">Note: Data as of 3 </w:t>
      </w:r>
      <w:r w:rsidR="004B3190">
        <w:t>December</w:t>
      </w:r>
      <w:r w:rsidRPr="003D2C1F">
        <w:t xml:space="preserve"> 2019. Patients must have met all </w:t>
      </w:r>
      <w:r w:rsidR="00FD0821">
        <w:t>complete TMA response</w:t>
      </w:r>
      <w:r w:rsidRPr="003D2C1F">
        <w:t xml:space="preserve"> criteria at </w:t>
      </w:r>
      <w:r w:rsidR="002C2BA0">
        <w:t>two</w:t>
      </w:r>
      <w:r w:rsidRPr="003D2C1F">
        <w:t xml:space="preserve"> separate assessments obtained at least </w:t>
      </w:r>
      <w:r w:rsidR="002C2BA0">
        <w:t>four</w:t>
      </w:r>
      <w:r w:rsidRPr="003D2C1F">
        <w:t xml:space="preserve"> weeks (28 days) apart, and any measurement in between. Hematologic normalization includes normalization of platelet count and normalization of LDH. Platelet values obtained from the day of a blood transfusion of platelets through </w:t>
      </w:r>
      <w:r w:rsidR="002C2BA0">
        <w:t>three</w:t>
      </w:r>
      <w:r w:rsidRPr="003D2C1F">
        <w:t xml:space="preserve"> days after the transfusion were excluded from all analyses. All serum creatinine values obtained while a patient was on dialysis were excluded from all analyses. </w:t>
      </w:r>
      <w:r w:rsidRPr="003D2C1F">
        <w:lastRenderedPageBreak/>
        <w:t xml:space="preserve">When a patient was on dialysis </w:t>
      </w:r>
      <w:r w:rsidR="00FD0821">
        <w:t>at Baseline</w:t>
      </w:r>
      <w:r w:rsidRPr="003D2C1F">
        <w:t xml:space="preserve">, then the first valid creatinine value used as the baseline value was the first assessment ≥ 6 days post dialysis. If a patient was on dialysis during the entire 26-week Initial Evaluation Period, then the baseline creatinine was not calculated. </w:t>
      </w:r>
      <w:r w:rsidR="004B3190">
        <w:t>A</w:t>
      </w:r>
      <w:r w:rsidRPr="003D2C1F">
        <w:t xml:space="preserve"> 95% CIs for the proportion were based on exact confidence limits using the Clopper-Pearson method</w:t>
      </w:r>
    </w:p>
    <w:p w14:paraId="49FD5FF5" w14:textId="153B1594" w:rsidR="00856026" w:rsidRDefault="00AA678E" w:rsidP="00AA678E">
      <w:r w:rsidRPr="0021413A">
        <w:t xml:space="preserve">As of data cut-off, </w:t>
      </w:r>
      <w:r w:rsidR="00FD0821">
        <w:t xml:space="preserve">complete </w:t>
      </w:r>
      <w:r w:rsidR="005F3F4F" w:rsidRPr="005F3F4F">
        <w:t>thrombotic microangiopathy</w:t>
      </w:r>
      <w:r w:rsidR="00FD0821">
        <w:t xml:space="preserve"> response</w:t>
      </w:r>
      <w:r w:rsidRPr="0021413A">
        <w:t xml:space="preserve"> was observed in 17 of 18</w:t>
      </w:r>
      <w:r w:rsidR="00AC31FD">
        <w:t> </w:t>
      </w:r>
      <w:r w:rsidRPr="0021413A">
        <w:t>patients (94.4%; 95% CI</w:t>
      </w:r>
      <w:r>
        <w:t>:</w:t>
      </w:r>
      <w:r w:rsidRPr="0021413A">
        <w:t xml:space="preserve"> 72.7, 99.9).</w:t>
      </w:r>
    </w:p>
    <w:p w14:paraId="4441FC76" w14:textId="77777777" w:rsidR="00AA678E" w:rsidRPr="008373B8" w:rsidRDefault="00AA678E" w:rsidP="00452A6B">
      <w:pPr>
        <w:pStyle w:val="Heading7"/>
      </w:pPr>
      <w:r>
        <w:t>Secondary endpoints:</w:t>
      </w:r>
    </w:p>
    <w:p w14:paraId="327F1C33" w14:textId="77777777" w:rsidR="00AA678E" w:rsidRPr="002C2BA0" w:rsidRDefault="00AA678E" w:rsidP="00B82827">
      <w:pPr>
        <w:pStyle w:val="Heading8"/>
      </w:pPr>
      <w:r w:rsidRPr="002C2BA0">
        <w:t>Cohort 1</w:t>
      </w:r>
    </w:p>
    <w:p w14:paraId="5D343313" w14:textId="2C2989E2" w:rsidR="00856026" w:rsidRDefault="00AA678E" w:rsidP="00AA678E">
      <w:r w:rsidRPr="0021413A">
        <w:t xml:space="preserve">The median time to </w:t>
      </w:r>
      <w:r w:rsidR="00FD0821">
        <w:t xml:space="preserve">complete </w:t>
      </w:r>
      <w:r w:rsidR="005F3F4F" w:rsidRPr="005F3F4F">
        <w:t>thrombotic microangiopathy</w:t>
      </w:r>
      <w:r w:rsidR="00FD0821">
        <w:t xml:space="preserve"> response</w:t>
      </w:r>
      <w:r>
        <w:t xml:space="preserve"> </w:t>
      </w:r>
      <w:r w:rsidRPr="0021413A">
        <w:t xml:space="preserve">was 30 days, occurring from Day 15. The response was sustained through the end of the 26-week Initial Evaluation </w:t>
      </w:r>
      <w:r>
        <w:t>P</w:t>
      </w:r>
      <w:r w:rsidRPr="0021413A">
        <w:t xml:space="preserve">eriod for the 14 patients who achieved a </w:t>
      </w:r>
      <w:r w:rsidR="00FD0821">
        <w:t xml:space="preserve">complete </w:t>
      </w:r>
      <w:r w:rsidR="005F3F4F" w:rsidRPr="005F3F4F">
        <w:t>thrombotic microangiopathy</w:t>
      </w:r>
      <w:r w:rsidR="00FD0821">
        <w:t xml:space="preserve"> response</w:t>
      </w:r>
      <w:r w:rsidRPr="0021413A">
        <w:t xml:space="preserve">. Three patients achieved a </w:t>
      </w:r>
      <w:r w:rsidR="00FD0821">
        <w:t xml:space="preserve">complete </w:t>
      </w:r>
      <w:r w:rsidR="005F3F4F" w:rsidRPr="005F3F4F">
        <w:t>thrombotic microangiopathy</w:t>
      </w:r>
      <w:r w:rsidR="00FD0821">
        <w:t xml:space="preserve"> response</w:t>
      </w:r>
      <w:r w:rsidRPr="0021413A">
        <w:t xml:space="preserve"> during the Extension Period (Day</w:t>
      </w:r>
      <w:r>
        <w:t>s</w:t>
      </w:r>
      <w:r w:rsidRPr="0021413A">
        <w:t xml:space="preserve"> 295 and 351).</w:t>
      </w:r>
    </w:p>
    <w:p w14:paraId="5D71CD0D" w14:textId="56A6306E" w:rsidR="00AA678E" w:rsidRDefault="00AA678E" w:rsidP="00AA678E">
      <w:r>
        <w:t>The mean change from baseline in haematologic parameters for Cohort 1 (FAS) at Day 183 is shown</w:t>
      </w:r>
      <w:r w:rsidR="00C449AF">
        <w:t xml:space="preserve"> in</w:t>
      </w:r>
      <w:r w:rsidR="002C2BA0">
        <w:t xml:space="preserve"> </w:t>
      </w:r>
      <w:r w:rsidR="002C2BA0">
        <w:fldChar w:fldCharType="begin"/>
      </w:r>
      <w:r w:rsidR="002C2BA0">
        <w:instrText xml:space="preserve"> REF _Ref132632772 \h </w:instrText>
      </w:r>
      <w:r w:rsidR="002C2BA0">
        <w:fldChar w:fldCharType="separate"/>
      </w:r>
      <w:r w:rsidR="004C7A29">
        <w:t xml:space="preserve">Table </w:t>
      </w:r>
      <w:r w:rsidR="004C7A29">
        <w:rPr>
          <w:noProof/>
        </w:rPr>
        <w:t>16</w:t>
      </w:r>
      <w:r w:rsidR="002C2BA0">
        <w:fldChar w:fldCharType="end"/>
      </w:r>
      <w:r w:rsidR="002C2BA0">
        <w:t>.</w:t>
      </w:r>
    </w:p>
    <w:p w14:paraId="2400AE35" w14:textId="36F442EB" w:rsidR="00452A6B" w:rsidRDefault="00C449AF" w:rsidP="00C449AF">
      <w:pPr>
        <w:pStyle w:val="TableTitle"/>
      </w:pPr>
      <w:bookmarkStart w:id="90" w:name="_Ref132632772"/>
      <w:bookmarkStart w:id="91" w:name="_Ref131512766"/>
      <w:r>
        <w:t xml:space="preserve">Table </w:t>
      </w:r>
      <w:fldSimple w:instr=" SEQ Table \* ARABIC ">
        <w:r w:rsidR="004C7A29">
          <w:rPr>
            <w:noProof/>
          </w:rPr>
          <w:t>16</w:t>
        </w:r>
      </w:fldSimple>
      <w:bookmarkEnd w:id="90"/>
      <w:r w:rsidR="007E513E">
        <w:rPr>
          <w:noProof/>
        </w:rPr>
        <w:t>:</w:t>
      </w:r>
      <w:r>
        <w:t xml:space="preserve"> </w:t>
      </w:r>
      <w:bookmarkEnd w:id="91"/>
      <w:r w:rsidR="002C2BA0">
        <w:t>M</w:t>
      </w:r>
      <w:r w:rsidR="002C2BA0" w:rsidRPr="002C2BA0">
        <w:t>ean change from baseline in haematologic parameters for Cohort 1 (</w:t>
      </w:r>
      <w:r w:rsidR="00AB0591" w:rsidRPr="00AB0591">
        <w:t>Full Analysis Set</w:t>
      </w:r>
      <w:r w:rsidR="002C2BA0" w:rsidRPr="002C2BA0">
        <w:t>) at Day 183</w:t>
      </w:r>
    </w:p>
    <w:tbl>
      <w:tblPr>
        <w:tblStyle w:val="TableGrid"/>
        <w:tblW w:w="0" w:type="auto"/>
        <w:tblLook w:val="04A0" w:firstRow="1" w:lastRow="0" w:firstColumn="1" w:lastColumn="0" w:noHBand="0" w:noVBand="1"/>
      </w:tblPr>
      <w:tblGrid>
        <w:gridCol w:w="2254"/>
        <w:gridCol w:w="2254"/>
        <w:gridCol w:w="2254"/>
        <w:gridCol w:w="2254"/>
      </w:tblGrid>
      <w:tr w:rsidR="00AA678E" w14:paraId="4DA99153" w14:textId="77777777">
        <w:tc>
          <w:tcPr>
            <w:tcW w:w="2254" w:type="dxa"/>
          </w:tcPr>
          <w:p w14:paraId="71D45F69" w14:textId="77777777" w:rsidR="00AA678E" w:rsidRPr="00580C2A" w:rsidRDefault="00AA678E">
            <w:pPr>
              <w:jc w:val="center"/>
              <w:rPr>
                <w:b/>
                <w:sz w:val="20"/>
              </w:rPr>
            </w:pPr>
            <w:r w:rsidRPr="00580C2A">
              <w:rPr>
                <w:b/>
                <w:sz w:val="20"/>
              </w:rPr>
              <w:t>Haematologic TMA Parameter</w:t>
            </w:r>
          </w:p>
        </w:tc>
        <w:tc>
          <w:tcPr>
            <w:tcW w:w="2254" w:type="dxa"/>
          </w:tcPr>
          <w:p w14:paraId="7B5D2A5D" w14:textId="77777777" w:rsidR="00AA678E" w:rsidRPr="00580C2A" w:rsidRDefault="00AA678E">
            <w:pPr>
              <w:jc w:val="center"/>
              <w:rPr>
                <w:b/>
                <w:sz w:val="20"/>
              </w:rPr>
            </w:pPr>
            <w:r w:rsidRPr="00580C2A">
              <w:rPr>
                <w:b/>
                <w:sz w:val="20"/>
              </w:rPr>
              <w:t>Baseline (mean)</w:t>
            </w:r>
          </w:p>
        </w:tc>
        <w:tc>
          <w:tcPr>
            <w:tcW w:w="2254" w:type="dxa"/>
          </w:tcPr>
          <w:p w14:paraId="402F2F4A" w14:textId="77777777" w:rsidR="00AA678E" w:rsidRPr="00580C2A" w:rsidRDefault="00AA678E">
            <w:pPr>
              <w:jc w:val="center"/>
              <w:rPr>
                <w:b/>
                <w:sz w:val="20"/>
              </w:rPr>
            </w:pPr>
            <w:r w:rsidRPr="00580C2A">
              <w:rPr>
                <w:b/>
                <w:sz w:val="20"/>
              </w:rPr>
              <w:t>Day 183 (mean)</w:t>
            </w:r>
          </w:p>
        </w:tc>
        <w:tc>
          <w:tcPr>
            <w:tcW w:w="2254" w:type="dxa"/>
          </w:tcPr>
          <w:p w14:paraId="6D360D4F" w14:textId="16B77D13" w:rsidR="00AA678E" w:rsidRPr="00580C2A" w:rsidRDefault="00AA678E">
            <w:pPr>
              <w:jc w:val="center"/>
              <w:rPr>
                <w:b/>
                <w:sz w:val="20"/>
              </w:rPr>
            </w:pPr>
            <w:r w:rsidRPr="00580C2A">
              <w:rPr>
                <w:b/>
                <w:sz w:val="20"/>
              </w:rPr>
              <w:t xml:space="preserve">Mean change from </w:t>
            </w:r>
            <w:r w:rsidR="00AC31FD">
              <w:rPr>
                <w:b/>
                <w:sz w:val="20"/>
              </w:rPr>
              <w:t>B</w:t>
            </w:r>
            <w:r w:rsidRPr="00580C2A">
              <w:rPr>
                <w:b/>
                <w:sz w:val="20"/>
              </w:rPr>
              <w:t>aseline</w:t>
            </w:r>
          </w:p>
        </w:tc>
      </w:tr>
      <w:tr w:rsidR="00AA678E" w14:paraId="086B4B9B" w14:textId="77777777">
        <w:tc>
          <w:tcPr>
            <w:tcW w:w="2254" w:type="dxa"/>
          </w:tcPr>
          <w:p w14:paraId="7D390047" w14:textId="77777777" w:rsidR="00AA678E" w:rsidRPr="00580C2A" w:rsidRDefault="00AA678E" w:rsidP="00AB0591">
            <w:pPr>
              <w:pStyle w:val="TableText"/>
            </w:pPr>
            <w:r w:rsidRPr="00580C2A">
              <w:t>Platelet count</w:t>
            </w:r>
            <w:r>
              <w:t xml:space="preserve"> (</w:t>
            </w:r>
            <w:r w:rsidRPr="00580C2A">
              <w:rPr>
                <w:szCs w:val="20"/>
                <w:lang w:eastAsia="ja-JP"/>
              </w:rPr>
              <w:t>x 10</w:t>
            </w:r>
            <w:r w:rsidRPr="00580C2A">
              <w:rPr>
                <w:szCs w:val="20"/>
                <w:vertAlign w:val="superscript"/>
                <w:lang w:eastAsia="ja-JP"/>
              </w:rPr>
              <w:t>9</w:t>
            </w:r>
            <w:r w:rsidRPr="00580C2A">
              <w:rPr>
                <w:szCs w:val="20"/>
                <w:lang w:eastAsia="ja-JP"/>
              </w:rPr>
              <w:t>/L</w:t>
            </w:r>
            <w:r>
              <w:rPr>
                <w:szCs w:val="20"/>
                <w:lang w:eastAsia="ja-JP"/>
              </w:rPr>
              <w:t>)</w:t>
            </w:r>
          </w:p>
        </w:tc>
        <w:tc>
          <w:tcPr>
            <w:tcW w:w="2254" w:type="dxa"/>
          </w:tcPr>
          <w:p w14:paraId="0ECCAFEA" w14:textId="77777777" w:rsidR="00AA678E" w:rsidRPr="00580C2A" w:rsidRDefault="00AA678E" w:rsidP="00AB0591">
            <w:pPr>
              <w:pStyle w:val="TableText"/>
              <w:rPr>
                <w:szCs w:val="20"/>
              </w:rPr>
            </w:pPr>
            <w:r>
              <w:rPr>
                <w:szCs w:val="20"/>
              </w:rPr>
              <w:t>60.39</w:t>
            </w:r>
          </w:p>
        </w:tc>
        <w:tc>
          <w:tcPr>
            <w:tcW w:w="2254" w:type="dxa"/>
          </w:tcPr>
          <w:p w14:paraId="5D854AE5" w14:textId="77777777" w:rsidR="00AA678E" w:rsidRPr="00580C2A" w:rsidRDefault="00AA678E" w:rsidP="00AB0591">
            <w:pPr>
              <w:pStyle w:val="TableText"/>
            </w:pPr>
            <w:r>
              <w:rPr>
                <w:szCs w:val="20"/>
              </w:rPr>
              <w:t>304.94</w:t>
            </w:r>
          </w:p>
        </w:tc>
        <w:tc>
          <w:tcPr>
            <w:tcW w:w="2254" w:type="dxa"/>
          </w:tcPr>
          <w:p w14:paraId="5D971772" w14:textId="77777777" w:rsidR="00AA678E" w:rsidRPr="00580C2A" w:rsidRDefault="00AA678E" w:rsidP="00AB0591">
            <w:pPr>
              <w:pStyle w:val="TableText"/>
            </w:pPr>
            <w:r>
              <w:rPr>
                <w:szCs w:val="20"/>
                <w:lang w:eastAsia="ja-JP"/>
              </w:rPr>
              <w:t>245.59</w:t>
            </w:r>
          </w:p>
        </w:tc>
      </w:tr>
      <w:tr w:rsidR="00AA678E" w14:paraId="03962380" w14:textId="77777777">
        <w:tc>
          <w:tcPr>
            <w:tcW w:w="2254" w:type="dxa"/>
          </w:tcPr>
          <w:p w14:paraId="17402EF6" w14:textId="77777777" w:rsidR="00AA678E" w:rsidRPr="00580C2A" w:rsidRDefault="00AA678E" w:rsidP="00AB0591">
            <w:pPr>
              <w:pStyle w:val="TableText"/>
            </w:pPr>
            <w:r w:rsidRPr="00580C2A">
              <w:t>LDH</w:t>
            </w:r>
            <w:r>
              <w:t xml:space="preserve"> (U/L)</w:t>
            </w:r>
          </w:p>
        </w:tc>
        <w:tc>
          <w:tcPr>
            <w:tcW w:w="2254" w:type="dxa"/>
          </w:tcPr>
          <w:p w14:paraId="145648F2" w14:textId="77777777" w:rsidR="00AA678E" w:rsidRPr="00580C2A" w:rsidRDefault="00AA678E" w:rsidP="00AB0591">
            <w:pPr>
              <w:pStyle w:val="TableText"/>
            </w:pPr>
            <w:r>
              <w:t>2223.47</w:t>
            </w:r>
          </w:p>
        </w:tc>
        <w:tc>
          <w:tcPr>
            <w:tcW w:w="2254" w:type="dxa"/>
          </w:tcPr>
          <w:p w14:paraId="4D391A85" w14:textId="77777777" w:rsidR="00AA678E" w:rsidRPr="00580C2A" w:rsidRDefault="00AA678E" w:rsidP="00AB0591">
            <w:pPr>
              <w:pStyle w:val="TableText"/>
            </w:pPr>
            <w:r>
              <w:t>262.41</w:t>
            </w:r>
          </w:p>
        </w:tc>
        <w:tc>
          <w:tcPr>
            <w:tcW w:w="2254" w:type="dxa"/>
          </w:tcPr>
          <w:p w14:paraId="22BB3969" w14:textId="77777777" w:rsidR="00AA678E" w:rsidRPr="00580C2A" w:rsidRDefault="00AA678E" w:rsidP="00AB0591">
            <w:pPr>
              <w:pStyle w:val="TableText"/>
            </w:pPr>
            <w:r>
              <w:t>- 2044.13</w:t>
            </w:r>
          </w:p>
        </w:tc>
      </w:tr>
      <w:tr w:rsidR="00AA678E" w14:paraId="7757947A" w14:textId="77777777">
        <w:tc>
          <w:tcPr>
            <w:tcW w:w="2254" w:type="dxa"/>
          </w:tcPr>
          <w:p w14:paraId="31DC9B60" w14:textId="77777777" w:rsidR="00AA678E" w:rsidRPr="00580C2A" w:rsidRDefault="00AA678E" w:rsidP="00AB0591">
            <w:pPr>
              <w:pStyle w:val="TableText"/>
            </w:pPr>
            <w:r w:rsidRPr="00580C2A">
              <w:t>Hb</w:t>
            </w:r>
            <w:r>
              <w:t xml:space="preserve"> (g/L)</w:t>
            </w:r>
          </w:p>
        </w:tc>
        <w:tc>
          <w:tcPr>
            <w:tcW w:w="2254" w:type="dxa"/>
          </w:tcPr>
          <w:p w14:paraId="77417C5A" w14:textId="77777777" w:rsidR="00AA678E" w:rsidRPr="00580C2A" w:rsidRDefault="00AA678E" w:rsidP="00AB0591">
            <w:pPr>
              <w:pStyle w:val="TableText"/>
            </w:pPr>
            <w:r>
              <w:t>74.42</w:t>
            </w:r>
          </w:p>
        </w:tc>
        <w:tc>
          <w:tcPr>
            <w:tcW w:w="2254" w:type="dxa"/>
          </w:tcPr>
          <w:p w14:paraId="264C77AA" w14:textId="77777777" w:rsidR="00AA678E" w:rsidRPr="00580C2A" w:rsidRDefault="00AA678E" w:rsidP="00AB0591">
            <w:pPr>
              <w:pStyle w:val="TableText"/>
            </w:pPr>
            <w:r>
              <w:t>120.06</w:t>
            </w:r>
          </w:p>
        </w:tc>
        <w:tc>
          <w:tcPr>
            <w:tcW w:w="2254" w:type="dxa"/>
          </w:tcPr>
          <w:p w14:paraId="5E978F0B" w14:textId="77777777" w:rsidR="00AA678E" w:rsidRPr="00580C2A" w:rsidRDefault="00AA678E" w:rsidP="00AB0591">
            <w:pPr>
              <w:pStyle w:val="TableText"/>
            </w:pPr>
            <w:r>
              <w:t>46.50</w:t>
            </w:r>
          </w:p>
        </w:tc>
      </w:tr>
    </w:tbl>
    <w:p w14:paraId="2BCBF4EF" w14:textId="3589C6D1" w:rsidR="00AC31FD" w:rsidRDefault="00AC31FD" w:rsidP="0084036E">
      <w:pPr>
        <w:pStyle w:val="TableDescription"/>
      </w:pPr>
      <w:r>
        <w:t>Abbreviations: Hb = haemoglobin; LDH = lactate dehydrogenase; TMA = thrombotic microangiopathy.</w:t>
      </w:r>
    </w:p>
    <w:p w14:paraId="0A05B306" w14:textId="31552DD4" w:rsidR="00856026" w:rsidRDefault="00AA678E" w:rsidP="00AA678E">
      <w:pPr>
        <w:rPr>
          <w:lang w:eastAsia="ja-JP"/>
        </w:rPr>
      </w:pPr>
      <w:r w:rsidRPr="00360B2C">
        <w:t>During the Extension Period,</w:t>
      </w:r>
      <w:r w:rsidRPr="00360B2C">
        <w:rPr>
          <w:lang w:eastAsia="ja-JP"/>
        </w:rPr>
        <w:t xml:space="preserve"> mean </w:t>
      </w:r>
      <w:r w:rsidRPr="00360B2C">
        <w:t xml:space="preserve">platelet count remained </w:t>
      </w:r>
      <w:r w:rsidRPr="00360B2C">
        <w:rPr>
          <w:lang w:eastAsia="ja-JP"/>
        </w:rPr>
        <w:t>≥ 218 x 10</w:t>
      </w:r>
      <w:r w:rsidRPr="00360B2C">
        <w:rPr>
          <w:vertAlign w:val="superscript"/>
          <w:lang w:eastAsia="ja-JP"/>
        </w:rPr>
        <w:t>9</w:t>
      </w:r>
      <w:r w:rsidRPr="00360B2C">
        <w:rPr>
          <w:lang w:eastAsia="ja-JP"/>
        </w:rPr>
        <w:t xml:space="preserve">/L, mean LDH values remained ≤ 262 U/L and mean </w:t>
      </w:r>
      <w:r w:rsidR="00B70E76" w:rsidRPr="00B70E76">
        <w:rPr>
          <w:lang w:eastAsia="ja-JP"/>
        </w:rPr>
        <w:t xml:space="preserve">haemoglobin </w:t>
      </w:r>
      <w:r w:rsidRPr="00360B2C">
        <w:rPr>
          <w:lang w:eastAsia="ja-JP"/>
        </w:rPr>
        <w:t>values were ≥ 114 g/L as of data cut-off date.</w:t>
      </w:r>
    </w:p>
    <w:p w14:paraId="73D734C4" w14:textId="6AD7D0FD" w:rsidR="00AA678E" w:rsidRDefault="00553D74" w:rsidP="00AA678E">
      <w:r>
        <w:t xml:space="preserve">The percentage of </w:t>
      </w:r>
      <w:r w:rsidRPr="00553D74">
        <w:t xml:space="preserve">patients achieved </w:t>
      </w:r>
      <w:r w:rsidR="00B70E76" w:rsidRPr="00B70E76">
        <w:t>haemoglobin</w:t>
      </w:r>
      <w:r w:rsidRPr="00553D74">
        <w:t xml:space="preserve"> response during the Initial Evaluation Period </w:t>
      </w:r>
      <w:r>
        <w:t xml:space="preserve">was </w:t>
      </w:r>
      <w:r w:rsidR="00AA678E">
        <w:t xml:space="preserve">88.9% (16/18; 95% CI: 65.3, 98.6) with </w:t>
      </w:r>
      <w:r w:rsidR="00C449AF">
        <w:t>one</w:t>
      </w:r>
      <w:r w:rsidR="00AA678E">
        <w:t xml:space="preserve"> additional patient achieving </w:t>
      </w:r>
      <w:r w:rsidR="00B70E76" w:rsidRPr="00B70E76">
        <w:t>haemoglobin</w:t>
      </w:r>
      <w:r w:rsidR="00AA678E">
        <w:t xml:space="preserve"> response at the time of data cut-off (94.4% </w:t>
      </w:r>
      <w:r>
        <w:t>(</w:t>
      </w:r>
      <w:r w:rsidR="00AA678E">
        <w:t>17/18</w:t>
      </w:r>
      <w:r>
        <w:t>)</w:t>
      </w:r>
      <w:r w:rsidR="00AA678E">
        <w:t>; 95% CI: 72.7, 99.9).</w:t>
      </w:r>
    </w:p>
    <w:p w14:paraId="1713802F" w14:textId="4E7AFC29" w:rsidR="00856026" w:rsidRDefault="00AA678E" w:rsidP="00AA678E">
      <w:r>
        <w:t>Of the</w:t>
      </w:r>
      <w:r w:rsidR="00C449AF">
        <w:t xml:space="preserve"> six</w:t>
      </w:r>
      <w:r>
        <w:t xml:space="preserve"> patients requiring dialysis </w:t>
      </w:r>
      <w:r w:rsidR="00FD0821">
        <w:t>at Baseline</w:t>
      </w:r>
      <w:r>
        <w:t xml:space="preserve">, </w:t>
      </w:r>
      <w:r w:rsidR="00553D74">
        <w:t>four</w:t>
      </w:r>
      <w:r>
        <w:t xml:space="preserve"> had discontinued dialysis by Day 36 and all </w:t>
      </w:r>
      <w:r w:rsidR="00553D74">
        <w:t>six</w:t>
      </w:r>
      <w:r>
        <w:t xml:space="preserve"> had discontinued dialysis by Day 193. No patients initiated dialysis after commencing study treatment.</w:t>
      </w:r>
    </w:p>
    <w:p w14:paraId="66FA8EBB" w14:textId="5856F5DD" w:rsidR="00856026" w:rsidRDefault="00AA678E" w:rsidP="00AA678E">
      <w:r>
        <w:t>Mean eGFR increased over time with improvement observed from Day 8 onwards; 26.4</w:t>
      </w:r>
      <w:r w:rsidR="00553D74">
        <w:t> </w:t>
      </w:r>
      <w:r w:rsidRPr="007E5D2B">
        <w:t>mL/min/1.73 m</w:t>
      </w:r>
      <w:r w:rsidRPr="007E5D2B">
        <w:rPr>
          <w:vertAlign w:val="superscript"/>
        </w:rPr>
        <w:t>2</w:t>
      </w:r>
      <w:r w:rsidRPr="007E5D2B">
        <w:t xml:space="preserve">, </w:t>
      </w:r>
      <w:r>
        <w:t xml:space="preserve">45.6 </w:t>
      </w:r>
      <w:r w:rsidRPr="007E5D2B">
        <w:t>mL/min/1.73 m</w:t>
      </w:r>
      <w:r w:rsidRPr="007E5D2B">
        <w:rPr>
          <w:vertAlign w:val="superscript"/>
        </w:rPr>
        <w:t>2</w:t>
      </w:r>
      <w:r w:rsidRPr="007E5D2B">
        <w:t xml:space="preserve"> and </w:t>
      </w:r>
      <w:r>
        <w:t>108.5</w:t>
      </w:r>
      <w:r w:rsidRPr="007E5D2B">
        <w:t xml:space="preserve"> mL/min/1.73 m</w:t>
      </w:r>
      <w:r w:rsidRPr="007E5D2B">
        <w:rPr>
          <w:vertAlign w:val="superscript"/>
        </w:rPr>
        <w:t>2</w:t>
      </w:r>
      <w:r>
        <w:t xml:space="preserve"> </w:t>
      </w:r>
      <w:r w:rsidR="00FD0821">
        <w:t>at Baseline</w:t>
      </w:r>
      <w:r>
        <w:t xml:space="preserve">, Day </w:t>
      </w:r>
      <w:proofErr w:type="gramStart"/>
      <w:r>
        <w:t>8</w:t>
      </w:r>
      <w:proofErr w:type="gramEnd"/>
      <w:r w:rsidRPr="007E5D2B">
        <w:t xml:space="preserve"> and Day 183 respectively</w:t>
      </w:r>
      <w:r>
        <w:t xml:space="preserve">. Mean eGFR remained </w:t>
      </w:r>
      <w:r w:rsidR="00553D74">
        <w:t xml:space="preserve">greater than </w:t>
      </w:r>
      <w:r>
        <w:t>100</w:t>
      </w:r>
      <w:r w:rsidRPr="007E5D2B">
        <w:t xml:space="preserve"> mL/min/1.73 m</w:t>
      </w:r>
      <w:r w:rsidRPr="007E5D2B">
        <w:rPr>
          <w:vertAlign w:val="superscript"/>
        </w:rPr>
        <w:t>2</w:t>
      </w:r>
      <w:r>
        <w:t xml:space="preserve"> during the Extension </w:t>
      </w:r>
      <w:r w:rsidRPr="007E5D2B">
        <w:t>Period</w:t>
      </w:r>
      <w:r w:rsidRPr="00336C8E">
        <w:rPr>
          <w:lang w:eastAsia="ja-JP"/>
        </w:rPr>
        <w:t xml:space="preserve"> </w:t>
      </w:r>
      <w:r>
        <w:rPr>
          <w:lang w:eastAsia="ja-JP"/>
        </w:rPr>
        <w:t>for the 14 patients who reached the Day 407 visit</w:t>
      </w:r>
      <w:r>
        <w:t>.</w:t>
      </w:r>
    </w:p>
    <w:p w14:paraId="573EBE74" w14:textId="2B3A0A14" w:rsidR="00856026" w:rsidRDefault="00AA678E" w:rsidP="00AA678E">
      <w:pPr>
        <w:rPr>
          <w:lang w:eastAsia="ja-JP"/>
        </w:rPr>
      </w:pPr>
      <w:r w:rsidRPr="00591152">
        <w:t>For the 17 patients with available data</w:t>
      </w:r>
      <w:r w:rsidRPr="00F51F90">
        <w:t xml:space="preserve"> </w:t>
      </w:r>
      <w:r>
        <w:t>a</w:t>
      </w:r>
      <w:r w:rsidRPr="00F51F90">
        <w:t>t the end of the Initial Evaluation Period</w:t>
      </w:r>
      <w:r w:rsidRPr="00591152">
        <w:t xml:space="preserve">, 15 had improvement in CKD stage compared to baseline, with 14 patients improving by ≥ 2 </w:t>
      </w:r>
      <w:r w:rsidR="00553D74">
        <w:t>S</w:t>
      </w:r>
      <w:r w:rsidRPr="00591152">
        <w:t xml:space="preserve">tages. </w:t>
      </w:r>
      <w:r>
        <w:t xml:space="preserve">No patients had worsening of CKD stage during the </w:t>
      </w:r>
      <w:r w:rsidRPr="00580C2A">
        <w:rPr>
          <w:lang w:eastAsia="ja-JP"/>
        </w:rPr>
        <w:t>Initial Evaluation Period</w:t>
      </w:r>
      <w:r>
        <w:rPr>
          <w:lang w:eastAsia="ja-JP"/>
        </w:rPr>
        <w:t>. The</w:t>
      </w:r>
      <w:r w:rsidRPr="00F51F90">
        <w:rPr>
          <w:lang w:eastAsia="ja-JP"/>
        </w:rPr>
        <w:t xml:space="preserve"> 14 patients with available baseline and Day 407 data</w:t>
      </w:r>
      <w:r>
        <w:rPr>
          <w:lang w:eastAsia="ja-JP"/>
        </w:rPr>
        <w:t xml:space="preserve"> all </w:t>
      </w:r>
      <w:r w:rsidRPr="00F51F90">
        <w:rPr>
          <w:lang w:eastAsia="ja-JP"/>
        </w:rPr>
        <w:t>had improvement in CKD stage compared to baseline</w:t>
      </w:r>
      <w:r>
        <w:rPr>
          <w:lang w:eastAsia="ja-JP"/>
        </w:rPr>
        <w:t>.</w:t>
      </w:r>
    </w:p>
    <w:p w14:paraId="239EDB7E" w14:textId="13AE3F68" w:rsidR="00AA678E" w:rsidRDefault="00AA678E" w:rsidP="00AA678E">
      <w:pPr>
        <w:rPr>
          <w:rFonts w:eastAsia="Times New Roman"/>
          <w:szCs w:val="24"/>
          <w:lang w:eastAsia="en-AU"/>
        </w:rPr>
      </w:pPr>
      <w:r w:rsidRPr="005A6B05">
        <w:rPr>
          <w:rFonts w:eastAsia="Times New Roman"/>
          <w:szCs w:val="24"/>
          <w:lang w:eastAsia="en-AU"/>
        </w:rPr>
        <w:t xml:space="preserve">The </w:t>
      </w:r>
      <w:r w:rsidR="00C449AF">
        <w:rPr>
          <w:rFonts w:eastAsia="Times New Roman"/>
          <w:szCs w:val="24"/>
          <w:lang w:eastAsia="en-AU"/>
        </w:rPr>
        <w:t>two</w:t>
      </w:r>
      <w:r w:rsidRPr="005A6B05">
        <w:rPr>
          <w:rFonts w:eastAsia="Times New Roman"/>
          <w:szCs w:val="24"/>
          <w:lang w:eastAsia="en-AU"/>
        </w:rPr>
        <w:t xml:space="preserve"> patients in Cohort 1 with body weight 5 </w:t>
      </w:r>
      <w:r w:rsidR="00553D74">
        <w:rPr>
          <w:rFonts w:eastAsia="Times New Roman"/>
          <w:szCs w:val="24"/>
          <w:lang w:eastAsia="en-AU"/>
        </w:rPr>
        <w:t>to</w:t>
      </w:r>
      <w:r w:rsidRPr="005A6B05">
        <w:rPr>
          <w:rFonts w:eastAsia="Times New Roman"/>
          <w:szCs w:val="24"/>
          <w:lang w:eastAsia="en-AU"/>
        </w:rPr>
        <w:t xml:space="preserve"> &lt; 10 kg were enrolled prior to Protocol Amendment 5 and both received a ravulizumab loading dose of 300 mg.</w:t>
      </w:r>
    </w:p>
    <w:p w14:paraId="0A899D0B" w14:textId="45EC7B5B" w:rsidR="00856026" w:rsidRPr="00553D74" w:rsidRDefault="00AA678E" w:rsidP="00553D74">
      <w:pPr>
        <w:rPr>
          <w:rFonts w:eastAsia="Times New Roman"/>
          <w:szCs w:val="24"/>
          <w:lang w:eastAsia="en-AU"/>
        </w:rPr>
      </w:pPr>
      <w:r w:rsidRPr="005A6B05">
        <w:rPr>
          <w:rFonts w:eastAsia="Times New Roman"/>
          <w:szCs w:val="24"/>
          <w:lang w:eastAsia="en-AU"/>
        </w:rPr>
        <w:t xml:space="preserve">One patient withdrew on Day 21 after receiving </w:t>
      </w:r>
      <w:r w:rsidR="00553D74">
        <w:rPr>
          <w:rFonts w:eastAsia="Times New Roman"/>
          <w:szCs w:val="24"/>
          <w:lang w:eastAsia="en-AU"/>
        </w:rPr>
        <w:t>two</w:t>
      </w:r>
      <w:r w:rsidRPr="005A6B05">
        <w:rPr>
          <w:rFonts w:eastAsia="Times New Roman"/>
          <w:szCs w:val="24"/>
          <w:lang w:eastAsia="en-AU"/>
        </w:rPr>
        <w:t xml:space="preserve"> doses of ravulizumab due to </w:t>
      </w:r>
      <w:r w:rsidR="00553D74">
        <w:rPr>
          <w:rFonts w:eastAsia="Times New Roman"/>
          <w:szCs w:val="24"/>
          <w:lang w:eastAsia="en-AU"/>
        </w:rPr>
        <w:t>serious adverse events (</w:t>
      </w:r>
      <w:r w:rsidRPr="005A6B05">
        <w:rPr>
          <w:rFonts w:eastAsia="Times New Roman"/>
          <w:szCs w:val="24"/>
          <w:lang w:eastAsia="en-AU"/>
        </w:rPr>
        <w:t>SAE</w:t>
      </w:r>
      <w:r w:rsidR="00553D74">
        <w:rPr>
          <w:rFonts w:eastAsia="Times New Roman"/>
          <w:szCs w:val="24"/>
          <w:lang w:eastAsia="en-AU"/>
        </w:rPr>
        <w:t>)</w:t>
      </w:r>
      <w:r w:rsidRPr="005A6B05">
        <w:rPr>
          <w:rFonts w:eastAsia="Times New Roman"/>
          <w:szCs w:val="24"/>
          <w:lang w:eastAsia="en-AU"/>
        </w:rPr>
        <w:t xml:space="preserve"> of hypertensive crisis and Grade 3 anaemia.</w:t>
      </w:r>
    </w:p>
    <w:p w14:paraId="131606E8" w14:textId="67B2E61C" w:rsidR="00856026" w:rsidRDefault="00AA678E" w:rsidP="00553D74">
      <w:pPr>
        <w:rPr>
          <w:rFonts w:eastAsia="Times New Roman"/>
          <w:szCs w:val="24"/>
          <w:lang w:eastAsia="en-AU"/>
        </w:rPr>
      </w:pPr>
      <w:r w:rsidRPr="005A6B05">
        <w:rPr>
          <w:rFonts w:eastAsia="Times New Roman"/>
          <w:szCs w:val="24"/>
          <w:lang w:eastAsia="en-AU"/>
        </w:rPr>
        <w:lastRenderedPageBreak/>
        <w:t xml:space="preserve">One patient was a </w:t>
      </w:r>
      <w:r w:rsidR="00553D74">
        <w:rPr>
          <w:rFonts w:eastAsia="Times New Roman"/>
          <w:szCs w:val="24"/>
          <w:lang w:eastAsia="en-AU"/>
        </w:rPr>
        <w:t>c</w:t>
      </w:r>
      <w:r w:rsidRPr="005A6B05">
        <w:rPr>
          <w:rFonts w:eastAsia="Times New Roman"/>
          <w:szCs w:val="24"/>
          <w:lang w:eastAsia="en-AU"/>
        </w:rPr>
        <w:t xml:space="preserve">omplete </w:t>
      </w:r>
      <w:r w:rsidR="005F3F4F" w:rsidRPr="005F3F4F">
        <w:rPr>
          <w:rFonts w:eastAsia="Times New Roman"/>
          <w:szCs w:val="24"/>
          <w:lang w:eastAsia="en-AU"/>
        </w:rPr>
        <w:t>thrombotic microangiopathy</w:t>
      </w:r>
      <w:r w:rsidRPr="005A6B05">
        <w:rPr>
          <w:rFonts w:eastAsia="Times New Roman"/>
          <w:szCs w:val="24"/>
          <w:lang w:eastAsia="en-AU"/>
        </w:rPr>
        <w:t xml:space="preserve"> </w:t>
      </w:r>
      <w:r w:rsidR="00553D74">
        <w:rPr>
          <w:rFonts w:eastAsia="Times New Roman"/>
          <w:szCs w:val="24"/>
          <w:lang w:eastAsia="en-AU"/>
        </w:rPr>
        <w:t>r</w:t>
      </w:r>
      <w:r w:rsidRPr="005A6B05">
        <w:rPr>
          <w:rFonts w:eastAsia="Times New Roman"/>
          <w:szCs w:val="24"/>
          <w:lang w:eastAsia="en-AU"/>
        </w:rPr>
        <w:t xml:space="preserve">esponder. The Day 15 free C5 level was 0.999 µg/mL, </w:t>
      </w:r>
      <w:r w:rsidR="00553D74">
        <w:rPr>
          <w:rFonts w:eastAsia="Times New Roman"/>
          <w:szCs w:val="24"/>
          <w:lang w:eastAsia="en-AU"/>
        </w:rPr>
        <w:t xml:space="preserve">but </w:t>
      </w:r>
      <w:r w:rsidRPr="005A6B05">
        <w:rPr>
          <w:rFonts w:eastAsia="Times New Roman"/>
          <w:szCs w:val="24"/>
          <w:lang w:eastAsia="en-AU"/>
        </w:rPr>
        <w:t xml:space="preserve">otherwise remained </w:t>
      </w:r>
      <w:r w:rsidR="00553D74">
        <w:rPr>
          <w:rFonts w:eastAsia="Times New Roman"/>
          <w:szCs w:val="24"/>
          <w:lang w:eastAsia="en-AU"/>
        </w:rPr>
        <w:t>less than</w:t>
      </w:r>
      <w:r w:rsidRPr="005A6B05">
        <w:rPr>
          <w:rFonts w:eastAsia="Times New Roman"/>
          <w:szCs w:val="24"/>
          <w:lang w:eastAsia="en-AU"/>
        </w:rPr>
        <w:t xml:space="preserve"> 0.5 µg/mL at later time points.</w:t>
      </w:r>
    </w:p>
    <w:p w14:paraId="1E2124CB" w14:textId="5C5A665E" w:rsidR="00AA678E" w:rsidRPr="00553D74" w:rsidRDefault="00AA678E" w:rsidP="00B82827">
      <w:pPr>
        <w:pStyle w:val="Heading8"/>
      </w:pPr>
      <w:r w:rsidRPr="00553D74">
        <w:t>Cohort 2</w:t>
      </w:r>
    </w:p>
    <w:p w14:paraId="421AFA82" w14:textId="621119CC" w:rsidR="00856026" w:rsidRDefault="00AA678E" w:rsidP="00AA678E">
      <w:pPr>
        <w:rPr>
          <w:lang w:eastAsia="ja-JP"/>
        </w:rPr>
      </w:pPr>
      <w:r>
        <w:rPr>
          <w:lang w:eastAsia="ja-JP"/>
        </w:rPr>
        <w:t xml:space="preserve">In Cohort 2, haematologic parameters (platelet count, </w:t>
      </w:r>
      <w:r w:rsidRPr="00A855D9">
        <w:rPr>
          <w:lang w:eastAsia="ja-JP"/>
        </w:rPr>
        <w:t xml:space="preserve">LDH, </w:t>
      </w:r>
      <w:r>
        <w:rPr>
          <w:lang w:eastAsia="ja-JP"/>
        </w:rPr>
        <w:t>Hb</w:t>
      </w:r>
      <w:r w:rsidRPr="00A855D9">
        <w:rPr>
          <w:lang w:eastAsia="ja-JP"/>
        </w:rPr>
        <w:t>)</w:t>
      </w:r>
      <w:r>
        <w:rPr>
          <w:lang w:eastAsia="ja-JP"/>
        </w:rPr>
        <w:t xml:space="preserve"> and eGFR </w:t>
      </w:r>
      <w:r w:rsidRPr="00A855D9">
        <w:rPr>
          <w:lang w:eastAsia="ja-JP"/>
        </w:rPr>
        <w:t>remained stable during the Initial Evaluation Period</w:t>
      </w:r>
      <w:r>
        <w:rPr>
          <w:lang w:eastAsia="ja-JP"/>
        </w:rPr>
        <w:t xml:space="preserve"> (</w:t>
      </w:r>
      <w:r>
        <w:rPr>
          <w:lang w:eastAsia="ja-JP"/>
        </w:rPr>
        <w:fldChar w:fldCharType="begin"/>
      </w:r>
      <w:r>
        <w:rPr>
          <w:lang w:eastAsia="ja-JP"/>
        </w:rPr>
        <w:instrText xml:space="preserve"> REF _Ref94619551 \h </w:instrText>
      </w:r>
      <w:r>
        <w:rPr>
          <w:lang w:eastAsia="ja-JP"/>
        </w:rPr>
      </w:r>
      <w:r>
        <w:rPr>
          <w:lang w:eastAsia="ja-JP"/>
        </w:rPr>
        <w:fldChar w:fldCharType="separate"/>
      </w:r>
      <w:r w:rsidR="004C7A29">
        <w:t xml:space="preserve">Table </w:t>
      </w:r>
      <w:r w:rsidR="004C7A29">
        <w:rPr>
          <w:noProof/>
        </w:rPr>
        <w:t>17</w:t>
      </w:r>
      <w:r>
        <w:rPr>
          <w:lang w:eastAsia="ja-JP"/>
        </w:rPr>
        <w:fldChar w:fldCharType="end"/>
      </w:r>
      <w:r>
        <w:rPr>
          <w:lang w:eastAsia="ja-JP"/>
        </w:rPr>
        <w:t xml:space="preserve"> below)</w:t>
      </w:r>
      <w:r w:rsidRPr="00A855D9">
        <w:rPr>
          <w:lang w:eastAsia="ja-JP"/>
        </w:rPr>
        <w:t xml:space="preserve"> </w:t>
      </w:r>
      <w:r>
        <w:rPr>
          <w:lang w:eastAsia="ja-JP"/>
        </w:rPr>
        <w:t>and</w:t>
      </w:r>
      <w:r w:rsidRPr="00A855D9">
        <w:rPr>
          <w:lang w:eastAsia="ja-JP"/>
        </w:rPr>
        <w:t xml:space="preserve"> through</w:t>
      </w:r>
      <w:r>
        <w:rPr>
          <w:lang w:eastAsia="ja-JP"/>
        </w:rPr>
        <w:t xml:space="preserve"> the</w:t>
      </w:r>
      <w:r w:rsidRPr="00A855D9">
        <w:rPr>
          <w:lang w:eastAsia="ja-JP"/>
        </w:rPr>
        <w:t xml:space="preserve"> </w:t>
      </w:r>
      <w:r>
        <w:rPr>
          <w:lang w:eastAsia="ja-JP"/>
        </w:rPr>
        <w:t>data cut-off date</w:t>
      </w:r>
      <w:r w:rsidR="00553D74">
        <w:rPr>
          <w:lang w:eastAsia="ja-JP"/>
        </w:rPr>
        <w:t>.</w:t>
      </w:r>
    </w:p>
    <w:p w14:paraId="6056D0D0" w14:textId="03F2704B" w:rsidR="00AA678E" w:rsidRDefault="00AA678E" w:rsidP="00C449AF">
      <w:pPr>
        <w:pStyle w:val="TableTitle"/>
      </w:pPr>
      <w:bookmarkStart w:id="92" w:name="_Ref94619551"/>
      <w:r>
        <w:t xml:space="preserve">Table </w:t>
      </w:r>
      <w:fldSimple w:instr=" SEQ Table \* ARABIC ">
        <w:r w:rsidR="004C7A29">
          <w:rPr>
            <w:noProof/>
          </w:rPr>
          <w:t>17</w:t>
        </w:r>
      </w:fldSimple>
      <w:bookmarkEnd w:id="92"/>
      <w:r>
        <w:rPr>
          <w:noProof/>
        </w:rPr>
        <w:t xml:space="preserve">: </w:t>
      </w:r>
      <w:r w:rsidR="00AC31FD">
        <w:rPr>
          <w:noProof/>
        </w:rPr>
        <w:t xml:space="preserve">Study ALXN1210-aHUS-312 </w:t>
      </w:r>
      <w:r w:rsidRPr="00860F78">
        <w:rPr>
          <w:noProof/>
        </w:rPr>
        <w:t xml:space="preserve">Mean </w:t>
      </w:r>
      <w:r w:rsidR="00553D74">
        <w:rPr>
          <w:noProof/>
        </w:rPr>
        <w:t>c</w:t>
      </w:r>
      <w:r w:rsidRPr="00860F78">
        <w:rPr>
          <w:noProof/>
        </w:rPr>
        <w:t xml:space="preserve">hange </w:t>
      </w:r>
      <w:r w:rsidR="00553D74">
        <w:rPr>
          <w:noProof/>
        </w:rPr>
        <w:t>f</w:t>
      </w:r>
      <w:r w:rsidRPr="00860F78">
        <w:rPr>
          <w:noProof/>
        </w:rPr>
        <w:t xml:space="preserve">rom Baseline </w:t>
      </w:r>
      <w:r>
        <w:rPr>
          <w:noProof/>
        </w:rPr>
        <w:t>i</w:t>
      </w:r>
      <w:r w:rsidRPr="00860F78">
        <w:rPr>
          <w:noProof/>
        </w:rPr>
        <w:t xml:space="preserve">n </w:t>
      </w:r>
      <w:r w:rsidR="00553D74">
        <w:rPr>
          <w:noProof/>
        </w:rPr>
        <w:t>h</w:t>
      </w:r>
      <w:r w:rsidRPr="00860F78">
        <w:rPr>
          <w:noProof/>
        </w:rPr>
        <w:t xml:space="preserve">aematologic </w:t>
      </w:r>
      <w:r w:rsidR="00553D74">
        <w:rPr>
          <w:noProof/>
        </w:rPr>
        <w:t>p</w:t>
      </w:r>
      <w:r w:rsidRPr="00860F78">
        <w:rPr>
          <w:noProof/>
        </w:rPr>
        <w:t xml:space="preserve">arameters </w:t>
      </w:r>
      <w:r>
        <w:rPr>
          <w:noProof/>
        </w:rPr>
        <w:t xml:space="preserve">and eGFR </w:t>
      </w:r>
      <w:r w:rsidRPr="00860F78">
        <w:rPr>
          <w:noProof/>
        </w:rPr>
        <w:t xml:space="preserve">at Day 183 </w:t>
      </w:r>
      <w:r>
        <w:rPr>
          <w:noProof/>
        </w:rPr>
        <w:t xml:space="preserve">(Cohort 2, </w:t>
      </w:r>
      <w:r w:rsidR="00AB0591" w:rsidRPr="00AB0591">
        <w:rPr>
          <w:noProof/>
        </w:rPr>
        <w:t>Full Analysis Set</w:t>
      </w:r>
      <w:r>
        <w:rPr>
          <w:noProof/>
        </w:rPr>
        <w:t>)</w:t>
      </w:r>
    </w:p>
    <w:tbl>
      <w:tblPr>
        <w:tblStyle w:val="TableGrid"/>
        <w:tblW w:w="0" w:type="auto"/>
        <w:tblLook w:val="04A0" w:firstRow="1" w:lastRow="0" w:firstColumn="1" w:lastColumn="0" w:noHBand="0" w:noVBand="1"/>
      </w:tblPr>
      <w:tblGrid>
        <w:gridCol w:w="2689"/>
        <w:gridCol w:w="1984"/>
        <w:gridCol w:w="2089"/>
        <w:gridCol w:w="2254"/>
      </w:tblGrid>
      <w:tr w:rsidR="00AA678E" w14:paraId="372D8C72" w14:textId="77777777">
        <w:tc>
          <w:tcPr>
            <w:tcW w:w="2689" w:type="dxa"/>
          </w:tcPr>
          <w:p w14:paraId="7D9594F3" w14:textId="77777777" w:rsidR="00AA678E" w:rsidRPr="00A17FC2" w:rsidRDefault="00AA678E">
            <w:pPr>
              <w:jc w:val="center"/>
              <w:rPr>
                <w:b/>
                <w:sz w:val="20"/>
                <w:szCs w:val="20"/>
              </w:rPr>
            </w:pPr>
            <w:r w:rsidRPr="00A17FC2">
              <w:rPr>
                <w:b/>
                <w:sz w:val="20"/>
                <w:szCs w:val="20"/>
              </w:rPr>
              <w:t>Parameter</w:t>
            </w:r>
          </w:p>
        </w:tc>
        <w:tc>
          <w:tcPr>
            <w:tcW w:w="1984" w:type="dxa"/>
          </w:tcPr>
          <w:p w14:paraId="6E8022DD" w14:textId="77777777" w:rsidR="00AA678E" w:rsidRPr="00A17FC2" w:rsidRDefault="00AA678E">
            <w:pPr>
              <w:jc w:val="center"/>
              <w:rPr>
                <w:b/>
                <w:sz w:val="20"/>
                <w:szCs w:val="20"/>
              </w:rPr>
            </w:pPr>
            <w:r w:rsidRPr="00A17FC2">
              <w:rPr>
                <w:b/>
                <w:sz w:val="20"/>
                <w:szCs w:val="20"/>
              </w:rPr>
              <w:t>Baseline (mean)</w:t>
            </w:r>
          </w:p>
        </w:tc>
        <w:tc>
          <w:tcPr>
            <w:tcW w:w="2089" w:type="dxa"/>
          </w:tcPr>
          <w:p w14:paraId="44C66A67" w14:textId="77777777" w:rsidR="00AA678E" w:rsidRPr="00A17FC2" w:rsidRDefault="00AA678E">
            <w:pPr>
              <w:jc w:val="center"/>
              <w:rPr>
                <w:b/>
                <w:sz w:val="20"/>
                <w:szCs w:val="20"/>
              </w:rPr>
            </w:pPr>
            <w:r w:rsidRPr="00A17FC2">
              <w:rPr>
                <w:b/>
                <w:sz w:val="20"/>
                <w:szCs w:val="20"/>
              </w:rPr>
              <w:t>Day 183 (mean)</w:t>
            </w:r>
          </w:p>
        </w:tc>
        <w:tc>
          <w:tcPr>
            <w:tcW w:w="2254" w:type="dxa"/>
          </w:tcPr>
          <w:p w14:paraId="0AECBD79" w14:textId="1845FF1F" w:rsidR="00AA678E" w:rsidRPr="00A17FC2" w:rsidRDefault="00AA678E">
            <w:pPr>
              <w:jc w:val="center"/>
              <w:rPr>
                <w:b/>
                <w:sz w:val="20"/>
                <w:szCs w:val="20"/>
              </w:rPr>
            </w:pPr>
            <w:r w:rsidRPr="00A17FC2">
              <w:rPr>
                <w:b/>
                <w:sz w:val="20"/>
                <w:szCs w:val="20"/>
              </w:rPr>
              <w:t xml:space="preserve">Mean change from </w:t>
            </w:r>
            <w:r w:rsidR="00AC31FD">
              <w:rPr>
                <w:b/>
                <w:sz w:val="20"/>
                <w:szCs w:val="20"/>
              </w:rPr>
              <w:t>B</w:t>
            </w:r>
            <w:r w:rsidRPr="00A17FC2">
              <w:rPr>
                <w:b/>
                <w:sz w:val="20"/>
                <w:szCs w:val="20"/>
              </w:rPr>
              <w:t>aseline</w:t>
            </w:r>
          </w:p>
        </w:tc>
      </w:tr>
      <w:tr w:rsidR="00AA678E" w14:paraId="5C786545" w14:textId="77777777">
        <w:tc>
          <w:tcPr>
            <w:tcW w:w="2689" w:type="dxa"/>
          </w:tcPr>
          <w:p w14:paraId="6971C1CF" w14:textId="77777777" w:rsidR="00AA678E" w:rsidRPr="00A17FC2" w:rsidRDefault="00AA678E" w:rsidP="00AB0591">
            <w:pPr>
              <w:pStyle w:val="TableText"/>
            </w:pPr>
            <w:r w:rsidRPr="00A17FC2">
              <w:t>Platelet count (</w:t>
            </w:r>
            <w:r w:rsidRPr="00A17FC2">
              <w:rPr>
                <w:lang w:eastAsia="ja-JP"/>
              </w:rPr>
              <w:t>x 10</w:t>
            </w:r>
            <w:r w:rsidRPr="00A17FC2">
              <w:rPr>
                <w:vertAlign w:val="superscript"/>
                <w:lang w:eastAsia="ja-JP"/>
              </w:rPr>
              <w:t>9</w:t>
            </w:r>
            <w:r w:rsidRPr="00A17FC2">
              <w:rPr>
                <w:lang w:eastAsia="ja-JP"/>
              </w:rPr>
              <w:t>/L)</w:t>
            </w:r>
          </w:p>
        </w:tc>
        <w:tc>
          <w:tcPr>
            <w:tcW w:w="1984" w:type="dxa"/>
          </w:tcPr>
          <w:p w14:paraId="4C251E94" w14:textId="77777777" w:rsidR="00AA678E" w:rsidRPr="00A17FC2" w:rsidRDefault="00AA678E" w:rsidP="00AB0591">
            <w:pPr>
              <w:pStyle w:val="TableText"/>
            </w:pPr>
            <w:r w:rsidRPr="00A17FC2">
              <w:t>287.9</w:t>
            </w:r>
            <w:r>
              <w:t>0</w:t>
            </w:r>
          </w:p>
        </w:tc>
        <w:tc>
          <w:tcPr>
            <w:tcW w:w="2089" w:type="dxa"/>
          </w:tcPr>
          <w:p w14:paraId="471301AF" w14:textId="77777777" w:rsidR="00AA678E" w:rsidRPr="00A17FC2" w:rsidRDefault="00AA678E" w:rsidP="00AB0591">
            <w:pPr>
              <w:pStyle w:val="TableText"/>
            </w:pPr>
            <w:r w:rsidRPr="00A17FC2">
              <w:t>294.60</w:t>
            </w:r>
          </w:p>
        </w:tc>
        <w:tc>
          <w:tcPr>
            <w:tcW w:w="2254" w:type="dxa"/>
          </w:tcPr>
          <w:p w14:paraId="3F348252" w14:textId="77777777" w:rsidR="00AA678E" w:rsidRPr="00A17FC2" w:rsidRDefault="00AA678E" w:rsidP="00AB0591">
            <w:pPr>
              <w:pStyle w:val="TableText"/>
            </w:pPr>
            <w:r w:rsidRPr="00A17FC2">
              <w:rPr>
                <w:lang w:eastAsia="ja-JP"/>
              </w:rPr>
              <w:t>6.70</w:t>
            </w:r>
          </w:p>
        </w:tc>
      </w:tr>
      <w:tr w:rsidR="00AA678E" w14:paraId="3AB98783" w14:textId="77777777">
        <w:tc>
          <w:tcPr>
            <w:tcW w:w="2689" w:type="dxa"/>
          </w:tcPr>
          <w:p w14:paraId="11D1EDF9" w14:textId="77777777" w:rsidR="00AA678E" w:rsidRPr="00A17FC2" w:rsidRDefault="00AA678E" w:rsidP="00AB0591">
            <w:pPr>
              <w:pStyle w:val="TableText"/>
            </w:pPr>
            <w:r w:rsidRPr="00A17FC2">
              <w:t>LDH (U/L)</w:t>
            </w:r>
          </w:p>
        </w:tc>
        <w:tc>
          <w:tcPr>
            <w:tcW w:w="1984" w:type="dxa"/>
          </w:tcPr>
          <w:p w14:paraId="3DA31E22" w14:textId="77777777" w:rsidR="00AA678E" w:rsidRPr="00A17FC2" w:rsidRDefault="00AA678E" w:rsidP="00AB0591">
            <w:pPr>
              <w:pStyle w:val="TableText"/>
            </w:pPr>
            <w:r>
              <w:t>219.40</w:t>
            </w:r>
          </w:p>
        </w:tc>
        <w:tc>
          <w:tcPr>
            <w:tcW w:w="2089" w:type="dxa"/>
          </w:tcPr>
          <w:p w14:paraId="35C7CC6E" w14:textId="77777777" w:rsidR="00AA678E" w:rsidRPr="00A17FC2" w:rsidRDefault="00AA678E" w:rsidP="00AB0591">
            <w:pPr>
              <w:pStyle w:val="TableText"/>
            </w:pPr>
            <w:r>
              <w:t>216.00</w:t>
            </w:r>
          </w:p>
        </w:tc>
        <w:tc>
          <w:tcPr>
            <w:tcW w:w="2254" w:type="dxa"/>
          </w:tcPr>
          <w:p w14:paraId="4CFA55C7" w14:textId="77777777" w:rsidR="00AA678E" w:rsidRPr="00A17FC2" w:rsidRDefault="00AA678E" w:rsidP="00AB0591">
            <w:pPr>
              <w:pStyle w:val="TableText"/>
            </w:pPr>
            <w:r w:rsidRPr="00A17FC2">
              <w:t>- 3.40</w:t>
            </w:r>
          </w:p>
        </w:tc>
      </w:tr>
      <w:tr w:rsidR="00AA678E" w14:paraId="347BCF48" w14:textId="77777777">
        <w:tc>
          <w:tcPr>
            <w:tcW w:w="2689" w:type="dxa"/>
          </w:tcPr>
          <w:p w14:paraId="7A908CB8" w14:textId="05FB9CBE" w:rsidR="00AA678E" w:rsidRPr="00A17FC2" w:rsidRDefault="00B70E76" w:rsidP="00AB0591">
            <w:pPr>
              <w:pStyle w:val="TableText"/>
            </w:pPr>
            <w:r>
              <w:t>H</w:t>
            </w:r>
            <w:r w:rsidRPr="00B70E76">
              <w:t>aemoglobin</w:t>
            </w:r>
            <w:r w:rsidR="00AA678E" w:rsidRPr="00A17FC2">
              <w:t xml:space="preserve"> (g/L)</w:t>
            </w:r>
          </w:p>
        </w:tc>
        <w:tc>
          <w:tcPr>
            <w:tcW w:w="1984" w:type="dxa"/>
          </w:tcPr>
          <w:p w14:paraId="167370C6" w14:textId="77777777" w:rsidR="00AA678E" w:rsidRPr="00A17FC2" w:rsidRDefault="00AA678E" w:rsidP="00AB0591">
            <w:pPr>
              <w:pStyle w:val="TableText"/>
            </w:pPr>
            <w:r>
              <w:t>131.50</w:t>
            </w:r>
          </w:p>
        </w:tc>
        <w:tc>
          <w:tcPr>
            <w:tcW w:w="2089" w:type="dxa"/>
          </w:tcPr>
          <w:p w14:paraId="65BA0E34" w14:textId="77777777" w:rsidR="00AA678E" w:rsidRPr="00A17FC2" w:rsidRDefault="00AA678E" w:rsidP="00AB0591">
            <w:pPr>
              <w:pStyle w:val="TableText"/>
            </w:pPr>
            <w:r>
              <w:t>127.40</w:t>
            </w:r>
          </w:p>
        </w:tc>
        <w:tc>
          <w:tcPr>
            <w:tcW w:w="2254" w:type="dxa"/>
          </w:tcPr>
          <w:p w14:paraId="2DBFDC86" w14:textId="77777777" w:rsidR="00AA678E" w:rsidRPr="00A17FC2" w:rsidRDefault="00AA678E" w:rsidP="00AB0591">
            <w:pPr>
              <w:pStyle w:val="TableText"/>
            </w:pPr>
            <w:r>
              <w:t>-4.10</w:t>
            </w:r>
          </w:p>
        </w:tc>
      </w:tr>
      <w:tr w:rsidR="00AA678E" w14:paraId="47F9C88B" w14:textId="77777777">
        <w:tc>
          <w:tcPr>
            <w:tcW w:w="2689" w:type="dxa"/>
          </w:tcPr>
          <w:p w14:paraId="0CCBC564" w14:textId="77777777" w:rsidR="00AA678E" w:rsidRPr="00A17FC2" w:rsidRDefault="00AA678E" w:rsidP="00AB0591">
            <w:pPr>
              <w:pStyle w:val="TableText"/>
            </w:pPr>
            <w:r>
              <w:t>eGFR (mL/min/1.73m</w:t>
            </w:r>
            <w:r w:rsidRPr="00D60D49">
              <w:rPr>
                <w:vertAlign w:val="superscript"/>
              </w:rPr>
              <w:t>2</w:t>
            </w:r>
            <w:r>
              <w:t>)</w:t>
            </w:r>
          </w:p>
        </w:tc>
        <w:tc>
          <w:tcPr>
            <w:tcW w:w="1984" w:type="dxa"/>
          </w:tcPr>
          <w:p w14:paraId="006044B4" w14:textId="77777777" w:rsidR="00AA678E" w:rsidRPr="00A17FC2" w:rsidRDefault="00AA678E" w:rsidP="00AB0591">
            <w:pPr>
              <w:pStyle w:val="TableText"/>
            </w:pPr>
            <w:r>
              <w:t>104.90</w:t>
            </w:r>
          </w:p>
        </w:tc>
        <w:tc>
          <w:tcPr>
            <w:tcW w:w="2089" w:type="dxa"/>
          </w:tcPr>
          <w:p w14:paraId="083869C9" w14:textId="77777777" w:rsidR="00AA678E" w:rsidRPr="00A17FC2" w:rsidRDefault="00AA678E" w:rsidP="00AB0591">
            <w:pPr>
              <w:pStyle w:val="TableText"/>
            </w:pPr>
            <w:r>
              <w:t>94.00</w:t>
            </w:r>
          </w:p>
        </w:tc>
        <w:tc>
          <w:tcPr>
            <w:tcW w:w="2254" w:type="dxa"/>
          </w:tcPr>
          <w:p w14:paraId="773F06EE" w14:textId="77777777" w:rsidR="00AA678E" w:rsidRPr="00A17FC2" w:rsidRDefault="00AA678E" w:rsidP="00AB0591">
            <w:pPr>
              <w:pStyle w:val="TableText"/>
            </w:pPr>
            <w:r>
              <w:t>-10.90</w:t>
            </w:r>
          </w:p>
        </w:tc>
      </w:tr>
    </w:tbl>
    <w:p w14:paraId="4C144C2B" w14:textId="6630802A" w:rsidR="00AC31FD" w:rsidRDefault="00AC31FD" w:rsidP="0084036E">
      <w:pPr>
        <w:pStyle w:val="TableDescription"/>
      </w:pPr>
      <w:r>
        <w:t>Abbreviations: eGFR = estimated glomerular filtration rate; LDH = lactate dehydrogenase.</w:t>
      </w:r>
    </w:p>
    <w:p w14:paraId="1BE41C6A" w14:textId="632F6CA5" w:rsidR="00AA678E" w:rsidRPr="00553D74" w:rsidRDefault="00AA678E" w:rsidP="00553D74">
      <w:r w:rsidRPr="00553D74">
        <w:t xml:space="preserve">At the end of the Initial Evaluation Period, there was no change in CKD Stage for </w:t>
      </w:r>
      <w:r w:rsidR="00553D74">
        <w:t>seven</w:t>
      </w:r>
      <w:r w:rsidRPr="00553D74">
        <w:t xml:space="preserve"> patients, whilst </w:t>
      </w:r>
      <w:r w:rsidR="00553D74">
        <w:t>three</w:t>
      </w:r>
      <w:r w:rsidRPr="00553D74">
        <w:t xml:space="preserve"> patients had worsening of CKD stage (n = 2 by 1 </w:t>
      </w:r>
      <w:r w:rsidR="00553D74">
        <w:t>S</w:t>
      </w:r>
      <w:r w:rsidRPr="00553D74">
        <w:t xml:space="preserve">tage </w:t>
      </w:r>
      <w:r w:rsidR="00AC31FD">
        <w:t>(</w:t>
      </w:r>
      <w:r w:rsidRPr="00553D74">
        <w:t>Stage 1 to Stage 2</w:t>
      </w:r>
      <w:r w:rsidR="00AC31FD">
        <w:t>)</w:t>
      </w:r>
      <w:r w:rsidRPr="00553D74">
        <w:t xml:space="preserve"> and n = 1 by 3 </w:t>
      </w:r>
      <w:r w:rsidR="00553D74">
        <w:t>S</w:t>
      </w:r>
      <w:r w:rsidRPr="00553D74">
        <w:t xml:space="preserve">tages </w:t>
      </w:r>
      <w:r w:rsidR="00AC31FD">
        <w:t>(</w:t>
      </w:r>
      <w:r w:rsidRPr="00553D74">
        <w:t>Stage 1 to Stage 3b</w:t>
      </w:r>
      <w:r w:rsidR="00AC31FD">
        <w:t>0</w:t>
      </w:r>
      <w:r w:rsidRPr="00553D74">
        <w:t xml:space="preserve">). During the Extension Period, all </w:t>
      </w:r>
      <w:r w:rsidR="00553D74">
        <w:t>ten</w:t>
      </w:r>
      <w:r w:rsidRPr="00553D74">
        <w:t xml:space="preserve"> patients had no change in CKD stage compared to baseline at Day 351. </w:t>
      </w:r>
    </w:p>
    <w:p w14:paraId="195D9229" w14:textId="659B3755" w:rsidR="00856026" w:rsidRPr="00553D74" w:rsidRDefault="00AA678E" w:rsidP="00553D74">
      <w:r w:rsidRPr="00553D74">
        <w:t>As of data cut-off date, no patients were initiated on dialysis after commencing ravulizumab treatment.</w:t>
      </w:r>
    </w:p>
    <w:p w14:paraId="0E7F4DFE" w14:textId="46344333" w:rsidR="00856026" w:rsidRPr="00553D74" w:rsidRDefault="00AA678E" w:rsidP="00553D74">
      <w:r w:rsidRPr="00553D74">
        <w:t xml:space="preserve">The single patient in Cohort 2 with body weight 5 </w:t>
      </w:r>
      <w:r w:rsidR="00F46EEC" w:rsidRPr="00553D74">
        <w:t xml:space="preserve">to </w:t>
      </w:r>
      <w:r w:rsidR="00553D74">
        <w:t>&lt;</w:t>
      </w:r>
      <w:r w:rsidRPr="00553D74">
        <w:t xml:space="preserve"> 10 kg received the increased loading dose of 600 mg. The </w:t>
      </w:r>
      <w:r w:rsidR="00856026" w:rsidRPr="00553D74">
        <w:t>sponsor</w:t>
      </w:r>
      <w:r w:rsidRPr="00553D74">
        <w:t xml:space="preserve"> stated the haematologic and </w:t>
      </w:r>
      <w:r w:rsidR="00856026" w:rsidRPr="00553D74">
        <w:t>eGFR</w:t>
      </w:r>
      <w:r w:rsidRPr="00553D74">
        <w:t xml:space="preserve"> parameters for this patient were in the normal range </w:t>
      </w:r>
      <w:r w:rsidR="00FD0821" w:rsidRPr="00553D74">
        <w:t>at Baseline</w:t>
      </w:r>
      <w:r w:rsidRPr="00553D74">
        <w:t xml:space="preserve"> and remained generally stable at subsequent visits through the data cut-off date. Free C5 values were </w:t>
      </w:r>
      <w:r w:rsidR="00F46EEC" w:rsidRPr="00553D74">
        <w:t>less than</w:t>
      </w:r>
      <w:r w:rsidRPr="00553D74">
        <w:t xml:space="preserve"> 0.5 µg/mL at </w:t>
      </w:r>
      <w:r w:rsidR="00F46EEC" w:rsidRPr="00553D74">
        <w:t>B</w:t>
      </w:r>
      <w:r w:rsidRPr="00553D74">
        <w:t>aseline and following initiation of ravulizumab treatment.</w:t>
      </w:r>
    </w:p>
    <w:p w14:paraId="236B8458" w14:textId="78A33142" w:rsidR="00AA678E" w:rsidRDefault="00C449AF" w:rsidP="00C449AF">
      <w:pPr>
        <w:pStyle w:val="Heading5"/>
      </w:pPr>
      <w:r>
        <w:t>P</w:t>
      </w:r>
      <w:r w:rsidR="00AA678E">
        <w:t xml:space="preserve">aediatric patients with </w:t>
      </w:r>
      <w:r w:rsidR="00E87C03" w:rsidRPr="00E87C03">
        <w:t>paroxysmal nocturnal haemoglobinuria</w:t>
      </w:r>
    </w:p>
    <w:p w14:paraId="3CA3F7BB" w14:textId="341612A8" w:rsidR="00C449AF" w:rsidRPr="00C449AF" w:rsidRDefault="00C449AF" w:rsidP="00C449AF">
      <w:pPr>
        <w:pStyle w:val="Heading6"/>
      </w:pPr>
      <w:r w:rsidRPr="00C449AF">
        <w:t>Study ALXN1210-PNH-304</w:t>
      </w:r>
    </w:p>
    <w:p w14:paraId="58588C67" w14:textId="0FAB43EE" w:rsidR="00856026" w:rsidRDefault="00C449AF" w:rsidP="00AA678E">
      <w:bookmarkStart w:id="93" w:name="_Hlk99370201"/>
      <w:r w:rsidRPr="00C449AF">
        <w:t>Study ALXN1210-PNH-304</w:t>
      </w:r>
      <w:r w:rsidR="00AC31FD">
        <w:t>;</w:t>
      </w:r>
      <w:r w:rsidR="00AC31FD">
        <w:rPr>
          <w:rStyle w:val="FootnoteReference"/>
        </w:rPr>
        <w:footnoteReference w:id="17"/>
      </w:r>
      <w:r w:rsidRPr="00C449AF">
        <w:t xml:space="preserve"> </w:t>
      </w:r>
      <w:r w:rsidR="00AA678E" w:rsidRPr="00F72C49">
        <w:t>is an ongoing</w:t>
      </w:r>
      <w:r w:rsidR="00AA678E">
        <w:t>,</w:t>
      </w:r>
      <w:r w:rsidR="00AA678E" w:rsidRPr="00F72C49">
        <w:t xml:space="preserve"> open-label, multinational, multicentre, single-arm study of ravulizumab in paediatric patients with PNH who were complement inhibitor treatment-</w:t>
      </w:r>
      <w:r w:rsidR="00446075">
        <w:t>naive</w:t>
      </w:r>
      <w:r w:rsidR="00AA678E" w:rsidRPr="00F72C49">
        <w:t xml:space="preserve"> or eculizumab-experienced. </w:t>
      </w:r>
      <w:r w:rsidR="00AA678E" w:rsidRPr="005A6B05">
        <w:t>The study comprised a 4-week Screening Period, a 26-week Primary Evaluation Period, and an Extension Period of up to 4 years (ongoing).</w:t>
      </w:r>
      <w:r w:rsidR="00AA678E">
        <w:t xml:space="preserve"> Thirteen patients were enrolled, with data available for 12 patients </w:t>
      </w:r>
      <w:r w:rsidR="00AA678E" w:rsidRPr="00F72C49">
        <w:t>completing the Primary Evaluation Period through Week 26</w:t>
      </w:r>
      <w:r w:rsidR="00AA678E">
        <w:t xml:space="preserve"> at the time of database lock (27 May 2020) for the planned interim</w:t>
      </w:r>
      <w:r w:rsidR="00553D74">
        <w:t xml:space="preserve"> clinical study report (</w:t>
      </w:r>
      <w:r w:rsidR="00AA678E">
        <w:t>CSR</w:t>
      </w:r>
      <w:r w:rsidR="00553D74">
        <w:t>)</w:t>
      </w:r>
      <w:r w:rsidR="00AA678E">
        <w:t xml:space="preserve"> </w:t>
      </w:r>
      <w:r w:rsidR="00AA678E" w:rsidRPr="002B681A">
        <w:rPr>
          <w:bCs/>
          <w:iCs/>
          <w:lang w:eastAsia="ja-JP"/>
        </w:rPr>
        <w:t>(n = 4 treatment-</w:t>
      </w:r>
      <w:r w:rsidR="00446075">
        <w:rPr>
          <w:bCs/>
          <w:iCs/>
          <w:lang w:eastAsia="ja-JP"/>
        </w:rPr>
        <w:t>naive</w:t>
      </w:r>
      <w:r w:rsidR="00AA678E" w:rsidRPr="002B681A">
        <w:rPr>
          <w:bCs/>
          <w:iCs/>
          <w:lang w:eastAsia="ja-JP"/>
        </w:rPr>
        <w:t xml:space="preserve"> and n = 8 eculizumab-experienced</w:t>
      </w:r>
      <w:r w:rsidR="00AA678E">
        <w:rPr>
          <w:bCs/>
          <w:iCs/>
          <w:lang w:eastAsia="ja-JP"/>
        </w:rPr>
        <w:t xml:space="preserve"> patients</w:t>
      </w:r>
      <w:r w:rsidR="00AA678E" w:rsidRPr="002B681A">
        <w:rPr>
          <w:bCs/>
          <w:iCs/>
          <w:lang w:eastAsia="ja-JP"/>
        </w:rPr>
        <w:t>).</w:t>
      </w:r>
      <w:r w:rsidR="00AA678E">
        <w:rPr>
          <w:bCs/>
          <w:iCs/>
          <w:lang w:eastAsia="ja-JP"/>
        </w:rPr>
        <w:t xml:space="preserve"> </w:t>
      </w:r>
    </w:p>
    <w:p w14:paraId="5751AF71" w14:textId="04F8CA58" w:rsidR="00856026" w:rsidRDefault="00AA678E" w:rsidP="00420B7B">
      <w:pPr>
        <w:rPr>
          <w:bCs/>
          <w:iCs/>
          <w:lang w:eastAsia="ja-JP"/>
        </w:rPr>
      </w:pPr>
      <w:r w:rsidRPr="00800AC2">
        <w:rPr>
          <w:bCs/>
          <w:iCs/>
          <w:lang w:eastAsia="ja-JP"/>
        </w:rPr>
        <w:t xml:space="preserve">An </w:t>
      </w:r>
      <w:r w:rsidR="002F02DC">
        <w:rPr>
          <w:bCs/>
          <w:iCs/>
          <w:lang w:eastAsia="ja-JP"/>
        </w:rPr>
        <w:t>a</w:t>
      </w:r>
      <w:r w:rsidRPr="00800AC2">
        <w:rPr>
          <w:bCs/>
          <w:iCs/>
          <w:lang w:eastAsia="ja-JP"/>
        </w:rPr>
        <w:t xml:space="preserve">ddendum to the interim CSR (release date 17 September 2020) for </w:t>
      </w:r>
      <w:r w:rsidR="00446075" w:rsidRPr="00446075">
        <w:rPr>
          <w:bCs/>
          <w:iCs/>
          <w:lang w:eastAsia="ja-JP"/>
        </w:rPr>
        <w:t>Study ALXN1210-PNH</w:t>
      </w:r>
      <w:r w:rsidR="00553D74">
        <w:rPr>
          <w:bCs/>
          <w:iCs/>
          <w:lang w:eastAsia="ja-JP"/>
        </w:rPr>
        <w:noBreakHyphen/>
      </w:r>
      <w:r w:rsidR="00446075" w:rsidRPr="00446075">
        <w:rPr>
          <w:bCs/>
          <w:iCs/>
          <w:lang w:eastAsia="ja-JP"/>
        </w:rPr>
        <w:t xml:space="preserve">304 </w:t>
      </w:r>
      <w:r w:rsidRPr="00800AC2">
        <w:t>including data for the thirteenth enrolled patient (14 year-old complement inhibitor treatment-</w:t>
      </w:r>
      <w:r w:rsidR="00446075">
        <w:t>naive</w:t>
      </w:r>
      <w:r w:rsidRPr="00800AC2">
        <w:t xml:space="preserve"> male) </w:t>
      </w:r>
      <w:r w:rsidRPr="00800AC2">
        <w:rPr>
          <w:bCs/>
          <w:iCs/>
          <w:lang w:eastAsia="ja-JP"/>
        </w:rPr>
        <w:t>through the Primary Evaluation Period</w:t>
      </w:r>
      <w:r w:rsidRPr="00800AC2">
        <w:t xml:space="preserve"> was provided by the </w:t>
      </w:r>
      <w:r w:rsidR="00856026">
        <w:t>sponsor</w:t>
      </w:r>
      <w:r w:rsidRPr="00800AC2">
        <w:t xml:space="preserve"> </w:t>
      </w:r>
      <w:r w:rsidRPr="00800AC2">
        <w:lastRenderedPageBreak/>
        <w:t>upon request, in addition to updated safety and efficacy data over at least 52 Weeks (</w:t>
      </w:r>
      <w:r w:rsidRPr="00800AC2">
        <w:rPr>
          <w:bCs/>
          <w:iCs/>
          <w:lang w:eastAsia="ja-JP"/>
        </w:rPr>
        <w:t xml:space="preserve">data cut-off date 4 March 2021). </w:t>
      </w:r>
    </w:p>
    <w:bookmarkEnd w:id="93"/>
    <w:p w14:paraId="0A12D17C" w14:textId="5D66E11C" w:rsidR="00AA678E" w:rsidRDefault="00C449AF" w:rsidP="00C449AF">
      <w:pPr>
        <w:pStyle w:val="Heading7"/>
      </w:pPr>
      <w:r>
        <w:t>Study design</w:t>
      </w:r>
    </w:p>
    <w:p w14:paraId="683A1C99" w14:textId="776230D8" w:rsidR="00420B7B" w:rsidRDefault="00C449AF" w:rsidP="00420B7B">
      <w:r>
        <w:t xml:space="preserve">The </w:t>
      </w:r>
      <w:r w:rsidR="00420B7B">
        <w:t xml:space="preserve">first patient </w:t>
      </w:r>
      <w:r w:rsidR="00553D74">
        <w:t xml:space="preserve">was </w:t>
      </w:r>
      <w:r w:rsidR="00420B7B">
        <w:t>treated</w:t>
      </w:r>
      <w:r w:rsidR="00553D74">
        <w:t xml:space="preserve"> on</w:t>
      </w:r>
      <w:r w:rsidR="00420B7B">
        <w:t xml:space="preserve"> 22 February 2018.</w:t>
      </w:r>
      <w:r w:rsidR="00B9110E">
        <w:t xml:space="preserve"> </w:t>
      </w:r>
      <w:r w:rsidR="00EB25DE">
        <w:t>The date of the last analysed patient that completed the Primary Evaluation Period was 25 March 2020 (as per interim CSR) for the 12th</w:t>
      </w:r>
      <w:r w:rsidR="00EB25DE">
        <w:rPr>
          <w:vertAlign w:val="superscript"/>
        </w:rPr>
        <w:t xml:space="preserve"> </w:t>
      </w:r>
      <w:r w:rsidR="00EB25DE">
        <w:t>patient’s Day 183 visit.</w:t>
      </w:r>
      <w:r w:rsidR="00B9110E">
        <w:t xml:space="preserve"> </w:t>
      </w:r>
      <w:r w:rsidR="00EB25DE">
        <w:t xml:space="preserve">The </w:t>
      </w:r>
      <w:r w:rsidR="002F02DC">
        <w:t>a</w:t>
      </w:r>
      <w:r w:rsidR="00420B7B" w:rsidRPr="00800AC2">
        <w:t xml:space="preserve">ddendum to interim CSR </w:t>
      </w:r>
      <w:r w:rsidR="00EB25DE">
        <w:t xml:space="preserve">is dated </w:t>
      </w:r>
      <w:r w:rsidR="00420B7B" w:rsidRPr="00800AC2">
        <w:t>15 September 2020</w:t>
      </w:r>
      <w:r w:rsidR="00420B7B">
        <w:t>.</w:t>
      </w:r>
      <w:r w:rsidR="00B9110E">
        <w:t xml:space="preserve"> </w:t>
      </w:r>
      <w:r w:rsidR="00420B7B">
        <w:t xml:space="preserve">The study was conducted over </w:t>
      </w:r>
      <w:r w:rsidR="00EB25DE">
        <w:t>nine</w:t>
      </w:r>
      <w:r w:rsidR="00420B7B">
        <w:t xml:space="preserve"> sites in six countries </w:t>
      </w:r>
      <w:r w:rsidR="00420B7B" w:rsidRPr="00420B7B">
        <w:t xml:space="preserve">(United States, United Kingdom, France, Netherlands, </w:t>
      </w:r>
      <w:proofErr w:type="gramStart"/>
      <w:r w:rsidR="00420B7B" w:rsidRPr="00420B7B">
        <w:t>Russia</w:t>
      </w:r>
      <w:proofErr w:type="gramEnd"/>
      <w:r w:rsidR="00420B7B" w:rsidRPr="00420B7B">
        <w:t xml:space="preserve"> and Norway).</w:t>
      </w:r>
    </w:p>
    <w:p w14:paraId="5D7B0CF3" w14:textId="4ED4D012" w:rsidR="00420B7B" w:rsidRDefault="00420B7B" w:rsidP="00420B7B">
      <w:r w:rsidRPr="00420B7B">
        <w:t xml:space="preserve">All patients received ravulizumab loading dose on Day 1 and weight-based maintenance dosing on Day 15 and once every eight weeks (body weight ≥ 20 kg) or </w:t>
      </w:r>
      <w:r w:rsidR="00F46EEC">
        <w:t>once every four weeks</w:t>
      </w:r>
      <w:r w:rsidRPr="00420B7B">
        <w:t xml:space="preserve"> (body weight &lt; 20 kg) thereafter. The dosing regimen </w:t>
      </w:r>
      <w:r w:rsidR="00D7231D">
        <w:t xml:space="preserve">shown in </w:t>
      </w:r>
      <w:r w:rsidR="00D7231D">
        <w:fldChar w:fldCharType="begin"/>
      </w:r>
      <w:r w:rsidR="00D7231D">
        <w:instrText xml:space="preserve"> REF _Ref132633760 \h </w:instrText>
      </w:r>
      <w:r w:rsidR="00D7231D">
        <w:fldChar w:fldCharType="separate"/>
      </w:r>
      <w:r w:rsidR="00D7231D">
        <w:t xml:space="preserve">Table </w:t>
      </w:r>
      <w:r w:rsidR="00D7231D">
        <w:rPr>
          <w:noProof/>
        </w:rPr>
        <w:t>18</w:t>
      </w:r>
      <w:r w:rsidR="00D7231D">
        <w:fldChar w:fldCharType="end"/>
      </w:r>
      <w:r w:rsidR="00D7231D">
        <w:t xml:space="preserve"> (below) </w:t>
      </w:r>
      <w:r w:rsidRPr="00420B7B">
        <w:t xml:space="preserve">is consistent with the dosing regimen </w:t>
      </w:r>
      <w:r w:rsidR="00D7231D">
        <w:t xml:space="preserve">explored in patients with </w:t>
      </w:r>
      <w:r w:rsidRPr="00420B7B">
        <w:t>aHUS</w:t>
      </w:r>
      <w:r w:rsidR="00EB25DE">
        <w:t xml:space="preserve"> </w:t>
      </w:r>
      <w:r w:rsidR="00D7231D">
        <w:t xml:space="preserve">through </w:t>
      </w:r>
      <w:r w:rsidR="00EB25DE" w:rsidRPr="00EB25DE">
        <w:t>Stu</w:t>
      </w:r>
      <w:r w:rsidR="00D7231D">
        <w:t>dies</w:t>
      </w:r>
      <w:r w:rsidR="00EB25DE" w:rsidRPr="00EB25DE">
        <w:t xml:space="preserve"> ALXN1210-aHUS-311 </w:t>
      </w:r>
      <w:r w:rsidRPr="00420B7B">
        <w:t>and</w:t>
      </w:r>
      <w:r w:rsidR="00EB25DE">
        <w:t xml:space="preserve"> </w:t>
      </w:r>
      <w:r w:rsidR="00EB25DE" w:rsidRPr="00EB25DE">
        <w:t>ALXN1210-aHUS-312</w:t>
      </w:r>
      <w:r w:rsidR="00D7231D">
        <w:t>.</w:t>
      </w:r>
    </w:p>
    <w:p w14:paraId="539B1F93" w14:textId="72B77552" w:rsidR="00420B7B" w:rsidRDefault="00420B7B" w:rsidP="00420B7B">
      <w:pPr>
        <w:pStyle w:val="TableTitle"/>
      </w:pPr>
      <w:bookmarkStart w:id="94" w:name="_Ref132633760"/>
      <w:bookmarkStart w:id="95" w:name="_Ref131513713"/>
      <w:r>
        <w:t xml:space="preserve">Table </w:t>
      </w:r>
      <w:fldSimple w:instr=" SEQ Table \* ARABIC ">
        <w:r w:rsidR="004C7A29">
          <w:rPr>
            <w:noProof/>
          </w:rPr>
          <w:t>18</w:t>
        </w:r>
      </w:fldSimple>
      <w:bookmarkEnd w:id="94"/>
      <w:r>
        <w:t>:</w:t>
      </w:r>
      <w:bookmarkEnd w:id="95"/>
      <w:r w:rsidR="00EB25DE">
        <w:t xml:space="preserve"> </w:t>
      </w:r>
      <w:r w:rsidR="00EB25DE" w:rsidRPr="00EB25DE">
        <w:t>Study ALXN1210-PNH-304</w:t>
      </w:r>
      <w:r w:rsidR="00EB25DE">
        <w:t xml:space="preserve"> </w:t>
      </w:r>
      <w:r w:rsidR="00AC31FD">
        <w:t>D</w:t>
      </w:r>
      <w:r w:rsidR="00EB25DE">
        <w:t>os</w:t>
      </w:r>
      <w:r w:rsidR="00FE2164">
        <w:t>e</w:t>
      </w:r>
      <w:r w:rsidR="00EB25DE">
        <w:t xml:space="preserve"> regimen</w:t>
      </w:r>
    </w:p>
    <w:p w14:paraId="55BB85C3" w14:textId="16076182" w:rsidR="00420B7B" w:rsidRDefault="00420B7B" w:rsidP="00420B7B">
      <w:r>
        <w:rPr>
          <w:noProof/>
          <w:sz w:val="21"/>
          <w:lang w:val="en-GB" w:eastAsia="en-GB"/>
        </w:rPr>
        <w:drawing>
          <wp:inline distT="0" distB="0" distL="0" distR="0" wp14:anchorId="34347FA2" wp14:editId="74059085">
            <wp:extent cx="5743575" cy="2261711"/>
            <wp:effectExtent l="0" t="0" r="0" b="5715"/>
            <wp:docPr id="3" name="Picture 3" descr="This table shows Study ALXN1210-PNH-304 dosing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table shows Study ALXN1210-PNH-304 dosing regim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70" cy="2268206"/>
                    </a:xfrm>
                    <a:prstGeom prst="rect">
                      <a:avLst/>
                    </a:prstGeom>
                    <a:noFill/>
                    <a:ln>
                      <a:noFill/>
                    </a:ln>
                  </pic:spPr>
                </pic:pic>
              </a:graphicData>
            </a:graphic>
          </wp:inline>
        </w:drawing>
      </w:r>
    </w:p>
    <w:p w14:paraId="335A6ACC" w14:textId="4EC271C9" w:rsidR="00C449AF" w:rsidRDefault="00420B7B" w:rsidP="00AA678E">
      <w:r w:rsidRPr="00420B7B">
        <w:t xml:space="preserve">For eculizumab treated patients, Day 1 of study treatment occurred 14 days after the last dose of eculizumab. As part of Protocol Amendment 2 (23 August 2018), the loading dose for patients with body weight 5 </w:t>
      </w:r>
      <w:r w:rsidR="00EB25DE">
        <w:t>to</w:t>
      </w:r>
      <w:r w:rsidRPr="00420B7B">
        <w:t xml:space="preserve"> &lt; 10 kg was increased from 300 mg to 600 mg (based on the initial </w:t>
      </w:r>
      <w:r w:rsidR="00EB25DE">
        <w:t>pharmacokinetic/pharmacodynamic</w:t>
      </w:r>
      <w:r w:rsidRPr="00420B7B">
        <w:t xml:space="preserve"> analysis from paediatric patients in </w:t>
      </w:r>
      <w:r w:rsidR="00EB25DE" w:rsidRPr="00EB25DE">
        <w:t xml:space="preserve">Study ALXN1210-aHUS-312 </w:t>
      </w:r>
      <w:r w:rsidRPr="00420B7B">
        <w:t>as previously described).</w:t>
      </w:r>
    </w:p>
    <w:p w14:paraId="3B956539" w14:textId="5222A2A1" w:rsidR="00420B7B" w:rsidRDefault="00420B7B" w:rsidP="00420B7B">
      <w:pPr>
        <w:pStyle w:val="Heading7"/>
      </w:pPr>
      <w:r>
        <w:t>Main inclusion</w:t>
      </w:r>
      <w:r w:rsidR="00EB25DE">
        <w:t xml:space="preserve"> and exclusion</w:t>
      </w:r>
      <w:r>
        <w:t xml:space="preserve"> criteria</w:t>
      </w:r>
    </w:p>
    <w:p w14:paraId="15C5C964" w14:textId="5213E77A" w:rsidR="00EB25DE" w:rsidRPr="00EB25DE" w:rsidRDefault="00EB25DE" w:rsidP="00EB25DE">
      <w:r>
        <w:t>The main inclusion criteria were:</w:t>
      </w:r>
    </w:p>
    <w:p w14:paraId="6D590223" w14:textId="0682BA24" w:rsidR="00420B7B" w:rsidRPr="00EB25DE" w:rsidRDefault="00EB25DE" w:rsidP="00EB25DE">
      <w:pPr>
        <w:pStyle w:val="ListBullet"/>
      </w:pPr>
      <w:r>
        <w:t>A</w:t>
      </w:r>
      <w:r w:rsidR="00420B7B" w:rsidRPr="00EB25DE">
        <w:t>ge &lt; 18 years and body weight ≥ 5 kg</w:t>
      </w:r>
    </w:p>
    <w:p w14:paraId="0AB3EF08" w14:textId="6E918A9E" w:rsidR="00420B7B" w:rsidRPr="00EB25DE" w:rsidRDefault="00EB25DE" w:rsidP="00EB25DE">
      <w:pPr>
        <w:pStyle w:val="ListBullet"/>
      </w:pPr>
      <w:r>
        <w:t>D</w:t>
      </w:r>
      <w:r w:rsidR="00420B7B" w:rsidRPr="00EB25DE">
        <w:t>ocumented diagnosis of PNH confirmed by high sensitivity flow cytometry of</w:t>
      </w:r>
      <w:r>
        <w:t xml:space="preserve"> red blood cells</w:t>
      </w:r>
      <w:r w:rsidR="00420B7B" w:rsidRPr="00EB25DE">
        <w:t xml:space="preserve"> and </w:t>
      </w:r>
      <w:r>
        <w:t>white blood cell</w:t>
      </w:r>
      <w:r w:rsidR="00420B7B" w:rsidRPr="00EB25DE">
        <w:t>s, with granulocyte or monocyte clone size of ≥ 5%</w:t>
      </w:r>
      <w:r>
        <w:t>.</w:t>
      </w:r>
    </w:p>
    <w:p w14:paraId="33E5B231" w14:textId="607FD106" w:rsidR="00420B7B" w:rsidRPr="00EB25DE" w:rsidRDefault="00EB25DE" w:rsidP="00EB25DE">
      <w:pPr>
        <w:pStyle w:val="ListBullet"/>
      </w:pPr>
      <w:r>
        <w:t>C</w:t>
      </w:r>
      <w:r w:rsidR="00420B7B" w:rsidRPr="00EB25DE">
        <w:t>omplement inhibitor treatment-</w:t>
      </w:r>
      <w:r w:rsidR="00446075" w:rsidRPr="00EB25DE">
        <w:t>naive</w:t>
      </w:r>
      <w:r w:rsidR="00420B7B" w:rsidRPr="00EB25DE">
        <w:t xml:space="preserve"> patients: serum LDH ≥ 1.5 x ULN and at least </w:t>
      </w:r>
      <w:r>
        <w:t>one</w:t>
      </w:r>
      <w:r w:rsidR="00420B7B" w:rsidRPr="00EB25DE">
        <w:t xml:space="preserve"> PNH symptom or sign within </w:t>
      </w:r>
      <w:r>
        <w:t>three</w:t>
      </w:r>
      <w:r w:rsidR="00420B7B" w:rsidRPr="00EB25DE">
        <w:t xml:space="preserve"> months of Screening</w:t>
      </w:r>
      <w:r>
        <w:t>.</w:t>
      </w:r>
    </w:p>
    <w:p w14:paraId="0DF1C2B1" w14:textId="0A7FB903" w:rsidR="00420B7B" w:rsidRPr="00EB25DE" w:rsidRDefault="00EB25DE" w:rsidP="00EB25DE">
      <w:pPr>
        <w:pStyle w:val="ListBullet"/>
      </w:pPr>
      <w:r>
        <w:t>E</w:t>
      </w:r>
      <w:r w:rsidR="00420B7B" w:rsidRPr="00EB25DE">
        <w:t xml:space="preserve">culizumab-experienced patients: treated with eculizumab for at least </w:t>
      </w:r>
      <w:r>
        <w:t>six</w:t>
      </w:r>
      <w:r w:rsidR="00420B7B" w:rsidRPr="00EB25DE">
        <w:t xml:space="preserve"> months and LDH ≤</w:t>
      </w:r>
      <w:r>
        <w:t> </w:t>
      </w:r>
      <w:r w:rsidR="00420B7B" w:rsidRPr="00EB25DE">
        <w:t>1.5 x ULN.</w:t>
      </w:r>
    </w:p>
    <w:p w14:paraId="65537418" w14:textId="31A8E48A" w:rsidR="00420B7B" w:rsidRDefault="00EB25DE" w:rsidP="00EB25DE">
      <w:pPr>
        <w:pStyle w:val="ListBullet"/>
      </w:pPr>
      <w:r>
        <w:t>V</w:t>
      </w:r>
      <w:r w:rsidR="00420B7B" w:rsidRPr="00EB25DE">
        <w:t xml:space="preserve">accination against meningococcal infections, Haemophilus influenzae type b (Hib) and </w:t>
      </w:r>
      <w:r w:rsidR="00420B7B" w:rsidRPr="0035187D">
        <w:rPr>
          <w:i/>
        </w:rPr>
        <w:t>Streptococcus pneumoniae</w:t>
      </w:r>
      <w:r>
        <w:t>.</w:t>
      </w:r>
    </w:p>
    <w:p w14:paraId="37544E07" w14:textId="4A978F5B" w:rsidR="00EB25DE" w:rsidRPr="00EB25DE" w:rsidRDefault="00EB25DE" w:rsidP="00EB25DE">
      <w:r>
        <w:t>The main exclusion criteria were:</w:t>
      </w:r>
    </w:p>
    <w:p w14:paraId="1D83C441" w14:textId="17377A11" w:rsidR="00420B7B" w:rsidRDefault="00EB25DE" w:rsidP="00EB25DE">
      <w:pPr>
        <w:pStyle w:val="ListBullet"/>
      </w:pPr>
      <w:r>
        <w:lastRenderedPageBreak/>
        <w:t>P</w:t>
      </w:r>
      <w:r w:rsidR="00420B7B">
        <w:t>latelet count &lt; 30 × 10</w:t>
      </w:r>
      <w:r w:rsidR="00420B7B" w:rsidRPr="00EB25DE">
        <w:rPr>
          <w:vertAlign w:val="superscript"/>
        </w:rPr>
        <w:t>9</w:t>
      </w:r>
      <w:r w:rsidR="00420B7B">
        <w:t>/L</w:t>
      </w:r>
    </w:p>
    <w:p w14:paraId="630CB4E6" w14:textId="532A8488" w:rsidR="00420B7B" w:rsidRDefault="00EB25DE" w:rsidP="00EB25DE">
      <w:pPr>
        <w:pStyle w:val="ListBullet"/>
      </w:pPr>
      <w:r>
        <w:t>A</w:t>
      </w:r>
      <w:r w:rsidR="00420B7B">
        <w:t>bsolute neutrophil count &lt; 0.5 × 10</w:t>
      </w:r>
      <w:r w:rsidR="00420B7B" w:rsidRPr="00EB25DE">
        <w:rPr>
          <w:vertAlign w:val="superscript"/>
        </w:rPr>
        <w:t>9</w:t>
      </w:r>
      <w:r w:rsidR="00420B7B">
        <w:t>/L</w:t>
      </w:r>
    </w:p>
    <w:p w14:paraId="7984B9BD" w14:textId="531B87FD" w:rsidR="00420B7B" w:rsidRDefault="00EB25DE" w:rsidP="00EB25DE">
      <w:pPr>
        <w:pStyle w:val="ListBullet"/>
      </w:pPr>
      <w:r>
        <w:t>H</w:t>
      </w:r>
      <w:r w:rsidR="00420B7B">
        <w:t>istory of bone marrow transplant</w:t>
      </w:r>
    </w:p>
    <w:p w14:paraId="73D66DDC" w14:textId="03644A42" w:rsidR="00420B7B" w:rsidRDefault="00EB25DE" w:rsidP="00EB25DE">
      <w:pPr>
        <w:pStyle w:val="ListBullet"/>
      </w:pPr>
      <w:r>
        <w:t>H</w:t>
      </w:r>
      <w:r w:rsidR="00420B7B">
        <w:t xml:space="preserve">istory of </w:t>
      </w:r>
      <w:r w:rsidR="00420B7B" w:rsidRPr="00EB25DE">
        <w:rPr>
          <w:i/>
          <w:iCs/>
        </w:rPr>
        <w:t>N. meningitidis</w:t>
      </w:r>
      <w:r w:rsidR="00420B7B">
        <w:t xml:space="preserve"> infection or history of unexplained, recurrent infection</w:t>
      </w:r>
    </w:p>
    <w:p w14:paraId="7C04DE9D" w14:textId="29DF532A" w:rsidR="00420B7B" w:rsidRDefault="00EB25DE" w:rsidP="00EB25DE">
      <w:pPr>
        <w:pStyle w:val="ListBullet"/>
      </w:pPr>
      <w:r>
        <w:t>C</w:t>
      </w:r>
      <w:r w:rsidR="00420B7B">
        <w:t>oncomitant use of anticoagulants unless on a stable regimen for ≥ 2 weeks</w:t>
      </w:r>
    </w:p>
    <w:p w14:paraId="48A3D2C4" w14:textId="0270891C" w:rsidR="00420B7B" w:rsidRDefault="00EB25DE" w:rsidP="00420B7B">
      <w:pPr>
        <w:pStyle w:val="Heading7"/>
      </w:pPr>
      <w:r>
        <w:t>E</w:t>
      </w:r>
      <w:r w:rsidR="00420B7B">
        <w:t>ndpoint</w:t>
      </w:r>
      <w:r>
        <w:t>s</w:t>
      </w:r>
    </w:p>
    <w:p w14:paraId="30E1BC32" w14:textId="3C570EC7" w:rsidR="00420B7B" w:rsidRDefault="00EB25DE" w:rsidP="00420B7B">
      <w:r>
        <w:t>The primary endpoint</w:t>
      </w:r>
      <w:r w:rsidR="0000270D">
        <w:t xml:space="preserve"> was pharmacokinetic/pharmacodynamic parameters </w:t>
      </w:r>
      <w:r w:rsidR="00FD0821">
        <w:t>at Baseline</w:t>
      </w:r>
      <w:r w:rsidR="00420B7B">
        <w:t xml:space="preserve"> and Weeks 2, 10, 18 and 26</w:t>
      </w:r>
      <w:r w:rsidR="0000270D">
        <w:t>.</w:t>
      </w:r>
      <w:r w:rsidR="00B9110E">
        <w:t xml:space="preserve"> </w:t>
      </w:r>
      <w:r w:rsidR="0000270D">
        <w:t xml:space="preserve">The pharmacokinetic parameters were </w:t>
      </w:r>
      <w:proofErr w:type="spellStart"/>
      <w:r w:rsidR="00420B7B">
        <w:t>C</w:t>
      </w:r>
      <w:r w:rsidR="00420B7B" w:rsidRPr="0000270D">
        <w:rPr>
          <w:vertAlign w:val="subscript"/>
        </w:rPr>
        <w:t>max</w:t>
      </w:r>
      <w:proofErr w:type="spellEnd"/>
      <w:r w:rsidR="00420B7B">
        <w:t xml:space="preserve">, </w:t>
      </w:r>
      <w:proofErr w:type="spellStart"/>
      <w:r w:rsidR="00420B7B">
        <w:t>C</w:t>
      </w:r>
      <w:r w:rsidR="00420B7B" w:rsidRPr="0000270D">
        <w:rPr>
          <w:vertAlign w:val="subscript"/>
        </w:rPr>
        <w:t>trough</w:t>
      </w:r>
      <w:proofErr w:type="spellEnd"/>
      <w:r w:rsidR="0000270D">
        <w:t xml:space="preserve"> and</w:t>
      </w:r>
      <w:r w:rsidR="00420B7B">
        <w:t xml:space="preserve"> accumulation ratio</w:t>
      </w:r>
      <w:r w:rsidR="0000270D">
        <w:t>.</w:t>
      </w:r>
      <w:r w:rsidR="00B9110E">
        <w:t xml:space="preserve"> </w:t>
      </w:r>
      <w:r w:rsidR="0000270D">
        <w:t xml:space="preserve">The pharmacodynamic parameter was </w:t>
      </w:r>
      <w:r w:rsidR="00420B7B">
        <w:t>change in free C5 concentration and chicken red blood cell haemolytic activity over time</w:t>
      </w:r>
      <w:r w:rsidR="0000270D">
        <w:t>.</w:t>
      </w:r>
    </w:p>
    <w:p w14:paraId="116785B7" w14:textId="541785E5" w:rsidR="0000270D" w:rsidRDefault="0000270D" w:rsidP="00420B7B">
      <w:r>
        <w:t>The efficacy secondary endpoints were:</w:t>
      </w:r>
    </w:p>
    <w:p w14:paraId="4255F9E0" w14:textId="09CF71D8" w:rsidR="00420B7B" w:rsidRDefault="00420B7B" w:rsidP="0000270D">
      <w:pPr>
        <w:pStyle w:val="ListBullet"/>
      </w:pPr>
      <w:r>
        <w:t>Percent change in LDH from baseline to Day 183 (Week 26)</w:t>
      </w:r>
    </w:p>
    <w:p w14:paraId="775FCC5B" w14:textId="60468573" w:rsidR="00420B7B" w:rsidRDefault="00420B7B" w:rsidP="0000270D">
      <w:pPr>
        <w:pStyle w:val="ListBullet"/>
      </w:pPr>
      <w:r>
        <w:t>Transfusion avoidance: proportion of patients who remained transfusion free and did not require a transfusion through Day 183 (Week 26)</w:t>
      </w:r>
    </w:p>
    <w:p w14:paraId="312FB1ED" w14:textId="357440B4" w:rsidR="00420B7B" w:rsidRDefault="00420B7B" w:rsidP="0000270D">
      <w:pPr>
        <w:pStyle w:val="ListBullet"/>
      </w:pPr>
      <w:r>
        <w:t xml:space="preserve">Change in </w:t>
      </w:r>
      <w:r w:rsidR="007B4C10">
        <w:t>quality of life</w:t>
      </w:r>
      <w:r>
        <w:t xml:space="preserve"> from </w:t>
      </w:r>
      <w:r w:rsidR="0000270D">
        <w:t>B</w:t>
      </w:r>
      <w:r>
        <w:t>aseline to Day 183 (Week 26)</w:t>
      </w:r>
    </w:p>
    <w:p w14:paraId="0DC9961C" w14:textId="56F82856" w:rsidR="00420B7B" w:rsidRDefault="00420B7B" w:rsidP="0000270D">
      <w:pPr>
        <w:pStyle w:val="ListBullet"/>
      </w:pPr>
      <w:r>
        <w:t xml:space="preserve">Proportion of patients with stabilised haemoglobin (Hb): avoidance of a ≥ 2 g/dL </w:t>
      </w:r>
      <w:r w:rsidR="007E513E">
        <w:t>decrease</w:t>
      </w:r>
      <w:r>
        <w:t xml:space="preserve"> in </w:t>
      </w:r>
      <w:r w:rsidR="00B70E76" w:rsidRPr="00B70E76">
        <w:t>haemoglobin</w:t>
      </w:r>
      <w:r>
        <w:t xml:space="preserve"> from baseline in the absence of transfusion through Day 183 (Week 26)</w:t>
      </w:r>
    </w:p>
    <w:p w14:paraId="09906ED1" w14:textId="6AD62027" w:rsidR="00420B7B" w:rsidRDefault="00420B7B" w:rsidP="0000270D">
      <w:pPr>
        <w:pStyle w:val="ListBullet"/>
      </w:pPr>
      <w:r>
        <w:t>Proportion of patients with breakthrough haemolysis: at least one new or worsening symptom or sign of intravascular haemolysis in the presence of elevated LDH as defined per protocol</w:t>
      </w:r>
    </w:p>
    <w:p w14:paraId="04F7F5B6" w14:textId="66B75EE4" w:rsidR="00420B7B" w:rsidRDefault="00420B7B" w:rsidP="0000270D">
      <w:pPr>
        <w:pStyle w:val="ListBullet"/>
      </w:pPr>
      <w:r>
        <w:t xml:space="preserve">Percentage change in free </w:t>
      </w:r>
      <w:r w:rsidR="00B70E76" w:rsidRPr="00B70E76">
        <w:t>haemoglobin</w:t>
      </w:r>
      <w:r>
        <w:t xml:space="preserve"> from baseline to Day 183 (Week 26) </w:t>
      </w:r>
    </w:p>
    <w:p w14:paraId="3799F9EB" w14:textId="77777777" w:rsidR="00420B7B" w:rsidRDefault="00420B7B" w:rsidP="00420B7B">
      <w:pPr>
        <w:pStyle w:val="Heading7"/>
      </w:pPr>
      <w:r>
        <w:t>Statistical methods</w:t>
      </w:r>
    </w:p>
    <w:p w14:paraId="29158C0E" w14:textId="72DBFC05" w:rsidR="00420B7B" w:rsidRDefault="00420B7B" w:rsidP="00420B7B">
      <w:r>
        <w:t>This study was descriptive in nature and not statistically powered for hypothesis testing. A sample size of 10 was expected to be sufficient to adequately describe</w:t>
      </w:r>
      <w:r w:rsidR="0000270D">
        <w:t xml:space="preserve"> </w:t>
      </w:r>
      <w:r w:rsidR="001C1826">
        <w:t>pharmacokinetics</w:t>
      </w:r>
      <w:r w:rsidR="0000270D">
        <w:t xml:space="preserve">/ pharmacodynamics </w:t>
      </w:r>
      <w:r>
        <w:t>in paediatric patients with PNH. Efficacy analyses were performed on the FAS.</w:t>
      </w:r>
    </w:p>
    <w:p w14:paraId="3AAACD34" w14:textId="305BE9F7" w:rsidR="00420B7B" w:rsidRDefault="00096282" w:rsidP="00420B7B">
      <w:r>
        <w:t>T</w:t>
      </w:r>
      <w:r w:rsidR="0000270D">
        <w:t>he p</w:t>
      </w:r>
      <w:r w:rsidR="00420B7B">
        <w:t xml:space="preserve">lanned interim </w:t>
      </w:r>
      <w:r>
        <w:t xml:space="preserve">clinical study report </w:t>
      </w:r>
      <w:r w:rsidR="00420B7B">
        <w:t xml:space="preserve">FAS </w:t>
      </w:r>
      <w:r>
        <w:t xml:space="preserve">had </w:t>
      </w:r>
      <w:r w:rsidR="00420B7B">
        <w:t>12</w:t>
      </w:r>
      <w:r>
        <w:t xml:space="preserve"> patients</w:t>
      </w:r>
      <w:r w:rsidR="00420B7B">
        <w:t xml:space="preserve"> (n = 4 complement inhibitor treatment-</w:t>
      </w:r>
      <w:r w:rsidR="00446075">
        <w:t>naive</w:t>
      </w:r>
      <w:r w:rsidR="00420B7B">
        <w:t xml:space="preserve"> and n = 8 eculizumab-experienced).</w:t>
      </w:r>
    </w:p>
    <w:p w14:paraId="1363491F" w14:textId="031CB32B" w:rsidR="00420B7B" w:rsidRDefault="0000270D" w:rsidP="00420B7B">
      <w:r>
        <w:t>The a</w:t>
      </w:r>
      <w:r w:rsidR="00420B7B">
        <w:t xml:space="preserve">ddendum to interim </w:t>
      </w:r>
      <w:r w:rsidR="00096282">
        <w:t>clinical study report</w:t>
      </w:r>
      <w:r w:rsidR="00420B7B">
        <w:t xml:space="preserve"> FAS </w:t>
      </w:r>
      <w:r w:rsidR="00096282">
        <w:t xml:space="preserve">had </w:t>
      </w:r>
      <w:r w:rsidR="00B36183">
        <w:t xml:space="preserve">13 </w:t>
      </w:r>
      <w:r w:rsidR="00096282">
        <w:t xml:space="preserve">patients </w:t>
      </w:r>
      <w:r w:rsidR="00420B7B">
        <w:t>(n = 5 complement inhibitor treatment-</w:t>
      </w:r>
      <w:r w:rsidR="00446075">
        <w:t>naive</w:t>
      </w:r>
      <w:r w:rsidR="00420B7B">
        <w:t xml:space="preserve"> and n = 8 eculizumab-experienced).</w:t>
      </w:r>
    </w:p>
    <w:p w14:paraId="1C9B6EA8" w14:textId="7E5E4513" w:rsidR="00420B7B" w:rsidRDefault="00420B7B" w:rsidP="00420B7B">
      <w:pPr>
        <w:pStyle w:val="Heading7"/>
      </w:pPr>
      <w:r>
        <w:t>Patient Disposition</w:t>
      </w:r>
    </w:p>
    <w:p w14:paraId="11F0DE27" w14:textId="678D6123" w:rsidR="00420B7B" w:rsidRDefault="00420B7B" w:rsidP="00420B7B">
      <w:r>
        <w:t>All 13 enrolled patients completed the Primary Evaluation Period and entered the Extension Period of the study.</w:t>
      </w:r>
    </w:p>
    <w:p w14:paraId="60873DB5" w14:textId="54E07BCA" w:rsidR="00420B7B" w:rsidRDefault="00420B7B" w:rsidP="00420B7B">
      <w:pPr>
        <w:pStyle w:val="Heading7"/>
      </w:pPr>
      <w:r>
        <w:t>Protocol deviations</w:t>
      </w:r>
    </w:p>
    <w:p w14:paraId="67F12BDF" w14:textId="775ACAF1" w:rsidR="00420B7B" w:rsidRDefault="00096282" w:rsidP="00420B7B">
      <w:r>
        <w:t>In the planned interim clinical study report, i</w:t>
      </w:r>
      <w:r w:rsidR="00420B7B">
        <w:t xml:space="preserve">mportant protocol deviations were reported for </w:t>
      </w:r>
      <w:r w:rsidR="004B3190">
        <w:t xml:space="preserve">eight </w:t>
      </w:r>
      <w:r w:rsidR="00420B7B">
        <w:t>(66.7%) patients</w:t>
      </w:r>
      <w:r>
        <w:t xml:space="preserve"> which were</w:t>
      </w:r>
      <w:r w:rsidR="00420B7B">
        <w:t xml:space="preserve"> most frequently related to laboratory assessments (</w:t>
      </w:r>
      <w:r w:rsidR="004B3190">
        <w:t>five</w:t>
      </w:r>
      <w:r w:rsidR="00420B7B">
        <w:t xml:space="preserve"> </w:t>
      </w:r>
      <w:r w:rsidR="00D7231D">
        <w:t>(</w:t>
      </w:r>
      <w:r w:rsidR="00420B7B">
        <w:t>41.7%</w:t>
      </w:r>
      <w:r w:rsidR="00D7231D">
        <w:t>)</w:t>
      </w:r>
      <w:r w:rsidR="00420B7B">
        <w:t>). None of the important protocol deviations were considered to impact the interpretation of efficacy and safety results.</w:t>
      </w:r>
    </w:p>
    <w:p w14:paraId="180B5082" w14:textId="4F649B10" w:rsidR="00AA678E" w:rsidRPr="000D6170" w:rsidRDefault="00AA678E" w:rsidP="00AA678E">
      <w:pPr>
        <w:spacing w:after="160"/>
        <w:rPr>
          <w:rFonts w:eastAsia="Calibri"/>
        </w:rPr>
      </w:pPr>
      <w:bookmarkStart w:id="96" w:name="_Hlk99372213"/>
      <w:r w:rsidRPr="00800AC2">
        <w:rPr>
          <w:rFonts w:eastAsia="Calibri"/>
        </w:rPr>
        <w:lastRenderedPageBreak/>
        <w:t>Baseline demographics and disease characteristics are summarised below for the 13 enrolled patients</w:t>
      </w:r>
      <w:r w:rsidR="00420B7B">
        <w:rPr>
          <w:rFonts w:eastAsia="Calibri"/>
        </w:rPr>
        <w:t xml:space="preserve"> are in </w:t>
      </w:r>
      <w:r w:rsidR="00420B7B">
        <w:rPr>
          <w:rFonts w:eastAsia="Calibri"/>
        </w:rPr>
        <w:fldChar w:fldCharType="begin"/>
      </w:r>
      <w:r w:rsidR="00420B7B">
        <w:rPr>
          <w:rFonts w:eastAsia="Calibri"/>
        </w:rPr>
        <w:instrText xml:space="preserve"> REF _Ref131513874 \h </w:instrText>
      </w:r>
      <w:r w:rsidR="00420B7B">
        <w:rPr>
          <w:rFonts w:eastAsia="Calibri"/>
        </w:rPr>
      </w:r>
      <w:r w:rsidR="00420B7B">
        <w:rPr>
          <w:rFonts w:eastAsia="Calibri"/>
        </w:rPr>
        <w:fldChar w:fldCharType="separate"/>
      </w:r>
      <w:r w:rsidR="004C7A29">
        <w:t xml:space="preserve">Table </w:t>
      </w:r>
      <w:r w:rsidR="004C7A29">
        <w:rPr>
          <w:noProof/>
        </w:rPr>
        <w:t>19</w:t>
      </w:r>
      <w:r w:rsidR="00420B7B">
        <w:rPr>
          <w:rFonts w:eastAsia="Calibri"/>
        </w:rPr>
        <w:fldChar w:fldCharType="end"/>
      </w:r>
      <w:r w:rsidR="00420B7B">
        <w:rPr>
          <w:rFonts w:eastAsia="Calibri"/>
        </w:rPr>
        <w:t xml:space="preserve"> </w:t>
      </w:r>
      <w:r w:rsidRPr="00800AC2">
        <w:rPr>
          <w:rFonts w:eastAsia="Calibri"/>
        </w:rPr>
        <w:t>:</w:t>
      </w:r>
    </w:p>
    <w:p w14:paraId="2AA28C69" w14:textId="7128830C" w:rsidR="00AA678E" w:rsidRDefault="00AA678E" w:rsidP="00420B7B">
      <w:pPr>
        <w:pStyle w:val="TableTitle"/>
        <w:rPr>
          <w:noProof/>
        </w:rPr>
      </w:pPr>
      <w:bookmarkStart w:id="97" w:name="_Ref131513874"/>
      <w:bookmarkEnd w:id="96"/>
      <w:r>
        <w:t xml:space="preserve">Table </w:t>
      </w:r>
      <w:fldSimple w:instr=" SEQ Table \* ARABIC ">
        <w:r w:rsidR="004C7A29">
          <w:rPr>
            <w:noProof/>
          </w:rPr>
          <w:t>19</w:t>
        </w:r>
      </w:fldSimple>
      <w:bookmarkEnd w:id="97"/>
      <w:r w:rsidR="00420B7B">
        <w:rPr>
          <w:noProof/>
        </w:rPr>
        <w:t xml:space="preserve">: </w:t>
      </w:r>
      <w:r w:rsidR="00D7231D">
        <w:t xml:space="preserve">Study ALXN1210-PNH-304 </w:t>
      </w:r>
      <w:r w:rsidR="00C40E1B">
        <w:rPr>
          <w:noProof/>
        </w:rPr>
        <w:t xml:space="preserve">Demographics and baseline characteristics </w:t>
      </w:r>
      <w:r w:rsidR="00D7231D">
        <w:rPr>
          <w:noProof/>
        </w:rPr>
        <w:t>(</w:t>
      </w:r>
      <w:r w:rsidR="00C40E1B">
        <w:rPr>
          <w:noProof/>
        </w:rPr>
        <w:t>Full Analysis Set</w:t>
      </w:r>
      <w:r w:rsidR="00D7231D">
        <w:rPr>
          <w:noProof/>
        </w:rPr>
        <w:t>)</w:t>
      </w:r>
    </w:p>
    <w:p w14:paraId="1ABEFD52" w14:textId="2FDC6477" w:rsidR="00C40E1B" w:rsidRDefault="00C40E1B" w:rsidP="00721120">
      <w:pPr>
        <w:rPr>
          <w:noProof/>
        </w:rPr>
      </w:pPr>
      <w:r>
        <w:rPr>
          <w:noProof/>
          <w:lang w:val="en-GB" w:eastAsia="en-GB"/>
        </w:rPr>
        <w:drawing>
          <wp:inline distT="0" distB="0" distL="0" distR="0" wp14:anchorId="35070146" wp14:editId="0001FD53">
            <wp:extent cx="5759450" cy="5125085"/>
            <wp:effectExtent l="0" t="0" r="0" b="0"/>
            <wp:docPr id="2" name="Picture 2" descr="This table shows demographics and baseline characteristics for th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table shows demographics and baseline characteristics for the Full Analysis Set"/>
                    <pic:cNvPicPr/>
                  </pic:nvPicPr>
                  <pic:blipFill>
                    <a:blip r:embed="rId50"/>
                    <a:stretch>
                      <a:fillRect/>
                    </a:stretch>
                  </pic:blipFill>
                  <pic:spPr>
                    <a:xfrm>
                      <a:off x="0" y="0"/>
                      <a:ext cx="5759450" cy="5125085"/>
                    </a:xfrm>
                    <a:prstGeom prst="rect">
                      <a:avLst/>
                    </a:prstGeom>
                  </pic:spPr>
                </pic:pic>
              </a:graphicData>
            </a:graphic>
          </wp:inline>
        </w:drawing>
      </w:r>
    </w:p>
    <w:p w14:paraId="1EBD841B" w14:textId="77777777" w:rsidR="00AA678E" w:rsidRDefault="00AA678E" w:rsidP="00721120">
      <w:pPr>
        <w:pStyle w:val="TableDescription"/>
      </w:pPr>
      <w:r w:rsidRPr="0018439A">
        <w:t>Note: Percentages were based on the total number of patients in each cohort, or overall.</w:t>
      </w:r>
    </w:p>
    <w:p w14:paraId="768B4065" w14:textId="10EEFCB4" w:rsidR="00AA678E" w:rsidRDefault="00AA678E" w:rsidP="00420B7B">
      <w:pPr>
        <w:pStyle w:val="TableTitle"/>
        <w:rPr>
          <w:noProof/>
        </w:rPr>
      </w:pPr>
      <w:r>
        <w:t xml:space="preserve">Table </w:t>
      </w:r>
      <w:fldSimple w:instr=" SEQ Table \* ARABIC ">
        <w:r w:rsidR="004C7A29">
          <w:rPr>
            <w:noProof/>
          </w:rPr>
          <w:t>20</w:t>
        </w:r>
      </w:fldSimple>
      <w:r w:rsidR="00420B7B">
        <w:rPr>
          <w:noProof/>
        </w:rPr>
        <w:t xml:space="preserve">: </w:t>
      </w:r>
      <w:r w:rsidR="00D7231D">
        <w:t xml:space="preserve">Study ALXN1210-PNH-304 </w:t>
      </w:r>
      <w:r w:rsidR="00C40E1B">
        <w:rPr>
          <w:noProof/>
        </w:rPr>
        <w:t xml:space="preserve">Complement inhibitor treatment-naïve patent versus eculizumab experienced patients characteristics </w:t>
      </w:r>
    </w:p>
    <w:tbl>
      <w:tblPr>
        <w:tblStyle w:val="TGABlack2023"/>
        <w:tblW w:w="0" w:type="auto"/>
        <w:tblLook w:val="04A0" w:firstRow="1" w:lastRow="0" w:firstColumn="1" w:lastColumn="0" w:noHBand="0" w:noVBand="1"/>
      </w:tblPr>
      <w:tblGrid>
        <w:gridCol w:w="3964"/>
        <w:gridCol w:w="2694"/>
        <w:gridCol w:w="2358"/>
      </w:tblGrid>
      <w:tr w:rsidR="00AA678E" w:rsidRPr="006D3E51" w14:paraId="4EFC97B1" w14:textId="77777777" w:rsidTr="00C40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413711E4" w14:textId="77777777" w:rsidR="00AA678E" w:rsidRPr="007E513E" w:rsidRDefault="00AA678E" w:rsidP="0035187D">
            <w:pPr>
              <w:spacing w:after="120"/>
              <w:rPr>
                <w:b w:val="0"/>
                <w:color w:val="auto"/>
              </w:rPr>
            </w:pPr>
            <w:r w:rsidRPr="007E513E">
              <w:rPr>
                <w:color w:val="auto"/>
              </w:rPr>
              <w:t>Variable</w:t>
            </w:r>
          </w:p>
        </w:tc>
        <w:tc>
          <w:tcPr>
            <w:tcW w:w="2694" w:type="dxa"/>
            <w:shd w:val="clear" w:color="auto" w:fill="auto"/>
          </w:tcPr>
          <w:p w14:paraId="2EE53528" w14:textId="3A385B2C" w:rsidR="00AA678E" w:rsidRPr="007E513E" w:rsidRDefault="00AA678E" w:rsidP="0035187D">
            <w:pPr>
              <w:spacing w:after="120"/>
              <w:cnfStyle w:val="100000000000" w:firstRow="1" w:lastRow="0" w:firstColumn="0" w:lastColumn="0" w:oddVBand="0" w:evenVBand="0" w:oddHBand="0" w:evenHBand="0" w:firstRowFirstColumn="0" w:firstRowLastColumn="0" w:lastRowFirstColumn="0" w:lastRowLastColumn="0"/>
              <w:rPr>
                <w:b w:val="0"/>
                <w:color w:val="auto"/>
              </w:rPr>
            </w:pPr>
            <w:r w:rsidRPr="007E513E">
              <w:rPr>
                <w:color w:val="auto"/>
              </w:rPr>
              <w:t>Complement inhibitor treatment–</w:t>
            </w:r>
            <w:r w:rsidR="00446075" w:rsidRPr="007E513E">
              <w:rPr>
                <w:color w:val="auto"/>
              </w:rPr>
              <w:t>naive</w:t>
            </w:r>
            <w:r w:rsidRPr="007E513E">
              <w:rPr>
                <w:color w:val="auto"/>
              </w:rPr>
              <w:t xml:space="preserve"> patients</w:t>
            </w:r>
            <w:r w:rsidR="00D7231D">
              <w:rPr>
                <w:color w:val="auto"/>
              </w:rPr>
              <w:t xml:space="preserve"> </w:t>
            </w:r>
            <w:r w:rsidRPr="007E513E">
              <w:rPr>
                <w:color w:val="auto"/>
              </w:rPr>
              <w:t>(N = 5)</w:t>
            </w:r>
          </w:p>
        </w:tc>
        <w:tc>
          <w:tcPr>
            <w:tcW w:w="2358" w:type="dxa"/>
            <w:shd w:val="clear" w:color="auto" w:fill="auto"/>
          </w:tcPr>
          <w:p w14:paraId="19D301E6" w14:textId="1F0E6B8C" w:rsidR="00AA678E" w:rsidRPr="007E513E" w:rsidRDefault="00AA678E" w:rsidP="0035187D">
            <w:pPr>
              <w:spacing w:after="120"/>
              <w:cnfStyle w:val="100000000000" w:firstRow="1" w:lastRow="0" w:firstColumn="0" w:lastColumn="0" w:oddVBand="0" w:evenVBand="0" w:oddHBand="0" w:evenHBand="0" w:firstRowFirstColumn="0" w:firstRowLastColumn="0" w:lastRowFirstColumn="0" w:lastRowLastColumn="0"/>
              <w:rPr>
                <w:b w:val="0"/>
                <w:color w:val="auto"/>
              </w:rPr>
            </w:pPr>
            <w:r w:rsidRPr="007E513E">
              <w:rPr>
                <w:color w:val="auto"/>
              </w:rPr>
              <w:t>Eculizumab-experienced patients</w:t>
            </w:r>
            <w:r w:rsidR="00D7231D">
              <w:rPr>
                <w:color w:val="auto"/>
              </w:rPr>
              <w:t xml:space="preserve"> </w:t>
            </w:r>
            <w:r w:rsidRPr="007E513E">
              <w:rPr>
                <w:color w:val="auto"/>
              </w:rPr>
              <w:t>(N = 8)</w:t>
            </w:r>
          </w:p>
        </w:tc>
      </w:tr>
      <w:tr w:rsidR="00AA678E" w:rsidRPr="006D3E51" w14:paraId="7017188E" w14:textId="77777777" w:rsidTr="00C40E1B">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4B54318C" w14:textId="77777777" w:rsidR="00AA678E" w:rsidRPr="00AB0591" w:rsidRDefault="00AA678E" w:rsidP="0035187D">
            <w:pPr>
              <w:pStyle w:val="TableText"/>
              <w:spacing w:after="120"/>
              <w:rPr>
                <w:b/>
                <w:bCs/>
              </w:rPr>
            </w:pPr>
            <w:r w:rsidRPr="00AB0591">
              <w:rPr>
                <w:b/>
                <w:bCs/>
              </w:rPr>
              <w:t>Age (years) at PNH diagnosis</w:t>
            </w:r>
          </w:p>
          <w:p w14:paraId="77FDB64D" w14:textId="77777777" w:rsidR="00AA678E" w:rsidRPr="006D3E51" w:rsidRDefault="00AA678E" w:rsidP="0035187D">
            <w:pPr>
              <w:pStyle w:val="TableText"/>
              <w:spacing w:after="120"/>
            </w:pPr>
            <w:r w:rsidRPr="006D3E51">
              <w:t>Mean (SD)</w:t>
            </w:r>
          </w:p>
          <w:p w14:paraId="5B479E22" w14:textId="77777777" w:rsidR="00AA678E" w:rsidRPr="006D3E51" w:rsidRDefault="00AA678E" w:rsidP="0035187D">
            <w:pPr>
              <w:pStyle w:val="TableText"/>
              <w:spacing w:after="120"/>
            </w:pPr>
            <w:r w:rsidRPr="006D3E51">
              <w:t>Median (min, max)</w:t>
            </w:r>
          </w:p>
        </w:tc>
        <w:tc>
          <w:tcPr>
            <w:tcW w:w="2694" w:type="dxa"/>
            <w:shd w:val="clear" w:color="auto" w:fill="auto"/>
          </w:tcPr>
          <w:p w14:paraId="658A696C"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p>
          <w:p w14:paraId="09FB43BB"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rsidRPr="006D3E51">
              <w:t>13.8 (2.</w:t>
            </w:r>
            <w:r>
              <w:t>39</w:t>
            </w:r>
            <w:r w:rsidRPr="006D3E51">
              <w:t>)</w:t>
            </w:r>
          </w:p>
          <w:p w14:paraId="07621B34"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t>14.0</w:t>
            </w:r>
            <w:r w:rsidRPr="006D3E51">
              <w:t xml:space="preserve"> (11, 17)</w:t>
            </w:r>
          </w:p>
        </w:tc>
        <w:tc>
          <w:tcPr>
            <w:tcW w:w="2358" w:type="dxa"/>
            <w:shd w:val="clear" w:color="auto" w:fill="auto"/>
          </w:tcPr>
          <w:p w14:paraId="59BA4B31"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p>
          <w:p w14:paraId="5AE38492"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rsidRPr="006D3E51">
              <w:t>12.3 (3.11)</w:t>
            </w:r>
          </w:p>
          <w:p w14:paraId="6561B2D9"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rsidRPr="006D3E51">
              <w:t>12.5 (7, 16)</w:t>
            </w:r>
          </w:p>
        </w:tc>
      </w:tr>
      <w:tr w:rsidR="00AA678E" w:rsidRPr="006D3E51" w14:paraId="3340617F" w14:textId="77777777" w:rsidTr="00C40E1B">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6721A786" w14:textId="77777777" w:rsidR="00856026" w:rsidRPr="00AB0591" w:rsidRDefault="00AA678E" w:rsidP="0035187D">
            <w:pPr>
              <w:pStyle w:val="TableText"/>
              <w:spacing w:after="120"/>
              <w:rPr>
                <w:b/>
                <w:bCs/>
              </w:rPr>
            </w:pPr>
            <w:r w:rsidRPr="00AB0591">
              <w:rPr>
                <w:b/>
                <w:bCs/>
              </w:rPr>
              <w:lastRenderedPageBreak/>
              <w:t>Years from diagnosis to informed consent</w:t>
            </w:r>
          </w:p>
          <w:p w14:paraId="7FF508E3" w14:textId="7E56E87B" w:rsidR="00AA678E" w:rsidRPr="006D3E51" w:rsidRDefault="00AA678E" w:rsidP="0035187D">
            <w:pPr>
              <w:pStyle w:val="TableText"/>
              <w:spacing w:after="120"/>
            </w:pPr>
            <w:r w:rsidRPr="006D3E51">
              <w:t>Mean (SD)</w:t>
            </w:r>
          </w:p>
          <w:p w14:paraId="7662F1AF" w14:textId="77777777" w:rsidR="00AA678E" w:rsidRPr="006D3E51" w:rsidRDefault="00AA678E" w:rsidP="0035187D">
            <w:pPr>
              <w:pStyle w:val="TableText"/>
              <w:spacing w:after="120"/>
            </w:pPr>
            <w:r w:rsidRPr="006D3E51">
              <w:t>Median (min, max)</w:t>
            </w:r>
          </w:p>
        </w:tc>
        <w:tc>
          <w:tcPr>
            <w:tcW w:w="2694" w:type="dxa"/>
            <w:shd w:val="clear" w:color="auto" w:fill="auto"/>
          </w:tcPr>
          <w:p w14:paraId="4CDEC547" w14:textId="7E4212AD" w:rsidR="00AA678E" w:rsidRPr="006D3E51" w:rsidRDefault="007E513E" w:rsidP="0035187D">
            <w:pPr>
              <w:pStyle w:val="TableText"/>
              <w:spacing w:after="120"/>
              <w:cnfStyle w:val="000000000000" w:firstRow="0" w:lastRow="0" w:firstColumn="0" w:lastColumn="0" w:oddVBand="0" w:evenVBand="0" w:oddHBand="0" w:evenHBand="0" w:firstRowFirstColumn="0" w:firstRowLastColumn="0" w:lastRowFirstColumn="0" w:lastRowLastColumn="0"/>
            </w:pPr>
            <w:r>
              <w:br/>
            </w:r>
          </w:p>
          <w:p w14:paraId="194314A1"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rsidRPr="006D3E51">
              <w:t>0.</w:t>
            </w:r>
            <w:r>
              <w:t>74</w:t>
            </w:r>
            <w:r w:rsidRPr="006D3E51">
              <w:t xml:space="preserve"> (1.</w:t>
            </w:r>
            <w:r>
              <w:t>433</w:t>
            </w:r>
            <w:r w:rsidRPr="006D3E51">
              <w:t>)</w:t>
            </w:r>
          </w:p>
          <w:p w14:paraId="3D7B242E"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rsidRPr="006D3E51">
              <w:t>0.10 (0.0, 3.3)</w:t>
            </w:r>
          </w:p>
        </w:tc>
        <w:tc>
          <w:tcPr>
            <w:tcW w:w="2358" w:type="dxa"/>
            <w:shd w:val="clear" w:color="auto" w:fill="auto"/>
          </w:tcPr>
          <w:p w14:paraId="3827BB53" w14:textId="47D36046" w:rsidR="00AA678E" w:rsidRPr="006D3E51" w:rsidRDefault="007E513E" w:rsidP="0035187D">
            <w:pPr>
              <w:pStyle w:val="TableText"/>
              <w:spacing w:after="120"/>
              <w:cnfStyle w:val="000000000000" w:firstRow="0" w:lastRow="0" w:firstColumn="0" w:lastColumn="0" w:oddVBand="0" w:evenVBand="0" w:oddHBand="0" w:evenHBand="0" w:firstRowFirstColumn="0" w:firstRowLastColumn="0" w:lastRowFirstColumn="0" w:lastRowLastColumn="0"/>
            </w:pPr>
            <w:r>
              <w:br/>
            </w:r>
          </w:p>
          <w:p w14:paraId="674A24FC"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rsidRPr="006D3E51">
              <w:t>2.01 (0.999)</w:t>
            </w:r>
          </w:p>
          <w:p w14:paraId="2279BC7A"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rsidRPr="006D3E51">
              <w:t>1.65 (1.1, 3.8)</w:t>
            </w:r>
          </w:p>
        </w:tc>
      </w:tr>
      <w:tr w:rsidR="00AA678E" w:rsidRPr="006D3E51" w14:paraId="2D394026" w14:textId="77777777" w:rsidTr="00C40E1B">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47E9226C" w14:textId="2D3F87CE" w:rsidR="00AA678E" w:rsidRPr="00AB0591" w:rsidRDefault="00AA678E" w:rsidP="0035187D">
            <w:pPr>
              <w:pStyle w:val="TableText"/>
              <w:spacing w:after="120"/>
              <w:rPr>
                <w:b/>
                <w:bCs/>
              </w:rPr>
            </w:pPr>
            <w:r w:rsidRPr="00AB0591">
              <w:rPr>
                <w:b/>
                <w:bCs/>
              </w:rPr>
              <w:t>Number of patients with p</w:t>
            </w:r>
            <w:r w:rsidR="00EB25DE" w:rsidRPr="00AB0591">
              <w:rPr>
                <w:b/>
                <w:bCs/>
              </w:rPr>
              <w:t xml:space="preserve">acked </w:t>
            </w:r>
            <w:proofErr w:type="spellStart"/>
            <w:r w:rsidR="00EB25DE" w:rsidRPr="00AB0591">
              <w:rPr>
                <w:b/>
                <w:bCs/>
              </w:rPr>
              <w:t>read</w:t>
            </w:r>
            <w:proofErr w:type="spellEnd"/>
            <w:r w:rsidR="00EB25DE" w:rsidRPr="00AB0591">
              <w:rPr>
                <w:b/>
                <w:bCs/>
              </w:rPr>
              <w:t xml:space="preserve"> blood cells</w:t>
            </w:r>
            <w:r w:rsidRPr="00AB0591">
              <w:rPr>
                <w:b/>
                <w:bCs/>
              </w:rPr>
              <w:t>/whole blood transfusions within 12 months prior to first dose (%)</w:t>
            </w:r>
          </w:p>
        </w:tc>
        <w:tc>
          <w:tcPr>
            <w:tcW w:w="2694" w:type="dxa"/>
            <w:shd w:val="clear" w:color="auto" w:fill="auto"/>
          </w:tcPr>
          <w:p w14:paraId="55DA688B"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p>
          <w:p w14:paraId="36E97822"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rsidRPr="006D3E51">
              <w:t>2 (</w:t>
            </w:r>
            <w:r>
              <w:t>4</w:t>
            </w:r>
            <w:r w:rsidRPr="006D3E51">
              <w:t>0.0)</w:t>
            </w:r>
          </w:p>
        </w:tc>
        <w:tc>
          <w:tcPr>
            <w:tcW w:w="2358" w:type="dxa"/>
            <w:shd w:val="clear" w:color="auto" w:fill="auto"/>
          </w:tcPr>
          <w:p w14:paraId="35B28FD0"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p>
          <w:p w14:paraId="1E43E1C7"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rsidRPr="006D3E51">
              <w:t>2 (25.0)</w:t>
            </w:r>
          </w:p>
        </w:tc>
      </w:tr>
      <w:tr w:rsidR="00AA678E" w:rsidRPr="006D3E51" w14:paraId="188408E7" w14:textId="77777777" w:rsidTr="00C40E1B">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085EB5C5" w14:textId="77909B7D" w:rsidR="00AA678E" w:rsidRPr="00AB0591" w:rsidRDefault="00EB25DE" w:rsidP="0035187D">
            <w:pPr>
              <w:pStyle w:val="TableText"/>
              <w:spacing w:after="120"/>
              <w:rPr>
                <w:b/>
                <w:bCs/>
              </w:rPr>
            </w:pPr>
            <w:r w:rsidRPr="00AB0591">
              <w:rPr>
                <w:b/>
                <w:bCs/>
              </w:rPr>
              <w:t>Packed red blood cells</w:t>
            </w:r>
            <w:r w:rsidR="00AA678E" w:rsidRPr="00AB0591">
              <w:rPr>
                <w:b/>
                <w:bCs/>
              </w:rPr>
              <w:t>/whole blood transfusions within 12 months prior to first dose</w:t>
            </w:r>
          </w:p>
          <w:p w14:paraId="346FF061" w14:textId="77777777" w:rsidR="00AA678E" w:rsidRPr="006D3E51" w:rsidRDefault="00AA678E" w:rsidP="0035187D">
            <w:pPr>
              <w:pStyle w:val="TableText"/>
              <w:spacing w:after="120"/>
            </w:pPr>
            <w:r w:rsidRPr="006D3E51">
              <w:t>Total</w:t>
            </w:r>
          </w:p>
          <w:p w14:paraId="45657A5A" w14:textId="77777777" w:rsidR="00AA678E" w:rsidRPr="006D3E51" w:rsidRDefault="00AA678E" w:rsidP="0035187D">
            <w:pPr>
              <w:pStyle w:val="TableText"/>
              <w:spacing w:after="120"/>
            </w:pPr>
            <w:r w:rsidRPr="006D3E51">
              <w:t>Mean (SD)</w:t>
            </w:r>
          </w:p>
          <w:p w14:paraId="6113A29D" w14:textId="77777777" w:rsidR="00AA678E" w:rsidRPr="006D3E51" w:rsidRDefault="00AA678E" w:rsidP="0035187D">
            <w:pPr>
              <w:pStyle w:val="TableText"/>
              <w:spacing w:after="120"/>
            </w:pPr>
            <w:r w:rsidRPr="006D3E51">
              <w:t>Median (min, max)</w:t>
            </w:r>
          </w:p>
        </w:tc>
        <w:tc>
          <w:tcPr>
            <w:tcW w:w="2694" w:type="dxa"/>
            <w:shd w:val="clear" w:color="auto" w:fill="auto"/>
          </w:tcPr>
          <w:p w14:paraId="49524BA8" w14:textId="4988A46D" w:rsidR="00AA678E" w:rsidRDefault="007E513E" w:rsidP="0035187D">
            <w:pPr>
              <w:pStyle w:val="TableText"/>
              <w:spacing w:after="120"/>
              <w:cnfStyle w:val="000000000000" w:firstRow="0" w:lastRow="0" w:firstColumn="0" w:lastColumn="0" w:oddVBand="0" w:evenVBand="0" w:oddHBand="0" w:evenHBand="0" w:firstRowFirstColumn="0" w:firstRowLastColumn="0" w:lastRowFirstColumn="0" w:lastRowLastColumn="0"/>
            </w:pPr>
            <w:r>
              <w:br/>
            </w:r>
            <w:r>
              <w:br/>
            </w:r>
          </w:p>
          <w:p w14:paraId="6798CE41" w14:textId="77777777" w:rsidR="00AA678E"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t>10</w:t>
            </w:r>
          </w:p>
          <w:p w14:paraId="6C2D8F78" w14:textId="77777777" w:rsidR="00AA678E"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t>5.0 (1.41)</w:t>
            </w:r>
          </w:p>
          <w:p w14:paraId="2AE5D21A"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t>5.0 (4, 6)</w:t>
            </w:r>
          </w:p>
        </w:tc>
        <w:tc>
          <w:tcPr>
            <w:tcW w:w="2358" w:type="dxa"/>
            <w:shd w:val="clear" w:color="auto" w:fill="auto"/>
          </w:tcPr>
          <w:p w14:paraId="70853AEB" w14:textId="45057ABA" w:rsidR="00AA678E" w:rsidRDefault="007E513E" w:rsidP="0035187D">
            <w:pPr>
              <w:pStyle w:val="TableText"/>
              <w:spacing w:after="120"/>
              <w:cnfStyle w:val="000000000000" w:firstRow="0" w:lastRow="0" w:firstColumn="0" w:lastColumn="0" w:oddVBand="0" w:evenVBand="0" w:oddHBand="0" w:evenHBand="0" w:firstRowFirstColumn="0" w:firstRowLastColumn="0" w:lastRowFirstColumn="0" w:lastRowLastColumn="0"/>
            </w:pPr>
            <w:r>
              <w:br/>
            </w:r>
            <w:r>
              <w:br/>
            </w:r>
          </w:p>
          <w:p w14:paraId="423247ED" w14:textId="77777777" w:rsidR="00AA678E"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t>2</w:t>
            </w:r>
          </w:p>
          <w:p w14:paraId="1DFE20FF" w14:textId="77777777" w:rsidR="00AA678E"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t>1.0 (0.00)</w:t>
            </w:r>
          </w:p>
          <w:p w14:paraId="39449E92"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t>1.0 (1, 1)</w:t>
            </w:r>
          </w:p>
        </w:tc>
      </w:tr>
      <w:tr w:rsidR="00AA678E" w:rsidRPr="006D3E51" w14:paraId="0783C92B" w14:textId="77777777" w:rsidTr="00C40E1B">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1C5652CC" w14:textId="77777777" w:rsidR="00AA678E" w:rsidRPr="00AB0591" w:rsidRDefault="00AA678E" w:rsidP="0035187D">
            <w:pPr>
              <w:pStyle w:val="TableText"/>
              <w:spacing w:after="120"/>
              <w:rPr>
                <w:b/>
                <w:bCs/>
              </w:rPr>
            </w:pPr>
            <w:r w:rsidRPr="00AB0591">
              <w:rPr>
                <w:b/>
                <w:bCs/>
              </w:rPr>
              <w:t>Patients with any PNH-associated conditions before informed consent, n (%)</w:t>
            </w:r>
          </w:p>
          <w:p w14:paraId="36B31D86" w14:textId="77777777" w:rsidR="00AA678E" w:rsidRPr="004A328D" w:rsidRDefault="00AA678E" w:rsidP="0035187D">
            <w:pPr>
              <w:pStyle w:val="TableText"/>
              <w:spacing w:after="120"/>
              <w:rPr>
                <w:lang w:val="es-ES"/>
              </w:rPr>
            </w:pPr>
            <w:proofErr w:type="spellStart"/>
            <w:r w:rsidRPr="004A328D">
              <w:rPr>
                <w:lang w:val="es-ES"/>
              </w:rPr>
              <w:t>Anaemia</w:t>
            </w:r>
            <w:proofErr w:type="spellEnd"/>
          </w:p>
          <w:p w14:paraId="1080671D" w14:textId="77777777" w:rsidR="00AA678E" w:rsidRPr="004A328D" w:rsidRDefault="00AA678E" w:rsidP="0035187D">
            <w:pPr>
              <w:pStyle w:val="TableText"/>
              <w:spacing w:after="120"/>
              <w:rPr>
                <w:lang w:val="es-ES"/>
              </w:rPr>
            </w:pPr>
            <w:proofErr w:type="spellStart"/>
            <w:r w:rsidRPr="004A328D">
              <w:rPr>
                <w:lang w:val="es-ES"/>
              </w:rPr>
              <w:t>Haematuria</w:t>
            </w:r>
            <w:proofErr w:type="spellEnd"/>
            <w:r w:rsidRPr="004A328D">
              <w:rPr>
                <w:lang w:val="es-ES"/>
              </w:rPr>
              <w:t xml:space="preserve"> </w:t>
            </w:r>
            <w:proofErr w:type="spellStart"/>
            <w:r w:rsidRPr="004A328D">
              <w:rPr>
                <w:lang w:val="es-ES"/>
              </w:rPr>
              <w:t>or</w:t>
            </w:r>
            <w:proofErr w:type="spellEnd"/>
            <w:r w:rsidRPr="004A328D">
              <w:rPr>
                <w:lang w:val="es-ES"/>
              </w:rPr>
              <w:t xml:space="preserve"> </w:t>
            </w:r>
            <w:proofErr w:type="spellStart"/>
            <w:r w:rsidRPr="004A328D">
              <w:rPr>
                <w:lang w:val="es-ES"/>
              </w:rPr>
              <w:t>haemoglobinuria</w:t>
            </w:r>
            <w:proofErr w:type="spellEnd"/>
          </w:p>
          <w:p w14:paraId="29007750" w14:textId="77777777" w:rsidR="00AA678E" w:rsidRPr="004A328D" w:rsidRDefault="00AA678E" w:rsidP="0035187D">
            <w:pPr>
              <w:pStyle w:val="TableText"/>
              <w:spacing w:after="120"/>
              <w:rPr>
                <w:lang w:val="es-ES"/>
              </w:rPr>
            </w:pPr>
            <w:proofErr w:type="spellStart"/>
            <w:r w:rsidRPr="004A328D">
              <w:rPr>
                <w:lang w:val="es-ES"/>
              </w:rPr>
              <w:t>Aplastic</w:t>
            </w:r>
            <w:proofErr w:type="spellEnd"/>
            <w:r w:rsidRPr="004A328D">
              <w:rPr>
                <w:lang w:val="es-ES"/>
              </w:rPr>
              <w:t xml:space="preserve"> </w:t>
            </w:r>
            <w:proofErr w:type="spellStart"/>
            <w:r w:rsidRPr="004A328D">
              <w:rPr>
                <w:lang w:val="es-ES"/>
              </w:rPr>
              <w:t>anaemia</w:t>
            </w:r>
            <w:proofErr w:type="spellEnd"/>
          </w:p>
          <w:p w14:paraId="11EDFF3F" w14:textId="77777777" w:rsidR="00AA678E" w:rsidRPr="006D3E51" w:rsidRDefault="00AA678E" w:rsidP="0035187D">
            <w:pPr>
              <w:pStyle w:val="TableText"/>
              <w:spacing w:after="120"/>
            </w:pPr>
            <w:r w:rsidRPr="006D3E51">
              <w:t>Renal failure</w:t>
            </w:r>
          </w:p>
          <w:p w14:paraId="7265DCCA" w14:textId="77777777" w:rsidR="00AA678E" w:rsidRPr="006D3E51" w:rsidRDefault="00AA678E" w:rsidP="0035187D">
            <w:pPr>
              <w:pStyle w:val="TableText"/>
              <w:spacing w:after="120"/>
            </w:pPr>
            <w:r>
              <w:t>Other</w:t>
            </w:r>
          </w:p>
        </w:tc>
        <w:tc>
          <w:tcPr>
            <w:tcW w:w="2694" w:type="dxa"/>
            <w:shd w:val="clear" w:color="auto" w:fill="auto"/>
          </w:tcPr>
          <w:p w14:paraId="0DFB0AA0" w14:textId="5C0398D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t>5 (100.0)</w:t>
            </w:r>
            <w:r w:rsidR="007E513E">
              <w:br/>
            </w:r>
            <w:r w:rsidR="007E513E">
              <w:br/>
            </w:r>
          </w:p>
          <w:p w14:paraId="72D36268"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rsidRPr="006D3E51">
              <w:t>2 (</w:t>
            </w:r>
            <w:r>
              <w:t>40.0</w:t>
            </w:r>
            <w:r w:rsidRPr="006D3E51">
              <w:t>)</w:t>
            </w:r>
          </w:p>
          <w:p w14:paraId="32731828"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rsidRPr="006D3E51">
              <w:t>2 (</w:t>
            </w:r>
            <w:r>
              <w:t>4</w:t>
            </w:r>
            <w:r w:rsidRPr="006D3E51">
              <w:t>0.0)</w:t>
            </w:r>
          </w:p>
          <w:p w14:paraId="0472916C"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rsidRPr="006D3E51">
              <w:t>3 (</w:t>
            </w:r>
            <w:r>
              <w:t>60</w:t>
            </w:r>
            <w:r w:rsidRPr="006D3E51">
              <w:t>.0)</w:t>
            </w:r>
          </w:p>
          <w:p w14:paraId="3A419C60"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t>2</w:t>
            </w:r>
            <w:r w:rsidRPr="006D3E51">
              <w:t xml:space="preserve"> (</w:t>
            </w:r>
            <w:r>
              <w:t>40</w:t>
            </w:r>
            <w:r w:rsidRPr="006D3E51">
              <w:t>.0)</w:t>
            </w:r>
          </w:p>
          <w:p w14:paraId="0218D4F0"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rsidRPr="006D3E51">
              <w:t>0</w:t>
            </w:r>
          </w:p>
        </w:tc>
        <w:tc>
          <w:tcPr>
            <w:tcW w:w="2358" w:type="dxa"/>
            <w:shd w:val="clear" w:color="auto" w:fill="auto"/>
          </w:tcPr>
          <w:p w14:paraId="612D0444" w14:textId="77777777" w:rsidR="007E513E"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t>8 (100.0)</w:t>
            </w:r>
            <w:r w:rsidR="007E513E">
              <w:br/>
            </w:r>
            <w:r w:rsidR="007E513E">
              <w:br/>
            </w:r>
          </w:p>
          <w:p w14:paraId="529B20A5" w14:textId="062F5719"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rsidRPr="006D3E51">
              <w:t>5 (62.5)</w:t>
            </w:r>
          </w:p>
          <w:p w14:paraId="24404BFC"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rsidRPr="006D3E51">
              <w:t>5 (62.5)</w:t>
            </w:r>
          </w:p>
          <w:p w14:paraId="51AFC78E"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rsidRPr="006D3E51">
              <w:t>1 (12.5)</w:t>
            </w:r>
          </w:p>
          <w:p w14:paraId="5F877796"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rsidRPr="006D3E51">
              <w:t>2 (25.0)</w:t>
            </w:r>
          </w:p>
          <w:p w14:paraId="6B03AFFF"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rsidRPr="006D3E51">
              <w:t>1</w:t>
            </w:r>
            <w:r>
              <w:t xml:space="preserve"> </w:t>
            </w:r>
            <w:r w:rsidRPr="006D3E51">
              <w:t>(12.5)</w:t>
            </w:r>
          </w:p>
        </w:tc>
      </w:tr>
      <w:tr w:rsidR="00AA678E" w:rsidRPr="006D3E51" w14:paraId="74EE6111" w14:textId="77777777" w:rsidTr="00C40E1B">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65C93017" w14:textId="77777777" w:rsidR="00AA678E" w:rsidRPr="00AB0591" w:rsidRDefault="00AA678E" w:rsidP="0035187D">
            <w:pPr>
              <w:pStyle w:val="TableText"/>
              <w:spacing w:after="120"/>
              <w:rPr>
                <w:b/>
                <w:bCs/>
              </w:rPr>
            </w:pPr>
            <w:r w:rsidRPr="00AB0591">
              <w:rPr>
                <w:b/>
                <w:bCs/>
              </w:rPr>
              <w:t>Baseline LDH (U/L)</w:t>
            </w:r>
          </w:p>
          <w:p w14:paraId="7246C868" w14:textId="77777777" w:rsidR="00AA678E" w:rsidRPr="006D3E51" w:rsidRDefault="00AA678E" w:rsidP="0035187D">
            <w:pPr>
              <w:pStyle w:val="TableText"/>
              <w:spacing w:after="120"/>
            </w:pPr>
            <w:r w:rsidRPr="006D3E51">
              <w:t>Mean (SD)</w:t>
            </w:r>
          </w:p>
          <w:p w14:paraId="208326C2" w14:textId="77777777" w:rsidR="00AA678E" w:rsidRPr="006D3E51" w:rsidRDefault="00AA678E" w:rsidP="0035187D">
            <w:pPr>
              <w:pStyle w:val="TableText"/>
              <w:spacing w:after="120"/>
            </w:pPr>
            <w:r w:rsidRPr="006D3E51">
              <w:t>Median (min, max)</w:t>
            </w:r>
          </w:p>
        </w:tc>
        <w:tc>
          <w:tcPr>
            <w:tcW w:w="2694" w:type="dxa"/>
            <w:shd w:val="clear" w:color="auto" w:fill="auto"/>
          </w:tcPr>
          <w:p w14:paraId="6272A662"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p>
          <w:p w14:paraId="6365E97F"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rsidRPr="006D3E51">
              <w:t>9</w:t>
            </w:r>
            <w:r>
              <w:t>57</w:t>
            </w:r>
            <w:r w:rsidRPr="006D3E51">
              <w:t>.</w:t>
            </w:r>
            <w:r>
              <w:t>00</w:t>
            </w:r>
            <w:r w:rsidRPr="006D3E51">
              <w:t xml:space="preserve"> (</w:t>
            </w:r>
            <w:r>
              <w:t>757.23</w:t>
            </w:r>
            <w:r w:rsidRPr="006D3E51">
              <w:t>)</w:t>
            </w:r>
          </w:p>
          <w:p w14:paraId="57BB9C8E"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rsidRPr="006D3E51">
              <w:t>5</w:t>
            </w:r>
            <w:r>
              <w:t>88</w:t>
            </w:r>
            <w:r w:rsidRPr="006D3E51">
              <w:t>.</w:t>
            </w:r>
            <w:r>
              <w:t>5</w:t>
            </w:r>
            <w:r w:rsidRPr="006D3E51">
              <w:t>0 (444, 2269.7)</w:t>
            </w:r>
          </w:p>
        </w:tc>
        <w:tc>
          <w:tcPr>
            <w:tcW w:w="2358" w:type="dxa"/>
            <w:shd w:val="clear" w:color="auto" w:fill="auto"/>
          </w:tcPr>
          <w:p w14:paraId="5371D13F"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p>
          <w:p w14:paraId="507539AC"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rsidRPr="006D3E51">
              <w:t>262.75 (106.02)</w:t>
            </w:r>
          </w:p>
          <w:p w14:paraId="3C3268E1" w14:textId="77777777" w:rsidR="00AA678E" w:rsidRPr="006D3E51" w:rsidRDefault="00AA678E" w:rsidP="0035187D">
            <w:pPr>
              <w:pStyle w:val="TableText"/>
              <w:spacing w:after="120"/>
              <w:cnfStyle w:val="000000000000" w:firstRow="0" w:lastRow="0" w:firstColumn="0" w:lastColumn="0" w:oddVBand="0" w:evenVBand="0" w:oddHBand="0" w:evenHBand="0" w:firstRowFirstColumn="0" w:firstRowLastColumn="0" w:lastRowFirstColumn="0" w:lastRowLastColumn="0"/>
            </w:pPr>
            <w:r w:rsidRPr="006D3E51">
              <w:t>251.50 (140.5, 487)</w:t>
            </w:r>
          </w:p>
        </w:tc>
      </w:tr>
    </w:tbl>
    <w:p w14:paraId="6A08834A" w14:textId="77777777" w:rsidR="00AA678E" w:rsidRDefault="00AA678E" w:rsidP="00AA678E">
      <w:r>
        <w:t>One patient in the eculizumab-experienced cohort did not have baseline LDH ≤ 1.5 x ULN.</w:t>
      </w:r>
    </w:p>
    <w:p w14:paraId="4752B042" w14:textId="12442F7A" w:rsidR="00856026" w:rsidRDefault="00AA678E" w:rsidP="00AA678E">
      <w:bookmarkStart w:id="98" w:name="_Hlk99373244"/>
      <w:r w:rsidRPr="00800AC2">
        <w:t xml:space="preserve">The main efficacy results are summarised below in </w:t>
      </w:r>
      <w:r w:rsidRPr="00800AC2">
        <w:fldChar w:fldCharType="begin"/>
      </w:r>
      <w:r w:rsidRPr="00800AC2">
        <w:instrText xml:space="preserve"> REF _Ref95737460 \h  \* MERGEFORMAT </w:instrText>
      </w:r>
      <w:r w:rsidRPr="00800AC2">
        <w:fldChar w:fldCharType="separate"/>
      </w:r>
      <w:r w:rsidR="004C7A29">
        <w:t xml:space="preserve">Table </w:t>
      </w:r>
      <w:r w:rsidR="004C7A29">
        <w:rPr>
          <w:noProof/>
        </w:rPr>
        <w:t>21</w:t>
      </w:r>
      <w:r w:rsidRPr="00800AC2">
        <w:fldChar w:fldCharType="end"/>
      </w:r>
      <w:r w:rsidRPr="00800AC2">
        <w:t xml:space="preserve"> and </w:t>
      </w:r>
      <w:r w:rsidRPr="00800AC2">
        <w:fldChar w:fldCharType="begin"/>
      </w:r>
      <w:r w:rsidRPr="00800AC2">
        <w:instrText xml:space="preserve"> REF _Ref100595030 \h  \* MERGEFORMAT </w:instrText>
      </w:r>
      <w:r w:rsidRPr="00800AC2">
        <w:fldChar w:fldCharType="separate"/>
      </w:r>
      <w:r w:rsidR="004C7A29">
        <w:t xml:space="preserve">Figure </w:t>
      </w:r>
      <w:r w:rsidR="004C7A29">
        <w:rPr>
          <w:noProof/>
        </w:rPr>
        <w:t>9</w:t>
      </w:r>
      <w:r w:rsidRPr="00800AC2">
        <w:fldChar w:fldCharType="end"/>
      </w:r>
      <w:r w:rsidRPr="00800AC2">
        <w:t xml:space="preserve"> for the first 12 enrolled patients:</w:t>
      </w:r>
    </w:p>
    <w:p w14:paraId="4CD9D114" w14:textId="0740950E" w:rsidR="00AA678E" w:rsidRPr="0018439A" w:rsidRDefault="00AA678E" w:rsidP="00420B7B">
      <w:pPr>
        <w:pStyle w:val="TableTitle"/>
        <w:rPr>
          <w:noProof/>
        </w:rPr>
      </w:pPr>
      <w:bookmarkStart w:id="99" w:name="_Ref95737460"/>
      <w:bookmarkEnd w:id="98"/>
      <w:r>
        <w:lastRenderedPageBreak/>
        <w:t xml:space="preserve">Table </w:t>
      </w:r>
      <w:fldSimple w:instr=" SEQ Table \* ARABIC ">
        <w:r w:rsidR="004C7A29">
          <w:rPr>
            <w:noProof/>
          </w:rPr>
          <w:t>21</w:t>
        </w:r>
      </w:fldSimple>
      <w:bookmarkEnd w:id="99"/>
      <w:r>
        <w:rPr>
          <w:noProof/>
        </w:rPr>
        <w:t xml:space="preserve">: </w:t>
      </w:r>
      <w:r w:rsidR="00D7231D">
        <w:t xml:space="preserve">Study ALXN1210-PNH-304 </w:t>
      </w:r>
      <w:r w:rsidRPr="0018439A">
        <w:rPr>
          <w:noProof/>
        </w:rPr>
        <w:t xml:space="preserve">Summary of </w:t>
      </w:r>
      <w:r w:rsidR="00C40E1B">
        <w:rPr>
          <w:noProof/>
        </w:rPr>
        <w:t>e</w:t>
      </w:r>
      <w:r w:rsidRPr="0018439A">
        <w:rPr>
          <w:noProof/>
        </w:rPr>
        <w:t xml:space="preserve">fficacy </w:t>
      </w:r>
      <w:r w:rsidR="00C40E1B">
        <w:rPr>
          <w:noProof/>
        </w:rPr>
        <w:t>r</w:t>
      </w:r>
      <w:r w:rsidRPr="0018439A">
        <w:rPr>
          <w:noProof/>
        </w:rPr>
        <w:t xml:space="preserve">esults in </w:t>
      </w:r>
      <w:r w:rsidR="00C40E1B">
        <w:rPr>
          <w:noProof/>
        </w:rPr>
        <w:t>p</w:t>
      </w:r>
      <w:r w:rsidRPr="0018439A">
        <w:rPr>
          <w:noProof/>
        </w:rPr>
        <w:t xml:space="preserve">aediatric </w:t>
      </w:r>
      <w:r w:rsidR="00C40E1B">
        <w:rPr>
          <w:noProof/>
        </w:rPr>
        <w:t>p</w:t>
      </w:r>
      <w:r w:rsidRPr="0018439A">
        <w:rPr>
          <w:noProof/>
        </w:rPr>
        <w:t xml:space="preserve">atients with </w:t>
      </w:r>
      <w:r w:rsidR="00EE502A">
        <w:rPr>
          <w:noProof/>
        </w:rPr>
        <w:t>paroxysmal nocturnal haemoglobinuria</w:t>
      </w:r>
      <w:r w:rsidR="00D7231D" w:rsidRPr="0018439A">
        <w:rPr>
          <w:noProof/>
        </w:rPr>
        <w:t xml:space="preserve"> </w:t>
      </w:r>
      <w:r w:rsidR="00C40E1B">
        <w:rPr>
          <w:noProof/>
        </w:rPr>
        <w:t>t</w:t>
      </w:r>
      <w:r w:rsidRPr="0018439A">
        <w:rPr>
          <w:noProof/>
        </w:rPr>
        <w:t>hrough Primary Evaluation Period (</w:t>
      </w:r>
      <w:r w:rsidR="00AB0591" w:rsidRPr="00AB0591">
        <w:rPr>
          <w:noProof/>
        </w:rPr>
        <w:t>Full Analysis Set</w:t>
      </w:r>
      <w:r w:rsidRPr="0018439A">
        <w:rPr>
          <w:noProof/>
        </w:rPr>
        <w:t>)</w:t>
      </w:r>
    </w:p>
    <w:p w14:paraId="5B36BFF6" w14:textId="77777777" w:rsidR="00AA678E" w:rsidRPr="00FF293A" w:rsidRDefault="00AA678E" w:rsidP="00AA678E">
      <w:r>
        <w:rPr>
          <w:noProof/>
          <w:lang w:val="en-GB" w:eastAsia="en-GB"/>
        </w:rPr>
        <w:drawing>
          <wp:inline distT="0" distB="0" distL="0" distR="0" wp14:anchorId="3D465FBC" wp14:editId="339F3EBA">
            <wp:extent cx="5731510" cy="2626995"/>
            <wp:effectExtent l="0" t="0" r="2540" b="1905"/>
            <wp:docPr id="16" name="Picture 16" descr="This table shows a summary of efficacy results in paediatric patients with PNH through Primary Evaluation Period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table shows a summary of efficacy results in paediatric patients with PNH through Primary Evaluation Period (FAS)"/>
                    <pic:cNvPicPr/>
                  </pic:nvPicPr>
                  <pic:blipFill>
                    <a:blip r:embed="rId51"/>
                    <a:stretch>
                      <a:fillRect/>
                    </a:stretch>
                  </pic:blipFill>
                  <pic:spPr>
                    <a:xfrm>
                      <a:off x="0" y="0"/>
                      <a:ext cx="5731510" cy="2626995"/>
                    </a:xfrm>
                    <a:prstGeom prst="rect">
                      <a:avLst/>
                    </a:prstGeom>
                  </pic:spPr>
                </pic:pic>
              </a:graphicData>
            </a:graphic>
          </wp:inline>
        </w:drawing>
      </w:r>
    </w:p>
    <w:p w14:paraId="5E6F1615" w14:textId="73A0CE28" w:rsidR="00AA678E" w:rsidRPr="006642D4" w:rsidRDefault="00AA678E" w:rsidP="0035187D">
      <w:pPr>
        <w:pStyle w:val="TableDescription"/>
      </w:pPr>
      <w:proofErr w:type="spellStart"/>
      <w:proofErr w:type="gramStart"/>
      <w:r w:rsidRPr="006642D4">
        <w:rPr>
          <w:vertAlign w:val="superscript"/>
        </w:rPr>
        <w:t>a</w:t>
      </w:r>
      <w:proofErr w:type="spellEnd"/>
      <w:proofErr w:type="gramEnd"/>
      <w:r w:rsidRPr="006642D4">
        <w:t xml:space="preserve"> End of Primary Evaluation Period was defined as Day 183 for Study ALXN1210-PNH-304.</w:t>
      </w:r>
      <w:r w:rsidRPr="006642D4">
        <w:rPr>
          <w:vertAlign w:val="superscript"/>
        </w:rPr>
        <w:t xml:space="preserve"> b</w:t>
      </w:r>
      <w:r w:rsidRPr="006642D4">
        <w:t xml:space="preserve"> Transfusion avoidance was defined as patients who remained transfusion free and did not require a transfusion through Day 183 (Week 26). Percentages were based on the total number of patients in each cohort. </w:t>
      </w:r>
      <w:r w:rsidRPr="006642D4">
        <w:rPr>
          <w:vertAlign w:val="superscript"/>
        </w:rPr>
        <w:t>c</w:t>
      </w:r>
      <w:r w:rsidRPr="006642D4">
        <w:t xml:space="preserve"> Stabilized haemoglobin was defined as avoidance of a ≥ 2 g/dL </w:t>
      </w:r>
      <w:r w:rsidR="007E513E">
        <w:t>d</w:t>
      </w:r>
      <w:r w:rsidR="004B3190">
        <w:t>ec</w:t>
      </w:r>
      <w:r w:rsidRPr="006642D4">
        <w:t>ease in haemoglobin level from baseline in the absence of transfusion through Day 183 (Week 26). Percentages were based on the total number of patients in each cohort.</w:t>
      </w:r>
    </w:p>
    <w:p w14:paraId="5B1BEB7B" w14:textId="2F5A9E23" w:rsidR="00AA678E" w:rsidRDefault="00AA678E" w:rsidP="00420B7B">
      <w:pPr>
        <w:pStyle w:val="TableTitle"/>
      </w:pPr>
      <w:bookmarkStart w:id="100" w:name="_Ref99384873"/>
      <w:bookmarkStart w:id="101" w:name="_Ref100595030"/>
      <w:r>
        <w:t xml:space="preserve">Figure </w:t>
      </w:r>
      <w:fldSimple w:instr=" SEQ Figure \* ARABIC ">
        <w:r w:rsidR="004C7A29">
          <w:rPr>
            <w:noProof/>
          </w:rPr>
          <w:t>9</w:t>
        </w:r>
      </w:fldSimple>
      <w:bookmarkEnd w:id="100"/>
      <w:bookmarkEnd w:id="101"/>
      <w:r>
        <w:t xml:space="preserve">: </w:t>
      </w:r>
      <w:r w:rsidR="00D7231D">
        <w:t xml:space="preserve">Study ALXN1210-PNH-304 </w:t>
      </w:r>
      <w:r w:rsidRPr="00CD3B5A">
        <w:t xml:space="preserve">Mean (95% CI) </w:t>
      </w:r>
      <w:r w:rsidR="00387478">
        <w:t>p</w:t>
      </w:r>
      <w:r w:rsidRPr="00CD3B5A">
        <w:t xml:space="preserve">ercentage </w:t>
      </w:r>
      <w:r w:rsidR="00387478">
        <w:t>ch</w:t>
      </w:r>
      <w:r w:rsidRPr="00CD3B5A">
        <w:t xml:space="preserve">ange </w:t>
      </w:r>
      <w:r w:rsidR="00387478">
        <w:t>f</w:t>
      </w:r>
      <w:r w:rsidRPr="00CD3B5A">
        <w:t xml:space="preserve">rom </w:t>
      </w:r>
      <w:r w:rsidR="00387478">
        <w:t>b</w:t>
      </w:r>
      <w:r w:rsidRPr="00CD3B5A">
        <w:t xml:space="preserve">aseline in </w:t>
      </w:r>
      <w:r w:rsidR="00D7231D">
        <w:t>lactate dehydrogenase</w:t>
      </w:r>
      <w:r w:rsidR="00D7231D" w:rsidRPr="00CD3B5A">
        <w:t xml:space="preserve"> </w:t>
      </w:r>
      <w:r w:rsidR="00387478">
        <w:t>o</w:t>
      </w:r>
      <w:r w:rsidRPr="00CD3B5A">
        <w:t xml:space="preserve">ver </w:t>
      </w:r>
      <w:r w:rsidR="00387478">
        <w:t>t</w:t>
      </w:r>
      <w:r w:rsidRPr="00CD3B5A">
        <w:t>ime (</w:t>
      </w:r>
      <w:r w:rsidR="00AB0591" w:rsidRPr="00AB0591">
        <w:t>Full Analysis Set</w:t>
      </w:r>
      <w:r w:rsidRPr="00CD3B5A">
        <w:t>)</w:t>
      </w:r>
    </w:p>
    <w:p w14:paraId="5925C1AC" w14:textId="77777777" w:rsidR="00AA678E" w:rsidRDefault="00AA678E" w:rsidP="00AA678E">
      <w:r>
        <w:rPr>
          <w:noProof/>
          <w:lang w:val="en-GB" w:eastAsia="en-GB"/>
        </w:rPr>
        <w:drawing>
          <wp:inline distT="0" distB="0" distL="0" distR="0" wp14:anchorId="01DEEE47" wp14:editId="662F1D22">
            <wp:extent cx="5731510" cy="2443480"/>
            <wp:effectExtent l="0" t="0" r="2540" b="0"/>
            <wp:docPr id="6" name="Picture 6" descr="This figure shows mean (95% CI) percentage change from baseline in LDH over tim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figure shows mean (95% CI) percentage change from baseline in LDH over time (Full Analysis Set)."/>
                    <pic:cNvPicPr/>
                  </pic:nvPicPr>
                  <pic:blipFill>
                    <a:blip r:embed="rId52"/>
                    <a:stretch>
                      <a:fillRect/>
                    </a:stretch>
                  </pic:blipFill>
                  <pic:spPr>
                    <a:xfrm>
                      <a:off x="0" y="0"/>
                      <a:ext cx="5731510" cy="2443480"/>
                    </a:xfrm>
                    <a:prstGeom prst="rect">
                      <a:avLst/>
                    </a:prstGeom>
                  </pic:spPr>
                </pic:pic>
              </a:graphicData>
            </a:graphic>
          </wp:inline>
        </w:drawing>
      </w:r>
    </w:p>
    <w:p w14:paraId="1883C438" w14:textId="77777777" w:rsidR="00AA678E" w:rsidRPr="006642D4" w:rsidRDefault="00AA678E" w:rsidP="00721120">
      <w:pPr>
        <w:pStyle w:val="TableTitle"/>
      </w:pPr>
      <w:r w:rsidRPr="006642D4">
        <w:t>Note: Baseline for LDH was defined as the average of all available values prior to first ravulizumab infusion</w:t>
      </w:r>
    </w:p>
    <w:p w14:paraId="5B7E98E0" w14:textId="66708008" w:rsidR="00AA678E" w:rsidRPr="00800AC2" w:rsidRDefault="00AA678E" w:rsidP="00AA678E">
      <w:r w:rsidRPr="00800AC2">
        <w:t xml:space="preserve">The </w:t>
      </w:r>
      <w:r w:rsidR="002F02DC">
        <w:t>a</w:t>
      </w:r>
      <w:r w:rsidRPr="00800AC2">
        <w:t xml:space="preserve">ddendum to interim CSR included efficacy data for all </w:t>
      </w:r>
      <w:proofErr w:type="gramStart"/>
      <w:r w:rsidR="00FE589C">
        <w:t>five</w:t>
      </w:r>
      <w:r w:rsidRPr="00800AC2">
        <w:t xml:space="preserve"> complement</w:t>
      </w:r>
      <w:proofErr w:type="gramEnd"/>
      <w:r w:rsidRPr="00800AC2">
        <w:t xml:space="preserve"> inhibitor treatment-</w:t>
      </w:r>
      <w:r w:rsidR="00446075">
        <w:t>naive</w:t>
      </w:r>
      <w:r w:rsidRPr="00800AC2">
        <w:t xml:space="preserve"> patients for the Primary Evaluation Period:</w:t>
      </w:r>
    </w:p>
    <w:p w14:paraId="22BBAA69" w14:textId="78211688" w:rsidR="00AA678E" w:rsidRPr="00800AC2" w:rsidRDefault="00AA678E" w:rsidP="00721120">
      <w:pPr>
        <w:pStyle w:val="ListBullet"/>
      </w:pPr>
      <w:r w:rsidRPr="00800AC2">
        <w:t>The mean (SD) percent change from baseline in LDH on Day 183 was - 47.91 (</w:t>
      </w:r>
      <w:proofErr w:type="gramStart"/>
      <w:r w:rsidRPr="00800AC2">
        <w:t>52.716)%</w:t>
      </w:r>
      <w:proofErr w:type="gramEnd"/>
    </w:p>
    <w:p w14:paraId="14853A3D" w14:textId="797E6A78" w:rsidR="00AA678E" w:rsidRPr="00800AC2" w:rsidRDefault="0053297A" w:rsidP="00721120">
      <w:pPr>
        <w:pStyle w:val="ListBullet"/>
      </w:pPr>
      <w:r>
        <w:t>Three patients</w:t>
      </w:r>
      <w:r w:rsidR="00AA678E" w:rsidRPr="00800AC2">
        <w:t xml:space="preserve"> (60.0%) remained transfusion free</w:t>
      </w:r>
    </w:p>
    <w:p w14:paraId="5618038F" w14:textId="5431013E" w:rsidR="00AA678E" w:rsidRPr="00800AC2" w:rsidRDefault="0053297A" w:rsidP="00721120">
      <w:pPr>
        <w:pStyle w:val="ListBullet"/>
      </w:pPr>
      <w:r>
        <w:t>Three patients</w:t>
      </w:r>
      <w:r w:rsidR="00AA678E" w:rsidRPr="00800AC2">
        <w:t xml:space="preserve"> (60.0%) achieved </w:t>
      </w:r>
      <w:r w:rsidR="00B70E76" w:rsidRPr="00B70E76">
        <w:t>haemoglobin</w:t>
      </w:r>
      <w:r w:rsidR="00AA678E" w:rsidRPr="00800AC2">
        <w:t xml:space="preserve"> stabilisation</w:t>
      </w:r>
    </w:p>
    <w:p w14:paraId="724D7723" w14:textId="715EF74A" w:rsidR="00AA678E" w:rsidRDefault="00AA678E" w:rsidP="00FE589C">
      <w:pPr>
        <w:pStyle w:val="ListBullet"/>
      </w:pPr>
      <w:r w:rsidRPr="00F91643">
        <w:rPr>
          <w:lang w:eastAsia="ja-JP"/>
        </w:rPr>
        <w:lastRenderedPageBreak/>
        <w:t xml:space="preserve">There were no events of </w:t>
      </w:r>
      <w:r w:rsidR="0000270D" w:rsidRPr="0000270D">
        <w:rPr>
          <w:lang w:eastAsia="ja-JP"/>
        </w:rPr>
        <w:t>breakthrough haemolysis</w:t>
      </w:r>
      <w:r w:rsidRPr="00F91643">
        <w:rPr>
          <w:lang w:eastAsia="ja-JP"/>
        </w:rPr>
        <w:t xml:space="preserve"> during the Primary Evaluation Period</w:t>
      </w:r>
      <w:r>
        <w:rPr>
          <w:lang w:eastAsia="ja-JP"/>
        </w:rPr>
        <w:t>.</w:t>
      </w:r>
    </w:p>
    <w:p w14:paraId="20E07307" w14:textId="344AC247" w:rsidR="00AA678E" w:rsidRDefault="00AA678E" w:rsidP="00FE589C">
      <w:pPr>
        <w:pStyle w:val="ListBullet"/>
      </w:pPr>
      <w:r>
        <w:t xml:space="preserve">A </w:t>
      </w:r>
      <w:r w:rsidRPr="0053297A">
        <w:rPr>
          <w:i/>
          <w:iCs/>
        </w:rPr>
        <w:t xml:space="preserve">post hoc </w:t>
      </w:r>
      <w:r w:rsidRPr="008462E6">
        <w:t>analysis of LDH normalisation</w:t>
      </w:r>
      <w:r>
        <w:t xml:space="preserve"> </w:t>
      </w:r>
      <w:r w:rsidRPr="008462E6">
        <w:t xml:space="preserve">indicated that </w:t>
      </w:r>
      <w:r w:rsidR="00FE589C">
        <w:t>two</w:t>
      </w:r>
      <w:r w:rsidRPr="008462E6">
        <w:t xml:space="preserve"> of </w:t>
      </w:r>
      <w:r w:rsidR="00FE589C">
        <w:t>four</w:t>
      </w:r>
      <w:r w:rsidRPr="008462E6">
        <w:t xml:space="preserve"> (50%) complement inhibitor treatment-</w:t>
      </w:r>
      <w:r w:rsidR="00446075">
        <w:t>naive</w:t>
      </w:r>
      <w:r w:rsidRPr="008462E6">
        <w:t xml:space="preserve"> patients and </w:t>
      </w:r>
      <w:r w:rsidR="00FE589C">
        <w:t>four</w:t>
      </w:r>
      <w:r w:rsidRPr="008462E6">
        <w:t xml:space="preserve"> of </w:t>
      </w:r>
      <w:r w:rsidR="00FE589C">
        <w:t>eight</w:t>
      </w:r>
      <w:r w:rsidRPr="008462E6">
        <w:t xml:space="preserve"> (50%) eculizumab-experienced patients had normalised LDH values at Day 183</w:t>
      </w:r>
      <w:r>
        <w:t>.</w:t>
      </w:r>
    </w:p>
    <w:p w14:paraId="6234A67A" w14:textId="01ECA304" w:rsidR="00856026" w:rsidRDefault="00AA678E" w:rsidP="00FE589C">
      <w:pPr>
        <w:pStyle w:val="ListBullet"/>
      </w:pPr>
      <w:r w:rsidRPr="00800AC2">
        <w:t>Updated efficacy data for the Extension Period (data cut-off 4</w:t>
      </w:r>
      <w:r w:rsidR="00FE589C">
        <w:t xml:space="preserve"> </w:t>
      </w:r>
      <w:r w:rsidRPr="00800AC2">
        <w:t>March 2021) for the 13</w:t>
      </w:r>
      <w:r w:rsidR="00FE589C">
        <w:t> </w:t>
      </w:r>
      <w:r w:rsidRPr="00800AC2">
        <w:t>enrolled patients demonstrated:</w:t>
      </w:r>
    </w:p>
    <w:p w14:paraId="4C209751" w14:textId="1E93F582" w:rsidR="00AA678E" w:rsidRPr="00800AC2" w:rsidRDefault="00AA678E" w:rsidP="00FE589C">
      <w:pPr>
        <w:pStyle w:val="ListBullet2"/>
      </w:pPr>
      <w:r w:rsidRPr="00800AC2">
        <w:t>The mean (SD) percent change from baseline in LDH on Day 351 was - 54.46 (</w:t>
      </w:r>
      <w:proofErr w:type="gramStart"/>
      <w:r w:rsidRPr="00800AC2">
        <w:t>33.456)%</w:t>
      </w:r>
      <w:proofErr w:type="gramEnd"/>
      <w:r w:rsidRPr="00800AC2">
        <w:t xml:space="preserve"> in the complement inhibitor treatment-</w:t>
      </w:r>
      <w:r w:rsidR="00446075">
        <w:t>naive</w:t>
      </w:r>
      <w:r w:rsidRPr="00800AC2">
        <w:t xml:space="preserve"> group and - 8.48 (19.834)% in the eculizumab-experienced group.</w:t>
      </w:r>
    </w:p>
    <w:p w14:paraId="1959CC6E" w14:textId="208821F5" w:rsidR="00AA678E" w:rsidRPr="00800AC2" w:rsidRDefault="00FE589C" w:rsidP="00FE589C">
      <w:pPr>
        <w:pStyle w:val="ListBullet2"/>
      </w:pPr>
      <w:r>
        <w:t>Five</w:t>
      </w:r>
      <w:r w:rsidR="00AA678E" w:rsidRPr="00800AC2">
        <w:t xml:space="preserve"> (100.0%) complement inhibitor treatment-</w:t>
      </w:r>
      <w:r w:rsidR="00446075">
        <w:t>naive</w:t>
      </w:r>
      <w:r w:rsidR="00AA678E" w:rsidRPr="00800AC2">
        <w:t xml:space="preserve"> patients and </w:t>
      </w:r>
      <w:r>
        <w:t>seven</w:t>
      </w:r>
      <w:r w:rsidR="00AA678E" w:rsidRPr="00800AC2">
        <w:t xml:space="preserve"> (87.5%) eculizumab-experienced patients remained transfusion free.</w:t>
      </w:r>
    </w:p>
    <w:p w14:paraId="697219A2" w14:textId="77653A22" w:rsidR="00856026" w:rsidRDefault="00FE589C" w:rsidP="00FE589C">
      <w:pPr>
        <w:pStyle w:val="ListBullet2"/>
      </w:pPr>
      <w:r>
        <w:t>Five</w:t>
      </w:r>
      <w:r w:rsidR="00AA678E" w:rsidRPr="00800AC2">
        <w:t xml:space="preserve"> (100.0%) complement inhibitor treatment-</w:t>
      </w:r>
      <w:r w:rsidR="00446075">
        <w:t>naive</w:t>
      </w:r>
      <w:r w:rsidR="00AA678E" w:rsidRPr="00800AC2">
        <w:t xml:space="preserve"> patients and </w:t>
      </w:r>
      <w:r>
        <w:t>seven</w:t>
      </w:r>
      <w:r w:rsidR="00AA678E" w:rsidRPr="00800AC2">
        <w:t xml:space="preserve"> (87.5%) eculizumab-experienced patients achieved </w:t>
      </w:r>
      <w:r w:rsidR="00B70E76" w:rsidRPr="00B70E76">
        <w:t>haemoglobin</w:t>
      </w:r>
      <w:r w:rsidR="00AA678E" w:rsidRPr="00800AC2">
        <w:t xml:space="preserve"> stabilisation.</w:t>
      </w:r>
    </w:p>
    <w:p w14:paraId="3150338A" w14:textId="0FA83903" w:rsidR="00AA678E" w:rsidRPr="008A1762" w:rsidRDefault="00FE589C" w:rsidP="00FE589C">
      <w:pPr>
        <w:pStyle w:val="ListBullet2"/>
      </w:pPr>
      <w:r>
        <w:t>One</w:t>
      </w:r>
      <w:r w:rsidR="00AA678E" w:rsidRPr="008A1762">
        <w:t xml:space="preserve"> eculizumab-experienced patient experienced </w:t>
      </w:r>
      <w:r w:rsidR="0000270D" w:rsidRPr="0000270D">
        <w:t>breakthrough haemolysis</w:t>
      </w:r>
      <w:r w:rsidR="00AA678E" w:rsidRPr="008A1762">
        <w:t xml:space="preserve"> on Day</w:t>
      </w:r>
      <w:r>
        <w:t> </w:t>
      </w:r>
      <w:r w:rsidR="00AA678E" w:rsidRPr="008A1762">
        <w:t>666.</w:t>
      </w:r>
    </w:p>
    <w:p w14:paraId="29D8C8AE" w14:textId="0227E28B" w:rsidR="00856026" w:rsidRDefault="00AA678E" w:rsidP="00AA678E">
      <w:r w:rsidRPr="008A1762">
        <w:t xml:space="preserve">In line with measures agreed in the EU Paediatric Investigation Plan, the </w:t>
      </w:r>
      <w:r w:rsidR="00856026">
        <w:t>sponsor</w:t>
      </w:r>
      <w:r w:rsidRPr="008A1762">
        <w:t xml:space="preserve"> conducted an extrapolation exercise to bridge efficacy data</w:t>
      </w:r>
      <w:r w:rsidRPr="006666CC">
        <w:t xml:space="preserve"> </w:t>
      </w:r>
      <w:r w:rsidRPr="008A1762">
        <w:t>for the Primary Evaluation Period from paediatric patients with PNH to supplementary data for the Primary Evaluation Period from</w:t>
      </w:r>
      <w:r>
        <w:t xml:space="preserve"> </w:t>
      </w:r>
      <w:r w:rsidR="00FE589C">
        <w:t>four</w:t>
      </w:r>
      <w:r>
        <w:t xml:space="preserve"> </w:t>
      </w:r>
      <w:r w:rsidRPr="007E513E">
        <w:t>ravulizumab studies in adult patients with PNH</w:t>
      </w:r>
      <w:r w:rsidR="00D7231D">
        <w:t>; some of which were previously evaluated in the submission for initial registration of Ultomiris.</w:t>
      </w:r>
      <w:r w:rsidR="00D7231D" w:rsidRPr="0035187D">
        <w:rPr>
          <w:vertAlign w:val="superscript"/>
        </w:rPr>
        <w:fldChar w:fldCharType="begin"/>
      </w:r>
      <w:r w:rsidR="00D7231D" w:rsidRPr="0035187D">
        <w:rPr>
          <w:vertAlign w:val="superscript"/>
        </w:rPr>
        <w:instrText xml:space="preserve"> NOTEREF _Ref135308371 \h </w:instrText>
      </w:r>
      <w:r w:rsidR="00D7231D">
        <w:rPr>
          <w:vertAlign w:val="superscript"/>
        </w:rPr>
        <w:instrText xml:space="preserve"> \* MERGEFORMAT </w:instrText>
      </w:r>
      <w:r w:rsidR="00D7231D" w:rsidRPr="0035187D">
        <w:rPr>
          <w:vertAlign w:val="superscript"/>
        </w:rPr>
      </w:r>
      <w:r w:rsidR="00D7231D" w:rsidRPr="0035187D">
        <w:rPr>
          <w:vertAlign w:val="superscript"/>
        </w:rPr>
        <w:fldChar w:fldCharType="separate"/>
      </w:r>
      <w:r w:rsidR="00D7231D" w:rsidRPr="0035187D">
        <w:rPr>
          <w:vertAlign w:val="superscript"/>
        </w:rPr>
        <w:t>10</w:t>
      </w:r>
      <w:r w:rsidR="00D7231D" w:rsidRPr="0035187D">
        <w:rPr>
          <w:vertAlign w:val="superscript"/>
        </w:rPr>
        <w:fldChar w:fldCharType="end"/>
      </w:r>
      <w:r w:rsidRPr="007E513E">
        <w:t xml:space="preserve"> </w:t>
      </w:r>
      <w:r w:rsidR="00D7231D">
        <w:t xml:space="preserve">These four studies were: the </w:t>
      </w:r>
      <w:r w:rsidRPr="007E513E">
        <w:t xml:space="preserve">Phase </w:t>
      </w:r>
      <w:proofErr w:type="spellStart"/>
      <w:r w:rsidR="00FE589C" w:rsidRPr="007E513E">
        <w:t>I</w:t>
      </w:r>
      <w:r w:rsidRPr="007E513E">
        <w:t>b</w:t>
      </w:r>
      <w:proofErr w:type="spellEnd"/>
      <w:r w:rsidRPr="007E513E">
        <w:t xml:space="preserve"> dose escalation Study </w:t>
      </w:r>
      <w:r w:rsidR="007E513E" w:rsidRPr="007E513E">
        <w:t>ALXN1210-PNH-103</w:t>
      </w:r>
      <w:r w:rsidR="00D7231D">
        <w:t>; the</w:t>
      </w:r>
      <w:r w:rsidRPr="007E513E">
        <w:t xml:space="preserve"> Phase </w:t>
      </w:r>
      <w:r w:rsidR="00FE589C" w:rsidRPr="007E513E">
        <w:t>II</w:t>
      </w:r>
      <w:r w:rsidRPr="007E513E">
        <w:t xml:space="preserve"> Study </w:t>
      </w:r>
      <w:r w:rsidR="007E513E" w:rsidRPr="007E513E">
        <w:t>ALXN1210-PNH-201</w:t>
      </w:r>
      <w:r w:rsidR="00D7231D">
        <w:t>,</w:t>
      </w:r>
      <w:r w:rsidRPr="007E513E">
        <w:t xml:space="preserve"> and </w:t>
      </w:r>
      <w:r w:rsidR="00B8491F" w:rsidRPr="007E513E">
        <w:t>Phase III</w:t>
      </w:r>
      <w:r w:rsidRPr="007E513E">
        <w:t xml:space="preserve"> Study </w:t>
      </w:r>
      <w:r w:rsidR="007E513E" w:rsidRPr="007E513E">
        <w:t>ALXN1210-PNH-301</w:t>
      </w:r>
      <w:r w:rsidRPr="007E513E">
        <w:t xml:space="preserve"> in complement inhibitor treatment-</w:t>
      </w:r>
      <w:r w:rsidR="00446075" w:rsidRPr="007E513E">
        <w:t>naive</w:t>
      </w:r>
      <w:r w:rsidRPr="007E513E">
        <w:t xml:space="preserve"> adults</w:t>
      </w:r>
      <w:r w:rsidR="00D7231D">
        <w:t>;</w:t>
      </w:r>
      <w:r w:rsidRPr="007E513E">
        <w:t xml:space="preserve"> and </w:t>
      </w:r>
      <w:r w:rsidR="00B8491F" w:rsidRPr="007E513E">
        <w:t>Phase III</w:t>
      </w:r>
      <w:r w:rsidRPr="007E513E">
        <w:t xml:space="preserve"> Study</w:t>
      </w:r>
      <w:r w:rsidR="00D7231D">
        <w:t> </w:t>
      </w:r>
      <w:r w:rsidR="007E513E" w:rsidRPr="007E513E">
        <w:t>ALXN1210-PNH-30</w:t>
      </w:r>
      <w:r w:rsidR="007E513E">
        <w:t>2</w:t>
      </w:r>
      <w:r w:rsidRPr="00137145">
        <w:t xml:space="preserve"> in eculizumab-experienced adults)</w:t>
      </w:r>
      <w:r w:rsidR="00D7231D">
        <w:t>.</w:t>
      </w:r>
      <w:r w:rsidRPr="00137145">
        <w:t xml:space="preserve"> The </w:t>
      </w:r>
      <w:r w:rsidR="00856026">
        <w:t>sponsor</w:t>
      </w:r>
      <w:r w:rsidRPr="00137145">
        <w:t xml:space="preserve"> considered the similar inclusion/exclusion criteria, study endpoints and visit schedules for the </w:t>
      </w:r>
      <w:r w:rsidR="00B8491F">
        <w:t>Phase III</w:t>
      </w:r>
      <w:r w:rsidRPr="00137145">
        <w:t xml:space="preserve"> paediatric and adult PNH studies through the Primary Evaluation Period in the extrapolation plan.</w:t>
      </w:r>
    </w:p>
    <w:p w14:paraId="6BEC4DE9" w14:textId="4F2AACB0" w:rsidR="00AA678E" w:rsidRDefault="00AA678E" w:rsidP="00AA678E">
      <w:r>
        <w:t>Efficacy responses were also provided separately for adolescents (</w:t>
      </w:r>
      <w:r w:rsidR="00FE589C">
        <w:t>three</w:t>
      </w:r>
      <w:r>
        <w:t xml:space="preserve"> complement inhibitor treatment-</w:t>
      </w:r>
      <w:r w:rsidR="00446075">
        <w:t>naive</w:t>
      </w:r>
      <w:r>
        <w:t xml:space="preserve"> and </w:t>
      </w:r>
      <w:r w:rsidR="00FE589C">
        <w:t>seven</w:t>
      </w:r>
      <w:r>
        <w:t xml:space="preserve"> eculizumab-experienced) and children (</w:t>
      </w:r>
      <w:r w:rsidR="00FE589C">
        <w:t>one</w:t>
      </w:r>
      <w:r>
        <w:t xml:space="preserve"> each complement inhibitor treatment-</w:t>
      </w:r>
      <w:r w:rsidR="00446075">
        <w:t>naive</w:t>
      </w:r>
      <w:r>
        <w:t xml:space="preserve"> eculizumab-experienced) </w:t>
      </w:r>
      <w:r w:rsidRPr="00B36EC1">
        <w:t>based on data for the first 12 patients completing the Primary Evaluation Period</w:t>
      </w:r>
      <w:r>
        <w:t xml:space="preserve"> (in addition to the overall population as above in </w:t>
      </w:r>
      <w:r>
        <w:fldChar w:fldCharType="begin"/>
      </w:r>
      <w:r>
        <w:instrText xml:space="preserve"> REF _Ref95737460 \h </w:instrText>
      </w:r>
      <w:r>
        <w:fldChar w:fldCharType="separate"/>
      </w:r>
      <w:r w:rsidR="004C7A29">
        <w:t xml:space="preserve">Table </w:t>
      </w:r>
      <w:r w:rsidR="004C7A29">
        <w:rPr>
          <w:noProof/>
        </w:rPr>
        <w:t>21</w:t>
      </w:r>
      <w:r>
        <w:fldChar w:fldCharType="end"/>
      </w:r>
      <w:r>
        <w:t>)</w:t>
      </w:r>
      <w:r w:rsidR="00D7231D">
        <w:t>.</w:t>
      </w:r>
    </w:p>
    <w:p w14:paraId="6375D0D0" w14:textId="6F37042E" w:rsidR="00AA678E" w:rsidRDefault="00AA678E" w:rsidP="00420B7B">
      <w:pPr>
        <w:pStyle w:val="TableTitle"/>
      </w:pPr>
      <w:r>
        <w:lastRenderedPageBreak/>
        <w:t xml:space="preserve">Table </w:t>
      </w:r>
      <w:fldSimple w:instr=" SEQ Table \* ARABIC ">
        <w:r w:rsidR="004C7A29">
          <w:rPr>
            <w:noProof/>
          </w:rPr>
          <w:t>22</w:t>
        </w:r>
      </w:fldSimple>
      <w:r>
        <w:t xml:space="preserve">: </w:t>
      </w:r>
      <w:r w:rsidR="00D7231D">
        <w:t xml:space="preserve">Study ALXN1210-PNH-304 </w:t>
      </w:r>
      <w:r w:rsidRPr="005B4BB3">
        <w:t xml:space="preserve">Efficacy </w:t>
      </w:r>
      <w:r w:rsidR="00AB0591">
        <w:t>r</w:t>
      </w:r>
      <w:r w:rsidRPr="005B4BB3">
        <w:t xml:space="preserve">esponse in </w:t>
      </w:r>
      <w:r w:rsidR="00AB0591">
        <w:t>a</w:t>
      </w:r>
      <w:r w:rsidRPr="005B4BB3">
        <w:t xml:space="preserve">dolescents </w:t>
      </w:r>
      <w:r w:rsidR="00AB0591">
        <w:t>w</w:t>
      </w:r>
      <w:r w:rsidRPr="005B4BB3">
        <w:t xml:space="preserve">ith </w:t>
      </w:r>
      <w:r w:rsidR="00EE502A">
        <w:t>paroxysmal nocturnal haemoglobinuria</w:t>
      </w:r>
      <w:r w:rsidR="00D7231D" w:rsidRPr="005B4BB3">
        <w:t xml:space="preserve"> </w:t>
      </w:r>
      <w:r w:rsidR="00AB0591">
        <w:t>t</w:t>
      </w:r>
      <w:r w:rsidRPr="005B4BB3">
        <w:t xml:space="preserve">hrough </w:t>
      </w:r>
      <w:r w:rsidR="00AB0591">
        <w:t>P</w:t>
      </w:r>
      <w:r w:rsidRPr="005B4BB3">
        <w:t>rimary Evaluation Period</w:t>
      </w:r>
      <w:r w:rsidR="00AB0591">
        <w:t xml:space="preserve"> (</w:t>
      </w:r>
      <w:r w:rsidR="00AB0591" w:rsidRPr="00AB0591">
        <w:t>Full Analysis Set</w:t>
      </w:r>
      <w:r w:rsidR="00AB0591">
        <w:t>)</w:t>
      </w:r>
    </w:p>
    <w:p w14:paraId="1E6D6234" w14:textId="3C37CE14" w:rsidR="00AF31D8" w:rsidRDefault="004C7A29" w:rsidP="00721120">
      <w:r>
        <w:rPr>
          <w:noProof/>
          <w:lang w:val="en-GB" w:eastAsia="en-GB"/>
        </w:rPr>
        <w:drawing>
          <wp:inline distT="0" distB="0" distL="0" distR="0" wp14:anchorId="43E9BA7E" wp14:editId="66AA8AE1">
            <wp:extent cx="5759450" cy="2432685"/>
            <wp:effectExtent l="0" t="0" r="0" b="5715"/>
            <wp:docPr id="10" name="Picture 10" descr="Table 22: Study ALXN1210-PNH-304 Efficacy response in adolescents with paroxysmal nocturnal haemoglobinuria through Primary Evaluation Perio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22: Study ALXN1210-PNH-304 Efficacy response in adolescents with paroxysmal nocturnal haemoglobinuria through Primary Evaluation Period (Full Analysis Set)"/>
                    <pic:cNvPicPr/>
                  </pic:nvPicPr>
                  <pic:blipFill>
                    <a:blip r:embed="rId53"/>
                    <a:stretch>
                      <a:fillRect/>
                    </a:stretch>
                  </pic:blipFill>
                  <pic:spPr>
                    <a:xfrm>
                      <a:off x="0" y="0"/>
                      <a:ext cx="5759450" cy="2432685"/>
                    </a:xfrm>
                    <a:prstGeom prst="rect">
                      <a:avLst/>
                    </a:prstGeom>
                  </pic:spPr>
                </pic:pic>
              </a:graphicData>
            </a:graphic>
          </wp:inline>
        </w:drawing>
      </w:r>
    </w:p>
    <w:p w14:paraId="60050C07" w14:textId="6FB701E7" w:rsidR="000008B6" w:rsidRDefault="000008B6" w:rsidP="0035187D">
      <w:pPr>
        <w:pStyle w:val="TableDescription"/>
      </w:pPr>
      <w:r>
        <w:t>Abbreviation: LDH = lactate dehydrogenase; TA = transfusion avoidance.</w:t>
      </w:r>
    </w:p>
    <w:p w14:paraId="48A876E5" w14:textId="02901635" w:rsidR="00AA678E" w:rsidRDefault="00AA678E" w:rsidP="0035187D">
      <w:pPr>
        <w:pStyle w:val="TableDescription"/>
      </w:pPr>
      <w:r w:rsidRPr="005B4BB3">
        <w:rPr>
          <w:vertAlign w:val="superscript"/>
        </w:rPr>
        <w:t>a</w:t>
      </w:r>
      <w:r w:rsidRPr="005B4BB3">
        <w:t xml:space="preserve"> Sample haemolysed without any associated signs and symptoms.</w:t>
      </w:r>
    </w:p>
    <w:p w14:paraId="6CB097A3" w14:textId="24114AFB" w:rsidR="00D7231D" w:rsidRDefault="00D7231D" w:rsidP="0035187D">
      <w:pPr>
        <w:pStyle w:val="TableDescription"/>
      </w:pPr>
      <w:r>
        <w:t xml:space="preserve">Note: </w:t>
      </w:r>
      <w:r w:rsidRPr="00D7231D">
        <w:t>The Functional Assessment of Chronic Illness Therapy – Fatigue Scale (FACIT-Fatigue) is a 13-item measure that assesses self-reported fatigue and its impact upon daily activities and function.</w:t>
      </w:r>
    </w:p>
    <w:p w14:paraId="71964255" w14:textId="0194FDAA" w:rsidR="00AA678E" w:rsidRDefault="00AA678E" w:rsidP="00AB0591">
      <w:pPr>
        <w:pStyle w:val="TableTitle"/>
      </w:pPr>
      <w:r>
        <w:t xml:space="preserve">Table </w:t>
      </w:r>
      <w:fldSimple w:instr=" SEQ Table \* ARABIC ">
        <w:r w:rsidR="004C7A29">
          <w:rPr>
            <w:noProof/>
          </w:rPr>
          <w:t>23</w:t>
        </w:r>
      </w:fldSimple>
      <w:r>
        <w:t xml:space="preserve">: </w:t>
      </w:r>
      <w:r w:rsidRPr="005B4BB3">
        <w:t xml:space="preserve">Efficacy </w:t>
      </w:r>
      <w:r w:rsidR="00AB0591">
        <w:t>r</w:t>
      </w:r>
      <w:r w:rsidRPr="005B4BB3">
        <w:t xml:space="preserve">esponse in </w:t>
      </w:r>
      <w:r w:rsidR="00AB0591">
        <w:t>c</w:t>
      </w:r>
      <w:r w:rsidRPr="005B4BB3">
        <w:t xml:space="preserve">hildren </w:t>
      </w:r>
      <w:r w:rsidR="00AB0591">
        <w:t>w</w:t>
      </w:r>
      <w:r w:rsidRPr="005B4BB3">
        <w:t xml:space="preserve">ith PNH in </w:t>
      </w:r>
      <w:r w:rsidR="002F02DC">
        <w:t>Study ALXN1210-PNH-304</w:t>
      </w:r>
      <w:r w:rsidRPr="005B4BB3">
        <w:t xml:space="preserve"> </w:t>
      </w:r>
      <w:r w:rsidR="00AB0591">
        <w:t>t</w:t>
      </w:r>
      <w:r w:rsidRPr="005B4BB3">
        <w:t>hrough Primary Evaluation Period</w:t>
      </w:r>
      <w:r w:rsidR="00AB0591">
        <w:t xml:space="preserve"> (</w:t>
      </w:r>
      <w:r w:rsidR="00AB0591" w:rsidRPr="00AB0591">
        <w:t>Full Analysis Set</w:t>
      </w:r>
      <w:r w:rsidR="00AB0591">
        <w:t>)</w:t>
      </w:r>
    </w:p>
    <w:p w14:paraId="43EEE759" w14:textId="5D393C42" w:rsidR="004C7A29" w:rsidRDefault="004C7A29" w:rsidP="00721120">
      <w:r>
        <w:rPr>
          <w:noProof/>
          <w:lang w:val="en-GB" w:eastAsia="en-GB"/>
        </w:rPr>
        <w:drawing>
          <wp:inline distT="0" distB="0" distL="0" distR="0" wp14:anchorId="77C9A370" wp14:editId="59946173">
            <wp:extent cx="5759450" cy="1355090"/>
            <wp:effectExtent l="0" t="0" r="0" b="0"/>
            <wp:docPr id="15" name="Picture 15" descr="Table 23: Efficacy response in children with PNH in Study ALXN1210-PNH-304 through Primary Evaluation Perio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23: Efficacy response in children with PNH in Study ALXN1210-PNH-304 through Primary Evaluation Period (Full Analysis Set)"/>
                    <pic:cNvPicPr/>
                  </pic:nvPicPr>
                  <pic:blipFill>
                    <a:blip r:embed="rId54"/>
                    <a:stretch>
                      <a:fillRect/>
                    </a:stretch>
                  </pic:blipFill>
                  <pic:spPr>
                    <a:xfrm>
                      <a:off x="0" y="0"/>
                      <a:ext cx="5759450" cy="1355090"/>
                    </a:xfrm>
                    <a:prstGeom prst="rect">
                      <a:avLst/>
                    </a:prstGeom>
                  </pic:spPr>
                </pic:pic>
              </a:graphicData>
            </a:graphic>
          </wp:inline>
        </w:drawing>
      </w:r>
    </w:p>
    <w:p w14:paraId="48BF2545" w14:textId="1321DAA3" w:rsidR="000008B6" w:rsidRDefault="000008B6" w:rsidP="000008B6">
      <w:pPr>
        <w:pStyle w:val="TableDescription"/>
      </w:pPr>
      <w:r>
        <w:t>Abbreviation: LDH = lactate dehydrogenase; TA = transfusion avoidance.</w:t>
      </w:r>
    </w:p>
    <w:p w14:paraId="6805A2A2" w14:textId="77777777" w:rsidR="000008B6" w:rsidRDefault="000008B6" w:rsidP="000008B6">
      <w:pPr>
        <w:pStyle w:val="TableDescription"/>
      </w:pPr>
      <w:r w:rsidRPr="005B4BB3">
        <w:rPr>
          <w:vertAlign w:val="superscript"/>
        </w:rPr>
        <w:t>a</w:t>
      </w:r>
      <w:r w:rsidRPr="005B4BB3">
        <w:t xml:space="preserve"> Sample haemolysed without any associated signs and symptoms.</w:t>
      </w:r>
    </w:p>
    <w:p w14:paraId="1DA8B234" w14:textId="61E2696D" w:rsidR="000008B6" w:rsidRDefault="000008B6" w:rsidP="0035187D">
      <w:pPr>
        <w:pStyle w:val="TableDescription"/>
      </w:pPr>
      <w:r>
        <w:t xml:space="preserve">Note: </w:t>
      </w:r>
      <w:r w:rsidRPr="00D7231D">
        <w:t>The Functional Assessment of Chronic Illness Therapy – Fatigue Scale (FACIT-Fatigue) is a 13-item measure that assesses self-reported fatigue and its impact upon daily activities and function.</w:t>
      </w:r>
    </w:p>
    <w:p w14:paraId="34D6A0ED" w14:textId="5D34639C" w:rsidR="00AA678E" w:rsidRPr="00101CF1" w:rsidRDefault="00AA678E" w:rsidP="00AA678E">
      <w:r w:rsidRPr="00360B2C">
        <w:t xml:space="preserve">Similar trends in terms of reduction in LDH from baseline, </w:t>
      </w:r>
      <w:r w:rsidR="0000270D">
        <w:t>transfusion avoidance</w:t>
      </w:r>
      <w:r w:rsidRPr="00360B2C">
        <w:t xml:space="preserve"> and </w:t>
      </w:r>
      <w:r w:rsidR="00B70E76" w:rsidRPr="00B70E76">
        <w:t>haemoglobin</w:t>
      </w:r>
      <w:r w:rsidRPr="00360B2C">
        <w:t xml:space="preserve"> stabilisation were observed for paediatric patients with PNH and adult patients with PNH:</w:t>
      </w:r>
    </w:p>
    <w:p w14:paraId="6A08E657" w14:textId="14CD60C8" w:rsidR="00FE2164" w:rsidRDefault="00AA678E" w:rsidP="00420B7B">
      <w:pPr>
        <w:pStyle w:val="TableTitle"/>
        <w:rPr>
          <w:noProof/>
        </w:rPr>
      </w:pPr>
      <w:r>
        <w:lastRenderedPageBreak/>
        <w:t xml:space="preserve">Table </w:t>
      </w:r>
      <w:fldSimple w:instr=" SEQ Table \* ARABIC ">
        <w:r w:rsidR="004C7A29">
          <w:rPr>
            <w:noProof/>
          </w:rPr>
          <w:t>24</w:t>
        </w:r>
      </w:fldSimple>
      <w:r>
        <w:t xml:space="preserve">: </w:t>
      </w:r>
      <w:r w:rsidRPr="00792A6D">
        <w:t xml:space="preserve">Overview of </w:t>
      </w:r>
      <w:r w:rsidR="00AB0591">
        <w:t>p</w:t>
      </w:r>
      <w:r w:rsidRPr="00792A6D">
        <w:t xml:space="preserve">opulation </w:t>
      </w:r>
      <w:r w:rsidR="00AB0591">
        <w:t>c</w:t>
      </w:r>
      <w:r w:rsidRPr="00792A6D">
        <w:t xml:space="preserve">haracteristics and </w:t>
      </w:r>
      <w:r w:rsidR="00AB0591">
        <w:t>e</w:t>
      </w:r>
      <w:r w:rsidRPr="00792A6D">
        <w:t xml:space="preserve">fficacy </w:t>
      </w:r>
      <w:r w:rsidR="00AB0591">
        <w:t>r</w:t>
      </w:r>
      <w:r w:rsidRPr="00792A6D">
        <w:t xml:space="preserve">esults for Phase </w:t>
      </w:r>
      <w:proofErr w:type="spellStart"/>
      <w:r w:rsidR="00AB0591">
        <w:t>I</w:t>
      </w:r>
      <w:r w:rsidRPr="00792A6D">
        <w:t>b</w:t>
      </w:r>
      <w:proofErr w:type="spellEnd"/>
      <w:r w:rsidRPr="00792A6D">
        <w:t>/</w:t>
      </w:r>
      <w:r w:rsidR="00AB0591">
        <w:t>II</w:t>
      </w:r>
      <w:r w:rsidRPr="00792A6D">
        <w:t xml:space="preserve"> and </w:t>
      </w:r>
      <w:r w:rsidR="00B8491F">
        <w:t>Phase III</w:t>
      </w:r>
      <w:r w:rsidRPr="00792A6D">
        <w:t xml:space="preserve"> </w:t>
      </w:r>
      <w:r w:rsidR="00AB0591">
        <w:t>r</w:t>
      </w:r>
      <w:r w:rsidRPr="00792A6D">
        <w:t xml:space="preserve">avulizumab </w:t>
      </w:r>
      <w:r w:rsidR="00AB0591">
        <w:t>s</w:t>
      </w:r>
      <w:r w:rsidRPr="00792A6D">
        <w:t xml:space="preserve">tudies in </w:t>
      </w:r>
      <w:r w:rsidR="00AB0591">
        <w:t>a</w:t>
      </w:r>
      <w:r w:rsidRPr="00792A6D">
        <w:t xml:space="preserve">dult </w:t>
      </w:r>
      <w:r w:rsidR="00AB0591">
        <w:t>p</w:t>
      </w:r>
      <w:r w:rsidRPr="00792A6D">
        <w:t xml:space="preserve">atients </w:t>
      </w:r>
      <w:r w:rsidR="00AB0591">
        <w:t>w</w:t>
      </w:r>
      <w:r w:rsidRPr="00792A6D">
        <w:t xml:space="preserve">ith </w:t>
      </w:r>
      <w:r w:rsidR="00EE502A">
        <w:t>paroxysmal nocturnal haemoglobinuria</w:t>
      </w:r>
    </w:p>
    <w:p w14:paraId="173CBD40" w14:textId="4EC155E4" w:rsidR="00FE2164" w:rsidRDefault="00FE2164" w:rsidP="0035187D">
      <w:pPr>
        <w:spacing w:after="0"/>
        <w:rPr>
          <w:noProof/>
        </w:rPr>
      </w:pPr>
      <w:r>
        <w:rPr>
          <w:noProof/>
          <w:lang w:val="en-GB" w:eastAsia="en-GB"/>
        </w:rPr>
        <w:drawing>
          <wp:inline distT="0" distB="0" distL="0" distR="0" wp14:anchorId="5D81A7EA" wp14:editId="479272AE">
            <wp:extent cx="5504155" cy="4450052"/>
            <wp:effectExtent l="0" t="0" r="1905" b="8255"/>
            <wp:docPr id="19" name="Picture 19" descr="Table 24: Overview of population characteristics and efficacy results for Phase Ib/II and Phase III ravulizumab studies in adult patients with paroxysmal nocturnal haemoglobinu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24: Overview of population characteristics and efficacy results for Phase Ib/II and Phase III ravulizumab studies in adult patients with paroxysmal nocturnal haemoglobinuria"/>
                    <pic:cNvPicPr/>
                  </pic:nvPicPr>
                  <pic:blipFill>
                    <a:blip r:embed="rId55"/>
                    <a:stretch>
                      <a:fillRect/>
                    </a:stretch>
                  </pic:blipFill>
                  <pic:spPr>
                    <a:xfrm>
                      <a:off x="0" y="0"/>
                      <a:ext cx="5539646" cy="4478746"/>
                    </a:xfrm>
                    <a:prstGeom prst="rect">
                      <a:avLst/>
                    </a:prstGeom>
                  </pic:spPr>
                </pic:pic>
              </a:graphicData>
            </a:graphic>
          </wp:inline>
        </w:drawing>
      </w:r>
    </w:p>
    <w:p w14:paraId="27F1971F" w14:textId="7D472D6C" w:rsidR="00FE2164" w:rsidRDefault="00FE2164" w:rsidP="00721120">
      <w:pPr>
        <w:rPr>
          <w:noProof/>
        </w:rPr>
      </w:pPr>
      <w:r>
        <w:rPr>
          <w:noProof/>
          <w:lang w:val="en-GB" w:eastAsia="en-GB"/>
        </w:rPr>
        <w:drawing>
          <wp:inline distT="0" distB="0" distL="0" distR="0" wp14:anchorId="2EA68511" wp14:editId="50EC7356">
            <wp:extent cx="5477522" cy="2232075"/>
            <wp:effectExtent l="0" t="0" r="8890" b="0"/>
            <wp:docPr id="22" name="Picture 22" descr="Table 24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 24 continued"/>
                    <pic:cNvPicPr/>
                  </pic:nvPicPr>
                  <pic:blipFill>
                    <a:blip r:embed="rId56"/>
                    <a:stretch>
                      <a:fillRect/>
                    </a:stretch>
                  </pic:blipFill>
                  <pic:spPr>
                    <a:xfrm>
                      <a:off x="0" y="0"/>
                      <a:ext cx="5528966" cy="2253038"/>
                    </a:xfrm>
                    <a:prstGeom prst="rect">
                      <a:avLst/>
                    </a:prstGeom>
                  </pic:spPr>
                </pic:pic>
              </a:graphicData>
            </a:graphic>
          </wp:inline>
        </w:drawing>
      </w:r>
    </w:p>
    <w:p w14:paraId="141CA7A0" w14:textId="77777777" w:rsidR="00AA678E" w:rsidRPr="00792A6D" w:rsidRDefault="00AA678E" w:rsidP="0035187D">
      <w:pPr>
        <w:pStyle w:val="TableDescription"/>
      </w:pPr>
      <w:proofErr w:type="spellStart"/>
      <w:r w:rsidRPr="00792A6D">
        <w:rPr>
          <w:vertAlign w:val="superscript"/>
        </w:rPr>
        <w:t>a</w:t>
      </w:r>
      <w:proofErr w:type="spellEnd"/>
      <w:r w:rsidRPr="00792A6D">
        <w:t xml:space="preserve"> End of Primary Evaluation Period was defined as Day 169 for Study ALXN1210-PNH-103, Day 253 (Cohorts 1 through 3) or Day 281 (Cohort 4) for Study ALXN1210-PNH-201, and Day 183 for Studies ALXN1210-PNH-301 and ALXN1210-PNH-302</w:t>
      </w:r>
      <w:r>
        <w:t xml:space="preserve"> </w:t>
      </w:r>
      <w:r w:rsidRPr="006F3E5D">
        <w:rPr>
          <w:vertAlign w:val="superscript"/>
        </w:rPr>
        <w:t>b</w:t>
      </w:r>
      <w:r w:rsidRPr="006F3E5D">
        <w:t xml:space="preserve"> Transfusion avoidance was defined as the proportion of patients who remained transfusion free and did not require a transfusion per protocol-specified guidelines (haemoglobin value of ≤ 9 g/dL with signs or symptoms of sufficient severity to warrant a transfusion, or a haemoglobin value of ≤ 7 g/dL regardless of presence of clinical signs or symptoms) through Day 183 (Week 26). Patients who withdrew from the study during Primary Evaluation Period due to lack of efficacy were considered as non</w:t>
      </w:r>
      <w:r>
        <w:t>-</w:t>
      </w:r>
      <w:r w:rsidRPr="006F3E5D">
        <w:t>responders and counted in the group requiring transfusions</w:t>
      </w:r>
    </w:p>
    <w:p w14:paraId="048D9241" w14:textId="77777777" w:rsidR="00AA678E" w:rsidRDefault="00AA678E" w:rsidP="00AA678E">
      <w:pPr>
        <w:pStyle w:val="Heading4"/>
      </w:pPr>
      <w:bookmarkStart w:id="102" w:name="_Toc135662384"/>
      <w:r w:rsidRPr="00AA53F4">
        <w:lastRenderedPageBreak/>
        <w:t>Safety</w:t>
      </w:r>
      <w:bookmarkEnd w:id="102"/>
    </w:p>
    <w:p w14:paraId="5FD46183" w14:textId="3892A148" w:rsidR="000008B6" w:rsidRDefault="00EE502A" w:rsidP="00420B7B">
      <w:pPr>
        <w:pStyle w:val="Heading5"/>
      </w:pPr>
      <w:r>
        <w:t>Safety in a</w:t>
      </w:r>
      <w:r w:rsidR="00717B61" w:rsidRPr="00717B61">
        <w:t xml:space="preserve">typical </w:t>
      </w:r>
      <w:r w:rsidR="00203235">
        <w:t>h</w:t>
      </w:r>
      <w:r w:rsidR="00717B61" w:rsidRPr="00717B61">
        <w:t xml:space="preserve">aemolytic </w:t>
      </w:r>
      <w:r w:rsidR="00203235">
        <w:t>u</w:t>
      </w:r>
      <w:r w:rsidR="00717B61" w:rsidRPr="00717B61">
        <w:t xml:space="preserve">raemic </w:t>
      </w:r>
      <w:r w:rsidR="00203235">
        <w:t>s</w:t>
      </w:r>
      <w:r w:rsidR="00717B61" w:rsidRPr="00717B61">
        <w:t>yndrome</w:t>
      </w:r>
    </w:p>
    <w:p w14:paraId="46306FB3" w14:textId="6C420891" w:rsidR="00AA678E" w:rsidRPr="00767969" w:rsidRDefault="000008B6" w:rsidP="0035187D">
      <w:pPr>
        <w:pStyle w:val="Heading6"/>
      </w:pPr>
      <w:r>
        <w:t>Exposure</w:t>
      </w:r>
    </w:p>
    <w:p w14:paraId="4B3A06AF" w14:textId="3C4F9278" w:rsidR="00AA678E" w:rsidRDefault="00AA678E" w:rsidP="00AA678E">
      <w:r>
        <w:t xml:space="preserve">There were 58 adults and 31 paediatric patients who received at least </w:t>
      </w:r>
      <w:r w:rsidR="001C1826">
        <w:t>one</w:t>
      </w:r>
      <w:r>
        <w:t xml:space="preserve"> dose of ravulizumab, including 43 (74.1%) adult and 18 (58.1%) paediatric patients with treatment duration of at least 12 months up to </w:t>
      </w:r>
      <w:r w:rsidR="001C1826">
        <w:t xml:space="preserve">the </w:t>
      </w:r>
      <w:r>
        <w:t>data cut-off (Safety Set)</w:t>
      </w:r>
      <w:r w:rsidR="000008B6">
        <w:t>.</w:t>
      </w:r>
    </w:p>
    <w:p w14:paraId="0C1F4D8E" w14:textId="60AEDA3F" w:rsidR="00AA678E" w:rsidRDefault="00AA678E" w:rsidP="00420B7B">
      <w:pPr>
        <w:pStyle w:val="TableTitle"/>
        <w:rPr>
          <w:noProof/>
        </w:rPr>
      </w:pPr>
      <w:r>
        <w:t xml:space="preserve">Table </w:t>
      </w:r>
      <w:fldSimple w:instr=" SEQ Table \* ARABIC ">
        <w:r w:rsidR="004C7A29">
          <w:rPr>
            <w:noProof/>
          </w:rPr>
          <w:t>25</w:t>
        </w:r>
      </w:fldSimple>
      <w:r>
        <w:rPr>
          <w:noProof/>
        </w:rPr>
        <w:t xml:space="preserve">: </w:t>
      </w:r>
      <w:r w:rsidRPr="00B6318F">
        <w:rPr>
          <w:noProof/>
        </w:rPr>
        <w:t xml:space="preserve">Summary of </w:t>
      </w:r>
      <w:r w:rsidR="00203235">
        <w:rPr>
          <w:noProof/>
        </w:rPr>
        <w:t>t</w:t>
      </w:r>
      <w:r w:rsidRPr="00B6318F">
        <w:rPr>
          <w:noProof/>
        </w:rPr>
        <w:t xml:space="preserve">reatment </w:t>
      </w:r>
      <w:r w:rsidR="00203235">
        <w:rPr>
          <w:noProof/>
        </w:rPr>
        <w:t>e</w:t>
      </w:r>
      <w:r w:rsidRPr="00B6318F">
        <w:rPr>
          <w:noProof/>
        </w:rPr>
        <w:t xml:space="preserve">xposure up to </w:t>
      </w:r>
      <w:r w:rsidR="00203235">
        <w:rPr>
          <w:noProof/>
        </w:rPr>
        <w:t>d</w:t>
      </w:r>
      <w:r w:rsidRPr="00B6318F">
        <w:rPr>
          <w:noProof/>
        </w:rPr>
        <w:t xml:space="preserve">ata </w:t>
      </w:r>
      <w:r w:rsidR="00203235">
        <w:rPr>
          <w:noProof/>
        </w:rPr>
        <w:t>c</w:t>
      </w:r>
      <w:r w:rsidRPr="00B6318F">
        <w:rPr>
          <w:noProof/>
        </w:rPr>
        <w:t>ut</w:t>
      </w:r>
      <w:r w:rsidR="00203235">
        <w:rPr>
          <w:noProof/>
        </w:rPr>
        <w:t>-</w:t>
      </w:r>
      <w:r w:rsidRPr="00B6318F">
        <w:rPr>
          <w:noProof/>
        </w:rPr>
        <w:t xml:space="preserve">off in </w:t>
      </w:r>
      <w:r w:rsidR="00203235">
        <w:rPr>
          <w:noProof/>
        </w:rPr>
        <w:t>r</w:t>
      </w:r>
      <w:r w:rsidRPr="00B6318F">
        <w:rPr>
          <w:noProof/>
        </w:rPr>
        <w:t xml:space="preserve">avulizumab </w:t>
      </w:r>
      <w:r w:rsidR="00203235">
        <w:rPr>
          <w:noProof/>
        </w:rPr>
        <w:t>c</w:t>
      </w:r>
      <w:r w:rsidRPr="00B6318F">
        <w:rPr>
          <w:noProof/>
        </w:rPr>
        <w:t xml:space="preserve">linical </w:t>
      </w:r>
      <w:r w:rsidR="00203235">
        <w:rPr>
          <w:noProof/>
        </w:rPr>
        <w:t>p</w:t>
      </w:r>
      <w:r w:rsidRPr="00B6318F">
        <w:rPr>
          <w:noProof/>
        </w:rPr>
        <w:t>rogram in aHUS (Safety Set)</w:t>
      </w:r>
    </w:p>
    <w:p w14:paraId="27EEFC3B" w14:textId="77777777" w:rsidR="00AA678E" w:rsidRDefault="00AA678E" w:rsidP="00AA678E">
      <w:r>
        <w:rPr>
          <w:noProof/>
          <w:lang w:val="en-GB" w:eastAsia="en-GB"/>
        </w:rPr>
        <w:drawing>
          <wp:inline distT="0" distB="0" distL="0" distR="0" wp14:anchorId="559C4BB7" wp14:editId="27626BBC">
            <wp:extent cx="5731510" cy="5795645"/>
            <wp:effectExtent l="0" t="0" r="2540" b="0"/>
            <wp:docPr id="17" name="Picture 17" descr="This table shows a summary of treatment exposure up to data cut-off in ravulizumab clinical program in aHU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table shows a summary of treatment exposure up to data cut-off in ravulizumab clinical program in aHUS (Safety Set)"/>
                    <pic:cNvPicPr/>
                  </pic:nvPicPr>
                  <pic:blipFill>
                    <a:blip r:embed="rId57"/>
                    <a:stretch>
                      <a:fillRect/>
                    </a:stretch>
                  </pic:blipFill>
                  <pic:spPr>
                    <a:xfrm>
                      <a:off x="0" y="0"/>
                      <a:ext cx="5731510" cy="5795645"/>
                    </a:xfrm>
                    <a:prstGeom prst="rect">
                      <a:avLst/>
                    </a:prstGeom>
                  </pic:spPr>
                </pic:pic>
              </a:graphicData>
            </a:graphic>
          </wp:inline>
        </w:drawing>
      </w:r>
    </w:p>
    <w:p w14:paraId="164F2D64" w14:textId="29A573C0" w:rsidR="00AA678E" w:rsidRDefault="00AA678E" w:rsidP="0035187D">
      <w:pPr>
        <w:pStyle w:val="TableDescription"/>
      </w:pPr>
      <w:r w:rsidRPr="00B6318F">
        <w:t xml:space="preserve">Note: Percentages were based on the number of patients in the Safety Set in each column. The Safety Set comprised of all patients from Study ALXN1210-aHUS-311 or Study ALXN1210-aHUS-312 who received at least 1 dose of study drug. </w:t>
      </w:r>
      <w:r w:rsidRPr="00203235">
        <w:rPr>
          <w:vertAlign w:val="superscript"/>
        </w:rPr>
        <w:t>a</w:t>
      </w:r>
      <w:r w:rsidRPr="00B6318F">
        <w:t xml:space="preserve"> Treatment duration = the earliest of (data </w:t>
      </w:r>
      <w:proofErr w:type="spellStart"/>
      <w:r w:rsidRPr="00B6318F">
        <w:t>cutoff</w:t>
      </w:r>
      <w:proofErr w:type="spellEnd"/>
      <w:r w:rsidRPr="00B6318F">
        <w:t xml:space="preserve"> date, study discontinuation date, or [treatment discontinuation date + 56 days]) ˗ date of first ravulizumab infusion + 1. </w:t>
      </w:r>
      <w:r w:rsidRPr="00203235">
        <w:rPr>
          <w:vertAlign w:val="superscript"/>
        </w:rPr>
        <w:t xml:space="preserve">b </w:t>
      </w:r>
      <w:proofErr w:type="gramStart"/>
      <w:r w:rsidRPr="00B6318F">
        <w:t>The</w:t>
      </w:r>
      <w:proofErr w:type="gramEnd"/>
      <w:r w:rsidRPr="00B6318F">
        <w:t xml:space="preserve"> result was transferred to weeks.</w:t>
      </w:r>
    </w:p>
    <w:p w14:paraId="371D8324" w14:textId="71292C8F" w:rsidR="000008B6" w:rsidRDefault="000008B6" w:rsidP="0035187D">
      <w:pPr>
        <w:pStyle w:val="Heading6"/>
      </w:pPr>
      <w:r>
        <w:lastRenderedPageBreak/>
        <w:t>Safety overview</w:t>
      </w:r>
    </w:p>
    <w:p w14:paraId="1FD5AA04" w14:textId="0D1343D2" w:rsidR="000008B6" w:rsidRDefault="00AA678E" w:rsidP="00AA678E">
      <w:r>
        <w:t xml:space="preserve">An overview of safety data from </w:t>
      </w:r>
      <w:r w:rsidR="001C1826" w:rsidRPr="001C1826">
        <w:t xml:space="preserve">Study ALXN1210-aHUS-311 </w:t>
      </w:r>
      <w:r>
        <w:t xml:space="preserve">and </w:t>
      </w:r>
      <w:r w:rsidR="001C1826" w:rsidRPr="001C1826">
        <w:t>Study ALXN1210-aHUS-312</w:t>
      </w:r>
      <w:r>
        <w:t xml:space="preserve"> (Safety Set) as of data cut-off dates is provided below in </w:t>
      </w:r>
      <w:r>
        <w:fldChar w:fldCharType="begin"/>
      </w:r>
      <w:r>
        <w:instrText xml:space="preserve"> REF _Ref95578423 \h </w:instrText>
      </w:r>
      <w:r>
        <w:fldChar w:fldCharType="separate"/>
      </w:r>
      <w:r w:rsidR="004C7A29">
        <w:t xml:space="preserve">Table </w:t>
      </w:r>
      <w:r w:rsidR="004C7A29">
        <w:rPr>
          <w:noProof/>
        </w:rPr>
        <w:t>26</w:t>
      </w:r>
      <w:r>
        <w:fldChar w:fldCharType="end"/>
      </w:r>
      <w:r>
        <w:t xml:space="preserve"> and </w:t>
      </w:r>
      <w:r>
        <w:fldChar w:fldCharType="begin"/>
      </w:r>
      <w:r>
        <w:instrText xml:space="preserve"> REF _Ref96346527 \h </w:instrText>
      </w:r>
      <w:r>
        <w:fldChar w:fldCharType="separate"/>
      </w:r>
      <w:r w:rsidR="004C7A29">
        <w:t xml:space="preserve">Table </w:t>
      </w:r>
      <w:r w:rsidR="004C7A29">
        <w:rPr>
          <w:noProof/>
        </w:rPr>
        <w:t>27</w:t>
      </w:r>
      <w:r>
        <w:fldChar w:fldCharType="end"/>
      </w:r>
      <w:r>
        <w:t>.</w:t>
      </w:r>
    </w:p>
    <w:p w14:paraId="173D047E" w14:textId="3DE5CC4E" w:rsidR="00AA678E" w:rsidRPr="0021756A" w:rsidRDefault="00AA678E" w:rsidP="00420B7B">
      <w:pPr>
        <w:pStyle w:val="TableTitle"/>
      </w:pPr>
      <w:bookmarkStart w:id="103" w:name="_Ref95578423"/>
      <w:bookmarkStart w:id="104" w:name="_Hlk100758524"/>
      <w:r>
        <w:t xml:space="preserve">Table </w:t>
      </w:r>
      <w:fldSimple w:instr=" SEQ Table \* ARABIC ">
        <w:r w:rsidR="004C7A29">
          <w:rPr>
            <w:noProof/>
          </w:rPr>
          <w:t>26</w:t>
        </w:r>
      </w:fldSimple>
      <w:bookmarkEnd w:id="103"/>
      <w:r>
        <w:t xml:space="preserve">: Overview of </w:t>
      </w:r>
      <w:r w:rsidR="003C741C">
        <w:t>treatment emergent adverse event</w:t>
      </w:r>
      <w:r>
        <w:t xml:space="preserve">s and </w:t>
      </w:r>
      <w:r w:rsidR="003C741C">
        <w:t>serious adverse event</w:t>
      </w:r>
      <w:r>
        <w:t>s (Safety Set)</w:t>
      </w:r>
    </w:p>
    <w:tbl>
      <w:tblPr>
        <w:tblStyle w:val="TGABlack2023"/>
        <w:tblW w:w="0" w:type="auto"/>
        <w:tblLook w:val="04A0" w:firstRow="1" w:lastRow="0" w:firstColumn="1" w:lastColumn="0" w:noHBand="0" w:noVBand="1"/>
      </w:tblPr>
      <w:tblGrid>
        <w:gridCol w:w="4106"/>
        <w:gridCol w:w="1418"/>
        <w:gridCol w:w="1701"/>
        <w:gridCol w:w="1791"/>
      </w:tblGrid>
      <w:tr w:rsidR="00AA678E" w:rsidRPr="00203235" w14:paraId="0FAE9C20" w14:textId="77777777" w:rsidTr="002032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tcPr>
          <w:p w14:paraId="6ED41389" w14:textId="77777777" w:rsidR="00AA678E" w:rsidRPr="00203235" w:rsidRDefault="00AA678E">
            <w:pPr>
              <w:spacing w:line="276" w:lineRule="auto"/>
              <w:jc w:val="center"/>
              <w:rPr>
                <w:b w:val="0"/>
                <w:color w:val="auto"/>
                <w:szCs w:val="22"/>
              </w:rPr>
            </w:pPr>
          </w:p>
        </w:tc>
        <w:tc>
          <w:tcPr>
            <w:tcW w:w="1418" w:type="dxa"/>
            <w:shd w:val="clear" w:color="auto" w:fill="auto"/>
          </w:tcPr>
          <w:p w14:paraId="14C51B19" w14:textId="78FFEE72" w:rsidR="00AA678E" w:rsidRPr="00203235" w:rsidRDefault="00AA678E" w:rsidP="00AB0591">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Cs w:val="22"/>
              </w:rPr>
            </w:pPr>
            <w:r w:rsidRPr="00203235">
              <w:rPr>
                <w:color w:val="auto"/>
                <w:szCs w:val="22"/>
              </w:rPr>
              <w:t>Study 311</w:t>
            </w:r>
            <w:r w:rsidR="00AB0591">
              <w:rPr>
                <w:color w:val="auto"/>
                <w:szCs w:val="22"/>
              </w:rPr>
              <w:br/>
            </w:r>
            <w:r w:rsidRPr="00203235">
              <w:rPr>
                <w:color w:val="auto"/>
                <w:szCs w:val="22"/>
              </w:rPr>
              <w:t>(n = 58)</w:t>
            </w:r>
          </w:p>
        </w:tc>
        <w:tc>
          <w:tcPr>
            <w:tcW w:w="1701" w:type="dxa"/>
            <w:shd w:val="clear" w:color="auto" w:fill="auto"/>
          </w:tcPr>
          <w:p w14:paraId="06745357" w14:textId="70E968CD" w:rsidR="00AA678E" w:rsidRPr="00203235" w:rsidRDefault="00AA678E" w:rsidP="00AB0591">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Cs w:val="22"/>
              </w:rPr>
            </w:pPr>
            <w:r w:rsidRPr="00203235">
              <w:rPr>
                <w:color w:val="auto"/>
                <w:szCs w:val="22"/>
              </w:rPr>
              <w:t>Study 312</w:t>
            </w:r>
            <w:r w:rsidR="00AB0591">
              <w:rPr>
                <w:color w:val="auto"/>
                <w:szCs w:val="22"/>
              </w:rPr>
              <w:br/>
            </w:r>
            <w:r w:rsidRPr="00203235">
              <w:rPr>
                <w:color w:val="auto"/>
                <w:szCs w:val="22"/>
              </w:rPr>
              <w:t>(n = 31)</w:t>
            </w:r>
          </w:p>
        </w:tc>
        <w:tc>
          <w:tcPr>
            <w:tcW w:w="1791" w:type="dxa"/>
            <w:shd w:val="clear" w:color="auto" w:fill="auto"/>
          </w:tcPr>
          <w:p w14:paraId="381B7043" w14:textId="07D66503" w:rsidR="00AA678E" w:rsidRPr="00203235" w:rsidRDefault="00AA678E" w:rsidP="00AB0591">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Cs w:val="22"/>
              </w:rPr>
            </w:pPr>
            <w:r w:rsidRPr="00203235">
              <w:rPr>
                <w:color w:val="auto"/>
                <w:szCs w:val="22"/>
              </w:rPr>
              <w:t>Total</w:t>
            </w:r>
            <w:r w:rsidR="00AB0591">
              <w:rPr>
                <w:color w:val="auto"/>
                <w:szCs w:val="22"/>
              </w:rPr>
              <w:br/>
            </w:r>
            <w:r w:rsidRPr="00203235">
              <w:rPr>
                <w:color w:val="auto"/>
                <w:szCs w:val="22"/>
              </w:rPr>
              <w:t>(n = 89)</w:t>
            </w:r>
          </w:p>
        </w:tc>
      </w:tr>
      <w:tr w:rsidR="00AA678E" w:rsidRPr="00203235" w14:paraId="4F1B025A" w14:textId="77777777" w:rsidTr="00203235">
        <w:tc>
          <w:tcPr>
            <w:cnfStyle w:val="001000000000" w:firstRow="0" w:lastRow="0" w:firstColumn="1" w:lastColumn="0" w:oddVBand="0" w:evenVBand="0" w:oddHBand="0" w:evenHBand="0" w:firstRowFirstColumn="0" w:firstRowLastColumn="0" w:lastRowFirstColumn="0" w:lastRowLastColumn="0"/>
            <w:tcW w:w="4106" w:type="dxa"/>
          </w:tcPr>
          <w:p w14:paraId="38A82CAD" w14:textId="1FE9BFC9" w:rsidR="00AA678E" w:rsidRPr="00AB0591" w:rsidRDefault="00AA678E" w:rsidP="00AB0591">
            <w:pPr>
              <w:pStyle w:val="TableText"/>
              <w:rPr>
                <w:b/>
                <w:bCs/>
              </w:rPr>
            </w:pPr>
            <w:r w:rsidRPr="00AB0591">
              <w:rPr>
                <w:b/>
                <w:bCs/>
              </w:rPr>
              <w:t>Treatment-emergent adverse events</w:t>
            </w:r>
            <w:r w:rsidR="00AB0591">
              <w:rPr>
                <w:b/>
                <w:bCs/>
              </w:rPr>
              <w:t xml:space="preserve">, </w:t>
            </w:r>
            <w:r w:rsidRPr="00AB0591">
              <w:rPr>
                <w:b/>
                <w:bCs/>
              </w:rPr>
              <w:t>n</w:t>
            </w:r>
            <w:r w:rsidR="00AB0591">
              <w:rPr>
                <w:b/>
                <w:bCs/>
              </w:rPr>
              <w:t> </w:t>
            </w:r>
            <w:r w:rsidRPr="00AB0591">
              <w:rPr>
                <w:b/>
                <w:bCs/>
              </w:rPr>
              <w:t>(%)</w:t>
            </w:r>
          </w:p>
          <w:p w14:paraId="26C6B367" w14:textId="77777777" w:rsidR="00AA678E" w:rsidRPr="00203235" w:rsidRDefault="00AA678E" w:rsidP="00AB0591">
            <w:pPr>
              <w:pStyle w:val="TableText"/>
              <w:rPr>
                <w:i/>
              </w:rPr>
            </w:pPr>
            <w:r w:rsidRPr="00203235">
              <w:rPr>
                <w:i/>
              </w:rPr>
              <w:t>Severity</w:t>
            </w:r>
          </w:p>
          <w:p w14:paraId="2FDD45FE" w14:textId="77777777" w:rsidR="00AA678E" w:rsidRPr="00203235" w:rsidRDefault="00AA678E" w:rsidP="00AB0591">
            <w:pPr>
              <w:pStyle w:val="TableText"/>
            </w:pPr>
            <w:r w:rsidRPr="00203235">
              <w:t>Grade 1</w:t>
            </w:r>
          </w:p>
          <w:p w14:paraId="56D2F75D" w14:textId="77777777" w:rsidR="00AA678E" w:rsidRPr="00203235" w:rsidRDefault="00AA678E" w:rsidP="00AB0591">
            <w:pPr>
              <w:pStyle w:val="TableText"/>
            </w:pPr>
            <w:r w:rsidRPr="00203235">
              <w:t>Grade 2</w:t>
            </w:r>
          </w:p>
          <w:p w14:paraId="76689FAC" w14:textId="77777777" w:rsidR="00AA678E" w:rsidRPr="00203235" w:rsidRDefault="00AA678E" w:rsidP="00AB0591">
            <w:pPr>
              <w:pStyle w:val="TableText"/>
            </w:pPr>
            <w:r w:rsidRPr="00203235">
              <w:t>Grade 3</w:t>
            </w:r>
          </w:p>
          <w:p w14:paraId="26C2711D" w14:textId="77777777" w:rsidR="00AA678E" w:rsidRPr="00203235" w:rsidRDefault="00AA678E" w:rsidP="00AB0591">
            <w:pPr>
              <w:pStyle w:val="TableText"/>
            </w:pPr>
            <w:r w:rsidRPr="00203235">
              <w:t>Grade 4</w:t>
            </w:r>
          </w:p>
          <w:p w14:paraId="0C7A211B" w14:textId="77777777" w:rsidR="00AA678E" w:rsidRPr="00203235" w:rsidRDefault="00AA678E" w:rsidP="00AB0591">
            <w:pPr>
              <w:pStyle w:val="TableText"/>
            </w:pPr>
            <w:r w:rsidRPr="00203235">
              <w:t>Grade 5</w:t>
            </w:r>
          </w:p>
        </w:tc>
        <w:tc>
          <w:tcPr>
            <w:tcW w:w="1418" w:type="dxa"/>
          </w:tcPr>
          <w:p w14:paraId="4454CBCB" w14:textId="4B5645B2"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58 (100.0)</w:t>
            </w:r>
            <w:r w:rsidR="00203235" w:rsidRPr="00203235">
              <w:br/>
            </w:r>
          </w:p>
          <w:p w14:paraId="1DC4E68F"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p>
          <w:p w14:paraId="25CDCB00"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56 (96.6)</w:t>
            </w:r>
          </w:p>
          <w:p w14:paraId="62F18AAD"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48 (82.8)</w:t>
            </w:r>
          </w:p>
          <w:p w14:paraId="6761FA38"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33 (56.9)</w:t>
            </w:r>
          </w:p>
          <w:p w14:paraId="34C91B59"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14 (24.1)</w:t>
            </w:r>
          </w:p>
          <w:p w14:paraId="222AF97B"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3 (5.2)</w:t>
            </w:r>
          </w:p>
        </w:tc>
        <w:tc>
          <w:tcPr>
            <w:tcW w:w="1701" w:type="dxa"/>
          </w:tcPr>
          <w:p w14:paraId="68E6F2BA" w14:textId="2951FE6F"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31 (100.0)</w:t>
            </w:r>
            <w:r w:rsidR="00203235" w:rsidRPr="00203235">
              <w:br/>
            </w:r>
          </w:p>
          <w:p w14:paraId="7EFAC80C"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p>
          <w:p w14:paraId="75D96593"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26 (83.9)</w:t>
            </w:r>
          </w:p>
          <w:p w14:paraId="301AA3ED"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22 (71.0)</w:t>
            </w:r>
          </w:p>
          <w:p w14:paraId="090F87C1"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11 (35.5)</w:t>
            </w:r>
          </w:p>
          <w:p w14:paraId="33D7A39F"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1 (3.2)</w:t>
            </w:r>
          </w:p>
          <w:p w14:paraId="72ACE08D"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0</w:t>
            </w:r>
          </w:p>
        </w:tc>
        <w:tc>
          <w:tcPr>
            <w:tcW w:w="1791" w:type="dxa"/>
          </w:tcPr>
          <w:p w14:paraId="526565B1" w14:textId="4DB37DFC"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89 (100.0)</w:t>
            </w:r>
            <w:r w:rsidR="00203235" w:rsidRPr="00203235">
              <w:br/>
            </w:r>
          </w:p>
          <w:p w14:paraId="16FB17BC"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p>
          <w:p w14:paraId="39CA585F"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82 (92.1)</w:t>
            </w:r>
          </w:p>
          <w:p w14:paraId="22ACFC85"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70 (78.7)</w:t>
            </w:r>
          </w:p>
          <w:p w14:paraId="61604325"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44 (49.4)</w:t>
            </w:r>
          </w:p>
          <w:p w14:paraId="44FCD18F"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15 (16.9)</w:t>
            </w:r>
          </w:p>
          <w:p w14:paraId="3200431A"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3 (3.4)</w:t>
            </w:r>
          </w:p>
        </w:tc>
      </w:tr>
      <w:tr w:rsidR="00AA678E" w:rsidRPr="00203235" w14:paraId="7C46BC0A" w14:textId="77777777" w:rsidTr="00203235">
        <w:trPr>
          <w:trHeight w:val="1547"/>
        </w:trPr>
        <w:tc>
          <w:tcPr>
            <w:cnfStyle w:val="001000000000" w:firstRow="0" w:lastRow="0" w:firstColumn="1" w:lastColumn="0" w:oddVBand="0" w:evenVBand="0" w:oddHBand="0" w:evenHBand="0" w:firstRowFirstColumn="0" w:firstRowLastColumn="0" w:lastRowFirstColumn="0" w:lastRowLastColumn="0"/>
            <w:tcW w:w="4106" w:type="dxa"/>
          </w:tcPr>
          <w:p w14:paraId="5A362297" w14:textId="3240762E" w:rsidR="00AA678E" w:rsidRPr="00AB0591" w:rsidRDefault="00AA678E" w:rsidP="00AB0591">
            <w:pPr>
              <w:pStyle w:val="TableText"/>
              <w:rPr>
                <w:b/>
                <w:bCs/>
                <w:i/>
              </w:rPr>
            </w:pPr>
            <w:r w:rsidRPr="00AB0591">
              <w:rPr>
                <w:b/>
                <w:bCs/>
              </w:rPr>
              <w:t>Treatment-related adverse events</w:t>
            </w:r>
            <w:r w:rsidR="00AB0591">
              <w:rPr>
                <w:b/>
                <w:bCs/>
              </w:rPr>
              <w:t xml:space="preserve">, </w:t>
            </w:r>
            <w:r w:rsidRPr="00AB0591">
              <w:rPr>
                <w:b/>
                <w:bCs/>
              </w:rPr>
              <w:t>n (%)</w:t>
            </w:r>
          </w:p>
          <w:p w14:paraId="69D9EA46" w14:textId="77777777" w:rsidR="00AA678E" w:rsidRPr="00203235" w:rsidRDefault="00AA678E" w:rsidP="00AB0591">
            <w:pPr>
              <w:pStyle w:val="TableText"/>
              <w:rPr>
                <w:i/>
              </w:rPr>
            </w:pPr>
            <w:r w:rsidRPr="00203235">
              <w:rPr>
                <w:i/>
              </w:rPr>
              <w:t>TRAEs reported for ≥ 5% patients, n (%)</w:t>
            </w:r>
          </w:p>
          <w:p w14:paraId="67FD5D17" w14:textId="77777777" w:rsidR="00AA678E" w:rsidRPr="00203235" w:rsidRDefault="00AA678E" w:rsidP="00AB0591">
            <w:pPr>
              <w:pStyle w:val="TableText"/>
            </w:pPr>
            <w:r w:rsidRPr="00203235">
              <w:t>Headache</w:t>
            </w:r>
          </w:p>
          <w:p w14:paraId="7DE91724" w14:textId="77777777" w:rsidR="00AA678E" w:rsidRPr="00203235" w:rsidRDefault="00AA678E" w:rsidP="00AB0591">
            <w:pPr>
              <w:pStyle w:val="TableText"/>
            </w:pPr>
            <w:r w:rsidRPr="00203235">
              <w:t>Arthralgia</w:t>
            </w:r>
          </w:p>
          <w:p w14:paraId="7229AD78" w14:textId="77777777" w:rsidR="00AA678E" w:rsidRPr="00203235" w:rsidRDefault="00AA678E" w:rsidP="00AB0591">
            <w:pPr>
              <w:pStyle w:val="TableText"/>
              <w:rPr>
                <w:i/>
              </w:rPr>
            </w:pPr>
            <w:r w:rsidRPr="00203235">
              <w:t>Hypertension</w:t>
            </w:r>
          </w:p>
        </w:tc>
        <w:tc>
          <w:tcPr>
            <w:tcW w:w="1418" w:type="dxa"/>
          </w:tcPr>
          <w:p w14:paraId="43F0DC4A" w14:textId="6E02864B"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20 (34.5)</w:t>
            </w:r>
          </w:p>
          <w:p w14:paraId="4EBE79FB" w14:textId="7A8AD9BC"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p>
          <w:p w14:paraId="7C5A81C0"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3 (5.2)</w:t>
            </w:r>
          </w:p>
          <w:p w14:paraId="37308E59"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3 (5.2)</w:t>
            </w:r>
          </w:p>
          <w:p w14:paraId="5CD1BFE0"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0 (0.0)</w:t>
            </w:r>
          </w:p>
        </w:tc>
        <w:tc>
          <w:tcPr>
            <w:tcW w:w="1701" w:type="dxa"/>
          </w:tcPr>
          <w:p w14:paraId="5A522980" w14:textId="71E6E54D"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12 (38.7)</w:t>
            </w:r>
          </w:p>
          <w:p w14:paraId="16CF3688" w14:textId="3BCFFD87" w:rsidR="00203235" w:rsidRPr="00203235" w:rsidRDefault="00203235" w:rsidP="00AB0591">
            <w:pPr>
              <w:pStyle w:val="TableText"/>
              <w:cnfStyle w:val="000000000000" w:firstRow="0" w:lastRow="0" w:firstColumn="0" w:lastColumn="0" w:oddVBand="0" w:evenVBand="0" w:oddHBand="0" w:evenHBand="0" w:firstRowFirstColumn="0" w:firstRowLastColumn="0" w:lastRowFirstColumn="0" w:lastRowLastColumn="0"/>
            </w:pPr>
          </w:p>
          <w:p w14:paraId="1D0F017F" w14:textId="20E54686"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0 (0.0)</w:t>
            </w:r>
          </w:p>
          <w:p w14:paraId="63B9317D"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0 (0.0)</w:t>
            </w:r>
          </w:p>
          <w:p w14:paraId="52AC65C5"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2 (6.5)</w:t>
            </w:r>
          </w:p>
        </w:tc>
        <w:tc>
          <w:tcPr>
            <w:tcW w:w="1791" w:type="dxa"/>
          </w:tcPr>
          <w:p w14:paraId="3AC91CD8" w14:textId="41F7B721"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32 (36.0)</w:t>
            </w:r>
          </w:p>
          <w:p w14:paraId="360FE062"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p>
          <w:p w14:paraId="1A1FCF4B"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3 (3.4)</w:t>
            </w:r>
          </w:p>
          <w:p w14:paraId="516032DB"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3 (3.4)</w:t>
            </w:r>
          </w:p>
          <w:p w14:paraId="728BE7C1"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2 (2.2)</w:t>
            </w:r>
          </w:p>
        </w:tc>
      </w:tr>
      <w:tr w:rsidR="00AA678E" w:rsidRPr="00203235" w14:paraId="2B00C6D2" w14:textId="77777777" w:rsidTr="00203235">
        <w:trPr>
          <w:trHeight w:val="1035"/>
        </w:trPr>
        <w:tc>
          <w:tcPr>
            <w:cnfStyle w:val="001000000000" w:firstRow="0" w:lastRow="0" w:firstColumn="1" w:lastColumn="0" w:oddVBand="0" w:evenVBand="0" w:oddHBand="0" w:evenHBand="0" w:firstRowFirstColumn="0" w:firstRowLastColumn="0" w:lastRowFirstColumn="0" w:lastRowLastColumn="0"/>
            <w:tcW w:w="4106" w:type="dxa"/>
          </w:tcPr>
          <w:p w14:paraId="40A8BF3F" w14:textId="7B376ED3" w:rsidR="00AA678E" w:rsidRPr="00AB0591" w:rsidRDefault="00AA678E" w:rsidP="00AB0591">
            <w:pPr>
              <w:pStyle w:val="TableText"/>
              <w:rPr>
                <w:b/>
                <w:bCs/>
              </w:rPr>
            </w:pPr>
            <w:r w:rsidRPr="00AB0591">
              <w:rPr>
                <w:b/>
                <w:bCs/>
              </w:rPr>
              <w:t>Serious adverse events, n (%)</w:t>
            </w:r>
          </w:p>
          <w:p w14:paraId="24BDB838" w14:textId="77777777" w:rsidR="00AA678E" w:rsidRPr="00203235" w:rsidRDefault="00AA678E" w:rsidP="00AB0591">
            <w:pPr>
              <w:pStyle w:val="TableText"/>
              <w:rPr>
                <w:i/>
              </w:rPr>
            </w:pPr>
            <w:r w:rsidRPr="00203235">
              <w:rPr>
                <w:i/>
              </w:rPr>
              <w:t>SAEs reported for ≥ 5% patients, n (%)</w:t>
            </w:r>
          </w:p>
          <w:p w14:paraId="1D50F824" w14:textId="77777777" w:rsidR="00AA678E" w:rsidRPr="00203235" w:rsidRDefault="00AA678E" w:rsidP="00AB0591">
            <w:pPr>
              <w:pStyle w:val="TableText"/>
            </w:pPr>
            <w:r w:rsidRPr="00203235">
              <w:t>Pneumonia</w:t>
            </w:r>
          </w:p>
          <w:p w14:paraId="464C2E9B" w14:textId="77777777" w:rsidR="00AA678E" w:rsidRPr="00203235" w:rsidRDefault="00AA678E" w:rsidP="00AB0591">
            <w:pPr>
              <w:pStyle w:val="TableText"/>
            </w:pPr>
            <w:r w:rsidRPr="00203235">
              <w:t>Hypertension</w:t>
            </w:r>
          </w:p>
          <w:p w14:paraId="73A4CC9E" w14:textId="77777777" w:rsidR="00AA678E" w:rsidRPr="00203235" w:rsidRDefault="00AA678E" w:rsidP="00AB0591">
            <w:pPr>
              <w:pStyle w:val="TableText"/>
            </w:pPr>
            <w:r w:rsidRPr="00203235">
              <w:t>Abdominal pain</w:t>
            </w:r>
          </w:p>
          <w:p w14:paraId="144AC136" w14:textId="77777777" w:rsidR="00AA678E" w:rsidRPr="00203235" w:rsidRDefault="00AA678E" w:rsidP="00AB0591">
            <w:pPr>
              <w:pStyle w:val="TableText"/>
            </w:pPr>
            <w:r w:rsidRPr="00203235">
              <w:t>Bronchitis</w:t>
            </w:r>
          </w:p>
          <w:p w14:paraId="12E2F92E" w14:textId="77777777" w:rsidR="00AA678E" w:rsidRPr="00203235" w:rsidRDefault="00AA678E" w:rsidP="00AB0591">
            <w:pPr>
              <w:pStyle w:val="TableText"/>
            </w:pPr>
            <w:r w:rsidRPr="00203235">
              <w:t>Gastroenteritis viral</w:t>
            </w:r>
          </w:p>
        </w:tc>
        <w:tc>
          <w:tcPr>
            <w:tcW w:w="1418" w:type="dxa"/>
          </w:tcPr>
          <w:p w14:paraId="287E14E8"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33 (56.9)</w:t>
            </w:r>
          </w:p>
          <w:p w14:paraId="07F4CECB"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p>
          <w:p w14:paraId="55ADF24C"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3 (5.2)</w:t>
            </w:r>
          </w:p>
          <w:p w14:paraId="0D35426D"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3 (5.2)</w:t>
            </w:r>
          </w:p>
          <w:p w14:paraId="4F4209E4"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1 (1.7)</w:t>
            </w:r>
          </w:p>
          <w:p w14:paraId="338255CE"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0</w:t>
            </w:r>
          </w:p>
          <w:p w14:paraId="2A22A1D8"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0</w:t>
            </w:r>
          </w:p>
        </w:tc>
        <w:tc>
          <w:tcPr>
            <w:tcW w:w="1701" w:type="dxa"/>
          </w:tcPr>
          <w:p w14:paraId="0DA7A56D"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15 (48.4)</w:t>
            </w:r>
          </w:p>
          <w:p w14:paraId="738204C9"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p>
          <w:p w14:paraId="5DFE8A14"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2 (6.5)</w:t>
            </w:r>
          </w:p>
          <w:p w14:paraId="0904133C"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1 (3.2)</w:t>
            </w:r>
          </w:p>
          <w:p w14:paraId="7C62A2D6"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2 (6.5)</w:t>
            </w:r>
          </w:p>
          <w:p w14:paraId="6F0DD4DD"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2 (6.5)</w:t>
            </w:r>
          </w:p>
          <w:p w14:paraId="00AC1C7F"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2 (6.5)</w:t>
            </w:r>
          </w:p>
        </w:tc>
        <w:tc>
          <w:tcPr>
            <w:tcW w:w="1791" w:type="dxa"/>
          </w:tcPr>
          <w:p w14:paraId="65CDF180"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48 (53.9)</w:t>
            </w:r>
          </w:p>
          <w:p w14:paraId="28B6B2A4"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p>
          <w:p w14:paraId="03EFF52E"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5 (5.6)</w:t>
            </w:r>
          </w:p>
          <w:p w14:paraId="279D90A6"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4 (4.5)</w:t>
            </w:r>
          </w:p>
          <w:p w14:paraId="62C2E6DA"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3 (3.4)</w:t>
            </w:r>
          </w:p>
          <w:p w14:paraId="6A1F1C06"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2 (2.2)</w:t>
            </w:r>
          </w:p>
          <w:p w14:paraId="4683026C"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2 (2.2)</w:t>
            </w:r>
          </w:p>
        </w:tc>
      </w:tr>
      <w:tr w:rsidR="00AA678E" w:rsidRPr="00203235" w14:paraId="4A3592EB" w14:textId="77777777" w:rsidTr="00203235">
        <w:tc>
          <w:tcPr>
            <w:cnfStyle w:val="001000000000" w:firstRow="0" w:lastRow="0" w:firstColumn="1" w:lastColumn="0" w:oddVBand="0" w:evenVBand="0" w:oddHBand="0" w:evenHBand="0" w:firstRowFirstColumn="0" w:firstRowLastColumn="0" w:lastRowFirstColumn="0" w:lastRowLastColumn="0"/>
            <w:tcW w:w="4106" w:type="dxa"/>
          </w:tcPr>
          <w:p w14:paraId="57D83B1B" w14:textId="77777777" w:rsidR="00AA678E" w:rsidRPr="00AB0591" w:rsidRDefault="00AA678E" w:rsidP="00AB0591">
            <w:pPr>
              <w:pStyle w:val="TableText"/>
              <w:rPr>
                <w:b/>
                <w:bCs/>
              </w:rPr>
            </w:pPr>
            <w:r w:rsidRPr="00AB0591">
              <w:rPr>
                <w:b/>
                <w:bCs/>
              </w:rPr>
              <w:t>Treatment-related SAEs</w:t>
            </w:r>
          </w:p>
        </w:tc>
        <w:tc>
          <w:tcPr>
            <w:tcW w:w="1418" w:type="dxa"/>
          </w:tcPr>
          <w:p w14:paraId="1D606C54"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2 (3.4)</w:t>
            </w:r>
          </w:p>
        </w:tc>
        <w:tc>
          <w:tcPr>
            <w:tcW w:w="1701" w:type="dxa"/>
          </w:tcPr>
          <w:p w14:paraId="17288D1D"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3 (9.7)</w:t>
            </w:r>
          </w:p>
        </w:tc>
        <w:tc>
          <w:tcPr>
            <w:tcW w:w="1791" w:type="dxa"/>
          </w:tcPr>
          <w:p w14:paraId="09BA46AA"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5 (5.6)</w:t>
            </w:r>
          </w:p>
        </w:tc>
      </w:tr>
      <w:tr w:rsidR="00AA678E" w:rsidRPr="00203235" w14:paraId="115C9FF7" w14:textId="77777777" w:rsidTr="00203235">
        <w:tc>
          <w:tcPr>
            <w:cnfStyle w:val="001000000000" w:firstRow="0" w:lastRow="0" w:firstColumn="1" w:lastColumn="0" w:oddVBand="0" w:evenVBand="0" w:oddHBand="0" w:evenHBand="0" w:firstRowFirstColumn="0" w:firstRowLastColumn="0" w:lastRowFirstColumn="0" w:lastRowLastColumn="0"/>
            <w:tcW w:w="4106" w:type="dxa"/>
          </w:tcPr>
          <w:p w14:paraId="04520CD4" w14:textId="77777777" w:rsidR="00AA678E" w:rsidRPr="00AB0591" w:rsidRDefault="00AA678E" w:rsidP="00AB0591">
            <w:pPr>
              <w:pStyle w:val="TableText"/>
              <w:rPr>
                <w:b/>
                <w:bCs/>
              </w:rPr>
            </w:pPr>
            <w:r w:rsidRPr="00AB0591">
              <w:rPr>
                <w:b/>
                <w:bCs/>
              </w:rPr>
              <w:t>TEAEs leading to study drug discontinuation, n (%)</w:t>
            </w:r>
          </w:p>
        </w:tc>
        <w:tc>
          <w:tcPr>
            <w:tcW w:w="1418" w:type="dxa"/>
          </w:tcPr>
          <w:p w14:paraId="5AC2D11E"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3 (5.2)</w:t>
            </w:r>
          </w:p>
        </w:tc>
        <w:tc>
          <w:tcPr>
            <w:tcW w:w="1701" w:type="dxa"/>
          </w:tcPr>
          <w:p w14:paraId="7EDD5D43"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1 (3.2)</w:t>
            </w:r>
          </w:p>
        </w:tc>
        <w:tc>
          <w:tcPr>
            <w:tcW w:w="1791" w:type="dxa"/>
          </w:tcPr>
          <w:p w14:paraId="496DB8F0" w14:textId="4E8007D1"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4 (4.5)</w:t>
            </w:r>
          </w:p>
        </w:tc>
      </w:tr>
      <w:tr w:rsidR="00AA678E" w:rsidRPr="00203235" w14:paraId="61314E68" w14:textId="77777777" w:rsidTr="00203235">
        <w:tc>
          <w:tcPr>
            <w:cnfStyle w:val="001000000000" w:firstRow="0" w:lastRow="0" w:firstColumn="1" w:lastColumn="0" w:oddVBand="0" w:evenVBand="0" w:oddHBand="0" w:evenHBand="0" w:firstRowFirstColumn="0" w:firstRowLastColumn="0" w:lastRowFirstColumn="0" w:lastRowLastColumn="0"/>
            <w:tcW w:w="4106" w:type="dxa"/>
          </w:tcPr>
          <w:p w14:paraId="297172DD" w14:textId="77777777" w:rsidR="00AA678E" w:rsidRPr="00AB0591" w:rsidRDefault="00AA678E" w:rsidP="00AB0591">
            <w:pPr>
              <w:pStyle w:val="TableText"/>
              <w:rPr>
                <w:b/>
                <w:bCs/>
              </w:rPr>
            </w:pPr>
            <w:r w:rsidRPr="00AB0591">
              <w:rPr>
                <w:b/>
                <w:bCs/>
              </w:rPr>
              <w:t>SAEs leading to study drug discontinuation, n (%)</w:t>
            </w:r>
          </w:p>
        </w:tc>
        <w:tc>
          <w:tcPr>
            <w:tcW w:w="1418" w:type="dxa"/>
          </w:tcPr>
          <w:p w14:paraId="0050619B"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3 (5.2)</w:t>
            </w:r>
          </w:p>
        </w:tc>
        <w:tc>
          <w:tcPr>
            <w:tcW w:w="1701" w:type="dxa"/>
          </w:tcPr>
          <w:p w14:paraId="26BD1834"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1 (3.2)</w:t>
            </w:r>
          </w:p>
        </w:tc>
        <w:tc>
          <w:tcPr>
            <w:tcW w:w="1791" w:type="dxa"/>
          </w:tcPr>
          <w:p w14:paraId="6DB20331" w14:textId="20B8CB39"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4 (4.5)</w:t>
            </w:r>
          </w:p>
        </w:tc>
      </w:tr>
      <w:tr w:rsidR="00AA678E" w:rsidRPr="00203235" w14:paraId="538EC4A1" w14:textId="77777777" w:rsidTr="00203235">
        <w:tc>
          <w:tcPr>
            <w:cnfStyle w:val="001000000000" w:firstRow="0" w:lastRow="0" w:firstColumn="1" w:lastColumn="0" w:oddVBand="0" w:evenVBand="0" w:oddHBand="0" w:evenHBand="0" w:firstRowFirstColumn="0" w:firstRowLastColumn="0" w:lastRowFirstColumn="0" w:lastRowLastColumn="0"/>
            <w:tcW w:w="4106" w:type="dxa"/>
          </w:tcPr>
          <w:p w14:paraId="3B99E34B" w14:textId="6F7D260A" w:rsidR="00AA678E" w:rsidRPr="00AB0591" w:rsidRDefault="00AA678E" w:rsidP="00AB0591">
            <w:pPr>
              <w:pStyle w:val="TableText"/>
              <w:rPr>
                <w:b/>
                <w:bCs/>
              </w:rPr>
            </w:pPr>
            <w:proofErr w:type="spellStart"/>
            <w:r w:rsidRPr="00AB0591">
              <w:rPr>
                <w:b/>
                <w:bCs/>
              </w:rPr>
              <w:t>Death</w:t>
            </w:r>
            <w:r w:rsidRPr="00AB0591">
              <w:rPr>
                <w:b/>
                <w:bCs/>
                <w:vertAlign w:val="superscript"/>
              </w:rPr>
              <w:t>a</w:t>
            </w:r>
            <w:proofErr w:type="spellEnd"/>
          </w:p>
        </w:tc>
        <w:tc>
          <w:tcPr>
            <w:tcW w:w="1418" w:type="dxa"/>
          </w:tcPr>
          <w:p w14:paraId="19B18339"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3 (5.2)</w:t>
            </w:r>
          </w:p>
        </w:tc>
        <w:tc>
          <w:tcPr>
            <w:tcW w:w="1701" w:type="dxa"/>
          </w:tcPr>
          <w:p w14:paraId="4A03E66A"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0</w:t>
            </w:r>
          </w:p>
        </w:tc>
        <w:tc>
          <w:tcPr>
            <w:tcW w:w="1791" w:type="dxa"/>
          </w:tcPr>
          <w:p w14:paraId="12AB6001" w14:textId="77777777" w:rsidR="00AA678E" w:rsidRPr="00203235" w:rsidRDefault="00AA678E" w:rsidP="00AB0591">
            <w:pPr>
              <w:pStyle w:val="TableText"/>
              <w:cnfStyle w:val="000000000000" w:firstRow="0" w:lastRow="0" w:firstColumn="0" w:lastColumn="0" w:oddVBand="0" w:evenVBand="0" w:oddHBand="0" w:evenHBand="0" w:firstRowFirstColumn="0" w:firstRowLastColumn="0" w:lastRowFirstColumn="0" w:lastRowLastColumn="0"/>
            </w:pPr>
            <w:r w:rsidRPr="00203235">
              <w:t>3 (3.4)</w:t>
            </w:r>
          </w:p>
        </w:tc>
      </w:tr>
    </w:tbl>
    <w:bookmarkEnd w:id="104"/>
    <w:p w14:paraId="1537A5EC" w14:textId="5F6076F6" w:rsidR="000008B6" w:rsidRDefault="000008B6" w:rsidP="0035187D">
      <w:pPr>
        <w:pStyle w:val="TableDescription"/>
      </w:pPr>
      <w:r>
        <w:t>Abbreviations: SAE = serious adverse event; TEAE = treatment-emergent adverse event; TRAE = treatment-related adverse event.</w:t>
      </w:r>
    </w:p>
    <w:p w14:paraId="271A2C28" w14:textId="64B880F2" w:rsidR="00AA678E" w:rsidRPr="007E0036" w:rsidRDefault="00AA678E" w:rsidP="0035187D">
      <w:pPr>
        <w:pStyle w:val="TableDescription"/>
      </w:pPr>
      <w:r w:rsidRPr="007E0036">
        <w:t xml:space="preserve">Note: Percentages were based on the number of patients in the Safety Set in each column, </w:t>
      </w:r>
      <w:r w:rsidR="00203235">
        <w:t>that is</w:t>
      </w:r>
      <w:r w:rsidRPr="007E0036">
        <w:t xml:space="preserve">, % = n/N × 100. Safety Set comprised all patients from Study ALXN1210-aHUS-311 and Study ALXN1210-aHUS-312 who received at least </w:t>
      </w:r>
      <w:r w:rsidR="00203235">
        <w:t>one</w:t>
      </w:r>
      <w:r w:rsidRPr="007E0036">
        <w:t xml:space="preserve"> dose of ravulizumab. Related</w:t>
      </w:r>
      <w:r w:rsidR="003C741C">
        <w:t xml:space="preserve"> adverse event</w:t>
      </w:r>
      <w:r w:rsidRPr="007E0036">
        <w:t>s were defined as</w:t>
      </w:r>
      <w:r w:rsidR="003C741C">
        <w:t xml:space="preserve"> adverse event</w:t>
      </w:r>
      <w:r w:rsidRPr="007E0036">
        <w:t xml:space="preserve">s that were possibly, probably, or </w:t>
      </w:r>
      <w:proofErr w:type="gramStart"/>
      <w:r w:rsidRPr="007E0036">
        <w:t>definitely related</w:t>
      </w:r>
      <w:proofErr w:type="gramEnd"/>
      <w:r w:rsidRPr="007E0036">
        <w:t xml:space="preserve"> to study drug. Not related</w:t>
      </w:r>
      <w:r w:rsidR="003C741C">
        <w:t xml:space="preserve"> adverse event</w:t>
      </w:r>
      <w:r w:rsidRPr="007E0036">
        <w:t>s were defined as</w:t>
      </w:r>
      <w:r w:rsidR="003C741C">
        <w:t xml:space="preserve"> adverse event</w:t>
      </w:r>
      <w:r w:rsidRPr="007E0036">
        <w:t xml:space="preserve">s that were unlikely or not related to study drug. Grade 1 = mild; Grade 2 = moderate; Grade 3 = severe; Grade 4 = life-threatening; Grade 5 = fatal. </w:t>
      </w:r>
      <w:proofErr w:type="spellStart"/>
      <w:r w:rsidRPr="007E0036">
        <w:rPr>
          <w:vertAlign w:val="superscript"/>
        </w:rPr>
        <w:t>a</w:t>
      </w:r>
      <w:proofErr w:type="spellEnd"/>
      <w:r w:rsidRPr="007E0036">
        <w:t xml:space="preserve"> </w:t>
      </w:r>
      <w:proofErr w:type="gramStart"/>
      <w:r w:rsidRPr="007E0036">
        <w:t>In</w:t>
      </w:r>
      <w:proofErr w:type="gramEnd"/>
      <w:r w:rsidRPr="007E0036">
        <w:t xml:space="preserve"> addition to TEAEs leading to death, 1 patient reported a pre</w:t>
      </w:r>
      <w:r>
        <w:t>-</w:t>
      </w:r>
      <w:r w:rsidRPr="007E0036">
        <w:t>treatment</w:t>
      </w:r>
      <w:r w:rsidR="003C741C">
        <w:t xml:space="preserve"> adverse event</w:t>
      </w:r>
      <w:r w:rsidRPr="007E0036">
        <w:t xml:space="preserve"> that led to death.</w:t>
      </w:r>
    </w:p>
    <w:p w14:paraId="4D78AD5C" w14:textId="77DC2AF9" w:rsidR="00AA678E" w:rsidRDefault="00AA678E" w:rsidP="00420B7B">
      <w:pPr>
        <w:pStyle w:val="TableTitle"/>
      </w:pPr>
      <w:bookmarkStart w:id="105" w:name="_Ref96346527"/>
      <w:r>
        <w:lastRenderedPageBreak/>
        <w:t xml:space="preserve">Table </w:t>
      </w:r>
      <w:fldSimple w:instr=" SEQ Table \* ARABIC ">
        <w:r w:rsidR="004C7A29">
          <w:rPr>
            <w:noProof/>
          </w:rPr>
          <w:t>27</w:t>
        </w:r>
      </w:fldSimple>
      <w:bookmarkEnd w:id="105"/>
      <w:r>
        <w:t xml:space="preserve">: </w:t>
      </w:r>
      <w:r w:rsidR="00203235">
        <w:t>Treatment emergent adverse events o</w:t>
      </w:r>
      <w:r w:rsidRPr="000A0810">
        <w:t xml:space="preserve">ccurring in ≥ 10% of </w:t>
      </w:r>
      <w:r w:rsidR="00203235">
        <w:t>p</w:t>
      </w:r>
      <w:r w:rsidRPr="000A0810">
        <w:t xml:space="preserve">atients by MedDRA </w:t>
      </w:r>
      <w:r>
        <w:t>S</w:t>
      </w:r>
      <w:r w:rsidR="00203235">
        <w:t>ystem Organ Class</w:t>
      </w:r>
      <w:r>
        <w:t xml:space="preserve"> and P</w:t>
      </w:r>
      <w:r w:rsidR="00203235">
        <w:t>referred Term</w:t>
      </w:r>
      <w:r w:rsidRPr="000A0810">
        <w:t xml:space="preserve"> (Safety Set)</w:t>
      </w:r>
    </w:p>
    <w:p w14:paraId="299F8794" w14:textId="77777777" w:rsidR="00AA678E" w:rsidRPr="000A0810" w:rsidRDefault="00AA678E" w:rsidP="00AA678E">
      <w:r>
        <w:rPr>
          <w:noProof/>
          <w:lang w:val="en-GB" w:eastAsia="en-GB"/>
        </w:rPr>
        <w:drawing>
          <wp:inline distT="0" distB="0" distL="0" distR="0" wp14:anchorId="03B2E6C6" wp14:editId="51BB47BD">
            <wp:extent cx="5521124" cy="5748673"/>
            <wp:effectExtent l="0" t="0" r="3810" b="4445"/>
            <wp:docPr id="37" name="Picture 37" descr="This table show treatment emergent adverse events occurring in ≥ 10% of patients by MedDRA System Organ Class and Preferred Term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table show treatment emergent adverse events occurring in ≥ 10% of patients by MedDRA System Organ Class and Preferred Term (Safety Set)"/>
                    <pic:cNvPicPr/>
                  </pic:nvPicPr>
                  <pic:blipFill>
                    <a:blip r:embed="rId58"/>
                    <a:stretch>
                      <a:fillRect/>
                    </a:stretch>
                  </pic:blipFill>
                  <pic:spPr>
                    <a:xfrm>
                      <a:off x="0" y="0"/>
                      <a:ext cx="5525351" cy="5753075"/>
                    </a:xfrm>
                    <a:prstGeom prst="rect">
                      <a:avLst/>
                    </a:prstGeom>
                  </pic:spPr>
                </pic:pic>
              </a:graphicData>
            </a:graphic>
          </wp:inline>
        </w:drawing>
      </w:r>
    </w:p>
    <w:p w14:paraId="3D8630A9" w14:textId="507BB3C4" w:rsidR="000008B6" w:rsidRDefault="000008B6" w:rsidP="0035187D">
      <w:pPr>
        <w:pStyle w:val="TableDescription"/>
      </w:pPr>
      <w:r>
        <w:t>Abbreviations: E = events; MedDRA = Medical Dictionary for Regulatory Activities; PY = patient-years; SAE = serious adverse event; SOC = System Organ Class; TEAE = treatment-emergent adverse event; TRAE = treatment-related adverse event.</w:t>
      </w:r>
    </w:p>
    <w:p w14:paraId="6820F47B" w14:textId="64D0E8F7" w:rsidR="00AA678E" w:rsidRPr="000A0810" w:rsidRDefault="00AA678E" w:rsidP="0035187D">
      <w:pPr>
        <w:pStyle w:val="TableDescription"/>
      </w:pPr>
      <w:r w:rsidRPr="000A0810">
        <w:t>Note: Percentages were based on the number of patients in the Safety Set in each column,</w:t>
      </w:r>
      <w:r w:rsidR="00203235">
        <w:t xml:space="preserve"> that is</w:t>
      </w:r>
      <w:r w:rsidRPr="000A0810">
        <w:t>, % = n/N × 100. Rate = rate of</w:t>
      </w:r>
      <w:r w:rsidR="003C741C">
        <w:t xml:space="preserve"> adverse event</w:t>
      </w:r>
      <w:r w:rsidRPr="000A0810">
        <w:t xml:space="preserve"> adjusted by </w:t>
      </w:r>
      <w:r w:rsidR="00203235">
        <w:t>patient-year</w:t>
      </w:r>
      <w:r w:rsidRPr="000A0810">
        <w:t xml:space="preserve"> of exposure, defined as (number of events)/100 </w:t>
      </w:r>
      <w:r w:rsidR="00203235">
        <w:t>patient-year</w:t>
      </w:r>
      <w:r w:rsidRPr="000A0810">
        <w:t>.</w:t>
      </w:r>
      <w:r w:rsidRPr="000A0810">
        <w:rPr>
          <w:sz w:val="20"/>
        </w:rPr>
        <w:t xml:space="preserve"> </w:t>
      </w:r>
      <w:r w:rsidRPr="000A0810">
        <w:t xml:space="preserve">Safety Set comprised all patients from </w:t>
      </w:r>
      <w:r w:rsidR="003C741C">
        <w:t>Study ALXN1210-aHUS-311</w:t>
      </w:r>
      <w:r w:rsidRPr="000A0810">
        <w:t xml:space="preserve"> and </w:t>
      </w:r>
      <w:r w:rsidR="003C741C">
        <w:t>Study ALXN1210-aHUS-312</w:t>
      </w:r>
      <w:r w:rsidRPr="000A0810">
        <w:t xml:space="preserve"> who received at least </w:t>
      </w:r>
      <w:r w:rsidR="00203235">
        <w:t>one</w:t>
      </w:r>
      <w:r w:rsidRPr="000A0810">
        <w:t xml:space="preserve"> dose of ravulizumab. TEAEs were</w:t>
      </w:r>
      <w:r w:rsidR="003C741C">
        <w:t xml:space="preserve"> adverse event</w:t>
      </w:r>
      <w:r w:rsidRPr="000A0810">
        <w:t xml:space="preserve">s with a start date and start time on or after the date and time of the first infusion of study drug. Under patient count columns, n (%), if a patient had more than </w:t>
      </w:r>
      <w:r w:rsidR="00203235">
        <w:t>one</w:t>
      </w:r>
      <w:r w:rsidRPr="000A0810">
        <w:t xml:space="preserve"> event for a particular </w:t>
      </w:r>
      <w:r w:rsidR="00203235">
        <w:t>System organ class</w:t>
      </w:r>
      <w:r w:rsidRPr="000A0810">
        <w:t xml:space="preserve">, the patient was counted only once for that </w:t>
      </w:r>
      <w:r w:rsidR="00203235">
        <w:t>System organ class</w:t>
      </w:r>
      <w:r w:rsidRPr="000A0810">
        <w:t xml:space="preserve"> under n (%). If a patient had more than </w:t>
      </w:r>
      <w:r w:rsidR="00203235">
        <w:t>one</w:t>
      </w:r>
      <w:r w:rsidRPr="000A0810">
        <w:t xml:space="preserve"> event for a particular Preferred Term, the patient was counted only once for that Preferred Term. The data cut-off dates are specified in Table 1. All</w:t>
      </w:r>
      <w:r w:rsidR="003C741C">
        <w:t xml:space="preserve"> adverse event</w:t>
      </w:r>
      <w:r w:rsidRPr="000A0810">
        <w:t>s were coded using MedDRA Version 21.0</w:t>
      </w:r>
    </w:p>
    <w:p w14:paraId="79BBF0A4" w14:textId="18F89591" w:rsidR="00856026" w:rsidRDefault="00AA678E" w:rsidP="00AA678E">
      <w:r w:rsidRPr="006E1C3B">
        <w:t xml:space="preserve">All </w:t>
      </w:r>
      <w:proofErr w:type="gramStart"/>
      <w:r w:rsidRPr="006E1C3B">
        <w:t>aHUS</w:t>
      </w:r>
      <w:proofErr w:type="gramEnd"/>
      <w:r w:rsidRPr="006E1C3B">
        <w:t xml:space="preserve"> patients reported at least one</w:t>
      </w:r>
      <w:r w:rsidR="001C1826">
        <w:t xml:space="preserve"> t</w:t>
      </w:r>
      <w:r w:rsidR="001C1826" w:rsidRPr="001C1826">
        <w:t>reatment emergent adverse event</w:t>
      </w:r>
      <w:r w:rsidR="001C1826">
        <w:t xml:space="preserve"> (</w:t>
      </w:r>
      <w:r w:rsidRPr="006E1C3B">
        <w:t>TEAE</w:t>
      </w:r>
      <w:r w:rsidR="001C1826">
        <w:t>)</w:t>
      </w:r>
      <w:r w:rsidRPr="006E1C3B">
        <w:t xml:space="preserve"> as of data cut</w:t>
      </w:r>
      <w:r w:rsidR="00E87C03">
        <w:noBreakHyphen/>
      </w:r>
      <w:r w:rsidRPr="006E1C3B">
        <w:t xml:space="preserve">off, the majority Grade 1 or 2 events. </w:t>
      </w:r>
      <w:r w:rsidR="001C1826">
        <w:t>Adverse events (</w:t>
      </w:r>
      <w:r w:rsidRPr="006E1C3B">
        <w:t>AE</w:t>
      </w:r>
      <w:r w:rsidR="001C1826">
        <w:t>)</w:t>
      </w:r>
      <w:r w:rsidRPr="006E1C3B">
        <w:t xml:space="preserve"> reported b</w:t>
      </w:r>
      <w:r w:rsidR="001C1826">
        <w:t xml:space="preserve">y </w:t>
      </w:r>
      <w:r w:rsidRPr="006E1C3B">
        <w:t xml:space="preserve">20% </w:t>
      </w:r>
      <w:r w:rsidR="001C1826">
        <w:t xml:space="preserve">or more </w:t>
      </w:r>
      <w:r w:rsidRPr="006E1C3B">
        <w:t xml:space="preserve">patients including headache, diarrhoea, vomiting, pyrexia, nasopharyngitis, nausea and hypertension. </w:t>
      </w:r>
      <w:r w:rsidR="003C741C">
        <w:lastRenderedPageBreak/>
        <w:t>treatment emergent adverse event</w:t>
      </w:r>
      <w:r w:rsidRPr="006E1C3B">
        <w:t xml:space="preserve">s of pyrexia, nasopharyngitis, </w:t>
      </w:r>
      <w:r w:rsidR="003C741C">
        <w:t>upper respiratory tract infection</w:t>
      </w:r>
      <w:r w:rsidRPr="006E1C3B">
        <w:t xml:space="preserve"> and abdominal pain were reported more frequently in paediatric patients.</w:t>
      </w:r>
    </w:p>
    <w:p w14:paraId="14F76B51" w14:textId="2B040558" w:rsidR="00EE502A" w:rsidRDefault="00EE502A" w:rsidP="0084036E">
      <w:pPr>
        <w:pStyle w:val="Heading6"/>
      </w:pPr>
      <w:r>
        <w:t>Serious adverse events</w:t>
      </w:r>
    </w:p>
    <w:p w14:paraId="2146BF1E" w14:textId="02551446" w:rsidR="00AA678E" w:rsidRPr="0034723F" w:rsidRDefault="003C741C" w:rsidP="00AA678E">
      <w:r>
        <w:t>Serious adverse event</w:t>
      </w:r>
      <w:r w:rsidR="00AA678E">
        <w:t xml:space="preserve">s were reported for approximately 50% patients. In </w:t>
      </w:r>
      <w:r w:rsidRPr="003C741C">
        <w:t>Study ALXN1210-aHUS-311</w:t>
      </w:r>
      <w:r w:rsidR="00AA678E">
        <w:t xml:space="preserve">, </w:t>
      </w:r>
      <w:r>
        <w:t xml:space="preserve">two </w:t>
      </w:r>
      <w:r w:rsidR="00AA678E" w:rsidRPr="0034723F">
        <w:t xml:space="preserve">patients had </w:t>
      </w:r>
      <w:r>
        <w:t>serious adverse event</w:t>
      </w:r>
      <w:r w:rsidR="00AA678E" w:rsidRPr="0034723F">
        <w:t xml:space="preserve">s considered possibly related to ravulizumab; events of </w:t>
      </w:r>
      <w:r w:rsidR="00AA678E" w:rsidRPr="00155F42">
        <w:rPr>
          <w:i/>
        </w:rPr>
        <w:t>Escherichia</w:t>
      </w:r>
      <w:r w:rsidR="00AA678E" w:rsidRPr="0034723F">
        <w:t xml:space="preserve"> pyelonephritis (resolved) and immune thrombocytopenic purpura (study drug discontinued and patient withdrawn from study). There were </w:t>
      </w:r>
      <w:r>
        <w:t>two</w:t>
      </w:r>
      <w:r w:rsidR="00AA678E" w:rsidRPr="0034723F">
        <w:t xml:space="preserve"> patients who discontinued study drug and were withdrawn from the study due to </w:t>
      </w:r>
      <w:r>
        <w:t>serious adverse event</w:t>
      </w:r>
      <w:r w:rsidR="00AA678E" w:rsidRPr="0034723F">
        <w:t>s considered not related to study drug (autoimmune haemolytic anaemia, intracranial haemorrhage).</w:t>
      </w:r>
      <w:r w:rsidR="00AA678E" w:rsidRPr="00E11B56">
        <w:t xml:space="preserve"> </w:t>
      </w:r>
      <w:r w:rsidR="00AA678E">
        <w:t xml:space="preserve">There were </w:t>
      </w:r>
      <w:r>
        <w:t>three</w:t>
      </w:r>
      <w:r w:rsidR="00AA678E">
        <w:t xml:space="preserve"> paediatric patients with </w:t>
      </w:r>
      <w:r>
        <w:t>serious adverse event</w:t>
      </w:r>
      <w:r w:rsidR="00AA678E">
        <w:t xml:space="preserve">s considered related to study </w:t>
      </w:r>
      <w:proofErr w:type="gramStart"/>
      <w:r w:rsidR="00AA678E">
        <w:t>treatment;</w:t>
      </w:r>
      <w:proofErr w:type="gramEnd"/>
      <w:r w:rsidR="00AA678E">
        <w:t xml:space="preserve"> </w:t>
      </w:r>
      <w:r w:rsidR="00AA678E" w:rsidRPr="00844800">
        <w:rPr>
          <w:i/>
        </w:rPr>
        <w:t>Escherichia</w:t>
      </w:r>
      <w:r w:rsidR="00AA678E" w:rsidRPr="00844800">
        <w:t xml:space="preserve"> pyelonephritis and </w:t>
      </w:r>
      <w:r w:rsidR="00AA678E" w:rsidRPr="00844800">
        <w:rPr>
          <w:i/>
        </w:rPr>
        <w:t>Escherichia</w:t>
      </w:r>
      <w:r w:rsidR="00AA678E" w:rsidRPr="00844800">
        <w:t xml:space="preserve"> bacteraemia</w:t>
      </w:r>
      <w:r w:rsidR="00AA678E">
        <w:t xml:space="preserve">, pyrexia and anaemia. One paediatric patient in Cohort 1 discontinued due to </w:t>
      </w:r>
      <w:r>
        <w:t>serious adverse event</w:t>
      </w:r>
      <w:r w:rsidR="00AA678E">
        <w:t>s of hypertensive crisis (not considered related) and anaemia.</w:t>
      </w:r>
    </w:p>
    <w:p w14:paraId="321EA9E8" w14:textId="208AE0A1" w:rsidR="00AA678E" w:rsidRPr="00BB700A" w:rsidRDefault="00AA678E" w:rsidP="00AA678E">
      <w:r>
        <w:t xml:space="preserve">Serious infections were reported in 24 (27.0%) patients, more frequently in paediatric patients; 14 (24.1%) adults and 10 (32.3%) paediatric patients. Pneumonia was reported for </w:t>
      </w:r>
      <w:r w:rsidR="003C741C">
        <w:t>five</w:t>
      </w:r>
      <w:r>
        <w:t xml:space="preserve"> (5.6%) patients (</w:t>
      </w:r>
      <w:r w:rsidR="00E87C03">
        <w:t>three</w:t>
      </w:r>
      <w:r>
        <w:t xml:space="preserve"> [5.2%] adults, </w:t>
      </w:r>
      <w:r w:rsidR="00E87C03">
        <w:t>two</w:t>
      </w:r>
      <w:r>
        <w:t xml:space="preserve"> [6.5%] paediatric), with </w:t>
      </w:r>
      <w:r w:rsidRPr="004D4536">
        <w:rPr>
          <w:i/>
        </w:rPr>
        <w:t>Escherichia</w:t>
      </w:r>
      <w:r>
        <w:t xml:space="preserve"> pyelonephritis, gastroenteritis, gastroenteritis viral, pharyngitis, septic shock, and urinary tract infection reported by </w:t>
      </w:r>
      <w:r w:rsidR="00E87C03">
        <w:t>two</w:t>
      </w:r>
      <w:r>
        <w:t xml:space="preserve"> (2.2%) patients.</w:t>
      </w:r>
      <w:r w:rsidRPr="00BB700A">
        <w:rPr>
          <w:rFonts w:eastAsia="Times New Roman"/>
          <w:szCs w:val="24"/>
          <w:lang w:eastAsia="en-AU"/>
        </w:rPr>
        <w:t xml:space="preserve"> </w:t>
      </w:r>
      <w:r w:rsidRPr="00BB700A">
        <w:t xml:space="preserve">There were no meningococcal infections reported as of data cut-off in </w:t>
      </w:r>
      <w:r w:rsidR="003C741C">
        <w:t>Study ALXN1210-aHUS-311</w:t>
      </w:r>
      <w:r w:rsidR="00E87C03">
        <w:t xml:space="preserve"> </w:t>
      </w:r>
      <w:r w:rsidRPr="00BB700A">
        <w:t xml:space="preserve">or </w:t>
      </w:r>
      <w:r w:rsidR="003C741C">
        <w:t>Study ALXN1210-aHUS-312</w:t>
      </w:r>
      <w:r>
        <w:t>.</w:t>
      </w:r>
    </w:p>
    <w:p w14:paraId="6C85CDE4" w14:textId="64C7DB2C" w:rsidR="00856026" w:rsidRDefault="00AA678E" w:rsidP="00AA678E">
      <w:r>
        <w:t>Two patients had</w:t>
      </w:r>
      <w:r w:rsidR="003C741C">
        <w:t xml:space="preserve"> adverse event</w:t>
      </w:r>
      <w:r>
        <w:t xml:space="preserve"> of infusion-related reaction in </w:t>
      </w:r>
      <w:r w:rsidR="003C741C">
        <w:t>Study ALXN1210-aHUS-311</w:t>
      </w:r>
      <w:r>
        <w:t xml:space="preserve">; neither event resulted in infusion interruption. There were </w:t>
      </w:r>
      <w:r w:rsidR="003C741C">
        <w:t>six adverse event</w:t>
      </w:r>
      <w:r>
        <w:t xml:space="preserve">s leading to infusion interruption in </w:t>
      </w:r>
      <w:r w:rsidR="003C741C">
        <w:t>t</w:t>
      </w:r>
      <w:r>
        <w:t xml:space="preserve"> (3.4%) paediatric patients in </w:t>
      </w:r>
      <w:r w:rsidR="003C741C">
        <w:t>Study ALXN1210-aHUS-312</w:t>
      </w:r>
      <w:r>
        <w:t xml:space="preserve"> (n = 2 Cohort</w:t>
      </w:r>
      <w:r w:rsidR="00717B61">
        <w:t> </w:t>
      </w:r>
      <w:r>
        <w:t>1, n = 1 Cohort 2)</w:t>
      </w:r>
      <w:r w:rsidR="00717B61">
        <w:t>.</w:t>
      </w:r>
      <w:r w:rsidR="00B9110E">
        <w:t xml:space="preserve"> </w:t>
      </w:r>
      <w:r w:rsidR="00717B61">
        <w:t>One</w:t>
      </w:r>
      <w:r>
        <w:t xml:space="preserve"> patient </w:t>
      </w:r>
      <w:r w:rsidR="00717B61">
        <w:t xml:space="preserve">had </w:t>
      </w:r>
      <w:r>
        <w:t>single Grade 2 event of hypertension considered unrelated to study treatment (infusion completed),</w:t>
      </w:r>
      <w:r w:rsidR="00717B61">
        <w:t xml:space="preserve"> one</w:t>
      </w:r>
      <w:r>
        <w:t xml:space="preserve"> patient </w:t>
      </w:r>
      <w:r w:rsidR="00717B61">
        <w:t>had three</w:t>
      </w:r>
      <w:r>
        <w:t xml:space="preserve"> Grade 2</w:t>
      </w:r>
      <w:r w:rsidR="003C741C">
        <w:t xml:space="preserve"> adverse event</w:t>
      </w:r>
      <w:r>
        <w:t xml:space="preserve">s of drug hypersensitivity (all resolved, infusion able to be completed for 2 events) and </w:t>
      </w:r>
      <w:r w:rsidR="00717B61">
        <w:t>one</w:t>
      </w:r>
      <w:r>
        <w:t xml:space="preserve"> patient</w:t>
      </w:r>
      <w:r w:rsidR="00717B61">
        <w:t xml:space="preserve"> had</w:t>
      </w:r>
      <w:r>
        <w:t xml:space="preserve"> with back pain, pain in extremity (both resolved, infusion completed).</w:t>
      </w:r>
    </w:p>
    <w:p w14:paraId="66EEF2CB" w14:textId="53B2DFBB" w:rsidR="00856026" w:rsidRDefault="00AA678E" w:rsidP="00AA678E">
      <w:r w:rsidRPr="00ED5F71">
        <w:t xml:space="preserve">There were </w:t>
      </w:r>
      <w:r w:rsidR="00717B61">
        <w:t>four</w:t>
      </w:r>
      <w:r w:rsidRPr="00ED5F71">
        <w:t xml:space="preserve"> deaths in </w:t>
      </w:r>
      <w:r w:rsidR="003C741C">
        <w:t>Study ALXN1210-aHUS-311</w:t>
      </w:r>
      <w:r w:rsidRPr="00ED5F71">
        <w:t xml:space="preserve">, none of which were considered related to </w:t>
      </w:r>
      <w:r w:rsidR="00717B61">
        <w:t>ravulizumab</w:t>
      </w:r>
      <w:r w:rsidRPr="00ED5F71">
        <w:t xml:space="preserve"> (</w:t>
      </w:r>
      <w:r w:rsidR="00E87C03">
        <w:t>two</w:t>
      </w:r>
      <w:r w:rsidRPr="00ED5F71">
        <w:t xml:space="preserve"> septic shock, </w:t>
      </w:r>
      <w:r w:rsidR="00E87C03">
        <w:t>one</w:t>
      </w:r>
      <w:r w:rsidRPr="00ED5F71">
        <w:t xml:space="preserve"> intracranial haemorrhage and</w:t>
      </w:r>
      <w:r w:rsidR="00E87C03">
        <w:t xml:space="preserve"> one</w:t>
      </w:r>
      <w:r w:rsidRPr="00ED5F71">
        <w:t xml:space="preserve"> due to pre-treatment</w:t>
      </w:r>
      <w:r w:rsidR="003C741C">
        <w:t xml:space="preserve"> adverse event</w:t>
      </w:r>
      <w:r w:rsidRPr="00ED5F71">
        <w:t xml:space="preserve"> of cerebral arterial thrombosis). It is noted the </w:t>
      </w:r>
      <w:r w:rsidR="00717B61">
        <w:t>two</w:t>
      </w:r>
      <w:r w:rsidRPr="00ED5F71">
        <w:t xml:space="preserve"> cases of septic shock occurred on Day 4 / Day 6 of the study in patients who were ventilated and had histories including atypical pneumonia/</w:t>
      </w:r>
      <w:r>
        <w:t xml:space="preserve"> </w:t>
      </w:r>
      <w:r w:rsidR="00EE502A">
        <w:t>acute respiratory distress syndrome</w:t>
      </w:r>
      <w:r w:rsidRPr="00ED5F71">
        <w:t xml:space="preserve">/sepsis and </w:t>
      </w:r>
      <w:r w:rsidRPr="00ED5F71">
        <w:rPr>
          <w:i/>
        </w:rPr>
        <w:t>Pseudomonas</w:t>
      </w:r>
      <w:r w:rsidRPr="00ED5F71">
        <w:t xml:space="preserve"> infection </w:t>
      </w:r>
      <w:r w:rsidR="00FD0821">
        <w:t>at Baseline</w:t>
      </w:r>
      <w:r w:rsidRPr="00ED5F71">
        <w:t xml:space="preserve">. There were no deaths in </w:t>
      </w:r>
      <w:r w:rsidR="003C741C">
        <w:t>Study ALXN1210-aHUS-312</w:t>
      </w:r>
      <w:r w:rsidRPr="00ED5F71">
        <w:t>.</w:t>
      </w:r>
    </w:p>
    <w:p w14:paraId="60CAFBB5" w14:textId="3C1834BF" w:rsidR="00EE502A" w:rsidRDefault="00EE502A" w:rsidP="0035187D">
      <w:pPr>
        <w:pStyle w:val="Heading6"/>
      </w:pPr>
      <w:r>
        <w:t>Safety in population subgroups</w:t>
      </w:r>
    </w:p>
    <w:p w14:paraId="31BAD87F" w14:textId="349387C7" w:rsidR="00856026" w:rsidRDefault="00717B61" w:rsidP="00AA678E">
      <w:r>
        <w:t>No</w:t>
      </w:r>
      <w:r w:rsidR="00AA678E" w:rsidRPr="00ED5F71">
        <w:t xml:space="preserve"> safety concerns </w:t>
      </w:r>
      <w:r>
        <w:t xml:space="preserve">were noted </w:t>
      </w:r>
      <w:r w:rsidR="00AA678E" w:rsidRPr="00ED5F71">
        <w:t>in pooled analyses of</w:t>
      </w:r>
      <w:r w:rsidR="003C741C">
        <w:t xml:space="preserve"> adverse event</w:t>
      </w:r>
      <w:r w:rsidR="00AA678E" w:rsidRPr="00ED5F71">
        <w:t>s by age (provided in the Summary of Clinical Safety for patients in age groups</w:t>
      </w:r>
      <w:r w:rsidR="00F46EEC">
        <w:t>:</w:t>
      </w:r>
      <w:r w:rsidR="00AA678E" w:rsidRPr="00ED5F71">
        <w:t xml:space="preserve"> birth </w:t>
      </w:r>
      <w:r w:rsidR="00F46EEC">
        <w:t xml:space="preserve">to </w:t>
      </w:r>
      <w:r>
        <w:t>&lt;</w:t>
      </w:r>
      <w:r w:rsidR="00AA678E" w:rsidRPr="00ED5F71">
        <w:t xml:space="preserve"> 6 years </w:t>
      </w:r>
      <w:r w:rsidR="00EE502A">
        <w:t>(</w:t>
      </w:r>
      <w:r w:rsidR="00AA678E" w:rsidRPr="00ED5F71">
        <w:t>n = 14</w:t>
      </w:r>
      <w:r w:rsidR="00EE502A">
        <w:t>)</w:t>
      </w:r>
      <w:r w:rsidR="00AA678E" w:rsidRPr="00ED5F71">
        <w:t xml:space="preserve">, 6 </w:t>
      </w:r>
      <w:r w:rsidR="00F46EEC">
        <w:t xml:space="preserve">to </w:t>
      </w:r>
      <w:r w:rsidR="00163335">
        <w:t xml:space="preserve">&lt; </w:t>
      </w:r>
      <w:r w:rsidR="00AA678E" w:rsidRPr="00ED5F71">
        <w:t xml:space="preserve">18 years </w:t>
      </w:r>
      <w:r w:rsidR="00EE502A">
        <w:t>(</w:t>
      </w:r>
      <w:r w:rsidR="00AA678E" w:rsidRPr="00ED5F71">
        <w:t xml:space="preserve">n </w:t>
      </w:r>
      <w:r w:rsidR="00AA678E" w:rsidRPr="00800AC2">
        <w:t>= 17</w:t>
      </w:r>
      <w:r w:rsidR="00EE502A">
        <w:t>)</w:t>
      </w:r>
      <w:r w:rsidR="00AA678E" w:rsidRPr="00800AC2">
        <w:t xml:space="preserve">, 18 </w:t>
      </w:r>
      <w:r w:rsidR="00F46EEC">
        <w:t>to</w:t>
      </w:r>
      <w:r w:rsidR="00163335">
        <w:t xml:space="preserve"> &lt;</w:t>
      </w:r>
      <w:r w:rsidR="00F46EEC">
        <w:t xml:space="preserve"> than </w:t>
      </w:r>
      <w:r w:rsidR="00AA678E" w:rsidRPr="00800AC2">
        <w:t xml:space="preserve">65 years </w:t>
      </w:r>
      <w:r w:rsidR="00EE502A">
        <w:t>(</w:t>
      </w:r>
      <w:r w:rsidR="00AA678E" w:rsidRPr="00800AC2">
        <w:t>n = 49</w:t>
      </w:r>
      <w:r w:rsidR="00EE502A">
        <w:t>)</w:t>
      </w:r>
      <w:r w:rsidR="00AA678E" w:rsidRPr="00800AC2">
        <w:t xml:space="preserve"> and</w:t>
      </w:r>
      <w:r w:rsidR="00F46EEC">
        <w:t xml:space="preserve"> </w:t>
      </w:r>
      <w:r w:rsidR="00163335" w:rsidRPr="00163335">
        <w:t>≥</w:t>
      </w:r>
      <w:r w:rsidR="00163335">
        <w:t xml:space="preserve"> </w:t>
      </w:r>
      <w:r w:rsidR="00F46EEC">
        <w:t>older than</w:t>
      </w:r>
      <w:r w:rsidR="00AA678E" w:rsidRPr="00800AC2">
        <w:t xml:space="preserve"> 65 years </w:t>
      </w:r>
      <w:r w:rsidR="00EE502A">
        <w:t>(</w:t>
      </w:r>
      <w:r w:rsidR="00AA678E" w:rsidRPr="00800AC2">
        <w:t>n</w:t>
      </w:r>
      <w:r w:rsidR="00F46EEC">
        <w:t> </w:t>
      </w:r>
      <w:r w:rsidR="00AA678E" w:rsidRPr="00800AC2">
        <w:t>= 9</w:t>
      </w:r>
      <w:r w:rsidR="00EE502A">
        <w:t>)</w:t>
      </w:r>
      <w:r w:rsidR="00AA678E" w:rsidRPr="00800AC2">
        <w:t>) or body weight. An overview of</w:t>
      </w:r>
      <w:r w:rsidR="003C741C">
        <w:t xml:space="preserve"> adverse event</w:t>
      </w:r>
      <w:r w:rsidR="00AA678E" w:rsidRPr="00800AC2">
        <w:t>s by body weight group is provided below</w:t>
      </w:r>
      <w:r w:rsidR="00EE502A">
        <w:t>.</w:t>
      </w:r>
    </w:p>
    <w:p w14:paraId="4D8C652D" w14:textId="4578834A" w:rsidR="00AA678E" w:rsidRPr="00427B0C" w:rsidRDefault="00AA678E" w:rsidP="00420B7B">
      <w:pPr>
        <w:pStyle w:val="TableTitle"/>
      </w:pPr>
      <w:r>
        <w:lastRenderedPageBreak/>
        <w:t xml:space="preserve">Table </w:t>
      </w:r>
      <w:fldSimple w:instr=" SEQ Table \* ARABIC ">
        <w:r w:rsidR="004C7A29">
          <w:rPr>
            <w:noProof/>
          </w:rPr>
          <w:t>28</w:t>
        </w:r>
      </w:fldSimple>
      <w:r>
        <w:t xml:space="preserve">: </w:t>
      </w:r>
      <w:r w:rsidRPr="00F757E9">
        <w:t xml:space="preserve">Subgroup </w:t>
      </w:r>
      <w:r w:rsidR="00203235">
        <w:t>o</w:t>
      </w:r>
      <w:r w:rsidRPr="00F757E9">
        <w:t xml:space="preserve">verview of </w:t>
      </w:r>
      <w:r w:rsidR="00203235">
        <w:t>a</w:t>
      </w:r>
      <w:r w:rsidRPr="00F757E9">
        <w:t xml:space="preserve">ll </w:t>
      </w:r>
      <w:r w:rsidR="003C741C">
        <w:t>treatment emergent adverse event</w:t>
      </w:r>
      <w:r w:rsidRPr="00F757E9">
        <w:t xml:space="preserve">s and </w:t>
      </w:r>
      <w:r w:rsidR="003C741C">
        <w:t>serious adverse event</w:t>
      </w:r>
      <w:r w:rsidRPr="00F757E9">
        <w:t xml:space="preserve">s by </w:t>
      </w:r>
      <w:r w:rsidR="00203235">
        <w:t>b</w:t>
      </w:r>
      <w:r w:rsidRPr="00F757E9">
        <w:t xml:space="preserve">ody </w:t>
      </w:r>
      <w:r w:rsidR="00203235">
        <w:t>w</w:t>
      </w:r>
      <w:r w:rsidRPr="00F757E9">
        <w:t xml:space="preserve">eight </w:t>
      </w:r>
      <w:r w:rsidR="00203235">
        <w:t>g</w:t>
      </w:r>
      <w:r w:rsidRPr="00F757E9">
        <w:t>roup (Safety Set)</w:t>
      </w:r>
    </w:p>
    <w:tbl>
      <w:tblPr>
        <w:tblStyle w:val="TGABlack2023"/>
        <w:tblW w:w="0" w:type="auto"/>
        <w:tblLook w:val="04A0" w:firstRow="1" w:lastRow="0" w:firstColumn="1" w:lastColumn="0" w:noHBand="0" w:noVBand="1"/>
      </w:tblPr>
      <w:tblGrid>
        <w:gridCol w:w="2442"/>
        <w:gridCol w:w="1381"/>
        <w:gridCol w:w="1417"/>
        <w:gridCol w:w="1276"/>
        <w:gridCol w:w="1276"/>
        <w:gridCol w:w="1224"/>
      </w:tblGrid>
      <w:tr w:rsidR="00AA678E" w:rsidRPr="00F757E9" w14:paraId="631DAA67" w14:textId="77777777" w:rsidTr="00203235">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442" w:type="dxa"/>
            <w:vMerge w:val="restart"/>
            <w:shd w:val="clear" w:color="auto" w:fill="auto"/>
          </w:tcPr>
          <w:p w14:paraId="1E125B3F" w14:textId="77777777" w:rsidR="00AA678E" w:rsidRPr="00203235" w:rsidRDefault="00AA678E">
            <w:pPr>
              <w:spacing w:line="276" w:lineRule="auto"/>
              <w:jc w:val="center"/>
              <w:rPr>
                <w:b w:val="0"/>
                <w:color w:val="auto"/>
                <w:sz w:val="19"/>
                <w:szCs w:val="19"/>
              </w:rPr>
            </w:pPr>
          </w:p>
          <w:p w14:paraId="414348F1" w14:textId="77777777" w:rsidR="00AA678E" w:rsidRPr="00203235" w:rsidRDefault="00AA678E">
            <w:pPr>
              <w:spacing w:line="276" w:lineRule="auto"/>
              <w:jc w:val="center"/>
              <w:rPr>
                <w:b w:val="0"/>
                <w:color w:val="auto"/>
                <w:sz w:val="19"/>
                <w:szCs w:val="19"/>
              </w:rPr>
            </w:pPr>
          </w:p>
        </w:tc>
        <w:tc>
          <w:tcPr>
            <w:tcW w:w="6574" w:type="dxa"/>
            <w:gridSpan w:val="5"/>
            <w:shd w:val="clear" w:color="auto" w:fill="auto"/>
          </w:tcPr>
          <w:p w14:paraId="4D522336" w14:textId="77777777" w:rsidR="00AA678E" w:rsidRPr="00203235" w:rsidRDefault="00AA678E">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Cs w:val="22"/>
              </w:rPr>
            </w:pPr>
            <w:r w:rsidRPr="00203235">
              <w:rPr>
                <w:color w:val="auto"/>
                <w:szCs w:val="22"/>
              </w:rPr>
              <w:t>Body weight group</w:t>
            </w:r>
          </w:p>
        </w:tc>
      </w:tr>
      <w:tr w:rsidR="00AA678E" w:rsidRPr="00F757E9" w14:paraId="798F0E7E" w14:textId="77777777" w:rsidTr="0087722B">
        <w:trPr>
          <w:trHeight w:val="510"/>
        </w:trPr>
        <w:tc>
          <w:tcPr>
            <w:cnfStyle w:val="001000000000" w:firstRow="0" w:lastRow="0" w:firstColumn="1" w:lastColumn="0" w:oddVBand="0" w:evenVBand="0" w:oddHBand="0" w:evenHBand="0" w:firstRowFirstColumn="0" w:firstRowLastColumn="0" w:lastRowFirstColumn="0" w:lastRowLastColumn="0"/>
            <w:tcW w:w="2442" w:type="dxa"/>
            <w:vMerge/>
            <w:shd w:val="clear" w:color="auto" w:fill="auto"/>
          </w:tcPr>
          <w:p w14:paraId="041F1ED1" w14:textId="77777777" w:rsidR="00AA678E" w:rsidRPr="00F757E9" w:rsidRDefault="00AA678E">
            <w:pPr>
              <w:spacing w:line="276" w:lineRule="auto"/>
              <w:jc w:val="center"/>
              <w:rPr>
                <w:b/>
                <w:sz w:val="19"/>
                <w:szCs w:val="19"/>
              </w:rPr>
            </w:pPr>
          </w:p>
        </w:tc>
        <w:tc>
          <w:tcPr>
            <w:tcW w:w="1381" w:type="dxa"/>
            <w:shd w:val="clear" w:color="auto" w:fill="auto"/>
            <w:tcMar>
              <w:left w:w="28" w:type="dxa"/>
              <w:right w:w="28" w:type="dxa"/>
            </w:tcMar>
          </w:tcPr>
          <w:p w14:paraId="559AE607" w14:textId="61089507" w:rsidR="00856026"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b/>
                <w:sz w:val="19"/>
                <w:szCs w:val="19"/>
              </w:rPr>
            </w:pPr>
            <w:r w:rsidRPr="00F757E9">
              <w:rPr>
                <w:b/>
                <w:sz w:val="19"/>
                <w:szCs w:val="19"/>
              </w:rPr>
              <w:t xml:space="preserve">≥ 5 </w:t>
            </w:r>
            <w:r w:rsidR="00203235">
              <w:rPr>
                <w:b/>
                <w:sz w:val="19"/>
                <w:szCs w:val="19"/>
              </w:rPr>
              <w:t>to</w:t>
            </w:r>
            <w:r w:rsidRPr="00F757E9">
              <w:rPr>
                <w:b/>
                <w:sz w:val="19"/>
                <w:szCs w:val="19"/>
              </w:rPr>
              <w:t xml:space="preserve"> &lt; 20 kg</w:t>
            </w:r>
          </w:p>
          <w:p w14:paraId="1B8C1329" w14:textId="6810550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b/>
                <w:sz w:val="19"/>
                <w:szCs w:val="19"/>
              </w:rPr>
            </w:pPr>
            <w:r w:rsidRPr="00F757E9">
              <w:rPr>
                <w:b/>
                <w:sz w:val="19"/>
                <w:szCs w:val="19"/>
              </w:rPr>
              <w:t>(n = 14)</w:t>
            </w:r>
          </w:p>
        </w:tc>
        <w:tc>
          <w:tcPr>
            <w:tcW w:w="1417" w:type="dxa"/>
            <w:shd w:val="clear" w:color="auto" w:fill="auto"/>
            <w:tcMar>
              <w:left w:w="28" w:type="dxa"/>
              <w:right w:w="28" w:type="dxa"/>
            </w:tcMar>
          </w:tcPr>
          <w:p w14:paraId="2C2BA01A" w14:textId="7C74C68E" w:rsidR="00856026"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b/>
                <w:sz w:val="19"/>
                <w:szCs w:val="19"/>
              </w:rPr>
            </w:pPr>
            <w:r w:rsidRPr="00F757E9">
              <w:rPr>
                <w:b/>
                <w:sz w:val="19"/>
                <w:szCs w:val="19"/>
              </w:rPr>
              <w:t xml:space="preserve">≥ 20 </w:t>
            </w:r>
            <w:r w:rsidR="00203235">
              <w:rPr>
                <w:b/>
                <w:sz w:val="19"/>
                <w:szCs w:val="19"/>
              </w:rPr>
              <w:t>to</w:t>
            </w:r>
            <w:r w:rsidRPr="00F757E9">
              <w:rPr>
                <w:b/>
                <w:sz w:val="19"/>
                <w:szCs w:val="19"/>
              </w:rPr>
              <w:t xml:space="preserve"> &lt; 40 kg</w:t>
            </w:r>
          </w:p>
          <w:p w14:paraId="766FA0E3" w14:textId="32777761"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b/>
                <w:sz w:val="19"/>
                <w:szCs w:val="19"/>
              </w:rPr>
            </w:pPr>
            <w:r w:rsidRPr="00F757E9">
              <w:rPr>
                <w:b/>
                <w:sz w:val="19"/>
                <w:szCs w:val="19"/>
              </w:rPr>
              <w:t>(n = 8)</w:t>
            </w:r>
          </w:p>
        </w:tc>
        <w:tc>
          <w:tcPr>
            <w:tcW w:w="1276" w:type="dxa"/>
            <w:shd w:val="clear" w:color="auto" w:fill="auto"/>
            <w:tcMar>
              <w:left w:w="28" w:type="dxa"/>
              <w:right w:w="28" w:type="dxa"/>
            </w:tcMar>
          </w:tcPr>
          <w:p w14:paraId="2E2199A0" w14:textId="2DA547FB" w:rsidR="00856026"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b/>
                <w:sz w:val="19"/>
                <w:szCs w:val="19"/>
              </w:rPr>
            </w:pPr>
            <w:r w:rsidRPr="00F757E9">
              <w:rPr>
                <w:b/>
                <w:sz w:val="19"/>
                <w:szCs w:val="19"/>
              </w:rPr>
              <w:t xml:space="preserve">≥ 40 </w:t>
            </w:r>
            <w:r w:rsidR="00203235">
              <w:rPr>
                <w:b/>
                <w:sz w:val="19"/>
                <w:szCs w:val="19"/>
              </w:rPr>
              <w:t>to</w:t>
            </w:r>
            <w:r w:rsidRPr="00F757E9">
              <w:rPr>
                <w:b/>
                <w:sz w:val="19"/>
                <w:szCs w:val="19"/>
              </w:rPr>
              <w:t xml:space="preserve"> &lt; 60 kg</w:t>
            </w:r>
          </w:p>
          <w:p w14:paraId="3972AA14" w14:textId="20A9D373"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b/>
                <w:sz w:val="19"/>
                <w:szCs w:val="19"/>
              </w:rPr>
            </w:pPr>
            <w:r w:rsidRPr="00F757E9">
              <w:rPr>
                <w:b/>
                <w:sz w:val="19"/>
                <w:szCs w:val="19"/>
              </w:rPr>
              <w:t>(n = 18)</w:t>
            </w:r>
          </w:p>
        </w:tc>
        <w:tc>
          <w:tcPr>
            <w:tcW w:w="1276" w:type="dxa"/>
            <w:shd w:val="clear" w:color="auto" w:fill="auto"/>
            <w:tcMar>
              <w:left w:w="28" w:type="dxa"/>
              <w:right w:w="28" w:type="dxa"/>
            </w:tcMar>
          </w:tcPr>
          <w:p w14:paraId="1C011FFE" w14:textId="2E20D8AA" w:rsidR="00856026"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b/>
                <w:sz w:val="19"/>
                <w:szCs w:val="19"/>
              </w:rPr>
            </w:pPr>
            <w:r w:rsidRPr="00F757E9">
              <w:rPr>
                <w:b/>
                <w:sz w:val="19"/>
                <w:szCs w:val="19"/>
              </w:rPr>
              <w:t xml:space="preserve">≥ 60 </w:t>
            </w:r>
            <w:r w:rsidR="00203235">
              <w:rPr>
                <w:b/>
                <w:sz w:val="19"/>
                <w:szCs w:val="19"/>
              </w:rPr>
              <w:t>to</w:t>
            </w:r>
            <w:r w:rsidRPr="00F757E9">
              <w:rPr>
                <w:b/>
                <w:sz w:val="19"/>
                <w:szCs w:val="19"/>
              </w:rPr>
              <w:t xml:space="preserve"> &lt; 100 kg</w:t>
            </w:r>
          </w:p>
          <w:p w14:paraId="63FF3C0E" w14:textId="5A0F6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b/>
                <w:sz w:val="19"/>
                <w:szCs w:val="19"/>
              </w:rPr>
            </w:pPr>
            <w:r w:rsidRPr="00F757E9">
              <w:rPr>
                <w:b/>
                <w:sz w:val="19"/>
                <w:szCs w:val="19"/>
              </w:rPr>
              <w:t>(n = 43)</w:t>
            </w:r>
          </w:p>
        </w:tc>
        <w:tc>
          <w:tcPr>
            <w:tcW w:w="1224" w:type="dxa"/>
            <w:shd w:val="clear" w:color="auto" w:fill="auto"/>
            <w:tcMar>
              <w:left w:w="28" w:type="dxa"/>
              <w:right w:w="28" w:type="dxa"/>
            </w:tcMar>
          </w:tcPr>
          <w:p w14:paraId="7819FC5E" w14:textId="77777777" w:rsidR="00856026"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b/>
                <w:sz w:val="19"/>
                <w:szCs w:val="19"/>
              </w:rPr>
            </w:pPr>
            <w:r w:rsidRPr="00F757E9">
              <w:rPr>
                <w:b/>
                <w:sz w:val="19"/>
                <w:szCs w:val="19"/>
              </w:rPr>
              <w:t>≥ 100 kg</w:t>
            </w:r>
          </w:p>
          <w:p w14:paraId="603C04BF" w14:textId="72350BFE"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b/>
                <w:sz w:val="19"/>
                <w:szCs w:val="19"/>
              </w:rPr>
            </w:pPr>
            <w:r w:rsidRPr="00F757E9">
              <w:rPr>
                <w:b/>
                <w:sz w:val="19"/>
                <w:szCs w:val="19"/>
              </w:rPr>
              <w:t>(n = 5)</w:t>
            </w:r>
          </w:p>
        </w:tc>
      </w:tr>
      <w:tr w:rsidR="00AA678E" w:rsidRPr="00F757E9" w14:paraId="6707FF48" w14:textId="77777777" w:rsidTr="00203235">
        <w:tc>
          <w:tcPr>
            <w:cnfStyle w:val="001000000000" w:firstRow="0" w:lastRow="0" w:firstColumn="1" w:lastColumn="0" w:oddVBand="0" w:evenVBand="0" w:oddHBand="0" w:evenHBand="0" w:firstRowFirstColumn="0" w:firstRowLastColumn="0" w:lastRowFirstColumn="0" w:lastRowLastColumn="0"/>
            <w:tcW w:w="2442" w:type="dxa"/>
            <w:shd w:val="clear" w:color="auto" w:fill="auto"/>
          </w:tcPr>
          <w:p w14:paraId="002BE253" w14:textId="77777777" w:rsidR="00AA678E" w:rsidRPr="00F757E9" w:rsidRDefault="00AA678E">
            <w:pPr>
              <w:spacing w:line="276" w:lineRule="auto"/>
              <w:rPr>
                <w:b/>
                <w:sz w:val="19"/>
                <w:szCs w:val="19"/>
              </w:rPr>
            </w:pPr>
            <w:r w:rsidRPr="00F757E9">
              <w:rPr>
                <w:b/>
                <w:sz w:val="19"/>
                <w:szCs w:val="19"/>
              </w:rPr>
              <w:t>TEAEs, n (%)</w:t>
            </w:r>
          </w:p>
          <w:p w14:paraId="2E964905" w14:textId="77777777" w:rsidR="00AA678E" w:rsidRPr="00F757E9" w:rsidRDefault="00AA678E">
            <w:pPr>
              <w:spacing w:line="276" w:lineRule="auto"/>
              <w:rPr>
                <w:b/>
                <w:i/>
                <w:sz w:val="19"/>
                <w:szCs w:val="19"/>
              </w:rPr>
            </w:pPr>
            <w:r w:rsidRPr="00F757E9">
              <w:rPr>
                <w:b/>
                <w:i/>
                <w:sz w:val="19"/>
                <w:szCs w:val="19"/>
              </w:rPr>
              <w:t>Severity</w:t>
            </w:r>
          </w:p>
          <w:p w14:paraId="567C0781" w14:textId="77777777" w:rsidR="00AA678E" w:rsidRPr="00F757E9" w:rsidRDefault="00AA678E">
            <w:pPr>
              <w:spacing w:line="276" w:lineRule="auto"/>
              <w:rPr>
                <w:sz w:val="19"/>
                <w:szCs w:val="19"/>
              </w:rPr>
            </w:pPr>
            <w:r w:rsidRPr="00F757E9">
              <w:rPr>
                <w:sz w:val="19"/>
                <w:szCs w:val="19"/>
              </w:rPr>
              <w:t>Grade 1</w:t>
            </w:r>
          </w:p>
          <w:p w14:paraId="6F38BB0C" w14:textId="77777777" w:rsidR="00AA678E" w:rsidRPr="00F757E9" w:rsidRDefault="00AA678E">
            <w:pPr>
              <w:spacing w:line="276" w:lineRule="auto"/>
              <w:rPr>
                <w:sz w:val="19"/>
                <w:szCs w:val="19"/>
              </w:rPr>
            </w:pPr>
            <w:r w:rsidRPr="00F757E9">
              <w:rPr>
                <w:sz w:val="19"/>
                <w:szCs w:val="19"/>
              </w:rPr>
              <w:t>Grade 2</w:t>
            </w:r>
          </w:p>
          <w:p w14:paraId="6E6CBDBB" w14:textId="77777777" w:rsidR="00AA678E" w:rsidRPr="00F757E9" w:rsidRDefault="00AA678E">
            <w:pPr>
              <w:spacing w:line="276" w:lineRule="auto"/>
              <w:rPr>
                <w:sz w:val="19"/>
                <w:szCs w:val="19"/>
              </w:rPr>
            </w:pPr>
            <w:r w:rsidRPr="00F757E9">
              <w:rPr>
                <w:sz w:val="19"/>
                <w:szCs w:val="19"/>
              </w:rPr>
              <w:t>Grade 3</w:t>
            </w:r>
          </w:p>
          <w:p w14:paraId="5CB7B13C" w14:textId="77777777" w:rsidR="00AA678E" w:rsidRPr="00F757E9" w:rsidRDefault="00AA678E">
            <w:pPr>
              <w:spacing w:line="276" w:lineRule="auto"/>
              <w:rPr>
                <w:sz w:val="19"/>
                <w:szCs w:val="19"/>
              </w:rPr>
            </w:pPr>
            <w:r w:rsidRPr="00F757E9">
              <w:rPr>
                <w:sz w:val="19"/>
                <w:szCs w:val="19"/>
              </w:rPr>
              <w:t>Grade 4</w:t>
            </w:r>
          </w:p>
          <w:p w14:paraId="0E171FD8" w14:textId="77777777" w:rsidR="00AA678E" w:rsidRPr="00F757E9" w:rsidRDefault="00AA678E">
            <w:pPr>
              <w:spacing w:line="276" w:lineRule="auto"/>
              <w:rPr>
                <w:sz w:val="19"/>
                <w:szCs w:val="19"/>
              </w:rPr>
            </w:pPr>
            <w:r w:rsidRPr="00F757E9">
              <w:rPr>
                <w:sz w:val="19"/>
                <w:szCs w:val="19"/>
              </w:rPr>
              <w:t>Grade 5</w:t>
            </w:r>
          </w:p>
        </w:tc>
        <w:tc>
          <w:tcPr>
            <w:tcW w:w="1381" w:type="dxa"/>
            <w:shd w:val="clear" w:color="auto" w:fill="auto"/>
          </w:tcPr>
          <w:p w14:paraId="282D5B2A"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14 (100.0)</w:t>
            </w:r>
          </w:p>
          <w:p w14:paraId="6F0F2ED9"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p w14:paraId="34853DCF"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13 (92.9)</w:t>
            </w:r>
          </w:p>
          <w:p w14:paraId="76A0F527"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10 (71.4)</w:t>
            </w:r>
          </w:p>
          <w:p w14:paraId="17E9D9E6"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7 (50.0)</w:t>
            </w:r>
          </w:p>
          <w:p w14:paraId="0159026F"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0</w:t>
            </w:r>
          </w:p>
          <w:p w14:paraId="4EBF0070"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0</w:t>
            </w:r>
          </w:p>
        </w:tc>
        <w:tc>
          <w:tcPr>
            <w:tcW w:w="1417" w:type="dxa"/>
            <w:shd w:val="clear" w:color="auto" w:fill="auto"/>
          </w:tcPr>
          <w:p w14:paraId="1080B7A9"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8 (100.0)</w:t>
            </w:r>
          </w:p>
          <w:p w14:paraId="35128DB6"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p w14:paraId="23D34541"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7 (87.5)</w:t>
            </w:r>
          </w:p>
          <w:p w14:paraId="7B1482AF"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5 (62.5)</w:t>
            </w:r>
          </w:p>
          <w:p w14:paraId="5CE67CFE"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3 (37.5)</w:t>
            </w:r>
          </w:p>
          <w:p w14:paraId="1155FB36"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1 (12.5)</w:t>
            </w:r>
          </w:p>
          <w:p w14:paraId="2A92FF6A"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0</w:t>
            </w:r>
          </w:p>
        </w:tc>
        <w:tc>
          <w:tcPr>
            <w:tcW w:w="1276" w:type="dxa"/>
            <w:shd w:val="clear" w:color="auto" w:fill="auto"/>
          </w:tcPr>
          <w:p w14:paraId="645D5335"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18 (100.0)</w:t>
            </w:r>
          </w:p>
          <w:p w14:paraId="6B4DFFF4"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p w14:paraId="2A611C78"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15 (83.3)</w:t>
            </w:r>
          </w:p>
          <w:p w14:paraId="6A8DDF90"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17 (94.4)</w:t>
            </w:r>
          </w:p>
          <w:p w14:paraId="5FC68B73"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7 (38.9)</w:t>
            </w:r>
          </w:p>
          <w:p w14:paraId="5EE0A972"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4 (22.2)</w:t>
            </w:r>
          </w:p>
          <w:p w14:paraId="6BD15F1E"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1 (5.6)</w:t>
            </w:r>
          </w:p>
        </w:tc>
        <w:tc>
          <w:tcPr>
            <w:tcW w:w="1276" w:type="dxa"/>
            <w:shd w:val="clear" w:color="auto" w:fill="auto"/>
          </w:tcPr>
          <w:p w14:paraId="5A3AE088"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43 (100.0)</w:t>
            </w:r>
          </w:p>
          <w:p w14:paraId="1FC4AB22"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p w14:paraId="56E5F624"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41 (95.3)</w:t>
            </w:r>
          </w:p>
          <w:p w14:paraId="4F20A529"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32 (74.4)</w:t>
            </w:r>
          </w:p>
          <w:p w14:paraId="326CE6D1"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23 (53.5)</w:t>
            </w:r>
          </w:p>
          <w:p w14:paraId="16DFC05D"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9 (20.9)</w:t>
            </w:r>
          </w:p>
          <w:p w14:paraId="20E35A7F"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2 (4.7)</w:t>
            </w:r>
          </w:p>
        </w:tc>
        <w:tc>
          <w:tcPr>
            <w:tcW w:w="1224" w:type="dxa"/>
            <w:shd w:val="clear" w:color="auto" w:fill="auto"/>
          </w:tcPr>
          <w:p w14:paraId="4D138224"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5 (100.0)</w:t>
            </w:r>
          </w:p>
          <w:p w14:paraId="00748E47"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p w14:paraId="1282DC30"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5 (100.0)</w:t>
            </w:r>
          </w:p>
          <w:p w14:paraId="4145DF3A"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5 (100.0)</w:t>
            </w:r>
          </w:p>
          <w:p w14:paraId="3091857B"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3 (60.0)</w:t>
            </w:r>
          </w:p>
          <w:p w14:paraId="59BA93E7"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1 (20.0)</w:t>
            </w:r>
          </w:p>
          <w:p w14:paraId="65C8E50D"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0</w:t>
            </w:r>
          </w:p>
        </w:tc>
      </w:tr>
      <w:tr w:rsidR="00AA678E" w:rsidRPr="00F757E9" w14:paraId="5B3FF373" w14:textId="77777777" w:rsidTr="00203235">
        <w:trPr>
          <w:trHeight w:val="492"/>
        </w:trPr>
        <w:tc>
          <w:tcPr>
            <w:cnfStyle w:val="001000000000" w:firstRow="0" w:lastRow="0" w:firstColumn="1" w:lastColumn="0" w:oddVBand="0" w:evenVBand="0" w:oddHBand="0" w:evenHBand="0" w:firstRowFirstColumn="0" w:firstRowLastColumn="0" w:lastRowFirstColumn="0" w:lastRowLastColumn="0"/>
            <w:tcW w:w="2442" w:type="dxa"/>
            <w:shd w:val="clear" w:color="auto" w:fill="auto"/>
          </w:tcPr>
          <w:p w14:paraId="38D96C03" w14:textId="77777777" w:rsidR="00AA678E" w:rsidRPr="00F757E9" w:rsidRDefault="00AA678E">
            <w:pPr>
              <w:spacing w:line="276" w:lineRule="auto"/>
              <w:rPr>
                <w:b/>
                <w:i/>
                <w:sz w:val="19"/>
                <w:szCs w:val="19"/>
              </w:rPr>
            </w:pPr>
            <w:r w:rsidRPr="00F757E9">
              <w:rPr>
                <w:b/>
                <w:sz w:val="19"/>
                <w:szCs w:val="19"/>
              </w:rPr>
              <w:t>Treatment-related adverse events, n (%)</w:t>
            </w:r>
          </w:p>
        </w:tc>
        <w:tc>
          <w:tcPr>
            <w:tcW w:w="1381" w:type="dxa"/>
            <w:shd w:val="clear" w:color="auto" w:fill="auto"/>
          </w:tcPr>
          <w:p w14:paraId="0811766D"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5 (35.7)</w:t>
            </w:r>
          </w:p>
        </w:tc>
        <w:tc>
          <w:tcPr>
            <w:tcW w:w="1417" w:type="dxa"/>
            <w:shd w:val="clear" w:color="auto" w:fill="auto"/>
          </w:tcPr>
          <w:p w14:paraId="20F8E414"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4 (50.0)</w:t>
            </w:r>
          </w:p>
        </w:tc>
        <w:tc>
          <w:tcPr>
            <w:tcW w:w="1276" w:type="dxa"/>
            <w:shd w:val="clear" w:color="auto" w:fill="auto"/>
          </w:tcPr>
          <w:p w14:paraId="07529AC0"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4 (22.2)</w:t>
            </w:r>
          </w:p>
        </w:tc>
        <w:tc>
          <w:tcPr>
            <w:tcW w:w="1276" w:type="dxa"/>
            <w:shd w:val="clear" w:color="auto" w:fill="auto"/>
          </w:tcPr>
          <w:p w14:paraId="0707762B"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17 (39.5)</w:t>
            </w:r>
          </w:p>
        </w:tc>
        <w:tc>
          <w:tcPr>
            <w:tcW w:w="1224" w:type="dxa"/>
            <w:shd w:val="clear" w:color="auto" w:fill="auto"/>
          </w:tcPr>
          <w:p w14:paraId="444D0EDC"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2 (40.0)</w:t>
            </w:r>
          </w:p>
        </w:tc>
      </w:tr>
      <w:tr w:rsidR="00AA678E" w:rsidRPr="00F757E9" w14:paraId="68C0C905" w14:textId="77777777" w:rsidTr="00203235">
        <w:tc>
          <w:tcPr>
            <w:cnfStyle w:val="001000000000" w:firstRow="0" w:lastRow="0" w:firstColumn="1" w:lastColumn="0" w:oddVBand="0" w:evenVBand="0" w:oddHBand="0" w:evenHBand="0" w:firstRowFirstColumn="0" w:firstRowLastColumn="0" w:lastRowFirstColumn="0" w:lastRowLastColumn="0"/>
            <w:tcW w:w="2442" w:type="dxa"/>
            <w:shd w:val="clear" w:color="auto" w:fill="auto"/>
          </w:tcPr>
          <w:p w14:paraId="3F6B6156" w14:textId="77777777" w:rsidR="00AA678E" w:rsidRPr="00F757E9" w:rsidRDefault="00AA678E">
            <w:pPr>
              <w:spacing w:line="276" w:lineRule="auto"/>
              <w:rPr>
                <w:b/>
                <w:sz w:val="19"/>
                <w:szCs w:val="19"/>
              </w:rPr>
            </w:pPr>
            <w:r w:rsidRPr="00F757E9">
              <w:rPr>
                <w:b/>
                <w:sz w:val="19"/>
                <w:szCs w:val="19"/>
              </w:rPr>
              <w:t>Serious adverse events (SAEs), n (%)</w:t>
            </w:r>
          </w:p>
        </w:tc>
        <w:tc>
          <w:tcPr>
            <w:tcW w:w="1381" w:type="dxa"/>
            <w:shd w:val="clear" w:color="auto" w:fill="auto"/>
          </w:tcPr>
          <w:p w14:paraId="158202ED"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9 (64.3)</w:t>
            </w:r>
          </w:p>
        </w:tc>
        <w:tc>
          <w:tcPr>
            <w:tcW w:w="1417" w:type="dxa"/>
            <w:shd w:val="clear" w:color="auto" w:fill="auto"/>
          </w:tcPr>
          <w:p w14:paraId="37B6FA0B"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4 (50.0)</w:t>
            </w:r>
          </w:p>
        </w:tc>
        <w:tc>
          <w:tcPr>
            <w:tcW w:w="1276" w:type="dxa"/>
            <w:shd w:val="clear" w:color="auto" w:fill="auto"/>
          </w:tcPr>
          <w:p w14:paraId="01A33777"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9 (50.0)</w:t>
            </w:r>
          </w:p>
        </w:tc>
        <w:tc>
          <w:tcPr>
            <w:tcW w:w="1276" w:type="dxa"/>
            <w:shd w:val="clear" w:color="auto" w:fill="auto"/>
          </w:tcPr>
          <w:p w14:paraId="6D937DEF"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23 (53.5)</w:t>
            </w:r>
          </w:p>
        </w:tc>
        <w:tc>
          <w:tcPr>
            <w:tcW w:w="1224" w:type="dxa"/>
            <w:shd w:val="clear" w:color="auto" w:fill="auto"/>
          </w:tcPr>
          <w:p w14:paraId="4E533262"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3 (60.0)</w:t>
            </w:r>
          </w:p>
        </w:tc>
      </w:tr>
      <w:tr w:rsidR="00AA678E" w:rsidRPr="00F757E9" w14:paraId="2C414E9B" w14:textId="77777777" w:rsidTr="00203235">
        <w:tc>
          <w:tcPr>
            <w:cnfStyle w:val="001000000000" w:firstRow="0" w:lastRow="0" w:firstColumn="1" w:lastColumn="0" w:oddVBand="0" w:evenVBand="0" w:oddHBand="0" w:evenHBand="0" w:firstRowFirstColumn="0" w:firstRowLastColumn="0" w:lastRowFirstColumn="0" w:lastRowLastColumn="0"/>
            <w:tcW w:w="2442" w:type="dxa"/>
            <w:shd w:val="clear" w:color="auto" w:fill="auto"/>
          </w:tcPr>
          <w:p w14:paraId="46ECA27A" w14:textId="77777777" w:rsidR="00AA678E" w:rsidRPr="00F757E9" w:rsidRDefault="00AA678E">
            <w:pPr>
              <w:spacing w:line="276" w:lineRule="auto"/>
              <w:rPr>
                <w:b/>
                <w:sz w:val="19"/>
                <w:szCs w:val="19"/>
              </w:rPr>
            </w:pPr>
            <w:r w:rsidRPr="00F757E9">
              <w:rPr>
                <w:b/>
                <w:sz w:val="19"/>
                <w:szCs w:val="19"/>
              </w:rPr>
              <w:t>Treatment-related SAEs, n (%)</w:t>
            </w:r>
          </w:p>
        </w:tc>
        <w:tc>
          <w:tcPr>
            <w:tcW w:w="1381" w:type="dxa"/>
            <w:shd w:val="clear" w:color="auto" w:fill="auto"/>
          </w:tcPr>
          <w:p w14:paraId="7F21FE1B"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2 (14.3)</w:t>
            </w:r>
          </w:p>
        </w:tc>
        <w:tc>
          <w:tcPr>
            <w:tcW w:w="1417" w:type="dxa"/>
            <w:shd w:val="clear" w:color="auto" w:fill="auto"/>
          </w:tcPr>
          <w:p w14:paraId="561E3F34"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1 (12.5)</w:t>
            </w:r>
          </w:p>
        </w:tc>
        <w:tc>
          <w:tcPr>
            <w:tcW w:w="1276" w:type="dxa"/>
            <w:shd w:val="clear" w:color="auto" w:fill="auto"/>
          </w:tcPr>
          <w:p w14:paraId="616B8F39"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0</w:t>
            </w:r>
          </w:p>
        </w:tc>
        <w:tc>
          <w:tcPr>
            <w:tcW w:w="1276" w:type="dxa"/>
            <w:shd w:val="clear" w:color="auto" w:fill="auto"/>
          </w:tcPr>
          <w:p w14:paraId="766255AB"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2 (4.7)</w:t>
            </w:r>
          </w:p>
        </w:tc>
        <w:tc>
          <w:tcPr>
            <w:tcW w:w="1224" w:type="dxa"/>
            <w:shd w:val="clear" w:color="auto" w:fill="auto"/>
          </w:tcPr>
          <w:p w14:paraId="357D8AC4"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0</w:t>
            </w:r>
          </w:p>
        </w:tc>
      </w:tr>
      <w:tr w:rsidR="00AA678E" w:rsidRPr="00F757E9" w14:paraId="24CDFAA5" w14:textId="77777777" w:rsidTr="00203235">
        <w:tc>
          <w:tcPr>
            <w:cnfStyle w:val="001000000000" w:firstRow="0" w:lastRow="0" w:firstColumn="1" w:lastColumn="0" w:oddVBand="0" w:evenVBand="0" w:oddHBand="0" w:evenHBand="0" w:firstRowFirstColumn="0" w:firstRowLastColumn="0" w:lastRowFirstColumn="0" w:lastRowLastColumn="0"/>
            <w:tcW w:w="2442" w:type="dxa"/>
            <w:shd w:val="clear" w:color="auto" w:fill="auto"/>
          </w:tcPr>
          <w:p w14:paraId="60715C22" w14:textId="77777777" w:rsidR="00AA678E" w:rsidRPr="00F757E9" w:rsidRDefault="00AA678E">
            <w:pPr>
              <w:spacing w:line="276" w:lineRule="auto"/>
              <w:rPr>
                <w:b/>
                <w:sz w:val="19"/>
                <w:szCs w:val="19"/>
              </w:rPr>
            </w:pPr>
            <w:r w:rsidRPr="00F757E9">
              <w:rPr>
                <w:b/>
                <w:sz w:val="19"/>
                <w:szCs w:val="19"/>
              </w:rPr>
              <w:t>TEAEs leading to study drug discontinuation, n (%)</w:t>
            </w:r>
          </w:p>
        </w:tc>
        <w:tc>
          <w:tcPr>
            <w:tcW w:w="1381" w:type="dxa"/>
            <w:shd w:val="clear" w:color="auto" w:fill="auto"/>
          </w:tcPr>
          <w:p w14:paraId="77E87DA8"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1 (7.1)</w:t>
            </w:r>
          </w:p>
        </w:tc>
        <w:tc>
          <w:tcPr>
            <w:tcW w:w="1417" w:type="dxa"/>
            <w:shd w:val="clear" w:color="auto" w:fill="auto"/>
          </w:tcPr>
          <w:p w14:paraId="2D299928"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0</w:t>
            </w:r>
          </w:p>
        </w:tc>
        <w:tc>
          <w:tcPr>
            <w:tcW w:w="1276" w:type="dxa"/>
            <w:shd w:val="clear" w:color="auto" w:fill="auto"/>
          </w:tcPr>
          <w:p w14:paraId="2FE56893"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1 (5.6)</w:t>
            </w:r>
          </w:p>
        </w:tc>
        <w:tc>
          <w:tcPr>
            <w:tcW w:w="1276" w:type="dxa"/>
            <w:shd w:val="clear" w:color="auto" w:fill="auto"/>
          </w:tcPr>
          <w:p w14:paraId="0EE9AF77"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2 (4.7)</w:t>
            </w:r>
          </w:p>
        </w:tc>
        <w:tc>
          <w:tcPr>
            <w:tcW w:w="1224" w:type="dxa"/>
            <w:shd w:val="clear" w:color="auto" w:fill="auto"/>
          </w:tcPr>
          <w:p w14:paraId="35FD1676"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0</w:t>
            </w:r>
          </w:p>
          <w:p w14:paraId="4953897A"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AA678E" w:rsidRPr="00F757E9" w14:paraId="55B24EE5" w14:textId="77777777" w:rsidTr="00203235">
        <w:tc>
          <w:tcPr>
            <w:cnfStyle w:val="001000000000" w:firstRow="0" w:lastRow="0" w:firstColumn="1" w:lastColumn="0" w:oddVBand="0" w:evenVBand="0" w:oddHBand="0" w:evenHBand="0" w:firstRowFirstColumn="0" w:firstRowLastColumn="0" w:lastRowFirstColumn="0" w:lastRowLastColumn="0"/>
            <w:tcW w:w="2442" w:type="dxa"/>
            <w:shd w:val="clear" w:color="auto" w:fill="auto"/>
          </w:tcPr>
          <w:p w14:paraId="0D153FF2" w14:textId="77777777" w:rsidR="00AA678E" w:rsidRPr="00F757E9" w:rsidRDefault="00AA678E">
            <w:pPr>
              <w:spacing w:line="276" w:lineRule="auto"/>
              <w:rPr>
                <w:b/>
                <w:sz w:val="19"/>
                <w:szCs w:val="19"/>
              </w:rPr>
            </w:pPr>
            <w:r w:rsidRPr="00F757E9">
              <w:rPr>
                <w:b/>
                <w:sz w:val="19"/>
                <w:szCs w:val="19"/>
              </w:rPr>
              <w:t>SAEs leading to study drug discontinuation, n (%)</w:t>
            </w:r>
          </w:p>
        </w:tc>
        <w:tc>
          <w:tcPr>
            <w:tcW w:w="1381" w:type="dxa"/>
            <w:shd w:val="clear" w:color="auto" w:fill="auto"/>
          </w:tcPr>
          <w:p w14:paraId="0342DCA4"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1 (7.1)</w:t>
            </w:r>
          </w:p>
        </w:tc>
        <w:tc>
          <w:tcPr>
            <w:tcW w:w="1417" w:type="dxa"/>
            <w:shd w:val="clear" w:color="auto" w:fill="auto"/>
          </w:tcPr>
          <w:p w14:paraId="37173C1F"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0</w:t>
            </w:r>
          </w:p>
        </w:tc>
        <w:tc>
          <w:tcPr>
            <w:tcW w:w="1276" w:type="dxa"/>
            <w:shd w:val="clear" w:color="auto" w:fill="auto"/>
          </w:tcPr>
          <w:p w14:paraId="116A421D"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1 (5.6)</w:t>
            </w:r>
          </w:p>
        </w:tc>
        <w:tc>
          <w:tcPr>
            <w:tcW w:w="1276" w:type="dxa"/>
            <w:shd w:val="clear" w:color="auto" w:fill="auto"/>
          </w:tcPr>
          <w:p w14:paraId="34771CA4"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2 (4.7)</w:t>
            </w:r>
          </w:p>
        </w:tc>
        <w:tc>
          <w:tcPr>
            <w:tcW w:w="1224" w:type="dxa"/>
            <w:shd w:val="clear" w:color="auto" w:fill="auto"/>
          </w:tcPr>
          <w:p w14:paraId="58928BB4"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0</w:t>
            </w:r>
          </w:p>
          <w:p w14:paraId="09066737"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AA678E" w:rsidRPr="00F757E9" w14:paraId="51877ACB" w14:textId="77777777" w:rsidTr="00203235">
        <w:tc>
          <w:tcPr>
            <w:cnfStyle w:val="001000000000" w:firstRow="0" w:lastRow="0" w:firstColumn="1" w:lastColumn="0" w:oddVBand="0" w:evenVBand="0" w:oddHBand="0" w:evenHBand="0" w:firstRowFirstColumn="0" w:firstRowLastColumn="0" w:lastRowFirstColumn="0" w:lastRowLastColumn="0"/>
            <w:tcW w:w="2442" w:type="dxa"/>
            <w:shd w:val="clear" w:color="auto" w:fill="auto"/>
          </w:tcPr>
          <w:p w14:paraId="34897D96" w14:textId="77777777" w:rsidR="00AA678E" w:rsidRPr="00F757E9" w:rsidRDefault="00AA678E">
            <w:pPr>
              <w:spacing w:line="276" w:lineRule="auto"/>
              <w:rPr>
                <w:b/>
                <w:sz w:val="19"/>
                <w:szCs w:val="19"/>
              </w:rPr>
            </w:pPr>
            <w:r>
              <w:rPr>
                <w:b/>
                <w:sz w:val="19"/>
                <w:szCs w:val="19"/>
              </w:rPr>
              <w:t>Death</w:t>
            </w:r>
          </w:p>
        </w:tc>
        <w:tc>
          <w:tcPr>
            <w:tcW w:w="1381" w:type="dxa"/>
            <w:shd w:val="clear" w:color="auto" w:fill="auto"/>
          </w:tcPr>
          <w:p w14:paraId="19A3A788"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0</w:t>
            </w:r>
          </w:p>
        </w:tc>
        <w:tc>
          <w:tcPr>
            <w:tcW w:w="1417" w:type="dxa"/>
            <w:shd w:val="clear" w:color="auto" w:fill="auto"/>
          </w:tcPr>
          <w:p w14:paraId="365EBD2F"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0</w:t>
            </w:r>
          </w:p>
        </w:tc>
        <w:tc>
          <w:tcPr>
            <w:tcW w:w="1276" w:type="dxa"/>
            <w:shd w:val="clear" w:color="auto" w:fill="auto"/>
          </w:tcPr>
          <w:p w14:paraId="6B8C976D"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1 (5.6)</w:t>
            </w:r>
          </w:p>
        </w:tc>
        <w:tc>
          <w:tcPr>
            <w:tcW w:w="1276" w:type="dxa"/>
            <w:shd w:val="clear" w:color="auto" w:fill="auto"/>
          </w:tcPr>
          <w:p w14:paraId="0B9A2B42"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2 (4.7)</w:t>
            </w:r>
          </w:p>
        </w:tc>
        <w:tc>
          <w:tcPr>
            <w:tcW w:w="1224" w:type="dxa"/>
            <w:shd w:val="clear" w:color="auto" w:fill="auto"/>
          </w:tcPr>
          <w:p w14:paraId="347A43CA" w14:textId="77777777" w:rsidR="00AA678E" w:rsidRPr="00F757E9" w:rsidRDefault="00AA678E">
            <w:pPr>
              <w:spacing w:line="276"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F757E9">
              <w:rPr>
                <w:sz w:val="19"/>
                <w:szCs w:val="19"/>
              </w:rPr>
              <w:t>0</w:t>
            </w:r>
          </w:p>
        </w:tc>
      </w:tr>
    </w:tbl>
    <w:p w14:paraId="557E927D" w14:textId="37166E5F" w:rsidR="00AA678E" w:rsidRPr="00F757E9" w:rsidRDefault="00AA678E" w:rsidP="0035187D">
      <w:pPr>
        <w:pStyle w:val="TableDescription"/>
      </w:pPr>
      <w:r w:rsidRPr="00F757E9">
        <w:t xml:space="preserve">Note: Percentages are based on the number of patients in the Safety Set in each column </w:t>
      </w:r>
      <w:r w:rsidR="00B8491F">
        <w:t>that is</w:t>
      </w:r>
      <w:r w:rsidRPr="00F757E9">
        <w:t xml:space="preserve">, % = n/N*100. Safety Set = all patients from </w:t>
      </w:r>
      <w:r w:rsidR="00E87C03">
        <w:t xml:space="preserve">Study </w:t>
      </w:r>
      <w:r w:rsidRPr="00F757E9">
        <w:t xml:space="preserve">ALXN1210-aHUS-311 or </w:t>
      </w:r>
      <w:r w:rsidR="00E87C03">
        <w:t xml:space="preserve">Study </w:t>
      </w:r>
      <w:r w:rsidRPr="00F757E9">
        <w:t>ALXN1210-aHUS-312 who received at least 1 dose of study drug.</w:t>
      </w:r>
      <w:r w:rsidRPr="00D45E17">
        <w:t xml:space="preserve"> The data lock dates are 10</w:t>
      </w:r>
      <w:r w:rsidR="00E87C03">
        <w:t xml:space="preserve"> </w:t>
      </w:r>
      <w:r w:rsidRPr="00D45E17">
        <w:t>Oct</w:t>
      </w:r>
      <w:r w:rsidR="00E87C03">
        <w:t xml:space="preserve"> </w:t>
      </w:r>
      <w:r w:rsidRPr="00D45E17">
        <w:t xml:space="preserve">2019 for </w:t>
      </w:r>
      <w:r w:rsidR="00E87C03">
        <w:t xml:space="preserve">Study </w:t>
      </w:r>
      <w:r w:rsidRPr="00D45E17">
        <w:t>ALXN1210-aHUS-311, 28</w:t>
      </w:r>
      <w:r w:rsidR="00E87C03">
        <w:t xml:space="preserve"> </w:t>
      </w:r>
      <w:r w:rsidRPr="00D45E17">
        <w:t>Ja</w:t>
      </w:r>
      <w:r w:rsidR="00E87C03">
        <w:t xml:space="preserve">nuary </w:t>
      </w:r>
      <w:r w:rsidRPr="00D45E17">
        <w:t xml:space="preserve">2020 for </w:t>
      </w:r>
      <w:r w:rsidR="00E87C03">
        <w:t xml:space="preserve">Study </w:t>
      </w:r>
      <w:r w:rsidRPr="00D45E17">
        <w:t>ALXN1210-aHUS-312. Related</w:t>
      </w:r>
      <w:r w:rsidR="003C741C">
        <w:t xml:space="preserve"> adverse event</w:t>
      </w:r>
      <w:r w:rsidRPr="00D45E17">
        <w:t>s are defined as</w:t>
      </w:r>
      <w:r w:rsidR="003C741C">
        <w:t xml:space="preserve"> adverse event</w:t>
      </w:r>
      <w:r w:rsidRPr="00D45E17">
        <w:t xml:space="preserve">s that are possibly, probably, or </w:t>
      </w:r>
      <w:proofErr w:type="gramStart"/>
      <w:r w:rsidRPr="00D45E17">
        <w:t>definitely related</w:t>
      </w:r>
      <w:proofErr w:type="gramEnd"/>
      <w:r w:rsidRPr="00D45E17">
        <w:t xml:space="preserve"> to study drug. Not related</w:t>
      </w:r>
      <w:r w:rsidR="003C741C">
        <w:t xml:space="preserve"> adverse event</w:t>
      </w:r>
      <w:r w:rsidRPr="00D45E17">
        <w:t>s are defined as</w:t>
      </w:r>
      <w:r w:rsidR="003C741C">
        <w:t xml:space="preserve"> adverse event</w:t>
      </w:r>
      <w:r w:rsidRPr="00D45E17">
        <w:t>s that are unlikely or not related to study drug. Grade 1=mild; Grade 2=moderate; Grade 3=severe; Grade 4=life-threatening; Grade 5=Fatal.</w:t>
      </w:r>
    </w:p>
    <w:p w14:paraId="759A4B9E" w14:textId="0C0AD67E" w:rsidR="00856026" w:rsidRDefault="00AA678E" w:rsidP="00AA678E">
      <w:r w:rsidRPr="00ED5F71">
        <w:t xml:space="preserve">There are limited safety data for patients in the 5 </w:t>
      </w:r>
      <w:r w:rsidR="00F46EEC">
        <w:t xml:space="preserve">to </w:t>
      </w:r>
      <w:r w:rsidR="003C741C">
        <w:t>&lt;</w:t>
      </w:r>
      <w:r w:rsidR="00F46EEC">
        <w:t xml:space="preserve"> </w:t>
      </w:r>
      <w:r w:rsidRPr="00ED5F71">
        <w:t xml:space="preserve">10 kg </w:t>
      </w:r>
      <w:r>
        <w:t xml:space="preserve">body </w:t>
      </w:r>
      <w:r w:rsidRPr="00ED5F71">
        <w:t>weight</w:t>
      </w:r>
      <w:r>
        <w:t xml:space="preserve"> group;</w:t>
      </w:r>
      <w:r w:rsidRPr="00ED5F71">
        <w:t xml:space="preserve"> </w:t>
      </w:r>
      <w:r w:rsidR="00E87C03">
        <w:t>four</w:t>
      </w:r>
      <w:r w:rsidRPr="00ED5F71">
        <w:t xml:space="preserve"> patients were included in the Safety Set</w:t>
      </w:r>
      <w:r w:rsidR="00E87C03">
        <w:t>.</w:t>
      </w:r>
    </w:p>
    <w:p w14:paraId="007013D2" w14:textId="29339F1B" w:rsidR="00AA678E" w:rsidRPr="00ED5F71" w:rsidRDefault="00163335" w:rsidP="00163335">
      <w:r>
        <w:t>Two</w:t>
      </w:r>
      <w:r w:rsidR="00AA678E" w:rsidRPr="00ED5F71">
        <w:t xml:space="preserve"> patients in Cohort 1 enrolled prior to Protocol Amendment 5</w:t>
      </w:r>
      <w:r w:rsidR="00AA678E">
        <w:t>,</w:t>
      </w:r>
      <w:r w:rsidR="00AA678E" w:rsidRPr="00ED5F71">
        <w:t xml:space="preserve"> receiv</w:t>
      </w:r>
      <w:r w:rsidR="00AA678E">
        <w:t>ing</w:t>
      </w:r>
      <w:r w:rsidR="00AA678E" w:rsidRPr="00ED5F71">
        <w:t xml:space="preserve"> the loading dose of 300 mg rather than the proposed 600 mg loading dose</w:t>
      </w:r>
      <w:r w:rsidR="00AA678E">
        <w:t xml:space="preserve"> of ravulizumab</w:t>
      </w:r>
      <w:r w:rsidR="00AA678E" w:rsidRPr="00ED5F71">
        <w:t xml:space="preserve">. One patient </w:t>
      </w:r>
      <w:r w:rsidR="00AA678E" w:rsidRPr="00ED5F71">
        <w:rPr>
          <w:rFonts w:eastAsia="Times New Roman"/>
          <w:szCs w:val="24"/>
          <w:lang w:eastAsia="en-AU"/>
        </w:rPr>
        <w:t xml:space="preserve">withdrew on Day 21 after receiving </w:t>
      </w:r>
      <w:r>
        <w:rPr>
          <w:rFonts w:eastAsia="Times New Roman"/>
          <w:szCs w:val="24"/>
          <w:lang w:eastAsia="en-AU"/>
        </w:rPr>
        <w:t>two</w:t>
      </w:r>
      <w:r w:rsidR="00AA678E" w:rsidRPr="00ED5F71">
        <w:rPr>
          <w:rFonts w:eastAsia="Times New Roman"/>
          <w:szCs w:val="24"/>
          <w:lang w:eastAsia="en-AU"/>
        </w:rPr>
        <w:t xml:space="preserve"> doses of ravulizumab due to </w:t>
      </w:r>
      <w:r w:rsidR="003C741C">
        <w:rPr>
          <w:rFonts w:eastAsia="Times New Roman"/>
          <w:szCs w:val="24"/>
          <w:lang w:eastAsia="en-AU"/>
        </w:rPr>
        <w:t>serious adverse event</w:t>
      </w:r>
      <w:r w:rsidR="00AA678E" w:rsidRPr="00ED5F71">
        <w:rPr>
          <w:rFonts w:eastAsia="Times New Roman"/>
          <w:szCs w:val="24"/>
          <w:lang w:eastAsia="en-AU"/>
        </w:rPr>
        <w:t xml:space="preserve">s of hypertensive crisis </w:t>
      </w:r>
      <w:r w:rsidR="00AA678E" w:rsidRPr="003045E1">
        <w:rPr>
          <w:rFonts w:eastAsia="Times New Roman"/>
          <w:szCs w:val="24"/>
          <w:lang w:eastAsia="en-AU"/>
        </w:rPr>
        <w:t>occurring on Day 9 (on background</w:t>
      </w:r>
      <w:r w:rsidR="00AA678E">
        <w:rPr>
          <w:rFonts w:eastAsia="Times New Roman"/>
          <w:szCs w:val="24"/>
          <w:lang w:eastAsia="en-AU"/>
        </w:rPr>
        <w:t xml:space="preserve"> of</w:t>
      </w:r>
      <w:r w:rsidR="00AA678E" w:rsidRPr="003045E1">
        <w:rPr>
          <w:rFonts w:eastAsia="Times New Roman"/>
          <w:szCs w:val="24"/>
          <w:lang w:eastAsia="en-AU"/>
        </w:rPr>
        <w:t xml:space="preserve"> known hypertension and not considered related to </w:t>
      </w:r>
      <w:r w:rsidR="00AA678E" w:rsidRPr="003045E1">
        <w:t>ravulizumab</w:t>
      </w:r>
      <w:r w:rsidR="00AA678E" w:rsidRPr="003045E1">
        <w:rPr>
          <w:rFonts w:eastAsia="Times New Roman"/>
          <w:szCs w:val="24"/>
          <w:lang w:eastAsia="en-AU"/>
        </w:rPr>
        <w:t>) and Grade 3 anaemia occurring on Day 20 (possibly related)</w:t>
      </w:r>
      <w:r w:rsidR="00AA678E" w:rsidRPr="003045E1">
        <w:t>.</w:t>
      </w:r>
      <w:r w:rsidR="00AA678E" w:rsidRPr="00ED5F71">
        <w:t xml:space="preserve"> </w:t>
      </w:r>
      <w:r w:rsidR="00AA678E" w:rsidRPr="00ED5F71">
        <w:rPr>
          <w:rFonts w:eastAsia="Times New Roman"/>
          <w:szCs w:val="24"/>
          <w:lang w:eastAsia="en-AU"/>
        </w:rPr>
        <w:t xml:space="preserve">The </w:t>
      </w:r>
      <w:r w:rsidR="00AA678E" w:rsidRPr="00ED5F71">
        <w:t xml:space="preserve">second </w:t>
      </w:r>
      <w:r w:rsidR="00AA678E" w:rsidRPr="00ED5F71">
        <w:rPr>
          <w:rFonts w:eastAsia="Times New Roman"/>
          <w:szCs w:val="24"/>
          <w:lang w:eastAsia="en-AU"/>
        </w:rPr>
        <w:t>patient had a non-serious</w:t>
      </w:r>
      <w:r w:rsidR="003C741C">
        <w:rPr>
          <w:rFonts w:eastAsia="Times New Roman"/>
          <w:szCs w:val="24"/>
          <w:lang w:eastAsia="en-AU"/>
        </w:rPr>
        <w:t xml:space="preserve"> adverse event</w:t>
      </w:r>
      <w:r w:rsidR="00AA678E" w:rsidRPr="00ED5F71">
        <w:rPr>
          <w:rFonts w:eastAsia="Times New Roman"/>
          <w:szCs w:val="24"/>
          <w:lang w:eastAsia="en-AU"/>
        </w:rPr>
        <w:t xml:space="preserve"> of hypertension on Day 15 requiring interruption of the </w:t>
      </w:r>
      <w:r w:rsidR="00AA678E">
        <w:rPr>
          <w:rFonts w:eastAsia="Times New Roman"/>
          <w:szCs w:val="24"/>
          <w:lang w:eastAsia="en-AU"/>
        </w:rPr>
        <w:t>in</w:t>
      </w:r>
      <w:r w:rsidR="00AA678E" w:rsidRPr="00ED5F71">
        <w:rPr>
          <w:rFonts w:eastAsia="Times New Roman"/>
          <w:szCs w:val="24"/>
          <w:lang w:eastAsia="en-AU"/>
        </w:rPr>
        <w:t xml:space="preserve">fusion, and a </w:t>
      </w:r>
      <w:r w:rsidR="003C741C">
        <w:t>serious adverse event</w:t>
      </w:r>
      <w:r w:rsidR="00AA678E" w:rsidRPr="00ED5F71">
        <w:rPr>
          <w:rFonts w:eastAsia="Times New Roman"/>
          <w:szCs w:val="24"/>
          <w:lang w:eastAsia="en-AU"/>
        </w:rPr>
        <w:t xml:space="preserve"> of human bocavirus infection on Day 265</w:t>
      </w:r>
      <w:r w:rsidR="00AA678E" w:rsidRPr="00ED5F71">
        <w:t xml:space="preserve"> (resolved, not considered related to ravulizumab)</w:t>
      </w:r>
      <w:r w:rsidR="00AA678E" w:rsidRPr="00ED5F71">
        <w:rPr>
          <w:rFonts w:eastAsia="Times New Roman"/>
          <w:szCs w:val="24"/>
          <w:lang w:eastAsia="en-AU"/>
        </w:rPr>
        <w:t>.</w:t>
      </w:r>
    </w:p>
    <w:p w14:paraId="1A24EA40" w14:textId="3B5377B7" w:rsidR="00856026" w:rsidRDefault="00163335" w:rsidP="00163335">
      <w:r>
        <w:lastRenderedPageBreak/>
        <w:t>Two</w:t>
      </w:r>
      <w:r w:rsidR="00AA678E" w:rsidRPr="00ED5F71">
        <w:t xml:space="preserve"> patients received the proposed 600 mg loading dose. One patient in Cohort 1 was deemed ineligible due to positive Shiga toxin test result and was withdrawn after receiving </w:t>
      </w:r>
      <w:r>
        <w:t>two</w:t>
      </w:r>
      <w:r w:rsidR="00AA678E" w:rsidRPr="00ED5F71">
        <w:t xml:space="preserve"> doses of ravulizumab. The second patient in Cohort 2 experienced </w:t>
      </w:r>
      <w:r>
        <w:t>one</w:t>
      </w:r>
      <w:r w:rsidR="00AA678E" w:rsidRPr="00ED5F71">
        <w:t xml:space="preserve"> Grade 3</w:t>
      </w:r>
      <w:r w:rsidR="003C741C">
        <w:t xml:space="preserve"> adverse event</w:t>
      </w:r>
      <w:r w:rsidR="00AA678E" w:rsidRPr="00ED5F71">
        <w:t xml:space="preserve"> (dehydration</w:t>
      </w:r>
      <w:r w:rsidR="00AA678E">
        <w:t>, not related</w:t>
      </w:r>
      <w:r w:rsidR="00AA678E" w:rsidRPr="00ED5F71">
        <w:t xml:space="preserve">), and </w:t>
      </w:r>
      <w:r>
        <w:t>five</w:t>
      </w:r>
      <w:r w:rsidR="00AA678E" w:rsidRPr="00ED5F71">
        <w:t xml:space="preserve"> </w:t>
      </w:r>
      <w:r w:rsidR="003C741C">
        <w:t>serious adverse event</w:t>
      </w:r>
      <w:r w:rsidR="00AA678E" w:rsidRPr="00ED5F71">
        <w:t>s of Grade 3 severity (</w:t>
      </w:r>
      <w:r>
        <w:t>three</w:t>
      </w:r>
      <w:r w:rsidR="00AA678E" w:rsidRPr="00ED5F71">
        <w:t xml:space="preserve"> events of upper respiratory tract infection </w:t>
      </w:r>
      <w:r w:rsidR="00EE502A">
        <w:t>(</w:t>
      </w:r>
      <w:r w:rsidR="00AA678E" w:rsidRPr="00ED5F71">
        <w:t>Days 29, 76, 210</w:t>
      </w:r>
      <w:r w:rsidR="00EE502A">
        <w:t>)</w:t>
      </w:r>
      <w:r w:rsidR="00AA678E" w:rsidRPr="00ED5F71">
        <w:t xml:space="preserve">; </w:t>
      </w:r>
      <w:r>
        <w:t>one</w:t>
      </w:r>
      <w:r w:rsidR="00AA678E" w:rsidRPr="00ED5F71">
        <w:t xml:space="preserve"> event of pneumonia </w:t>
      </w:r>
      <w:r w:rsidR="00EE502A">
        <w:t>(</w:t>
      </w:r>
      <w:r w:rsidR="00AA678E" w:rsidRPr="00ED5F71">
        <w:t>Day 194</w:t>
      </w:r>
      <w:r w:rsidR="00EE502A">
        <w:t>)</w:t>
      </w:r>
      <w:r w:rsidR="00AA678E" w:rsidRPr="00ED5F71">
        <w:t xml:space="preserve"> and </w:t>
      </w:r>
      <w:r>
        <w:t>one</w:t>
      </w:r>
      <w:r w:rsidR="00AA678E" w:rsidRPr="00ED5F71">
        <w:t xml:space="preserve"> event of bronchitis </w:t>
      </w:r>
      <w:r w:rsidR="00EE502A">
        <w:t>(</w:t>
      </w:r>
      <w:r w:rsidR="00AA678E" w:rsidRPr="00ED5F71">
        <w:t>Day 354</w:t>
      </w:r>
      <w:r w:rsidR="00EE502A">
        <w:t>)</w:t>
      </w:r>
      <w:r>
        <w:t>;</w:t>
      </w:r>
      <w:r w:rsidR="00AA678E">
        <w:t xml:space="preserve"> all events resolved and not</w:t>
      </w:r>
      <w:r w:rsidR="00AA678E" w:rsidRPr="00ED5F71">
        <w:t xml:space="preserve"> considered related to study treatment).</w:t>
      </w:r>
    </w:p>
    <w:p w14:paraId="1ED5EEED" w14:textId="46F2428C" w:rsidR="00856026" w:rsidRDefault="00AA678E" w:rsidP="00AA678E">
      <w:r>
        <w:t xml:space="preserve">One patient in </w:t>
      </w:r>
      <w:r w:rsidR="003C741C">
        <w:t>Study ALXN1210-aHUS-311</w:t>
      </w:r>
      <w:r>
        <w:t xml:space="preserve"> had a treatment-emergent</w:t>
      </w:r>
      <w:r w:rsidR="00163335">
        <w:t xml:space="preserve"> anti-drug antibodies </w:t>
      </w:r>
      <w:r>
        <w:t xml:space="preserve">which was transient, low </w:t>
      </w:r>
      <w:proofErr w:type="spellStart"/>
      <w:r>
        <w:t>titer</w:t>
      </w:r>
      <w:proofErr w:type="spellEnd"/>
      <w:r>
        <w:t>, non-neutralising and did not impact safety or efficacy.</w:t>
      </w:r>
    </w:p>
    <w:p w14:paraId="57489B85" w14:textId="01DB52FA" w:rsidR="00AA678E" w:rsidRDefault="00AA678E" w:rsidP="00AA678E">
      <w:r w:rsidRPr="00A842A8">
        <w:t xml:space="preserve">Severe </w:t>
      </w:r>
      <w:r w:rsidR="00163335">
        <w:t>t</w:t>
      </w:r>
      <w:r w:rsidR="00163335" w:rsidRPr="00163335">
        <w:t>hrombotic microangiopathy</w:t>
      </w:r>
      <w:r w:rsidRPr="00A842A8">
        <w:t xml:space="preserve"> complication in aHUS patients after ravulizumab discontinuation</w:t>
      </w:r>
      <w:r>
        <w:t xml:space="preserve"> is included as an important potential risk in the RMP. There are no data regarding </w:t>
      </w:r>
      <w:r w:rsidRPr="00A842A8">
        <w:t>ravulizumab discontinuation</w:t>
      </w:r>
      <w:r>
        <w:t xml:space="preserve"> in aHUS in the submitted clinical studies however the </w:t>
      </w:r>
      <w:r w:rsidR="00856026">
        <w:t>sponsor</w:t>
      </w:r>
      <w:r>
        <w:t xml:space="preserve"> </w:t>
      </w:r>
      <w:r w:rsidRPr="00360B2C">
        <w:t>has proposed text in Section 4.4 of the P</w:t>
      </w:r>
      <w:r w:rsidR="005F3F4F">
        <w:t xml:space="preserve">roduct </w:t>
      </w:r>
      <w:r w:rsidRPr="00360B2C">
        <w:t>I</w:t>
      </w:r>
      <w:r w:rsidR="005F3F4F">
        <w:t>nformation</w:t>
      </w:r>
      <w:r w:rsidRPr="00360B2C">
        <w:t xml:space="preserve"> for </w:t>
      </w:r>
      <w:r w:rsidR="005F3F4F" w:rsidRPr="005F3F4F">
        <w:t>thrombotic microangiopathy</w:t>
      </w:r>
      <w:r w:rsidRPr="00360B2C">
        <w:t xml:space="preserve"> complications with treatment discontinuation in aHUS which is consistent with text in the EU and US product information documents.</w:t>
      </w:r>
    </w:p>
    <w:p w14:paraId="17832BD7" w14:textId="6EDB3FF6" w:rsidR="00AA678E" w:rsidRPr="00843D43" w:rsidRDefault="00EE502A" w:rsidP="00420B7B">
      <w:pPr>
        <w:pStyle w:val="Heading5"/>
      </w:pPr>
      <w:r>
        <w:t>Safety in paediatric patients with p</w:t>
      </w:r>
      <w:r w:rsidR="00E87C03" w:rsidRPr="00E87C03">
        <w:t>aroxysmal nocturnal haemoglobinuria</w:t>
      </w:r>
    </w:p>
    <w:p w14:paraId="404AECE0" w14:textId="15294EC2" w:rsidR="006364D5" w:rsidRDefault="006364D5" w:rsidP="0035187D">
      <w:pPr>
        <w:pStyle w:val="Heading6"/>
      </w:pPr>
      <w:r>
        <w:t>Exposure</w:t>
      </w:r>
    </w:p>
    <w:p w14:paraId="16010DA1" w14:textId="65026116" w:rsidR="0084036E" w:rsidRDefault="00AA678E" w:rsidP="00B82827">
      <w:r w:rsidRPr="00A179E5">
        <w:t xml:space="preserve">All patients received infusions according to the protocol-specified visit schedule during the Primary Evaluation Period, with no missed doses. The median treatment duration was 183.0 </w:t>
      </w:r>
      <w:r w:rsidR="00E87C03">
        <w:t>to</w:t>
      </w:r>
      <w:r w:rsidRPr="00A179E5">
        <w:t xml:space="preserve"> 184.0 days across both cohorts and median number of infusions per patient up to Day 183 was 4.0.</w:t>
      </w:r>
    </w:p>
    <w:p w14:paraId="1E69080A" w14:textId="79B271E2" w:rsidR="006364D5" w:rsidRDefault="006364D5" w:rsidP="00B82827">
      <w:pPr>
        <w:pStyle w:val="Heading6"/>
        <w:pageBreakBefore/>
      </w:pPr>
      <w:r>
        <w:lastRenderedPageBreak/>
        <w:t>Safety overview</w:t>
      </w:r>
    </w:p>
    <w:p w14:paraId="44D52F6B" w14:textId="4737A684" w:rsidR="00856026" w:rsidRDefault="00AA678E" w:rsidP="00AA678E">
      <w:r w:rsidRPr="00A179E5">
        <w:t>Adverse events during the Primary Evaluation Period for all 13 patients are summarised below</w:t>
      </w:r>
      <w:r w:rsidR="006364D5">
        <w:t>.</w:t>
      </w:r>
    </w:p>
    <w:p w14:paraId="069C6D1B" w14:textId="3CFBF530" w:rsidR="00AA678E" w:rsidRDefault="00AA678E" w:rsidP="00E87C03">
      <w:pPr>
        <w:pStyle w:val="TableTitle"/>
        <w:rPr>
          <w:rFonts w:eastAsia="Times New Roman"/>
        </w:rPr>
      </w:pPr>
      <w:r>
        <w:t xml:space="preserve">Table </w:t>
      </w:r>
      <w:fldSimple w:instr=" SEQ Table \* ARABIC ">
        <w:r w:rsidR="004C7A29">
          <w:rPr>
            <w:noProof/>
          </w:rPr>
          <w:t>29</w:t>
        </w:r>
      </w:fldSimple>
      <w:r>
        <w:t xml:space="preserve">: </w:t>
      </w:r>
      <w:r w:rsidR="006364D5">
        <w:t xml:space="preserve">Study ALXN1210-PNH-304 </w:t>
      </w:r>
      <w:r w:rsidRPr="003F405D">
        <w:t xml:space="preserve">Overview of </w:t>
      </w:r>
      <w:r w:rsidR="0087722B">
        <w:t>a</w:t>
      </w:r>
      <w:r w:rsidRPr="003F405D">
        <w:t xml:space="preserve">ll </w:t>
      </w:r>
      <w:r w:rsidR="003C741C">
        <w:t>treatment emergent adverse event</w:t>
      </w:r>
      <w:r>
        <w:t>s</w:t>
      </w:r>
      <w:r w:rsidRPr="003F405D">
        <w:t xml:space="preserve"> and </w:t>
      </w:r>
      <w:r w:rsidR="003C741C">
        <w:t>serious adverse event</w:t>
      </w:r>
      <w:r>
        <w:t>s</w:t>
      </w:r>
      <w:r w:rsidRPr="003F405D">
        <w:t xml:space="preserve"> </w:t>
      </w:r>
      <w:r w:rsidR="00EE502A">
        <w:t>d</w:t>
      </w:r>
      <w:r w:rsidRPr="003F405D">
        <w:t>uring the Primary Evaluation Period (Safety Set)</w:t>
      </w:r>
    </w:p>
    <w:p w14:paraId="3A126758" w14:textId="77777777" w:rsidR="00AA678E" w:rsidRPr="003F405D" w:rsidRDefault="00AA678E" w:rsidP="00AA678E">
      <w:pPr>
        <w:spacing w:after="0" w:line="240" w:lineRule="auto"/>
        <w:rPr>
          <w:rFonts w:eastAsia="Times New Roman"/>
          <w:szCs w:val="24"/>
          <w:lang w:eastAsia="en-AU"/>
        </w:rPr>
      </w:pPr>
      <w:r>
        <w:rPr>
          <w:noProof/>
          <w:lang w:val="en-GB" w:eastAsia="en-GB"/>
        </w:rPr>
        <w:drawing>
          <wp:inline distT="0" distB="0" distL="0" distR="0" wp14:anchorId="5A60AF1F" wp14:editId="3E594153">
            <wp:extent cx="5731510" cy="3587115"/>
            <wp:effectExtent l="0" t="0" r="2540" b="0"/>
            <wp:docPr id="38" name="Picture 38" descr="This table shows an overview of all treatment emergent adverse events and serious adverse events During the Primary Evaluation Perio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table shows an overview of all treatment emergent adverse events and serious adverse events During the Primary Evaluation Period (Safety Set)"/>
                    <pic:cNvPicPr/>
                  </pic:nvPicPr>
                  <pic:blipFill>
                    <a:blip r:embed="rId59"/>
                    <a:stretch>
                      <a:fillRect/>
                    </a:stretch>
                  </pic:blipFill>
                  <pic:spPr>
                    <a:xfrm>
                      <a:off x="0" y="0"/>
                      <a:ext cx="5731510" cy="3587115"/>
                    </a:xfrm>
                    <a:prstGeom prst="rect">
                      <a:avLst/>
                    </a:prstGeom>
                  </pic:spPr>
                </pic:pic>
              </a:graphicData>
            </a:graphic>
          </wp:inline>
        </w:drawing>
      </w:r>
    </w:p>
    <w:p w14:paraId="5A29E736" w14:textId="539327F3" w:rsidR="00AA678E" w:rsidRPr="00E87C03" w:rsidRDefault="00AA678E" w:rsidP="0035187D">
      <w:pPr>
        <w:pStyle w:val="TableDescription"/>
        <w:rPr>
          <w:lang w:eastAsia="en-AU"/>
        </w:rPr>
      </w:pPr>
      <w:r w:rsidRPr="00124E85">
        <w:rPr>
          <w:lang w:eastAsia="en-AU"/>
        </w:rPr>
        <w:t>Note: Patients were counted in each relationship and severity category in case of multiple events. % = n/N*100. Treatment-emergent</w:t>
      </w:r>
      <w:r w:rsidR="003C741C">
        <w:rPr>
          <w:lang w:eastAsia="en-AU"/>
        </w:rPr>
        <w:t xml:space="preserve"> adverse event</w:t>
      </w:r>
      <w:r w:rsidRPr="00124E85">
        <w:rPr>
          <w:lang w:eastAsia="en-AU"/>
        </w:rPr>
        <w:t>s were</w:t>
      </w:r>
      <w:r w:rsidR="003C741C">
        <w:rPr>
          <w:lang w:eastAsia="en-AU"/>
        </w:rPr>
        <w:t xml:space="preserve"> adverse event</w:t>
      </w:r>
      <w:r w:rsidRPr="00124E85">
        <w:rPr>
          <w:lang w:eastAsia="en-AU"/>
        </w:rPr>
        <w:t>s with a start date on or after first dose date in the study. Grade 1 = mild; Grade 2 = moderate; Grade 3 = severe; Grade 4 = life-threatening; Grade 5 = fatal. The toxicity of</w:t>
      </w:r>
      <w:r w:rsidR="003C741C">
        <w:rPr>
          <w:lang w:eastAsia="en-AU"/>
        </w:rPr>
        <w:t xml:space="preserve"> adverse event</w:t>
      </w:r>
      <w:r w:rsidRPr="00124E85">
        <w:rPr>
          <w:lang w:eastAsia="en-AU"/>
        </w:rPr>
        <w:t>s was graded using CTCAE Version 4.03 or higher.</w:t>
      </w:r>
      <w:r w:rsidR="003C741C">
        <w:rPr>
          <w:lang w:eastAsia="en-AU"/>
        </w:rPr>
        <w:t xml:space="preserve"> Adverse event</w:t>
      </w:r>
      <w:r w:rsidRPr="00124E85">
        <w:rPr>
          <w:lang w:eastAsia="en-AU"/>
        </w:rPr>
        <w:t xml:space="preserve">s were coded using MedDRA Version 24.0. </w:t>
      </w:r>
      <w:proofErr w:type="gramStart"/>
      <w:r w:rsidRPr="00124E85">
        <w:rPr>
          <w:vertAlign w:val="superscript"/>
          <w:lang w:eastAsia="en-AU"/>
        </w:rPr>
        <w:t>a</w:t>
      </w:r>
      <w:r w:rsidRPr="00124E85">
        <w:rPr>
          <w:lang w:eastAsia="en-AU"/>
        </w:rPr>
        <w:t xml:space="preserve"> Related</w:t>
      </w:r>
      <w:r w:rsidR="003C741C">
        <w:rPr>
          <w:lang w:eastAsia="en-AU"/>
        </w:rPr>
        <w:t xml:space="preserve"> adverse event</w:t>
      </w:r>
      <w:r w:rsidRPr="00124E85">
        <w:rPr>
          <w:lang w:eastAsia="en-AU"/>
        </w:rPr>
        <w:t>s</w:t>
      </w:r>
      <w:proofErr w:type="gramEnd"/>
      <w:r w:rsidRPr="00124E85">
        <w:rPr>
          <w:lang w:eastAsia="en-AU"/>
        </w:rPr>
        <w:t xml:space="preserve"> were defined as</w:t>
      </w:r>
      <w:r w:rsidR="003C741C">
        <w:rPr>
          <w:lang w:eastAsia="en-AU"/>
        </w:rPr>
        <w:t xml:space="preserve"> adverse event</w:t>
      </w:r>
      <w:r w:rsidRPr="00124E85">
        <w:rPr>
          <w:lang w:eastAsia="en-AU"/>
        </w:rPr>
        <w:t>s that were possibly, probably, or definitely related to study treatment. Not related</w:t>
      </w:r>
      <w:r w:rsidR="003C741C">
        <w:rPr>
          <w:lang w:eastAsia="en-AU"/>
        </w:rPr>
        <w:t xml:space="preserve"> adverse event</w:t>
      </w:r>
      <w:r w:rsidRPr="00124E85">
        <w:rPr>
          <w:lang w:eastAsia="en-AU"/>
        </w:rPr>
        <w:t>s were defined as</w:t>
      </w:r>
      <w:r w:rsidR="003C741C">
        <w:rPr>
          <w:lang w:eastAsia="en-AU"/>
        </w:rPr>
        <w:t xml:space="preserve"> adverse event</w:t>
      </w:r>
      <w:r w:rsidRPr="00124E85">
        <w:rPr>
          <w:lang w:eastAsia="en-AU"/>
        </w:rPr>
        <w:t>s that were unlikely or not related to study treatment.</w:t>
      </w:r>
      <w:r w:rsidRPr="00124E85">
        <w:rPr>
          <w:sz w:val="14"/>
          <w:szCs w:val="14"/>
        </w:rPr>
        <w:t xml:space="preserve"> </w:t>
      </w:r>
      <w:r w:rsidRPr="00124E85">
        <w:rPr>
          <w:lang w:eastAsia="en-AU"/>
        </w:rPr>
        <w:t xml:space="preserve">Abbreviations: AE = adverse event; CTCAE = Common Terminology Criteria for Adverse Events; E = number of events; MedDRA = Medical Dictionary for Regulatory Activities; N = total number of patients; PY = patient-years; </w:t>
      </w:r>
      <w:r w:rsidR="003C741C">
        <w:rPr>
          <w:lang w:eastAsia="en-AU"/>
        </w:rPr>
        <w:t>SAE</w:t>
      </w:r>
      <w:r w:rsidRPr="00124E85">
        <w:rPr>
          <w:lang w:eastAsia="en-AU"/>
        </w:rPr>
        <w:t xml:space="preserve"> = serious adverse event</w:t>
      </w:r>
    </w:p>
    <w:p w14:paraId="58A2A890" w14:textId="1AEF7A64" w:rsidR="00AA678E" w:rsidRDefault="00AA678E" w:rsidP="00AA678E">
      <w:r w:rsidRPr="00A179E5">
        <w:t xml:space="preserve">Eleven (84.6%) paediatric PNH patients experienced at least </w:t>
      </w:r>
      <w:r w:rsidR="00E66C24">
        <w:t>one</w:t>
      </w:r>
      <w:r w:rsidRPr="00A179E5">
        <w:t xml:space="preserve"> </w:t>
      </w:r>
      <w:r w:rsidR="003C741C">
        <w:t>treatment emergent adverse event</w:t>
      </w:r>
      <w:r w:rsidRPr="00A179E5">
        <w:t xml:space="preserve"> during the Primary Evaluation Period, with most events Grade 1 or 2. The most frequently reported </w:t>
      </w:r>
      <w:r w:rsidR="003C741C">
        <w:t>treatment emergent adverse event</w:t>
      </w:r>
      <w:r w:rsidRPr="00A179E5">
        <w:t>s were abdominal pain</w:t>
      </w:r>
      <w:r>
        <w:t xml:space="preserve">, </w:t>
      </w:r>
      <w:r w:rsidRPr="00A179E5">
        <w:t xml:space="preserve">nasopharyngitis </w:t>
      </w:r>
      <w:r>
        <w:t xml:space="preserve">and headache </w:t>
      </w:r>
      <w:r w:rsidRPr="00A179E5">
        <w:t>(</w:t>
      </w:r>
      <w:r w:rsidR="00E87C03">
        <w:t>two</w:t>
      </w:r>
      <w:r w:rsidRPr="00A179E5">
        <w:t xml:space="preserve"> </w:t>
      </w:r>
      <w:r w:rsidR="006364D5">
        <w:t>(</w:t>
      </w:r>
      <w:r>
        <w:t>15.4</w:t>
      </w:r>
      <w:r w:rsidRPr="00A179E5">
        <w:t>%</w:t>
      </w:r>
      <w:r w:rsidR="006364D5">
        <w:t>)</w:t>
      </w:r>
      <w:r>
        <w:t xml:space="preserve"> each</w:t>
      </w:r>
      <w:r w:rsidRPr="00A179E5">
        <w:t xml:space="preserve">), with other events single events. </w:t>
      </w:r>
      <w:r w:rsidR="003C741C">
        <w:t>Serious adverse event</w:t>
      </w:r>
      <w:r w:rsidRPr="00A179E5">
        <w:t xml:space="preserve">s were reported for </w:t>
      </w:r>
      <w:r w:rsidR="00E66C24">
        <w:t>three</w:t>
      </w:r>
      <w:r w:rsidRPr="00A179E5">
        <w:t xml:space="preserve"> (23.1%) patients; </w:t>
      </w:r>
      <w:r w:rsidR="00E87C03">
        <w:t>one</w:t>
      </w:r>
      <w:r w:rsidRPr="00A179E5">
        <w:t xml:space="preserve"> complement inhibitor treatment-</w:t>
      </w:r>
      <w:r w:rsidR="00446075">
        <w:t>naive</w:t>
      </w:r>
      <w:r w:rsidRPr="00A179E5">
        <w:t xml:space="preserve"> patient experienced </w:t>
      </w:r>
      <w:r w:rsidR="00E66C24">
        <w:t>five</w:t>
      </w:r>
      <w:r w:rsidRPr="00A179E5">
        <w:t xml:space="preserve"> </w:t>
      </w:r>
      <w:r w:rsidR="003C741C">
        <w:t>serious adverse event</w:t>
      </w:r>
      <w:r w:rsidRPr="00A179E5">
        <w:t xml:space="preserve">s (device-related sepsis and staphylococcal infection on Day 43, and multiple organ dysfunction syndrome, septic shock, and device-related thrombosis on Day 44), and </w:t>
      </w:r>
      <w:r w:rsidR="00E87C03">
        <w:t>two</w:t>
      </w:r>
      <w:r w:rsidRPr="00A179E5">
        <w:t xml:space="preserve"> eculizumab-experienced patients were hospitalised for the </w:t>
      </w:r>
      <w:r w:rsidR="003C741C">
        <w:t>serious adverse event</w:t>
      </w:r>
      <w:r w:rsidRPr="00A179E5">
        <w:t xml:space="preserve">s influenza A virus test positive and viral </w:t>
      </w:r>
      <w:r w:rsidR="003C741C">
        <w:t>upper respiratory tract infection</w:t>
      </w:r>
      <w:r w:rsidRPr="00A179E5">
        <w:t xml:space="preserve">. No events were considered related to study </w:t>
      </w:r>
      <w:proofErr w:type="gramStart"/>
      <w:r w:rsidRPr="00A179E5">
        <w:t>drug</w:t>
      </w:r>
      <w:proofErr w:type="gramEnd"/>
      <w:r w:rsidRPr="00A179E5">
        <w:t xml:space="preserve"> and all resolved during the Primary Evaluation </w:t>
      </w:r>
      <w:r>
        <w:t>P</w:t>
      </w:r>
      <w:r w:rsidRPr="00A179E5">
        <w:t xml:space="preserve">eriod. There were </w:t>
      </w:r>
      <w:r w:rsidR="00E66C24">
        <w:t>four</w:t>
      </w:r>
      <w:r w:rsidRPr="00A179E5">
        <w:t xml:space="preserve"> (30.8%) patients with </w:t>
      </w:r>
      <w:r>
        <w:t>treatment-related</w:t>
      </w:r>
      <w:r w:rsidR="003C741C">
        <w:t xml:space="preserve"> adverse event</w:t>
      </w:r>
      <w:r>
        <w:t>s</w:t>
      </w:r>
      <w:r w:rsidRPr="00A179E5">
        <w:t xml:space="preserve">; single events of blood pressure increased, anaemia, abdominal pain, nausea, </w:t>
      </w:r>
      <w:proofErr w:type="gramStart"/>
      <w:r w:rsidRPr="00A179E5">
        <w:t>fatigue</w:t>
      </w:r>
      <w:proofErr w:type="gramEnd"/>
      <w:r w:rsidRPr="00A179E5">
        <w:t xml:space="preserve"> and headache.</w:t>
      </w:r>
    </w:p>
    <w:p w14:paraId="30F5D951" w14:textId="0DFCE0B8" w:rsidR="00856026" w:rsidRDefault="00AA678E" w:rsidP="00AA678E">
      <w:r w:rsidRPr="00800AC2">
        <w:t xml:space="preserve">Updated safety data though 52 weeks did not give rise to any additional safety concerns. All patients experienced at least </w:t>
      </w:r>
      <w:r w:rsidR="00E66C24">
        <w:t>one</w:t>
      </w:r>
      <w:r w:rsidRPr="00800AC2">
        <w:t xml:space="preserve"> </w:t>
      </w:r>
      <w:r w:rsidR="003C741C">
        <w:t>treatment emergent adverse event</w:t>
      </w:r>
      <w:r w:rsidRPr="00800AC2">
        <w:t xml:space="preserve">. There were </w:t>
      </w:r>
      <w:r w:rsidR="00E66C24">
        <w:t>two</w:t>
      </w:r>
      <w:r w:rsidRPr="00800AC2">
        <w:t xml:space="preserve"> </w:t>
      </w:r>
      <w:r w:rsidR="003C741C">
        <w:t>serious adverse event</w:t>
      </w:r>
      <w:r w:rsidRPr="00800AC2">
        <w:t>s during the Extension Period through data cut-off</w:t>
      </w:r>
      <w:r w:rsidR="00E87C03">
        <w:t>; one</w:t>
      </w:r>
      <w:r w:rsidRPr="00800AC2">
        <w:t xml:space="preserve"> event of </w:t>
      </w:r>
      <w:r w:rsidR="0000270D" w:rsidRPr="0000270D">
        <w:t>breakthrough haemolysis</w:t>
      </w:r>
      <w:r w:rsidRPr="00800AC2">
        <w:t xml:space="preserve"> on Day 666 considered possibly related to study drug, and </w:t>
      </w:r>
      <w:r w:rsidR="003C741C">
        <w:t>serious adverse event</w:t>
      </w:r>
      <w:r w:rsidRPr="00800AC2">
        <w:t xml:space="preserve"> of </w:t>
      </w:r>
      <w:r w:rsidRPr="00800AC2">
        <w:lastRenderedPageBreak/>
        <w:t>worsening aplastic anaemia in a patient with history of same not considered related to study drug.</w:t>
      </w:r>
    </w:p>
    <w:p w14:paraId="18C066AE" w14:textId="44ECEA2F" w:rsidR="00AA678E" w:rsidRDefault="00AA678E" w:rsidP="00AA678E">
      <w:r w:rsidRPr="00800AC2">
        <w:t>During the Primary Evaluation Period and Extension Period (up to data cut-off), there were no deaths, no</w:t>
      </w:r>
      <w:r w:rsidR="003C741C">
        <w:t xml:space="preserve"> adverse event</w:t>
      </w:r>
      <w:r w:rsidRPr="00800AC2">
        <w:t>s leading to discontinuation of study drug, no infusion interruptions due to</w:t>
      </w:r>
      <w:r w:rsidR="003C741C">
        <w:t xml:space="preserve"> adverse event</w:t>
      </w:r>
      <w:r w:rsidRPr="00800AC2">
        <w:t>s and no meningococcal infections reported. No immunogenicity was observed in the study up to data cut-off.</w:t>
      </w:r>
    </w:p>
    <w:p w14:paraId="282FD596" w14:textId="77777777" w:rsidR="00AA678E" w:rsidRPr="0002730C" w:rsidRDefault="00AA678E" w:rsidP="00AA678E">
      <w:r w:rsidRPr="00360B2C">
        <w:t>Supplementary data through the Primary Evaluation Period from the ravulizumab PNH and aHUS studies were provided to support the safety of ravulizumab in the proposed paediatric PNH population.</w:t>
      </w:r>
    </w:p>
    <w:p w14:paraId="0106B71D" w14:textId="4BDAB28A" w:rsidR="00856026" w:rsidRDefault="003C741C" w:rsidP="00AA678E">
      <w:r>
        <w:t>Treatment emergent adverse event</w:t>
      </w:r>
      <w:r w:rsidR="00AA678E" w:rsidRPr="0002730C">
        <w:t xml:space="preserve">s during the Primary Evaluation Period for adolescents and children </w:t>
      </w:r>
      <w:r w:rsidR="00AA678E">
        <w:t xml:space="preserve">with PNH in </w:t>
      </w:r>
      <w:r w:rsidR="002F02DC">
        <w:t>Study ALXN1210-PNH-304</w:t>
      </w:r>
      <w:r w:rsidR="00AA678E">
        <w:t xml:space="preserve"> are summarised below for the first 12 enrolled patients:</w:t>
      </w:r>
    </w:p>
    <w:p w14:paraId="7E0571BF" w14:textId="3A6ED947" w:rsidR="00AA678E" w:rsidRDefault="00AA678E" w:rsidP="0087722B">
      <w:pPr>
        <w:pStyle w:val="TableTitle"/>
      </w:pPr>
      <w:bookmarkStart w:id="106" w:name="_Ref95935840"/>
      <w:r>
        <w:t xml:space="preserve">Table </w:t>
      </w:r>
      <w:fldSimple w:instr=" SEQ Table \* ARABIC ">
        <w:r w:rsidR="004C7A29">
          <w:rPr>
            <w:noProof/>
          </w:rPr>
          <w:t>30</w:t>
        </w:r>
      </w:fldSimple>
      <w:bookmarkEnd w:id="106"/>
      <w:r>
        <w:t>:</w:t>
      </w:r>
      <w:r w:rsidRPr="00E27B6E">
        <w:t xml:space="preserve"> </w:t>
      </w:r>
      <w:r w:rsidR="006364D5">
        <w:t xml:space="preserve">Study ALXN1210-PNH-304 </w:t>
      </w:r>
      <w:r>
        <w:t xml:space="preserve">Overview of </w:t>
      </w:r>
      <w:r w:rsidR="0087722B">
        <w:t>a</w:t>
      </w:r>
      <w:r>
        <w:t xml:space="preserve">ll </w:t>
      </w:r>
      <w:r w:rsidR="003C741C">
        <w:t>treatment emergent adverse event</w:t>
      </w:r>
      <w:r>
        <w:t xml:space="preserve">s and </w:t>
      </w:r>
      <w:r w:rsidR="003C741C">
        <w:t>serious adverse event</w:t>
      </w:r>
      <w:r>
        <w:t xml:space="preserve">s in </w:t>
      </w:r>
      <w:r w:rsidR="0087722B">
        <w:t>d</w:t>
      </w:r>
      <w:r>
        <w:t xml:space="preserve">uring the Primary Evaluation Period </w:t>
      </w:r>
      <w:r w:rsidR="006364D5">
        <w:t>(</w:t>
      </w:r>
      <w:r>
        <w:t>Safety Set</w:t>
      </w:r>
      <w:r w:rsidRPr="00E27B6E">
        <w:t>)</w:t>
      </w:r>
    </w:p>
    <w:p w14:paraId="31E9A579" w14:textId="77777777" w:rsidR="00AA678E" w:rsidRDefault="00AA678E" w:rsidP="00AA678E">
      <w:r>
        <w:rPr>
          <w:noProof/>
          <w:lang w:val="en-GB" w:eastAsia="en-GB"/>
        </w:rPr>
        <w:drawing>
          <wp:inline distT="0" distB="0" distL="0" distR="0" wp14:anchorId="74CC2543" wp14:editId="21139764">
            <wp:extent cx="5731510" cy="2921635"/>
            <wp:effectExtent l="0" t="0" r="2540" b="0"/>
            <wp:docPr id="36" name="Picture 36" descr="This table shows an overview of all treatment emergent adverse events and serious adverse events in during the Primary Evaluation Period of Study ALXN1210-PNH-304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table shows an overview of all treatment emergent adverse events and serious adverse events in during the Primary Evaluation Period of Study ALXN1210-PNH-304 (Safety Set)"/>
                    <pic:cNvPicPr/>
                  </pic:nvPicPr>
                  <pic:blipFill>
                    <a:blip r:embed="rId60"/>
                    <a:stretch>
                      <a:fillRect/>
                    </a:stretch>
                  </pic:blipFill>
                  <pic:spPr>
                    <a:xfrm>
                      <a:off x="0" y="0"/>
                      <a:ext cx="5731510" cy="2921635"/>
                    </a:xfrm>
                    <a:prstGeom prst="rect">
                      <a:avLst/>
                    </a:prstGeom>
                  </pic:spPr>
                </pic:pic>
              </a:graphicData>
            </a:graphic>
          </wp:inline>
        </w:drawing>
      </w:r>
    </w:p>
    <w:p w14:paraId="55CDB308" w14:textId="7D2B06D5" w:rsidR="006364D5" w:rsidRDefault="006364D5" w:rsidP="006364D5">
      <w:pPr>
        <w:pStyle w:val="TableDescription"/>
      </w:pPr>
      <w:r>
        <w:t>Abbreviations: AE = adverse events; E = events; SAE = serious adverse event; TEAE = treatment-emergent adverse event; TRAE = treatment-related adverse event.</w:t>
      </w:r>
    </w:p>
    <w:p w14:paraId="76B223B2" w14:textId="69A3EB46" w:rsidR="006364D5" w:rsidRDefault="006364D5" w:rsidP="0035187D">
      <w:pPr>
        <w:pStyle w:val="Heading7"/>
      </w:pPr>
      <w:r>
        <w:t>Comparison with safety profile in adults with paroxysmal nocturnal haemoglobinuria</w:t>
      </w:r>
    </w:p>
    <w:p w14:paraId="22F9E7CC" w14:textId="73CDBCAA" w:rsidR="00856026" w:rsidRDefault="00AA678E" w:rsidP="00AA678E">
      <w:r w:rsidRPr="008F3993">
        <w:t xml:space="preserve">The </w:t>
      </w:r>
      <w:r w:rsidR="00856026">
        <w:t>sponsor</w:t>
      </w:r>
      <w:r w:rsidRPr="008F3993">
        <w:t xml:space="preserve"> noted the </w:t>
      </w:r>
      <w:r>
        <w:t>frequency</w:t>
      </w:r>
      <w:r w:rsidRPr="008F3993">
        <w:t xml:space="preserve"> of </w:t>
      </w:r>
      <w:r w:rsidR="003C741C">
        <w:t>treatment emergent adverse event</w:t>
      </w:r>
      <w:r w:rsidRPr="008F3993">
        <w:t xml:space="preserve">s and </w:t>
      </w:r>
      <w:r w:rsidR="003C741C">
        <w:t>serious adverse event</w:t>
      </w:r>
      <w:r w:rsidRPr="008F3993">
        <w:t xml:space="preserve">s in children and adolescents with PNH was consistent with those reported for adults with PNH through </w:t>
      </w:r>
      <w:r>
        <w:t>the Primary Evaluation Period. An overview of</w:t>
      </w:r>
      <w:r w:rsidR="003C741C">
        <w:t xml:space="preserve"> adverse event</w:t>
      </w:r>
      <w:r>
        <w:t xml:space="preserve">s for the pooled ravulizumab groups in the </w:t>
      </w:r>
      <w:r w:rsidR="00B8491F">
        <w:t>Phase III</w:t>
      </w:r>
      <w:r>
        <w:t xml:space="preserve"> </w:t>
      </w:r>
      <w:r w:rsidRPr="0087722B">
        <w:t>adult PNH Stud</w:t>
      </w:r>
      <w:r w:rsidR="007E513E" w:rsidRPr="0087722B">
        <w:t>y</w:t>
      </w:r>
      <w:r w:rsidRPr="0087722B">
        <w:t xml:space="preserve"> </w:t>
      </w:r>
      <w:r w:rsidR="007E513E" w:rsidRPr="0087722B">
        <w:t>ALXN1210-PNH-301</w:t>
      </w:r>
      <w:r w:rsidRPr="0087722B">
        <w:t xml:space="preserve"> and </w:t>
      </w:r>
      <w:r w:rsidR="007E513E" w:rsidRPr="0087722B">
        <w:t>ALXN1210-PNH-302</w:t>
      </w:r>
      <w:r w:rsidRPr="0087722B">
        <w:t xml:space="preserve"> during the Primary Evaluation Period is provided</w:t>
      </w:r>
      <w:r>
        <w:t xml:space="preserve"> below in </w:t>
      </w:r>
      <w:r>
        <w:fldChar w:fldCharType="begin"/>
      </w:r>
      <w:r>
        <w:instrText xml:space="preserve"> REF _Ref95745178 \h </w:instrText>
      </w:r>
      <w:r>
        <w:fldChar w:fldCharType="separate"/>
      </w:r>
      <w:r w:rsidR="004C7A29">
        <w:t xml:space="preserve">Table </w:t>
      </w:r>
      <w:r w:rsidR="004C7A29">
        <w:rPr>
          <w:noProof/>
        </w:rPr>
        <w:t>31</w:t>
      </w:r>
      <w:r>
        <w:fldChar w:fldCharType="end"/>
      </w:r>
      <w:r>
        <w:t>.</w:t>
      </w:r>
    </w:p>
    <w:p w14:paraId="381696EB" w14:textId="2ACFCCBE" w:rsidR="00856026" w:rsidRDefault="003C741C" w:rsidP="00AA678E">
      <w:r>
        <w:t>Treatment</w:t>
      </w:r>
      <w:r w:rsidR="006364D5">
        <w:t>-</w:t>
      </w:r>
      <w:r>
        <w:t>emergent adverse event</w:t>
      </w:r>
      <w:r w:rsidR="00AA678E">
        <w:t>s were reported for 87.8% patients, the majority Grade</w:t>
      </w:r>
      <w:r w:rsidR="00E66C24">
        <w:t xml:space="preserve"> </w:t>
      </w:r>
      <w:r w:rsidR="00AA678E">
        <w:t xml:space="preserve">1 or 2 severity and not related to study treatment. There were no deaths, </w:t>
      </w:r>
      <w:r>
        <w:t>treatment emergent adverse event</w:t>
      </w:r>
      <w:r w:rsidR="00AA678E">
        <w:t xml:space="preserve">s leading to study drug discontinuation or meningococcal infections. The incidence of immunogenicity was low (&lt; 0.5%), with </w:t>
      </w:r>
      <w:r w:rsidR="00E66C24">
        <w:t>one</w:t>
      </w:r>
      <w:r w:rsidR="00AA678E">
        <w:t xml:space="preserve"> treatment-emergent </w:t>
      </w:r>
      <w:r w:rsidR="00E66C24">
        <w:t xml:space="preserve">anti-drug antibodies </w:t>
      </w:r>
      <w:r w:rsidR="00AA678E">
        <w:t xml:space="preserve">observed with a low </w:t>
      </w:r>
      <w:r w:rsidR="006364D5">
        <w:t>titre</w:t>
      </w:r>
      <w:r w:rsidR="00AA678E">
        <w:t xml:space="preserve"> and no evidence of neutralisation.</w:t>
      </w:r>
    </w:p>
    <w:p w14:paraId="51ABA09E" w14:textId="7AD6CFC2" w:rsidR="00AA678E" w:rsidRDefault="00AA678E" w:rsidP="00B82827">
      <w:pPr>
        <w:pStyle w:val="TableTitle"/>
        <w:pageBreakBefore/>
      </w:pPr>
      <w:bookmarkStart w:id="107" w:name="_Ref95745178"/>
      <w:r>
        <w:lastRenderedPageBreak/>
        <w:t xml:space="preserve">Table </w:t>
      </w:r>
      <w:fldSimple w:instr=" SEQ Table \* ARABIC ">
        <w:r w:rsidR="004C7A29">
          <w:rPr>
            <w:noProof/>
          </w:rPr>
          <w:t>31</w:t>
        </w:r>
      </w:fldSimple>
      <w:bookmarkEnd w:id="107"/>
      <w:r>
        <w:t xml:space="preserve">: </w:t>
      </w:r>
      <w:r w:rsidRPr="0002730C">
        <w:t xml:space="preserve">Overview of </w:t>
      </w:r>
      <w:r w:rsidR="00E87C03">
        <w:t>a</w:t>
      </w:r>
      <w:r w:rsidRPr="0002730C">
        <w:t xml:space="preserve">ll </w:t>
      </w:r>
      <w:r w:rsidR="003C741C">
        <w:t>treatment emergent adverse event</w:t>
      </w:r>
      <w:r>
        <w:t>s</w:t>
      </w:r>
      <w:r w:rsidRPr="0002730C">
        <w:t xml:space="preserve"> and </w:t>
      </w:r>
      <w:r w:rsidR="003C741C">
        <w:t>serious adverse event</w:t>
      </w:r>
      <w:r>
        <w:t>s</w:t>
      </w:r>
      <w:r w:rsidRPr="0002730C">
        <w:t xml:space="preserve"> in </w:t>
      </w:r>
      <w:r w:rsidR="00E87C03">
        <w:t>p</w:t>
      </w:r>
      <w:r w:rsidRPr="0002730C">
        <w:t xml:space="preserve">ooled </w:t>
      </w:r>
      <w:r w:rsidR="00E87C03">
        <w:t>r</w:t>
      </w:r>
      <w:r w:rsidRPr="0002730C">
        <w:t xml:space="preserve">avulizumab </w:t>
      </w:r>
      <w:r w:rsidR="00E87C03">
        <w:t>g</w:t>
      </w:r>
      <w:r w:rsidRPr="0002730C">
        <w:t xml:space="preserve">roup </w:t>
      </w:r>
      <w:r w:rsidR="00E87C03">
        <w:t>a</w:t>
      </w:r>
      <w:r w:rsidRPr="0002730C">
        <w:t xml:space="preserve">cross </w:t>
      </w:r>
      <w:r w:rsidR="00B8491F">
        <w:t>Phase III</w:t>
      </w:r>
      <w:r w:rsidRPr="0002730C">
        <w:t xml:space="preserve"> </w:t>
      </w:r>
      <w:r w:rsidR="00E87C03">
        <w:t>a</w:t>
      </w:r>
      <w:r w:rsidRPr="0002730C">
        <w:t xml:space="preserve">dult PNH </w:t>
      </w:r>
      <w:r w:rsidR="00E87C03" w:rsidRPr="0087722B">
        <w:t>s</w:t>
      </w:r>
      <w:r w:rsidRPr="0087722B">
        <w:t>tudies (</w:t>
      </w:r>
      <w:r w:rsidR="007E513E" w:rsidRPr="0087722B">
        <w:t>Study</w:t>
      </w:r>
      <w:r w:rsidR="00AB0591">
        <w:t> </w:t>
      </w:r>
      <w:r w:rsidR="007E513E" w:rsidRPr="0087722B">
        <w:t>ALXN1210</w:t>
      </w:r>
      <w:r w:rsidR="00AB0591">
        <w:noBreakHyphen/>
      </w:r>
      <w:r w:rsidR="007E513E" w:rsidRPr="0087722B">
        <w:t>PNH</w:t>
      </w:r>
      <w:r w:rsidR="00AB0591">
        <w:noBreakHyphen/>
      </w:r>
      <w:r w:rsidR="007E513E" w:rsidRPr="0087722B">
        <w:t>301</w:t>
      </w:r>
      <w:r w:rsidRPr="0087722B">
        <w:t xml:space="preserve"> and </w:t>
      </w:r>
      <w:r w:rsidR="007E513E" w:rsidRPr="0087722B">
        <w:t>ALXN1210-PNH-302</w:t>
      </w:r>
      <w:r w:rsidRPr="0087722B">
        <w:t xml:space="preserve">) </w:t>
      </w:r>
      <w:r w:rsidR="003E2382" w:rsidRPr="0087722B">
        <w:t>d</w:t>
      </w:r>
      <w:r w:rsidRPr="0087722B">
        <w:t>uring</w:t>
      </w:r>
      <w:r w:rsidRPr="0002730C">
        <w:t xml:space="preserve"> the Primary Evaluation Period (</w:t>
      </w:r>
      <w:r w:rsidR="00B8491F">
        <w:t>Phase III</w:t>
      </w:r>
      <w:r w:rsidRPr="0002730C">
        <w:t xml:space="preserve"> PNH </w:t>
      </w:r>
      <w:r w:rsidR="003E2382">
        <w:t>p</w:t>
      </w:r>
      <w:r w:rsidRPr="0002730C">
        <w:t>opulation)</w:t>
      </w:r>
    </w:p>
    <w:p w14:paraId="403DA48A" w14:textId="77777777" w:rsidR="00AA678E" w:rsidRDefault="00AA678E" w:rsidP="00AA678E">
      <w:r>
        <w:rPr>
          <w:noProof/>
          <w:lang w:val="en-GB" w:eastAsia="en-GB"/>
        </w:rPr>
        <w:drawing>
          <wp:inline distT="0" distB="0" distL="0" distR="0" wp14:anchorId="654B6D2B" wp14:editId="39ADEFE6">
            <wp:extent cx="5480050" cy="3314380"/>
            <wp:effectExtent l="0" t="0" r="6350" b="635"/>
            <wp:docPr id="34" name="Picture 34" descr="This table shows an overview of all treatment emergent adverse events and serious adverse events in pooled ravulizumab group across Phase III adult PNH studies (Study ALXN1210 PNH 301 and ALXN1210-PNH-302) during the Primary Evaluation Period (Phase III PNH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table shows an overview of all treatment emergent adverse events and serious adverse events in pooled ravulizumab group across Phase III adult PNH studies (Study ALXN1210 PNH 301 and ALXN1210-PNH-302) during the Primary Evaluation Period (Phase III PNH population)"/>
                    <pic:cNvPicPr/>
                  </pic:nvPicPr>
                  <pic:blipFill>
                    <a:blip r:embed="rId61"/>
                    <a:stretch>
                      <a:fillRect/>
                    </a:stretch>
                  </pic:blipFill>
                  <pic:spPr>
                    <a:xfrm>
                      <a:off x="0" y="0"/>
                      <a:ext cx="5482086" cy="3315611"/>
                    </a:xfrm>
                    <a:prstGeom prst="rect">
                      <a:avLst/>
                    </a:prstGeom>
                  </pic:spPr>
                </pic:pic>
              </a:graphicData>
            </a:graphic>
          </wp:inline>
        </w:drawing>
      </w:r>
    </w:p>
    <w:p w14:paraId="17DE257E" w14:textId="51CA130C" w:rsidR="00AA678E" w:rsidRPr="00127179" w:rsidRDefault="003E2382" w:rsidP="0035187D">
      <w:pPr>
        <w:pStyle w:val="TableDescription"/>
      </w:pPr>
      <w:r>
        <w:t xml:space="preserve">Abbreviations: </w:t>
      </w:r>
      <w:r w:rsidR="00AA678E" w:rsidRPr="00127179">
        <w:t>E = number of events</w:t>
      </w:r>
      <w:r w:rsidR="00AA678E">
        <w:t>,</w:t>
      </w:r>
      <w:r w:rsidR="00AA678E" w:rsidRPr="00127179">
        <w:t xml:space="preserve"> MAVE = major adverse vascular event</w:t>
      </w:r>
    </w:p>
    <w:p w14:paraId="29AEAFFA" w14:textId="13AEEE7E" w:rsidR="006364D5" w:rsidRDefault="006364D5" w:rsidP="0035187D">
      <w:pPr>
        <w:pStyle w:val="Heading7"/>
      </w:pPr>
      <w:r>
        <w:t xml:space="preserve">Comparison </w:t>
      </w:r>
      <w:r w:rsidR="007D60AF">
        <w:t>with</w:t>
      </w:r>
      <w:r>
        <w:t xml:space="preserve"> safety </w:t>
      </w:r>
      <w:r w:rsidR="007D60AF">
        <w:t>profile in atypical haemolytic uraemic syndrome</w:t>
      </w:r>
      <w:r>
        <w:t xml:space="preserve"> </w:t>
      </w:r>
    </w:p>
    <w:p w14:paraId="30751937" w14:textId="4D17EB67" w:rsidR="00AA678E" w:rsidRDefault="00AA678E" w:rsidP="00AA678E">
      <w:r>
        <w:t>The</w:t>
      </w:r>
      <w:r w:rsidR="003C741C">
        <w:t xml:space="preserve"> adverse event</w:t>
      </w:r>
      <w:r>
        <w:t xml:space="preserve"> profile was comparable for paediatric PNH patients (</w:t>
      </w:r>
      <w:r>
        <w:fldChar w:fldCharType="begin"/>
      </w:r>
      <w:r>
        <w:instrText xml:space="preserve"> REF _Ref95935840 \h </w:instrText>
      </w:r>
      <w:r>
        <w:fldChar w:fldCharType="separate"/>
      </w:r>
      <w:r w:rsidR="004C7A29">
        <w:t xml:space="preserve">Table </w:t>
      </w:r>
      <w:r w:rsidR="004C7A29">
        <w:rPr>
          <w:noProof/>
        </w:rPr>
        <w:t>30</w:t>
      </w:r>
      <w:r>
        <w:fldChar w:fldCharType="end"/>
      </w:r>
      <w:r>
        <w:t xml:space="preserve">) and </w:t>
      </w:r>
      <w:proofErr w:type="spellStart"/>
      <w:r>
        <w:t>aHUS</w:t>
      </w:r>
      <w:proofErr w:type="spellEnd"/>
      <w:r>
        <w:t xml:space="preserve"> patients </w:t>
      </w:r>
      <w:r w:rsidRPr="00DA65A3">
        <w:t xml:space="preserve">through the </w:t>
      </w:r>
      <w:r>
        <w:t>Primary</w:t>
      </w:r>
      <w:r w:rsidRPr="00DA65A3">
        <w:t xml:space="preserve"> Evaluation Period</w:t>
      </w:r>
      <w:r>
        <w:t xml:space="preserve"> provided in </w:t>
      </w:r>
      <w:r>
        <w:fldChar w:fldCharType="begin"/>
      </w:r>
      <w:r>
        <w:instrText xml:space="preserve"> REF _Ref95935687 \h </w:instrText>
      </w:r>
      <w:r>
        <w:fldChar w:fldCharType="separate"/>
      </w:r>
      <w:r w:rsidR="004C7A29">
        <w:t xml:space="preserve">Table </w:t>
      </w:r>
      <w:r w:rsidR="004C7A29">
        <w:rPr>
          <w:noProof/>
        </w:rPr>
        <w:t>32</w:t>
      </w:r>
      <w:r>
        <w:fldChar w:fldCharType="end"/>
      </w:r>
      <w:r>
        <w:t xml:space="preserve"> below. </w:t>
      </w:r>
      <w:r w:rsidRPr="0002730C">
        <w:t xml:space="preserve">Safety data for aHUS </w:t>
      </w:r>
      <w:r>
        <w:t>patients</w:t>
      </w:r>
      <w:r w:rsidRPr="0002730C">
        <w:t xml:space="preserve"> through the 52-week data cut-off have been discussed above.</w:t>
      </w:r>
    </w:p>
    <w:p w14:paraId="17552BEC" w14:textId="07DA2BFD" w:rsidR="00AA678E" w:rsidRDefault="00AA678E" w:rsidP="00B82827">
      <w:pPr>
        <w:pStyle w:val="TableTitle"/>
        <w:pageBreakBefore/>
      </w:pPr>
      <w:bookmarkStart w:id="108" w:name="_Ref95935687"/>
      <w:r>
        <w:lastRenderedPageBreak/>
        <w:t xml:space="preserve">Table </w:t>
      </w:r>
      <w:fldSimple w:instr=" SEQ Table \* ARABIC ">
        <w:r w:rsidR="004C7A29">
          <w:rPr>
            <w:noProof/>
          </w:rPr>
          <w:t>32</w:t>
        </w:r>
      </w:fldSimple>
      <w:bookmarkEnd w:id="108"/>
      <w:r>
        <w:t xml:space="preserve">: </w:t>
      </w:r>
      <w:r w:rsidRPr="006B7980">
        <w:t xml:space="preserve">Overview of </w:t>
      </w:r>
      <w:r w:rsidR="003E2382">
        <w:t>a</w:t>
      </w:r>
      <w:r w:rsidRPr="006B7980">
        <w:t xml:space="preserve">ll </w:t>
      </w:r>
      <w:r w:rsidR="003C741C">
        <w:t>treatment emergent adverse event</w:t>
      </w:r>
      <w:r>
        <w:t>s</w:t>
      </w:r>
      <w:r w:rsidRPr="006B7980">
        <w:t xml:space="preserve"> and </w:t>
      </w:r>
      <w:r w:rsidR="003C741C">
        <w:t>serious adverse event</w:t>
      </w:r>
      <w:r>
        <w:t>s</w:t>
      </w:r>
      <w:r w:rsidRPr="006B7980">
        <w:t xml:space="preserve"> </w:t>
      </w:r>
      <w:r w:rsidR="003E2382">
        <w:t>a</w:t>
      </w:r>
      <w:r w:rsidRPr="006B7980">
        <w:t xml:space="preserve">cross </w:t>
      </w:r>
      <w:r w:rsidR="00B8491F">
        <w:t>Phase III</w:t>
      </w:r>
      <w:r w:rsidRPr="006B7980">
        <w:t xml:space="preserve"> aHUS </w:t>
      </w:r>
      <w:r w:rsidR="003E2382">
        <w:t>s</w:t>
      </w:r>
      <w:r w:rsidRPr="006B7980">
        <w:t xml:space="preserve">tudies </w:t>
      </w:r>
      <w:r w:rsidR="003E2382">
        <w:t>d</w:t>
      </w:r>
      <w:r w:rsidRPr="006B7980">
        <w:t>uring the Primary Evaluation Period (Safety Set)</w:t>
      </w:r>
    </w:p>
    <w:p w14:paraId="3982C783" w14:textId="77777777" w:rsidR="00AA678E" w:rsidRDefault="00AA678E" w:rsidP="00AA678E">
      <w:r>
        <w:rPr>
          <w:noProof/>
          <w:lang w:val="en-GB" w:eastAsia="en-GB"/>
        </w:rPr>
        <w:drawing>
          <wp:inline distT="0" distB="0" distL="0" distR="0" wp14:anchorId="5C4FCDDF" wp14:editId="5326420A">
            <wp:extent cx="5731510" cy="2985770"/>
            <wp:effectExtent l="0" t="0" r="2540" b="5080"/>
            <wp:docPr id="39" name="Picture 39" descr="This table shows an overview of all treatment emergent adverse events and serious adverse events across Phase III aHUS studies during the Primary Evaluation Perio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table shows an overview of all treatment emergent adverse events and serious adverse events across Phase III aHUS studies during the Primary Evaluation Period (Safety Set)"/>
                    <pic:cNvPicPr/>
                  </pic:nvPicPr>
                  <pic:blipFill>
                    <a:blip r:embed="rId62"/>
                    <a:stretch>
                      <a:fillRect/>
                    </a:stretch>
                  </pic:blipFill>
                  <pic:spPr>
                    <a:xfrm>
                      <a:off x="0" y="0"/>
                      <a:ext cx="5731510" cy="2985770"/>
                    </a:xfrm>
                    <a:prstGeom prst="rect">
                      <a:avLst/>
                    </a:prstGeom>
                  </pic:spPr>
                </pic:pic>
              </a:graphicData>
            </a:graphic>
          </wp:inline>
        </w:drawing>
      </w:r>
    </w:p>
    <w:p w14:paraId="698A5061" w14:textId="1959B5B5" w:rsidR="007D60AF" w:rsidRPr="008F6E08" w:rsidRDefault="003E2382" w:rsidP="00B82827">
      <w:pPr>
        <w:pStyle w:val="TableDescription"/>
      </w:pPr>
      <w:r w:rsidRPr="003E2382">
        <w:t>Notes:</w:t>
      </w:r>
      <w:r>
        <w:rPr>
          <w:vertAlign w:val="superscript"/>
        </w:rPr>
        <w:t xml:space="preserve"> </w:t>
      </w:r>
      <w:proofErr w:type="gramStart"/>
      <w:r w:rsidR="00AA678E" w:rsidRPr="001A1DCE">
        <w:rPr>
          <w:vertAlign w:val="superscript"/>
        </w:rPr>
        <w:t>a</w:t>
      </w:r>
      <w:proofErr w:type="gramEnd"/>
      <w:r w:rsidR="00AA678E" w:rsidRPr="001A1DCE">
        <w:t xml:space="preserve"> In addition to </w:t>
      </w:r>
      <w:r w:rsidR="003C741C">
        <w:t>treatment emergent adverse event</w:t>
      </w:r>
      <w:r w:rsidR="00AA678E" w:rsidRPr="001A1DCE">
        <w:t xml:space="preserve">s leading to deaths, </w:t>
      </w:r>
      <w:r>
        <w:t>one</w:t>
      </w:r>
      <w:r w:rsidR="00AA678E" w:rsidRPr="001A1DCE">
        <w:t xml:space="preserve"> patient reported a pre</w:t>
      </w:r>
      <w:r w:rsidR="00AA678E">
        <w:t>-</w:t>
      </w:r>
      <w:r w:rsidR="00AA678E" w:rsidRPr="001A1DCE">
        <w:t>treatment</w:t>
      </w:r>
      <w:r w:rsidR="003C741C">
        <w:t xml:space="preserve"> adverse event</w:t>
      </w:r>
      <w:r w:rsidR="00AA678E" w:rsidRPr="001A1DCE">
        <w:t xml:space="preserve"> that led to death.</w:t>
      </w:r>
    </w:p>
    <w:p w14:paraId="2858B006" w14:textId="36ECD870" w:rsidR="00C22214" w:rsidRDefault="00C22214" w:rsidP="00B82827">
      <w:pPr>
        <w:pStyle w:val="Heading3"/>
        <w:pageBreakBefore/>
        <w:rPr>
          <w:lang w:eastAsia="en-AU"/>
        </w:rPr>
      </w:pPr>
      <w:bookmarkStart w:id="109" w:name="_Toc314842514"/>
      <w:bookmarkStart w:id="110" w:name="_Toc103679298"/>
      <w:bookmarkStart w:id="111" w:name="_Toc135662385"/>
      <w:r>
        <w:rPr>
          <w:lang w:eastAsia="en-AU"/>
        </w:rPr>
        <w:lastRenderedPageBreak/>
        <w:t>Risk management plan</w:t>
      </w:r>
      <w:bookmarkEnd w:id="109"/>
      <w:bookmarkEnd w:id="110"/>
      <w:bookmarkEnd w:id="111"/>
    </w:p>
    <w:p w14:paraId="13D19D4D" w14:textId="3CE55B73" w:rsidR="00AA678E" w:rsidRPr="00AA678E" w:rsidRDefault="00AA678E" w:rsidP="00AA678E">
      <w:bookmarkStart w:id="112" w:name="_Toc247691531"/>
      <w:bookmarkStart w:id="113" w:name="_Toc314842515"/>
      <w:r w:rsidRPr="00AA678E">
        <w:t xml:space="preserve">The </w:t>
      </w:r>
      <w:r w:rsidR="00856026">
        <w:t>sponsor</w:t>
      </w:r>
      <w:r w:rsidRPr="00AA678E">
        <w:t xml:space="preserve"> submitted EU-</w:t>
      </w:r>
      <w:r w:rsidR="007D60AF">
        <w:t>risk management plan (</w:t>
      </w:r>
      <w:r w:rsidRPr="00AA678E">
        <w:t>RMP</w:t>
      </w:r>
      <w:r w:rsidR="007D60AF">
        <w:t>)</w:t>
      </w:r>
      <w:r w:rsidRPr="00AA678E">
        <w:t xml:space="preserve"> version 2.1 (date 10 </w:t>
      </w:r>
      <w:r w:rsidR="007E513E">
        <w:t>December</w:t>
      </w:r>
      <w:r w:rsidRPr="00AA678E">
        <w:t xml:space="preserve"> 202</w:t>
      </w:r>
      <w:r w:rsidR="007D60AF">
        <w:t>0</w:t>
      </w:r>
      <w:r w:rsidRPr="00AA678E">
        <w:t xml:space="preserve">; </w:t>
      </w:r>
      <w:r w:rsidR="007D60AF">
        <w:t>data lock point (</w:t>
      </w:r>
      <w:r w:rsidRPr="00AA678E">
        <w:t>DLP</w:t>
      </w:r>
      <w:r w:rsidR="007D60AF">
        <w:t>)</w:t>
      </w:r>
      <w:r w:rsidRPr="00AA678E">
        <w:t xml:space="preserve"> 27 May 2020) and </w:t>
      </w:r>
      <w:r w:rsidR="007D60AF">
        <w:t>Australia-specific annex (</w:t>
      </w:r>
      <w:r w:rsidRPr="00AA678E">
        <w:t>ASA</w:t>
      </w:r>
      <w:r w:rsidR="007D60AF">
        <w:t>)</w:t>
      </w:r>
      <w:r w:rsidRPr="00AA678E">
        <w:t xml:space="preserve"> version 3.0 (date 23 April 2021), and updated EU RMP version 3.0 (date 31 August 2021; DLP 27 May 2020) and ASA version 3.1 (date 17 November 2021) with the section 31 response.</w:t>
      </w:r>
    </w:p>
    <w:p w14:paraId="39F3CD1D" w14:textId="01931190" w:rsidR="0072003B" w:rsidRDefault="00C22214" w:rsidP="00C22214">
      <w:pPr>
        <w:rPr>
          <w:szCs w:val="22"/>
        </w:rPr>
      </w:pPr>
      <w:r w:rsidRPr="00BD5DBD">
        <w:rPr>
          <w:szCs w:val="22"/>
        </w:rPr>
        <w:t>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4C7A29" w:rsidRPr="004C7A29">
        <w:rPr>
          <w:szCs w:val="22"/>
        </w:rPr>
        <w:t xml:space="preserve">Table </w:t>
      </w:r>
      <w:r w:rsidR="004C7A29" w:rsidRPr="004C7A29">
        <w:rPr>
          <w:noProof/>
          <w:szCs w:val="22"/>
        </w:rPr>
        <w:t>33</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life-cycle, during both the pre-approval and post-approval phases.</w:t>
      </w:r>
    </w:p>
    <w:p w14:paraId="02157C6F" w14:textId="00EE4C66" w:rsidR="007D60AF" w:rsidRPr="00BD5DBD" w:rsidRDefault="007D60AF" w:rsidP="00C22214">
      <w:pPr>
        <w:rPr>
          <w:szCs w:val="22"/>
        </w:rPr>
      </w:pPr>
      <w:r w:rsidRPr="00BD5DBD">
        <w:rPr>
          <w:szCs w:val="22"/>
        </w:rPr>
        <w:t xml:space="preserve">The TGA may request an updated RMP at any stage of a product's life-cycle, during both the pre-approval and post-approval phases. Further information regarding the TGA’s risk management approach can be found in </w:t>
      </w:r>
      <w:hyperlink r:id="rId63" w:history="1">
        <w:r w:rsidRPr="00BD5DBD">
          <w:rPr>
            <w:rStyle w:val="Hyperlink"/>
            <w:szCs w:val="22"/>
          </w:rPr>
          <w:t>risk management plans for medicines and biologicals</w:t>
        </w:r>
      </w:hyperlink>
      <w:r w:rsidRPr="00BD5DBD">
        <w:rPr>
          <w:szCs w:val="22"/>
        </w:rPr>
        <w:t xml:space="preserve"> and </w:t>
      </w:r>
      <w:hyperlink r:id="rId64" w:history="1">
        <w:r w:rsidRPr="00BD5DBD">
          <w:rPr>
            <w:rStyle w:val="Hyperlink"/>
            <w:szCs w:val="22"/>
          </w:rPr>
          <w:t>the TGA's risk management approach</w:t>
        </w:r>
      </w:hyperlink>
      <w:r w:rsidRPr="00BD5DBD">
        <w:rPr>
          <w:szCs w:val="22"/>
        </w:rPr>
        <w:t xml:space="preserve">. Information on the </w:t>
      </w:r>
      <w:hyperlink r:id="rId65" w:history="1">
        <w:r w:rsidRPr="00BD5DBD">
          <w:rPr>
            <w:rStyle w:val="Hyperlink"/>
            <w:szCs w:val="22"/>
          </w:rPr>
          <w:t>Australia specific annex</w:t>
        </w:r>
      </w:hyperlink>
      <w:r w:rsidRPr="00BD5DBD">
        <w:rPr>
          <w:szCs w:val="22"/>
        </w:rPr>
        <w:t xml:space="preserve"> (</w:t>
      </w:r>
      <w:hyperlink r:id="rId66" w:history="1">
        <w:r w:rsidRPr="00BD5DBD">
          <w:rPr>
            <w:rStyle w:val="Hyperlink"/>
            <w:szCs w:val="22"/>
          </w:rPr>
          <w:t>ASA</w:t>
        </w:r>
      </w:hyperlink>
      <w:r w:rsidRPr="00BD5DBD">
        <w:rPr>
          <w:szCs w:val="22"/>
        </w:rPr>
        <w:t>) can be found on the TGA website.</w:t>
      </w:r>
    </w:p>
    <w:p w14:paraId="6979C50D" w14:textId="7A3F7BB0" w:rsidR="002F483A" w:rsidRDefault="00C22214" w:rsidP="0035187D">
      <w:pPr>
        <w:pStyle w:val="TableTitle"/>
      </w:pPr>
      <w:bookmarkStart w:id="114" w:name="_Ref97629131"/>
      <w:r>
        <w:t xml:space="preserve">Table </w:t>
      </w:r>
      <w:r w:rsidR="002F63B1">
        <w:rPr>
          <w:b w:val="0"/>
        </w:rPr>
        <w:fldChar w:fldCharType="begin"/>
      </w:r>
      <w:r w:rsidR="002F63B1">
        <w:rPr>
          <w:b w:val="0"/>
        </w:rPr>
        <w:instrText xml:space="preserve"> SEQ Table \* ARABIC </w:instrText>
      </w:r>
      <w:r w:rsidR="002F63B1">
        <w:rPr>
          <w:b w:val="0"/>
        </w:rPr>
        <w:fldChar w:fldCharType="separate"/>
      </w:r>
      <w:r w:rsidR="004C7A29">
        <w:rPr>
          <w:noProof/>
        </w:rPr>
        <w:t>33</w:t>
      </w:r>
      <w:r w:rsidR="002F63B1">
        <w:rPr>
          <w:b w:val="0"/>
          <w:noProof/>
        </w:rPr>
        <w:fldChar w:fldCharType="end"/>
      </w:r>
      <w:bookmarkEnd w:id="114"/>
      <w:r>
        <w:t>: Summary of safety concerns</w:t>
      </w:r>
    </w:p>
    <w:tbl>
      <w:tblPr>
        <w:tblStyle w:val="TableTGAblue2023"/>
        <w:tblW w:w="8995" w:type="dxa"/>
        <w:tblLayout w:type="fixed"/>
        <w:tblLook w:val="04A0" w:firstRow="1" w:lastRow="0" w:firstColumn="1" w:lastColumn="0" w:noHBand="0" w:noVBand="1"/>
      </w:tblPr>
      <w:tblGrid>
        <w:gridCol w:w="1885"/>
        <w:gridCol w:w="2700"/>
        <w:gridCol w:w="990"/>
        <w:gridCol w:w="1170"/>
        <w:gridCol w:w="990"/>
        <w:gridCol w:w="1260"/>
      </w:tblGrid>
      <w:tr w:rsidR="002F483A" w:rsidRPr="006A6759" w14:paraId="22ABE814" w14:textId="77777777" w:rsidTr="0035187D">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585" w:type="dxa"/>
            <w:gridSpan w:val="2"/>
            <w:vMerge w:val="restart"/>
          </w:tcPr>
          <w:p w14:paraId="7F897875" w14:textId="77777777" w:rsidR="002F483A" w:rsidRPr="006A6759" w:rsidRDefault="002F483A" w:rsidP="002F63B1">
            <w:pPr>
              <w:spacing w:before="20" w:after="20" w:line="252" w:lineRule="auto"/>
              <w:rPr>
                <w:rFonts w:eastAsia="Times New Roman"/>
                <w:b w:val="0"/>
                <w:snapToGrid w:val="0"/>
                <w:kern w:val="16"/>
                <w:sz w:val="20"/>
                <w:szCs w:val="24"/>
              </w:rPr>
            </w:pPr>
            <w:r w:rsidRPr="006A6759">
              <w:rPr>
                <w:rFonts w:eastAsia="Times New Roman"/>
                <w:snapToGrid w:val="0"/>
                <w:kern w:val="16"/>
                <w:sz w:val="20"/>
                <w:szCs w:val="24"/>
              </w:rPr>
              <w:t>Summary of safety concerns</w:t>
            </w:r>
          </w:p>
        </w:tc>
        <w:tc>
          <w:tcPr>
            <w:tcW w:w="2160" w:type="dxa"/>
            <w:gridSpan w:val="2"/>
          </w:tcPr>
          <w:p w14:paraId="57DF208E" w14:textId="77777777" w:rsidR="002F483A" w:rsidRPr="006A6759" w:rsidRDefault="002F483A" w:rsidP="002F63B1">
            <w:pPr>
              <w:spacing w:before="20" w:after="20" w:line="252" w:lineRule="auto"/>
              <w:cnfStyle w:val="100000000000" w:firstRow="1" w:lastRow="0" w:firstColumn="0" w:lastColumn="0" w:oddVBand="0" w:evenVBand="0" w:oddHBand="0" w:evenHBand="0" w:firstRowFirstColumn="0" w:firstRowLastColumn="0" w:lastRowFirstColumn="0" w:lastRowLastColumn="0"/>
              <w:rPr>
                <w:rFonts w:eastAsia="Times New Roman"/>
                <w:b w:val="0"/>
                <w:snapToGrid w:val="0"/>
                <w:kern w:val="16"/>
                <w:sz w:val="18"/>
                <w:szCs w:val="24"/>
              </w:rPr>
            </w:pPr>
            <w:r w:rsidRPr="006A6759">
              <w:rPr>
                <w:rFonts w:eastAsia="Times New Roman"/>
                <w:snapToGrid w:val="0"/>
                <w:kern w:val="16"/>
                <w:sz w:val="18"/>
                <w:szCs w:val="24"/>
              </w:rPr>
              <w:t>Pharmacovigilance</w:t>
            </w:r>
          </w:p>
        </w:tc>
        <w:tc>
          <w:tcPr>
            <w:tcW w:w="2250" w:type="dxa"/>
            <w:gridSpan w:val="2"/>
          </w:tcPr>
          <w:p w14:paraId="25F0D1C3" w14:textId="77777777" w:rsidR="002F483A" w:rsidRPr="006A6759" w:rsidRDefault="002F483A" w:rsidP="002F63B1">
            <w:pPr>
              <w:spacing w:before="20" w:after="20" w:line="252" w:lineRule="auto"/>
              <w:cnfStyle w:val="100000000000" w:firstRow="1" w:lastRow="0" w:firstColumn="0" w:lastColumn="0" w:oddVBand="0" w:evenVBand="0" w:oddHBand="0" w:evenHBand="0" w:firstRowFirstColumn="0" w:firstRowLastColumn="0" w:lastRowFirstColumn="0" w:lastRowLastColumn="0"/>
              <w:rPr>
                <w:rFonts w:eastAsia="Times New Roman"/>
                <w:b w:val="0"/>
                <w:snapToGrid w:val="0"/>
                <w:kern w:val="16"/>
                <w:sz w:val="18"/>
                <w:szCs w:val="24"/>
              </w:rPr>
            </w:pPr>
            <w:r w:rsidRPr="006A6759">
              <w:rPr>
                <w:rFonts w:eastAsia="Times New Roman"/>
                <w:snapToGrid w:val="0"/>
                <w:kern w:val="16"/>
                <w:sz w:val="18"/>
                <w:szCs w:val="24"/>
              </w:rPr>
              <w:t>Risk Minimisation</w:t>
            </w:r>
          </w:p>
        </w:tc>
      </w:tr>
      <w:tr w:rsidR="002F483A" w:rsidRPr="006A6759" w14:paraId="5CAC67E1" w14:textId="77777777" w:rsidTr="0035187D">
        <w:trPr>
          <w:trHeight w:val="150"/>
        </w:trPr>
        <w:tc>
          <w:tcPr>
            <w:cnfStyle w:val="001000000000" w:firstRow="0" w:lastRow="0" w:firstColumn="1" w:lastColumn="0" w:oddVBand="0" w:evenVBand="0" w:oddHBand="0" w:evenHBand="0" w:firstRowFirstColumn="0" w:firstRowLastColumn="0" w:lastRowFirstColumn="0" w:lastRowLastColumn="0"/>
            <w:tcW w:w="4585" w:type="dxa"/>
            <w:gridSpan w:val="2"/>
            <w:vMerge/>
          </w:tcPr>
          <w:p w14:paraId="37F3109F" w14:textId="77777777" w:rsidR="002F483A" w:rsidRPr="006A6759" w:rsidRDefault="002F483A" w:rsidP="002F63B1">
            <w:pPr>
              <w:spacing w:before="20" w:after="20" w:line="252" w:lineRule="auto"/>
              <w:rPr>
                <w:rFonts w:eastAsia="Times New Roman"/>
                <w:b/>
                <w:snapToGrid w:val="0"/>
                <w:kern w:val="16"/>
                <w:sz w:val="20"/>
                <w:szCs w:val="24"/>
              </w:rPr>
            </w:pPr>
          </w:p>
        </w:tc>
        <w:tc>
          <w:tcPr>
            <w:tcW w:w="990" w:type="dxa"/>
          </w:tcPr>
          <w:p w14:paraId="02D176F0" w14:textId="77777777" w:rsidR="002F483A" w:rsidRPr="006A6759" w:rsidRDefault="002F483A" w:rsidP="002F63B1">
            <w:pPr>
              <w:spacing w:before="20" w:after="20" w:line="252" w:lineRule="auto"/>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18"/>
                <w:szCs w:val="24"/>
              </w:rPr>
            </w:pPr>
            <w:r w:rsidRPr="006A6759">
              <w:rPr>
                <w:rFonts w:eastAsia="Times New Roman"/>
                <w:snapToGrid w:val="0"/>
                <w:kern w:val="16"/>
                <w:sz w:val="18"/>
                <w:szCs w:val="24"/>
              </w:rPr>
              <w:t>Routine</w:t>
            </w:r>
          </w:p>
        </w:tc>
        <w:tc>
          <w:tcPr>
            <w:tcW w:w="1170" w:type="dxa"/>
          </w:tcPr>
          <w:p w14:paraId="38CC7A21" w14:textId="77777777" w:rsidR="002F483A" w:rsidRPr="006A6759" w:rsidRDefault="002F483A" w:rsidP="002F63B1">
            <w:pPr>
              <w:spacing w:before="20" w:after="20" w:line="252" w:lineRule="auto"/>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18"/>
                <w:szCs w:val="24"/>
              </w:rPr>
            </w:pPr>
            <w:r w:rsidRPr="006A6759">
              <w:rPr>
                <w:rFonts w:eastAsia="Times New Roman"/>
                <w:snapToGrid w:val="0"/>
                <w:kern w:val="16"/>
                <w:sz w:val="18"/>
                <w:szCs w:val="24"/>
              </w:rPr>
              <w:t>Additional</w:t>
            </w:r>
          </w:p>
        </w:tc>
        <w:tc>
          <w:tcPr>
            <w:tcW w:w="990" w:type="dxa"/>
          </w:tcPr>
          <w:p w14:paraId="17760C86" w14:textId="77777777" w:rsidR="002F483A" w:rsidRPr="006A6759" w:rsidRDefault="002F483A" w:rsidP="002F63B1">
            <w:pPr>
              <w:spacing w:before="20" w:after="20" w:line="252" w:lineRule="auto"/>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18"/>
                <w:szCs w:val="24"/>
              </w:rPr>
            </w:pPr>
            <w:r w:rsidRPr="006A6759">
              <w:rPr>
                <w:rFonts w:eastAsia="Times New Roman"/>
                <w:snapToGrid w:val="0"/>
                <w:kern w:val="16"/>
                <w:sz w:val="18"/>
                <w:szCs w:val="24"/>
              </w:rPr>
              <w:t>Routine</w:t>
            </w:r>
          </w:p>
        </w:tc>
        <w:tc>
          <w:tcPr>
            <w:tcW w:w="1260" w:type="dxa"/>
          </w:tcPr>
          <w:p w14:paraId="26CB3491" w14:textId="77777777" w:rsidR="002F483A" w:rsidRPr="006A6759" w:rsidRDefault="002F483A" w:rsidP="002F63B1">
            <w:pPr>
              <w:spacing w:before="20" w:after="20" w:line="252" w:lineRule="auto"/>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18"/>
                <w:szCs w:val="24"/>
              </w:rPr>
            </w:pPr>
            <w:r w:rsidRPr="006A6759">
              <w:rPr>
                <w:rFonts w:eastAsia="Times New Roman"/>
                <w:snapToGrid w:val="0"/>
                <w:kern w:val="16"/>
                <w:sz w:val="18"/>
                <w:szCs w:val="24"/>
              </w:rPr>
              <w:t>Additional</w:t>
            </w:r>
          </w:p>
        </w:tc>
      </w:tr>
      <w:tr w:rsidR="00FF4EC4" w:rsidRPr="006A6759" w14:paraId="7BAED760" w14:textId="77777777" w:rsidTr="0035187D">
        <w:trPr>
          <w:trHeight w:val="137"/>
        </w:trPr>
        <w:tc>
          <w:tcPr>
            <w:cnfStyle w:val="001000000000" w:firstRow="0" w:lastRow="0" w:firstColumn="1" w:lastColumn="0" w:oddVBand="0" w:evenVBand="0" w:oddHBand="0" w:evenHBand="0" w:firstRowFirstColumn="0" w:firstRowLastColumn="0" w:lastRowFirstColumn="0" w:lastRowLastColumn="0"/>
            <w:tcW w:w="1885" w:type="dxa"/>
          </w:tcPr>
          <w:p w14:paraId="5D1A0E55" w14:textId="77777777" w:rsidR="002F483A" w:rsidRPr="006A6759" w:rsidRDefault="002F483A" w:rsidP="002F63B1">
            <w:pPr>
              <w:spacing w:before="20" w:after="20" w:line="252" w:lineRule="auto"/>
              <w:rPr>
                <w:rFonts w:eastAsia="Times New Roman"/>
                <w:b/>
                <w:snapToGrid w:val="0"/>
                <w:kern w:val="16"/>
                <w:sz w:val="20"/>
                <w:szCs w:val="24"/>
              </w:rPr>
            </w:pPr>
            <w:r w:rsidRPr="006A6759">
              <w:rPr>
                <w:rFonts w:eastAsia="Times New Roman"/>
                <w:b/>
                <w:snapToGrid w:val="0"/>
                <w:kern w:val="16"/>
                <w:sz w:val="20"/>
                <w:szCs w:val="24"/>
              </w:rPr>
              <w:t>Important identified risks</w:t>
            </w:r>
          </w:p>
        </w:tc>
        <w:tc>
          <w:tcPr>
            <w:tcW w:w="2700" w:type="dxa"/>
          </w:tcPr>
          <w:p w14:paraId="4BA4CCC9" w14:textId="77777777" w:rsidR="002F483A" w:rsidRPr="006A6759" w:rsidRDefault="002F483A" w:rsidP="002F63B1">
            <w:pPr>
              <w:keepNext/>
              <w:keepLines/>
              <w:spacing w:before="20" w:after="20" w:line="252" w:lineRule="auto"/>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rFonts w:eastAsia="Times New Roman"/>
                <w:snapToGrid w:val="0"/>
                <w:kern w:val="16"/>
                <w:sz w:val="20"/>
                <w:szCs w:val="24"/>
              </w:rPr>
              <w:t xml:space="preserve">Meningococcal infection </w:t>
            </w:r>
          </w:p>
        </w:tc>
        <w:tc>
          <w:tcPr>
            <w:tcW w:w="990" w:type="dxa"/>
          </w:tcPr>
          <w:p w14:paraId="0C51292B"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snapToGrid w:val="0"/>
                <w:kern w:val="16"/>
                <w:sz w:val="20"/>
                <w:szCs w:val="24"/>
              </w:rPr>
              <w:sym w:font="Wingdings" w:char="F0FC"/>
            </w:r>
            <w:r>
              <w:rPr>
                <w:snapToGrid w:val="0"/>
                <w:kern w:val="16"/>
                <w:sz w:val="20"/>
                <w:szCs w:val="24"/>
                <w:vertAlign w:val="superscript"/>
              </w:rPr>
              <w:t>*</w:t>
            </w:r>
          </w:p>
        </w:tc>
        <w:tc>
          <w:tcPr>
            <w:tcW w:w="1170" w:type="dxa"/>
          </w:tcPr>
          <w:p w14:paraId="20A50A8C"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snapToGrid w:val="0"/>
                <w:kern w:val="16"/>
                <w:sz w:val="20"/>
                <w:szCs w:val="24"/>
              </w:rPr>
              <w:sym w:font="Wingdings" w:char="F0FC"/>
            </w:r>
            <w:r w:rsidRPr="00953CE8">
              <w:rPr>
                <w:snapToGrid w:val="0"/>
                <w:kern w:val="16"/>
                <w:sz w:val="20"/>
                <w:szCs w:val="24"/>
                <w:vertAlign w:val="superscript"/>
              </w:rPr>
              <w:t>†</w:t>
            </w:r>
          </w:p>
        </w:tc>
        <w:tc>
          <w:tcPr>
            <w:tcW w:w="990" w:type="dxa"/>
          </w:tcPr>
          <w:p w14:paraId="769271FA"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snapToGrid w:val="0"/>
                <w:kern w:val="16"/>
                <w:sz w:val="20"/>
                <w:szCs w:val="24"/>
              </w:rPr>
              <w:sym w:font="Wingdings" w:char="F0FC"/>
            </w:r>
          </w:p>
        </w:tc>
        <w:tc>
          <w:tcPr>
            <w:tcW w:w="1260" w:type="dxa"/>
          </w:tcPr>
          <w:p w14:paraId="6B2B6AD8"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snapToGrid w:val="0"/>
                <w:kern w:val="16"/>
                <w:sz w:val="20"/>
                <w:szCs w:val="24"/>
              </w:rPr>
              <w:sym w:font="Wingdings" w:char="F0FC"/>
            </w:r>
            <w:r w:rsidRPr="006A6759">
              <w:rPr>
                <w:rFonts w:asciiTheme="majorHAnsi" w:eastAsia="Times New Roman" w:hAnsiTheme="majorHAnsi"/>
                <w:snapToGrid w:val="0"/>
                <w:kern w:val="16"/>
                <w:sz w:val="20"/>
                <w:szCs w:val="20"/>
                <w:vertAlign w:val="superscript"/>
              </w:rPr>
              <w:t>‡¶</w:t>
            </w:r>
            <w:r w:rsidRPr="00953CE8">
              <w:rPr>
                <w:rFonts w:asciiTheme="majorHAnsi" w:eastAsia="Times New Roman" w:hAnsiTheme="majorHAnsi"/>
                <w:snapToGrid w:val="0"/>
                <w:kern w:val="16"/>
                <w:sz w:val="20"/>
                <w:szCs w:val="20"/>
                <w:vertAlign w:val="superscript"/>
              </w:rPr>
              <w:t xml:space="preserve"> </w:t>
            </w:r>
            <w:proofErr w:type="gramStart"/>
            <w:r w:rsidRPr="00A46283">
              <w:rPr>
                <w:rFonts w:asciiTheme="majorHAnsi" w:eastAsia="Times New Roman" w:hAnsiTheme="majorHAnsi"/>
                <w:snapToGrid w:val="0"/>
                <w:kern w:val="16"/>
                <w:sz w:val="20"/>
                <w:szCs w:val="20"/>
                <w:vertAlign w:val="superscript"/>
              </w:rPr>
              <w:t xml:space="preserve">ǁ </w:t>
            </w:r>
            <w:r w:rsidRPr="00953CE8">
              <w:rPr>
                <w:rFonts w:asciiTheme="majorHAnsi" w:eastAsia="Times New Roman" w:hAnsiTheme="majorHAnsi"/>
                <w:snapToGrid w:val="0"/>
                <w:kern w:val="16"/>
                <w:sz w:val="20"/>
                <w:szCs w:val="20"/>
                <w:vertAlign w:val="superscript"/>
              </w:rPr>
              <w:t xml:space="preserve"> </w:t>
            </w:r>
            <w:r w:rsidRPr="00953CE8">
              <w:rPr>
                <w:rFonts w:asciiTheme="majorHAnsi" w:eastAsia="Times New Roman" w:hAnsiTheme="majorHAnsi"/>
                <w:snapToGrid w:val="0"/>
                <w:kern w:val="16"/>
                <w:sz w:val="20"/>
                <w:szCs w:val="20"/>
                <w:vertAlign w:val="superscript"/>
                <w:lang w:val=""/>
              </w:rPr>
              <w:t>∞</w:t>
            </w:r>
            <w:proofErr w:type="gramEnd"/>
          </w:p>
        </w:tc>
      </w:tr>
      <w:tr w:rsidR="00FF4EC4" w:rsidRPr="006A6759" w14:paraId="23AE9B43" w14:textId="77777777" w:rsidTr="0035187D">
        <w:trPr>
          <w:trHeight w:val="159"/>
        </w:trPr>
        <w:tc>
          <w:tcPr>
            <w:cnfStyle w:val="001000000000" w:firstRow="0" w:lastRow="0" w:firstColumn="1" w:lastColumn="0" w:oddVBand="0" w:evenVBand="0" w:oddHBand="0" w:evenHBand="0" w:firstRowFirstColumn="0" w:firstRowLastColumn="0" w:lastRowFirstColumn="0" w:lastRowLastColumn="0"/>
            <w:tcW w:w="1885" w:type="dxa"/>
            <w:vMerge w:val="restart"/>
          </w:tcPr>
          <w:p w14:paraId="7D898844" w14:textId="77777777" w:rsidR="002F483A" w:rsidRPr="006A6759" w:rsidRDefault="002F483A" w:rsidP="002F63B1">
            <w:pPr>
              <w:spacing w:before="20" w:after="20" w:line="252" w:lineRule="auto"/>
              <w:rPr>
                <w:rFonts w:eastAsia="Times New Roman"/>
                <w:b/>
                <w:snapToGrid w:val="0"/>
                <w:kern w:val="16"/>
                <w:sz w:val="20"/>
                <w:szCs w:val="24"/>
              </w:rPr>
            </w:pPr>
            <w:r w:rsidRPr="006A6759">
              <w:rPr>
                <w:rFonts w:eastAsia="Times New Roman"/>
                <w:b/>
                <w:snapToGrid w:val="0"/>
                <w:kern w:val="16"/>
                <w:sz w:val="20"/>
                <w:szCs w:val="24"/>
              </w:rPr>
              <w:t>Important potential risks</w:t>
            </w:r>
          </w:p>
        </w:tc>
        <w:tc>
          <w:tcPr>
            <w:tcW w:w="2700" w:type="dxa"/>
          </w:tcPr>
          <w:p w14:paraId="203D856D" w14:textId="77777777" w:rsidR="002F483A" w:rsidRPr="006A6759" w:rsidRDefault="002F483A" w:rsidP="002F63B1">
            <w:pPr>
              <w:keepNext/>
              <w:keepLines/>
              <w:spacing w:before="20" w:after="20" w:line="252" w:lineRule="auto"/>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rFonts w:eastAsia="Times New Roman"/>
                <w:snapToGrid w:val="0"/>
                <w:kern w:val="16"/>
                <w:sz w:val="20"/>
                <w:szCs w:val="24"/>
              </w:rPr>
              <w:t>Serious haemolysis after drug discontinuation in PNH patients</w:t>
            </w:r>
          </w:p>
        </w:tc>
        <w:tc>
          <w:tcPr>
            <w:tcW w:w="990" w:type="dxa"/>
          </w:tcPr>
          <w:p w14:paraId="73346FA6"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snapToGrid w:val="0"/>
                <w:kern w:val="16"/>
                <w:sz w:val="20"/>
                <w:szCs w:val="24"/>
              </w:rPr>
              <w:sym w:font="Wingdings" w:char="F0FC"/>
            </w:r>
          </w:p>
        </w:tc>
        <w:tc>
          <w:tcPr>
            <w:tcW w:w="1170" w:type="dxa"/>
          </w:tcPr>
          <w:p w14:paraId="3DAC3754"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snapToGrid w:val="0"/>
                <w:kern w:val="16"/>
                <w:sz w:val="20"/>
                <w:szCs w:val="24"/>
              </w:rPr>
              <w:sym w:font="Wingdings" w:char="F0FC"/>
            </w:r>
            <w:r w:rsidRPr="00F937D5">
              <w:rPr>
                <w:snapToGrid w:val="0"/>
                <w:kern w:val="16"/>
                <w:sz w:val="20"/>
                <w:szCs w:val="24"/>
                <w:vertAlign w:val="superscript"/>
              </w:rPr>
              <w:t>†</w:t>
            </w:r>
          </w:p>
        </w:tc>
        <w:tc>
          <w:tcPr>
            <w:tcW w:w="990" w:type="dxa"/>
          </w:tcPr>
          <w:p w14:paraId="12D36D75"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snapToGrid w:val="0"/>
                <w:kern w:val="16"/>
                <w:sz w:val="20"/>
                <w:szCs w:val="24"/>
              </w:rPr>
              <w:sym w:font="Wingdings" w:char="F0FC"/>
            </w:r>
          </w:p>
        </w:tc>
        <w:tc>
          <w:tcPr>
            <w:tcW w:w="1260" w:type="dxa"/>
          </w:tcPr>
          <w:p w14:paraId="541AD01C"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snapToGrid w:val="0"/>
                <w:kern w:val="16"/>
                <w:sz w:val="20"/>
                <w:szCs w:val="24"/>
              </w:rPr>
              <w:sym w:font="Wingdings" w:char="F0FC"/>
            </w:r>
            <w:r w:rsidRPr="006A6759">
              <w:rPr>
                <w:rFonts w:asciiTheme="majorHAnsi" w:eastAsia="Times New Roman" w:hAnsiTheme="majorHAnsi"/>
                <w:snapToGrid w:val="0"/>
                <w:kern w:val="16"/>
                <w:sz w:val="20"/>
                <w:szCs w:val="20"/>
                <w:vertAlign w:val="superscript"/>
              </w:rPr>
              <w:t>‡</w:t>
            </w:r>
          </w:p>
        </w:tc>
      </w:tr>
      <w:tr w:rsidR="00FF4EC4" w:rsidRPr="006A6759" w14:paraId="3DEBFCCA" w14:textId="77777777" w:rsidTr="0035187D">
        <w:trPr>
          <w:trHeight w:val="159"/>
        </w:trPr>
        <w:tc>
          <w:tcPr>
            <w:cnfStyle w:val="001000000000" w:firstRow="0" w:lastRow="0" w:firstColumn="1" w:lastColumn="0" w:oddVBand="0" w:evenVBand="0" w:oddHBand="0" w:evenHBand="0" w:firstRowFirstColumn="0" w:firstRowLastColumn="0" w:lastRowFirstColumn="0" w:lastRowLastColumn="0"/>
            <w:tcW w:w="1885" w:type="dxa"/>
            <w:vMerge/>
          </w:tcPr>
          <w:p w14:paraId="7C87320D" w14:textId="77777777" w:rsidR="002F483A" w:rsidRPr="006A6759" w:rsidRDefault="002F483A" w:rsidP="002F63B1">
            <w:pPr>
              <w:spacing w:before="20" w:after="20" w:line="252" w:lineRule="auto"/>
              <w:rPr>
                <w:rFonts w:eastAsia="Times New Roman"/>
                <w:b/>
                <w:snapToGrid w:val="0"/>
                <w:kern w:val="16"/>
                <w:sz w:val="20"/>
                <w:szCs w:val="24"/>
              </w:rPr>
            </w:pPr>
          </w:p>
        </w:tc>
        <w:tc>
          <w:tcPr>
            <w:tcW w:w="2700" w:type="dxa"/>
          </w:tcPr>
          <w:p w14:paraId="69981F52" w14:textId="77777777" w:rsidR="002F483A" w:rsidRPr="006A6759" w:rsidRDefault="002F483A" w:rsidP="002F63B1">
            <w:pPr>
              <w:keepNext/>
              <w:keepLines/>
              <w:spacing w:before="20" w:after="20" w:line="252" w:lineRule="auto"/>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proofErr w:type="gramStart"/>
            <w:r w:rsidRPr="006A6759">
              <w:rPr>
                <w:rFonts w:eastAsia="Times New Roman"/>
                <w:snapToGrid w:val="0"/>
                <w:kern w:val="16"/>
                <w:sz w:val="20"/>
                <w:szCs w:val="24"/>
              </w:rPr>
              <w:t xml:space="preserve">Severe </w:t>
            </w:r>
            <w:r>
              <w:rPr>
                <w:rFonts w:eastAsia="Times New Roman"/>
                <w:snapToGrid w:val="0"/>
                <w:kern w:val="16"/>
                <w:sz w:val="20"/>
                <w:szCs w:val="24"/>
              </w:rPr>
              <w:t xml:space="preserve"> thrombotic</w:t>
            </w:r>
            <w:proofErr w:type="gramEnd"/>
            <w:r>
              <w:rPr>
                <w:rFonts w:eastAsia="Times New Roman"/>
                <w:snapToGrid w:val="0"/>
                <w:kern w:val="16"/>
                <w:sz w:val="20"/>
                <w:szCs w:val="24"/>
              </w:rPr>
              <w:t xml:space="preserve"> microangiopathy (</w:t>
            </w:r>
            <w:r w:rsidRPr="006A6759">
              <w:rPr>
                <w:rFonts w:eastAsia="Times New Roman"/>
                <w:snapToGrid w:val="0"/>
                <w:kern w:val="16"/>
                <w:sz w:val="20"/>
                <w:szCs w:val="24"/>
              </w:rPr>
              <w:t>TMA</w:t>
            </w:r>
            <w:r>
              <w:rPr>
                <w:rFonts w:eastAsia="Times New Roman"/>
                <w:snapToGrid w:val="0"/>
                <w:kern w:val="16"/>
                <w:sz w:val="20"/>
                <w:szCs w:val="24"/>
              </w:rPr>
              <w:t>)</w:t>
            </w:r>
            <w:r w:rsidRPr="006A6759">
              <w:rPr>
                <w:rFonts w:eastAsia="Times New Roman"/>
                <w:snapToGrid w:val="0"/>
                <w:kern w:val="16"/>
                <w:sz w:val="20"/>
                <w:szCs w:val="24"/>
              </w:rPr>
              <w:t xml:space="preserve"> complications in aHUS patients after ravulizumab</w:t>
            </w:r>
            <w:r>
              <w:rPr>
                <w:rFonts w:eastAsia="Times New Roman"/>
                <w:snapToGrid w:val="0"/>
                <w:kern w:val="16"/>
                <w:sz w:val="20"/>
                <w:szCs w:val="24"/>
              </w:rPr>
              <w:t xml:space="preserve"> </w:t>
            </w:r>
            <w:r w:rsidRPr="006A6759">
              <w:rPr>
                <w:rFonts w:eastAsia="Times New Roman"/>
                <w:snapToGrid w:val="0"/>
                <w:kern w:val="16"/>
                <w:sz w:val="20"/>
                <w:szCs w:val="24"/>
              </w:rPr>
              <w:t>discontinuation</w:t>
            </w:r>
          </w:p>
        </w:tc>
        <w:tc>
          <w:tcPr>
            <w:tcW w:w="990" w:type="dxa"/>
          </w:tcPr>
          <w:p w14:paraId="0BF67DB6"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snapToGrid w:val="0"/>
                <w:kern w:val="16"/>
                <w:sz w:val="20"/>
                <w:szCs w:val="24"/>
              </w:rPr>
            </w:pPr>
            <w:r w:rsidRPr="006A6759">
              <w:rPr>
                <w:snapToGrid w:val="0"/>
                <w:kern w:val="16"/>
                <w:sz w:val="20"/>
                <w:szCs w:val="24"/>
              </w:rPr>
              <w:sym w:font="Wingdings" w:char="F0FC"/>
            </w:r>
          </w:p>
        </w:tc>
        <w:tc>
          <w:tcPr>
            <w:tcW w:w="1170" w:type="dxa"/>
          </w:tcPr>
          <w:p w14:paraId="0A415855"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snapToGrid w:val="0"/>
                <w:kern w:val="16"/>
                <w:sz w:val="20"/>
                <w:szCs w:val="24"/>
              </w:rPr>
            </w:pPr>
            <w:r w:rsidRPr="006A6759">
              <w:rPr>
                <w:snapToGrid w:val="0"/>
                <w:kern w:val="16"/>
                <w:sz w:val="20"/>
                <w:szCs w:val="24"/>
              </w:rPr>
              <w:sym w:font="Wingdings" w:char="F0FC"/>
            </w:r>
            <w:r w:rsidRPr="00F937D5">
              <w:rPr>
                <w:snapToGrid w:val="0"/>
                <w:kern w:val="16"/>
                <w:sz w:val="20"/>
                <w:szCs w:val="24"/>
                <w:vertAlign w:val="superscript"/>
              </w:rPr>
              <w:t>†</w:t>
            </w:r>
          </w:p>
        </w:tc>
        <w:tc>
          <w:tcPr>
            <w:tcW w:w="990" w:type="dxa"/>
          </w:tcPr>
          <w:p w14:paraId="07E6649D"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snapToGrid w:val="0"/>
                <w:kern w:val="16"/>
                <w:sz w:val="20"/>
                <w:szCs w:val="24"/>
              </w:rPr>
            </w:pPr>
            <w:r w:rsidRPr="006A6759">
              <w:rPr>
                <w:snapToGrid w:val="0"/>
                <w:kern w:val="16"/>
                <w:sz w:val="20"/>
                <w:szCs w:val="24"/>
              </w:rPr>
              <w:sym w:font="Wingdings" w:char="F0FC"/>
            </w:r>
          </w:p>
        </w:tc>
        <w:tc>
          <w:tcPr>
            <w:tcW w:w="1260" w:type="dxa"/>
          </w:tcPr>
          <w:p w14:paraId="2CAE8333"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snapToGrid w:val="0"/>
                <w:kern w:val="16"/>
                <w:sz w:val="20"/>
                <w:szCs w:val="24"/>
              </w:rPr>
            </w:pPr>
            <w:r w:rsidRPr="006A6759">
              <w:rPr>
                <w:snapToGrid w:val="0"/>
                <w:kern w:val="16"/>
                <w:sz w:val="20"/>
                <w:szCs w:val="24"/>
              </w:rPr>
              <w:sym w:font="Wingdings" w:char="F0FC"/>
            </w:r>
            <w:r w:rsidRPr="00A46283">
              <w:rPr>
                <w:snapToGrid w:val="0"/>
                <w:kern w:val="16"/>
                <w:sz w:val="20"/>
                <w:szCs w:val="24"/>
                <w:vertAlign w:val="superscript"/>
              </w:rPr>
              <w:t>§</w:t>
            </w:r>
          </w:p>
        </w:tc>
      </w:tr>
      <w:tr w:rsidR="00FF4EC4" w:rsidRPr="006A6759" w14:paraId="59D06156" w14:textId="77777777" w:rsidTr="0035187D">
        <w:trPr>
          <w:trHeight w:val="122"/>
        </w:trPr>
        <w:tc>
          <w:tcPr>
            <w:cnfStyle w:val="001000000000" w:firstRow="0" w:lastRow="0" w:firstColumn="1" w:lastColumn="0" w:oddVBand="0" w:evenVBand="0" w:oddHBand="0" w:evenHBand="0" w:firstRowFirstColumn="0" w:firstRowLastColumn="0" w:lastRowFirstColumn="0" w:lastRowLastColumn="0"/>
            <w:tcW w:w="1885" w:type="dxa"/>
            <w:vMerge/>
          </w:tcPr>
          <w:p w14:paraId="214DB33E" w14:textId="77777777" w:rsidR="002F483A" w:rsidRPr="006A6759" w:rsidRDefault="002F483A" w:rsidP="002F63B1">
            <w:pPr>
              <w:spacing w:before="20" w:after="20" w:line="252" w:lineRule="auto"/>
              <w:rPr>
                <w:rFonts w:eastAsia="Times New Roman"/>
                <w:b/>
                <w:snapToGrid w:val="0"/>
                <w:kern w:val="16"/>
                <w:sz w:val="20"/>
                <w:szCs w:val="24"/>
              </w:rPr>
            </w:pPr>
          </w:p>
        </w:tc>
        <w:tc>
          <w:tcPr>
            <w:tcW w:w="2700" w:type="dxa"/>
          </w:tcPr>
          <w:p w14:paraId="3CE20D8B" w14:textId="77777777" w:rsidR="002F483A" w:rsidRPr="006A6759" w:rsidRDefault="002F483A" w:rsidP="002F63B1">
            <w:pPr>
              <w:keepNext/>
              <w:keepLines/>
              <w:spacing w:before="20" w:after="20" w:line="252" w:lineRule="auto"/>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rFonts w:eastAsia="Times New Roman"/>
                <w:snapToGrid w:val="0"/>
                <w:kern w:val="16"/>
                <w:sz w:val="20"/>
                <w:szCs w:val="24"/>
              </w:rPr>
              <w:t>Immunogenicity</w:t>
            </w:r>
          </w:p>
        </w:tc>
        <w:tc>
          <w:tcPr>
            <w:tcW w:w="990" w:type="dxa"/>
          </w:tcPr>
          <w:p w14:paraId="472E53EE"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snapToGrid w:val="0"/>
                <w:kern w:val="16"/>
                <w:sz w:val="20"/>
                <w:szCs w:val="24"/>
              </w:rPr>
              <w:sym w:font="Wingdings" w:char="F0FC"/>
            </w:r>
          </w:p>
        </w:tc>
        <w:tc>
          <w:tcPr>
            <w:tcW w:w="1170" w:type="dxa"/>
          </w:tcPr>
          <w:p w14:paraId="5756A169"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snapToGrid w:val="0"/>
                <w:kern w:val="16"/>
                <w:sz w:val="20"/>
                <w:szCs w:val="24"/>
              </w:rPr>
              <w:sym w:font="Wingdings" w:char="F0FC"/>
            </w:r>
            <w:r w:rsidRPr="00F937D5">
              <w:rPr>
                <w:snapToGrid w:val="0"/>
                <w:kern w:val="16"/>
                <w:sz w:val="20"/>
                <w:szCs w:val="24"/>
                <w:vertAlign w:val="superscript"/>
              </w:rPr>
              <w:t>†</w:t>
            </w:r>
          </w:p>
        </w:tc>
        <w:tc>
          <w:tcPr>
            <w:tcW w:w="990" w:type="dxa"/>
          </w:tcPr>
          <w:p w14:paraId="317B0BB7"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snapToGrid w:val="0"/>
                <w:kern w:val="16"/>
                <w:sz w:val="20"/>
                <w:szCs w:val="24"/>
              </w:rPr>
              <w:sym w:font="Wingdings" w:char="F0FC"/>
            </w:r>
          </w:p>
        </w:tc>
        <w:tc>
          <w:tcPr>
            <w:tcW w:w="1260" w:type="dxa"/>
          </w:tcPr>
          <w:p w14:paraId="587D4BC3"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snapToGrid w:val="0"/>
                <w:kern w:val="16"/>
                <w:sz w:val="20"/>
                <w:szCs w:val="24"/>
              </w:rPr>
              <w:sym w:font="Wingdings" w:char="F0FC"/>
            </w:r>
            <w:r w:rsidRPr="006A6759">
              <w:rPr>
                <w:rFonts w:asciiTheme="majorHAnsi" w:eastAsia="Times New Roman" w:hAnsiTheme="majorHAnsi"/>
                <w:snapToGrid w:val="0"/>
                <w:kern w:val="16"/>
                <w:sz w:val="20"/>
                <w:szCs w:val="20"/>
                <w:vertAlign w:val="superscript"/>
              </w:rPr>
              <w:t>‡</w:t>
            </w:r>
          </w:p>
        </w:tc>
      </w:tr>
      <w:tr w:rsidR="00FF4EC4" w:rsidRPr="006A6759" w14:paraId="0179DBE6" w14:textId="77777777" w:rsidTr="0035187D">
        <w:trPr>
          <w:trHeight w:val="122"/>
        </w:trPr>
        <w:tc>
          <w:tcPr>
            <w:cnfStyle w:val="001000000000" w:firstRow="0" w:lastRow="0" w:firstColumn="1" w:lastColumn="0" w:oddVBand="0" w:evenVBand="0" w:oddHBand="0" w:evenHBand="0" w:firstRowFirstColumn="0" w:firstRowLastColumn="0" w:lastRowFirstColumn="0" w:lastRowLastColumn="0"/>
            <w:tcW w:w="1885" w:type="dxa"/>
            <w:vMerge/>
          </w:tcPr>
          <w:p w14:paraId="2A3316DB" w14:textId="77777777" w:rsidR="002F483A" w:rsidRPr="006A6759" w:rsidRDefault="002F483A" w:rsidP="002F63B1">
            <w:pPr>
              <w:spacing w:before="20" w:after="20" w:line="252" w:lineRule="auto"/>
              <w:rPr>
                <w:rFonts w:eastAsia="Times New Roman"/>
                <w:b/>
                <w:snapToGrid w:val="0"/>
                <w:kern w:val="16"/>
                <w:sz w:val="20"/>
                <w:szCs w:val="24"/>
              </w:rPr>
            </w:pPr>
          </w:p>
        </w:tc>
        <w:tc>
          <w:tcPr>
            <w:tcW w:w="2700" w:type="dxa"/>
          </w:tcPr>
          <w:p w14:paraId="050097A5" w14:textId="77777777" w:rsidR="002F483A" w:rsidRPr="006A6759" w:rsidRDefault="002F483A" w:rsidP="002F63B1">
            <w:pPr>
              <w:keepNext/>
              <w:keepLines/>
              <w:spacing w:before="20" w:after="20" w:line="252" w:lineRule="auto"/>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rFonts w:eastAsia="Times New Roman"/>
                <w:snapToGrid w:val="0"/>
                <w:kern w:val="16"/>
                <w:sz w:val="20"/>
                <w:szCs w:val="24"/>
              </w:rPr>
              <w:t>Serious infections</w:t>
            </w:r>
          </w:p>
        </w:tc>
        <w:tc>
          <w:tcPr>
            <w:tcW w:w="990" w:type="dxa"/>
          </w:tcPr>
          <w:p w14:paraId="02C63E61"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snapToGrid w:val="0"/>
                <w:kern w:val="16"/>
                <w:sz w:val="20"/>
                <w:szCs w:val="24"/>
              </w:rPr>
            </w:pPr>
            <w:r w:rsidRPr="006A6759">
              <w:rPr>
                <w:snapToGrid w:val="0"/>
                <w:kern w:val="16"/>
                <w:sz w:val="20"/>
                <w:szCs w:val="24"/>
              </w:rPr>
              <w:sym w:font="Wingdings" w:char="F0FC"/>
            </w:r>
          </w:p>
        </w:tc>
        <w:tc>
          <w:tcPr>
            <w:tcW w:w="1170" w:type="dxa"/>
          </w:tcPr>
          <w:p w14:paraId="0A53D3E0"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snapToGrid w:val="0"/>
                <w:kern w:val="16"/>
                <w:sz w:val="20"/>
                <w:szCs w:val="24"/>
              </w:rPr>
            </w:pPr>
            <w:r w:rsidRPr="006A6759">
              <w:rPr>
                <w:snapToGrid w:val="0"/>
                <w:kern w:val="16"/>
                <w:sz w:val="20"/>
                <w:szCs w:val="24"/>
              </w:rPr>
              <w:sym w:font="Wingdings" w:char="F0FC"/>
            </w:r>
            <w:r w:rsidRPr="00F937D5">
              <w:rPr>
                <w:snapToGrid w:val="0"/>
                <w:kern w:val="16"/>
                <w:sz w:val="20"/>
                <w:szCs w:val="24"/>
                <w:vertAlign w:val="superscript"/>
              </w:rPr>
              <w:t>†</w:t>
            </w:r>
          </w:p>
        </w:tc>
        <w:tc>
          <w:tcPr>
            <w:tcW w:w="990" w:type="dxa"/>
          </w:tcPr>
          <w:p w14:paraId="4CF3FA8A"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snapToGrid w:val="0"/>
                <w:kern w:val="16"/>
                <w:sz w:val="20"/>
                <w:szCs w:val="24"/>
              </w:rPr>
              <w:sym w:font="Wingdings" w:char="F0FC"/>
            </w:r>
          </w:p>
        </w:tc>
        <w:tc>
          <w:tcPr>
            <w:tcW w:w="1260" w:type="dxa"/>
          </w:tcPr>
          <w:p w14:paraId="46DF5983"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snapToGrid w:val="0"/>
                <w:kern w:val="16"/>
                <w:sz w:val="20"/>
                <w:szCs w:val="24"/>
              </w:rPr>
              <w:sym w:font="Wingdings" w:char="F0FC"/>
            </w:r>
            <w:r w:rsidRPr="006A6759">
              <w:rPr>
                <w:rFonts w:asciiTheme="majorHAnsi" w:eastAsia="Times New Roman" w:hAnsiTheme="majorHAnsi"/>
                <w:snapToGrid w:val="0"/>
                <w:kern w:val="16"/>
                <w:sz w:val="20"/>
                <w:szCs w:val="20"/>
                <w:vertAlign w:val="superscript"/>
              </w:rPr>
              <w:t>‡</w:t>
            </w:r>
            <w:r>
              <w:rPr>
                <w:rFonts w:asciiTheme="majorHAnsi" w:eastAsia="Times New Roman" w:hAnsiTheme="majorHAnsi"/>
                <w:snapToGrid w:val="0"/>
                <w:kern w:val="16"/>
                <w:sz w:val="20"/>
                <w:szCs w:val="20"/>
                <w:vertAlign w:val="superscript"/>
              </w:rPr>
              <w:t xml:space="preserve"> </w:t>
            </w:r>
            <w:r w:rsidRPr="00A46283">
              <w:rPr>
                <w:rFonts w:asciiTheme="majorHAnsi" w:eastAsia="Times New Roman" w:hAnsiTheme="majorHAnsi"/>
                <w:snapToGrid w:val="0"/>
                <w:kern w:val="16"/>
                <w:sz w:val="20"/>
                <w:szCs w:val="20"/>
                <w:vertAlign w:val="superscript"/>
              </w:rPr>
              <w:t xml:space="preserve">ǁ </w:t>
            </w:r>
          </w:p>
        </w:tc>
      </w:tr>
      <w:tr w:rsidR="00FF4EC4" w:rsidRPr="006A6759" w14:paraId="2C9E5391" w14:textId="77777777" w:rsidTr="0035187D">
        <w:trPr>
          <w:trHeight w:val="122"/>
        </w:trPr>
        <w:tc>
          <w:tcPr>
            <w:cnfStyle w:val="001000000000" w:firstRow="0" w:lastRow="0" w:firstColumn="1" w:lastColumn="0" w:oddVBand="0" w:evenVBand="0" w:oddHBand="0" w:evenHBand="0" w:firstRowFirstColumn="0" w:firstRowLastColumn="0" w:lastRowFirstColumn="0" w:lastRowLastColumn="0"/>
            <w:tcW w:w="1885" w:type="dxa"/>
            <w:vMerge/>
          </w:tcPr>
          <w:p w14:paraId="3AF5A9D9" w14:textId="77777777" w:rsidR="002F483A" w:rsidRPr="006A6759" w:rsidRDefault="002F483A" w:rsidP="002F63B1">
            <w:pPr>
              <w:spacing w:before="20" w:after="20" w:line="252" w:lineRule="auto"/>
              <w:rPr>
                <w:rFonts w:eastAsia="Times New Roman"/>
                <w:b/>
                <w:snapToGrid w:val="0"/>
                <w:kern w:val="16"/>
                <w:sz w:val="20"/>
                <w:szCs w:val="24"/>
              </w:rPr>
            </w:pPr>
          </w:p>
        </w:tc>
        <w:tc>
          <w:tcPr>
            <w:tcW w:w="2700" w:type="dxa"/>
          </w:tcPr>
          <w:p w14:paraId="7D81B283" w14:textId="77777777" w:rsidR="002F483A" w:rsidRPr="006A6759" w:rsidRDefault="002F483A" w:rsidP="002F63B1">
            <w:pPr>
              <w:keepNext/>
              <w:keepLines/>
              <w:spacing w:before="20" w:after="20" w:line="252" w:lineRule="auto"/>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rFonts w:eastAsia="Times New Roman"/>
                <w:snapToGrid w:val="0"/>
                <w:kern w:val="16"/>
                <w:sz w:val="20"/>
                <w:szCs w:val="24"/>
              </w:rPr>
              <w:t>Malignancies and haematologic abnormalities</w:t>
            </w:r>
            <w:r>
              <w:rPr>
                <w:rFonts w:eastAsia="Times New Roman"/>
                <w:snapToGrid w:val="0"/>
                <w:kern w:val="16"/>
                <w:sz w:val="20"/>
                <w:szCs w:val="24"/>
              </w:rPr>
              <w:t xml:space="preserve"> in PNH patients</w:t>
            </w:r>
          </w:p>
        </w:tc>
        <w:tc>
          <w:tcPr>
            <w:tcW w:w="990" w:type="dxa"/>
          </w:tcPr>
          <w:p w14:paraId="73AA383C"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snapToGrid w:val="0"/>
                <w:kern w:val="16"/>
                <w:sz w:val="20"/>
                <w:szCs w:val="24"/>
              </w:rPr>
            </w:pPr>
            <w:r w:rsidRPr="006A6759">
              <w:rPr>
                <w:snapToGrid w:val="0"/>
                <w:kern w:val="16"/>
                <w:sz w:val="20"/>
                <w:szCs w:val="24"/>
              </w:rPr>
              <w:sym w:font="Wingdings" w:char="F0FC"/>
            </w:r>
          </w:p>
        </w:tc>
        <w:tc>
          <w:tcPr>
            <w:tcW w:w="1170" w:type="dxa"/>
          </w:tcPr>
          <w:p w14:paraId="643C3E52"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snapToGrid w:val="0"/>
                <w:kern w:val="16"/>
                <w:sz w:val="20"/>
                <w:szCs w:val="24"/>
              </w:rPr>
            </w:pPr>
            <w:r w:rsidRPr="006A6759">
              <w:rPr>
                <w:snapToGrid w:val="0"/>
                <w:kern w:val="16"/>
                <w:sz w:val="20"/>
                <w:szCs w:val="24"/>
              </w:rPr>
              <w:sym w:font="Wingdings" w:char="F0FC"/>
            </w:r>
            <w:r w:rsidRPr="00F937D5">
              <w:rPr>
                <w:snapToGrid w:val="0"/>
                <w:kern w:val="16"/>
                <w:sz w:val="20"/>
                <w:szCs w:val="24"/>
                <w:vertAlign w:val="superscript"/>
              </w:rPr>
              <w:t>†</w:t>
            </w:r>
          </w:p>
        </w:tc>
        <w:tc>
          <w:tcPr>
            <w:tcW w:w="990" w:type="dxa"/>
          </w:tcPr>
          <w:p w14:paraId="762FB89C"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snapToGrid w:val="0"/>
                <w:kern w:val="16"/>
                <w:sz w:val="20"/>
                <w:szCs w:val="24"/>
              </w:rPr>
              <w:sym w:font="Wingdings" w:char="F0FC"/>
            </w:r>
          </w:p>
        </w:tc>
        <w:tc>
          <w:tcPr>
            <w:tcW w:w="1260" w:type="dxa"/>
          </w:tcPr>
          <w:p w14:paraId="1FCA3D4C"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snapToGrid w:val="0"/>
                <w:kern w:val="16"/>
                <w:sz w:val="20"/>
                <w:szCs w:val="24"/>
              </w:rPr>
              <w:sym w:font="Wingdings" w:char="F0FC"/>
            </w:r>
            <w:r w:rsidRPr="006A6759">
              <w:rPr>
                <w:rFonts w:asciiTheme="majorHAnsi" w:eastAsia="Times New Roman" w:hAnsiTheme="majorHAnsi"/>
                <w:snapToGrid w:val="0"/>
                <w:kern w:val="16"/>
                <w:sz w:val="20"/>
                <w:szCs w:val="20"/>
                <w:vertAlign w:val="superscript"/>
              </w:rPr>
              <w:t>‡</w:t>
            </w:r>
          </w:p>
        </w:tc>
      </w:tr>
      <w:tr w:rsidR="00FF4EC4" w:rsidRPr="006A6759" w14:paraId="259DD938" w14:textId="77777777" w:rsidTr="0035187D">
        <w:trPr>
          <w:trHeight w:val="178"/>
        </w:trPr>
        <w:tc>
          <w:tcPr>
            <w:cnfStyle w:val="001000000000" w:firstRow="0" w:lastRow="0" w:firstColumn="1" w:lastColumn="0" w:oddVBand="0" w:evenVBand="0" w:oddHBand="0" w:evenHBand="0" w:firstRowFirstColumn="0" w:firstRowLastColumn="0" w:lastRowFirstColumn="0" w:lastRowLastColumn="0"/>
            <w:tcW w:w="1885" w:type="dxa"/>
          </w:tcPr>
          <w:p w14:paraId="50F8BC0A" w14:textId="77777777" w:rsidR="002F483A" w:rsidRPr="006A6759" w:rsidRDefault="002F483A" w:rsidP="002F63B1">
            <w:pPr>
              <w:spacing w:before="20" w:after="20" w:line="252" w:lineRule="auto"/>
              <w:rPr>
                <w:rFonts w:eastAsia="Times New Roman"/>
                <w:b/>
                <w:snapToGrid w:val="0"/>
                <w:kern w:val="16"/>
                <w:sz w:val="20"/>
                <w:szCs w:val="24"/>
              </w:rPr>
            </w:pPr>
            <w:r w:rsidRPr="006A6759">
              <w:rPr>
                <w:rFonts w:eastAsia="Times New Roman"/>
                <w:b/>
                <w:snapToGrid w:val="0"/>
                <w:kern w:val="16"/>
                <w:sz w:val="20"/>
                <w:szCs w:val="24"/>
              </w:rPr>
              <w:t>Missing information</w:t>
            </w:r>
          </w:p>
        </w:tc>
        <w:tc>
          <w:tcPr>
            <w:tcW w:w="2700" w:type="dxa"/>
          </w:tcPr>
          <w:p w14:paraId="7152A7B8" w14:textId="77777777" w:rsidR="002F483A" w:rsidRPr="006A6759" w:rsidRDefault="002F483A" w:rsidP="002F63B1">
            <w:pPr>
              <w:keepNext/>
              <w:keepLines/>
              <w:spacing w:before="20" w:after="20" w:line="252" w:lineRule="auto"/>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rFonts w:eastAsia="Times New Roman"/>
                <w:snapToGrid w:val="0"/>
                <w:kern w:val="16"/>
                <w:sz w:val="20"/>
                <w:szCs w:val="24"/>
              </w:rPr>
              <w:t>Use in pregnant and breast‐feeding women</w:t>
            </w:r>
          </w:p>
        </w:tc>
        <w:tc>
          <w:tcPr>
            <w:tcW w:w="990" w:type="dxa"/>
          </w:tcPr>
          <w:p w14:paraId="0AF920C1"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snapToGrid w:val="0"/>
                <w:kern w:val="16"/>
                <w:sz w:val="20"/>
                <w:szCs w:val="24"/>
              </w:rPr>
              <w:sym w:font="Wingdings" w:char="F0FC"/>
            </w:r>
            <w:r>
              <w:rPr>
                <w:snapToGrid w:val="0"/>
                <w:kern w:val="16"/>
                <w:sz w:val="20"/>
                <w:szCs w:val="24"/>
                <w:vertAlign w:val="superscript"/>
              </w:rPr>
              <w:t>*</w:t>
            </w:r>
          </w:p>
        </w:tc>
        <w:tc>
          <w:tcPr>
            <w:tcW w:w="1170" w:type="dxa"/>
          </w:tcPr>
          <w:p w14:paraId="126A369A"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snapToGrid w:val="0"/>
                <w:kern w:val="16"/>
                <w:sz w:val="20"/>
                <w:szCs w:val="24"/>
              </w:rPr>
              <w:sym w:font="Wingdings" w:char="F0FC"/>
            </w:r>
            <w:r w:rsidRPr="00F937D5">
              <w:rPr>
                <w:snapToGrid w:val="0"/>
                <w:kern w:val="16"/>
                <w:sz w:val="20"/>
                <w:szCs w:val="24"/>
                <w:vertAlign w:val="superscript"/>
              </w:rPr>
              <w:t>†</w:t>
            </w:r>
          </w:p>
        </w:tc>
        <w:tc>
          <w:tcPr>
            <w:tcW w:w="990" w:type="dxa"/>
          </w:tcPr>
          <w:p w14:paraId="0FBD650D"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snapToGrid w:val="0"/>
                <w:kern w:val="16"/>
                <w:sz w:val="20"/>
                <w:szCs w:val="24"/>
              </w:rPr>
              <w:sym w:font="Wingdings" w:char="F0FC"/>
            </w:r>
          </w:p>
        </w:tc>
        <w:tc>
          <w:tcPr>
            <w:tcW w:w="1260" w:type="dxa"/>
          </w:tcPr>
          <w:p w14:paraId="6FDA528D" w14:textId="77777777" w:rsidR="002F483A" w:rsidRPr="006A6759" w:rsidRDefault="002F483A" w:rsidP="002F63B1">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snapToGrid w:val="0"/>
                <w:kern w:val="16"/>
                <w:sz w:val="20"/>
                <w:szCs w:val="24"/>
              </w:rPr>
            </w:pPr>
            <w:r w:rsidRPr="006A6759">
              <w:rPr>
                <w:snapToGrid w:val="0"/>
                <w:kern w:val="16"/>
                <w:sz w:val="20"/>
                <w:szCs w:val="24"/>
              </w:rPr>
              <w:sym w:font="Wingdings" w:char="F0FC"/>
            </w:r>
            <w:r w:rsidRPr="006A6759">
              <w:rPr>
                <w:rFonts w:asciiTheme="majorHAnsi" w:eastAsia="Times New Roman" w:hAnsiTheme="majorHAnsi"/>
                <w:snapToGrid w:val="0"/>
                <w:kern w:val="16"/>
                <w:sz w:val="20"/>
                <w:szCs w:val="20"/>
                <w:vertAlign w:val="superscript"/>
              </w:rPr>
              <w:t>‡</w:t>
            </w:r>
          </w:p>
        </w:tc>
      </w:tr>
    </w:tbl>
    <w:p w14:paraId="7DAE54E7" w14:textId="77777777" w:rsidR="002F483A" w:rsidRDefault="002F483A" w:rsidP="0035187D">
      <w:pPr>
        <w:pStyle w:val="TableDescription"/>
      </w:pPr>
      <w:r>
        <w:t>* Follow-up questionnaire</w:t>
      </w:r>
    </w:p>
    <w:p w14:paraId="23FC178F" w14:textId="77777777" w:rsidR="002F483A" w:rsidRDefault="002F483A" w:rsidP="0035187D">
      <w:pPr>
        <w:pStyle w:val="TableDescription"/>
      </w:pPr>
      <w:r>
        <w:t>†Clinical trials</w:t>
      </w:r>
    </w:p>
    <w:p w14:paraId="19208352" w14:textId="77777777" w:rsidR="002F483A" w:rsidRDefault="002F483A" w:rsidP="0035187D">
      <w:pPr>
        <w:pStyle w:val="TableDescription"/>
      </w:pPr>
      <w:r>
        <w:t>‡Physician’s guide (PNH) Patient’s information brochure (PNH)</w:t>
      </w:r>
    </w:p>
    <w:p w14:paraId="0F5AA760" w14:textId="77777777" w:rsidR="002F483A" w:rsidRDefault="002F483A" w:rsidP="0035187D">
      <w:pPr>
        <w:pStyle w:val="TableDescription"/>
      </w:pPr>
      <w:r>
        <w:t>§ Physician’s guide (aHUS) Patient’s information brochure (aHUS)</w:t>
      </w:r>
    </w:p>
    <w:p w14:paraId="23D3C566" w14:textId="77777777" w:rsidR="002F483A" w:rsidRDefault="002F483A" w:rsidP="0035187D">
      <w:pPr>
        <w:pStyle w:val="TableDescription"/>
      </w:pPr>
      <w:r>
        <w:t>¶Patient’s safety card, Controlled access</w:t>
      </w:r>
    </w:p>
    <w:p w14:paraId="0E48A463" w14:textId="77777777" w:rsidR="002F483A" w:rsidRDefault="002F483A" w:rsidP="0035187D">
      <w:pPr>
        <w:pStyle w:val="TableDescription"/>
      </w:pPr>
      <w:proofErr w:type="gramStart"/>
      <w:r>
        <w:t>ǁ  Parent</w:t>
      </w:r>
      <w:proofErr w:type="gramEnd"/>
      <w:r>
        <w:t xml:space="preserve"> guide</w:t>
      </w:r>
    </w:p>
    <w:p w14:paraId="6961D166" w14:textId="13D724A3" w:rsidR="00505493" w:rsidRDefault="002F483A" w:rsidP="0035187D">
      <w:pPr>
        <w:pStyle w:val="TableDescription"/>
      </w:pPr>
      <w:r>
        <w:t>∞ Annual vaccination reminder</w:t>
      </w:r>
    </w:p>
    <w:p w14:paraId="27AD92F1" w14:textId="7078FC1B" w:rsidR="00E230F1" w:rsidRDefault="00E230F1" w:rsidP="00E230F1">
      <w:r>
        <w:t xml:space="preserve">The RMP </w:t>
      </w:r>
      <w:r w:rsidR="007D60AF">
        <w:t xml:space="preserve">evaluation </w:t>
      </w:r>
      <w:r>
        <w:t>considered the summary of safety concerns acceptable, noting ‘</w:t>
      </w:r>
      <w:r w:rsidRPr="00A806C4">
        <w:rPr>
          <w:i/>
        </w:rPr>
        <w:t xml:space="preserve">Severe </w:t>
      </w:r>
      <w:r w:rsidR="005F3F4F" w:rsidRPr="005F3F4F">
        <w:rPr>
          <w:i/>
        </w:rPr>
        <w:t>thrombotic microangiopathy</w:t>
      </w:r>
      <w:r w:rsidRPr="00A806C4">
        <w:rPr>
          <w:i/>
        </w:rPr>
        <w:t xml:space="preserve"> complication in aHUS patients after ravulizumab discontinuation</w:t>
      </w:r>
      <w:r>
        <w:t xml:space="preserve">’ </w:t>
      </w:r>
      <w:r w:rsidRPr="00774E5C">
        <w:t>has been included</w:t>
      </w:r>
      <w:r>
        <w:t xml:space="preserve"> in the summary of safety concerns</w:t>
      </w:r>
      <w:r w:rsidRPr="00774E5C">
        <w:t xml:space="preserve"> as part of this exte</w:t>
      </w:r>
      <w:r>
        <w:t>nsion of indication submission.</w:t>
      </w:r>
      <w:r w:rsidR="0016726F" w:rsidRPr="0016726F">
        <w:t xml:space="preserve"> </w:t>
      </w:r>
      <w:r w:rsidR="0016726F" w:rsidRPr="00123535">
        <w:t>The summary of safety concerns is considered acceptable.</w:t>
      </w:r>
    </w:p>
    <w:p w14:paraId="33FF3238" w14:textId="5504787E" w:rsidR="0016726F" w:rsidRDefault="0016726F" w:rsidP="00E230F1">
      <w:r w:rsidRPr="00123535">
        <w:lastRenderedPageBreak/>
        <w:t>Routine pharmacovigilance activities have been proposed and include follow up questionnaires for the important identifie</w:t>
      </w:r>
      <w:r>
        <w:t>d risk and missing information.</w:t>
      </w:r>
    </w:p>
    <w:p w14:paraId="1F070E45" w14:textId="08F224DB" w:rsidR="0016726F" w:rsidRDefault="0016726F" w:rsidP="0016726F">
      <w:r>
        <w:t xml:space="preserve">The RMP evaluation considered the pharmacovigilance plan and risk minimisation plan to be acceptable. </w:t>
      </w:r>
      <w:r w:rsidRPr="00123535">
        <w:t>Routine risk minimisation activities have been proposed for all safety concerns</w:t>
      </w:r>
      <w:r>
        <w:t>. A </w:t>
      </w:r>
      <w:r w:rsidRPr="00123535">
        <w:t xml:space="preserve">Physicians Guide and Patient Information Brochure have been updated and separated for each indication (aHUS and PNH) and include information relevant to the paediatric population. A Parent Guide has also been implemented as an additional risk minimisation activity. The risk minimisation plan is considered </w:t>
      </w:r>
      <w:proofErr w:type="gramStart"/>
      <w:r w:rsidRPr="00123535">
        <w:t>acceptable..</w:t>
      </w:r>
      <w:proofErr w:type="gramEnd"/>
      <w:r>
        <w:t xml:space="preserve"> </w:t>
      </w:r>
      <w:proofErr w:type="spellStart"/>
      <w:r w:rsidRPr="002639A5">
        <w:t>dditional</w:t>
      </w:r>
      <w:proofErr w:type="spellEnd"/>
      <w:r w:rsidRPr="002639A5">
        <w:t xml:space="preserve"> pharmacovigilance activities include </w:t>
      </w:r>
      <w:r>
        <w:t xml:space="preserve">reports from a </w:t>
      </w:r>
      <w:r w:rsidRPr="002639A5">
        <w:t xml:space="preserve">PNH registry and aHUS registry study reports to be provided every </w:t>
      </w:r>
      <w:r>
        <w:t>two</w:t>
      </w:r>
      <w:r w:rsidRPr="002639A5">
        <w:t xml:space="preserve"> years.</w:t>
      </w:r>
    </w:p>
    <w:p w14:paraId="5B726362" w14:textId="1618CF79" w:rsidR="00806F0F" w:rsidRDefault="00123535" w:rsidP="00E230F1">
      <w:r>
        <w:t>The p</w:t>
      </w:r>
      <w:r w:rsidR="00806F0F">
        <w:t>roposed conditions of registration include:</w:t>
      </w:r>
    </w:p>
    <w:p w14:paraId="7A9E6B06" w14:textId="2E91CF51" w:rsidR="00806F0F" w:rsidRDefault="00806F0F" w:rsidP="0035187D">
      <w:pPr>
        <w:pStyle w:val="ListBullet"/>
      </w:pPr>
      <w:r>
        <w:t>Submission of periodic safety update reports (routine pharmacovigilance</w:t>
      </w:r>
      <w:proofErr w:type="gramStart"/>
      <w:r>
        <w:t>)</w:t>
      </w:r>
      <w:r w:rsidR="00123535">
        <w:t>;</w:t>
      </w:r>
      <w:proofErr w:type="gramEnd"/>
    </w:p>
    <w:p w14:paraId="549BDB30" w14:textId="77777777" w:rsidR="00806F0F" w:rsidRPr="0035187D" w:rsidRDefault="00806F0F" w:rsidP="0035187D">
      <w:pPr>
        <w:pStyle w:val="ListBullet"/>
      </w:pPr>
      <w:r w:rsidRPr="0035187D">
        <w:rPr>
          <w:rFonts w:eastAsia="Times New Roman"/>
          <w:iCs/>
          <w:snapToGrid w:val="0"/>
        </w:rPr>
        <w:t>Inclusion in the Black Triangle Scheme:</w:t>
      </w:r>
    </w:p>
    <w:p w14:paraId="091035FB" w14:textId="602DB594" w:rsidR="00806F0F" w:rsidRPr="0035187D" w:rsidRDefault="00806F0F" w:rsidP="0035187D">
      <w:pPr>
        <w:pStyle w:val="ListBullet2"/>
      </w:pPr>
      <w:r w:rsidRPr="0035187D">
        <w:rPr>
          <w:i/>
        </w:rPr>
        <w:t>ULTOMIRIS (Ravulizumab) is to be included in the Black Triangle Scheme. The PI and CMI for ULTOMIRIS must include the black triangle symbol and mandatory accompanying text for five years, which starts from the date the new indication is registered</w:t>
      </w:r>
      <w:r w:rsidRPr="0035187D">
        <w:t>.</w:t>
      </w:r>
    </w:p>
    <w:p w14:paraId="76E57153" w14:textId="1D8B92D3" w:rsidR="00806F0F" w:rsidRDefault="00806F0F" w:rsidP="00806F0F">
      <w:pPr>
        <w:pStyle w:val="ListBullet"/>
        <w:numPr>
          <w:ilvl w:val="0"/>
          <w:numId w:val="16"/>
        </w:numPr>
      </w:pPr>
      <w:r>
        <w:t xml:space="preserve">The following study reports should be submitted to </w:t>
      </w:r>
      <w:r w:rsidR="00123535">
        <w:t xml:space="preserve">the </w:t>
      </w:r>
      <w:r>
        <w:t xml:space="preserve">TGA for evaluation: </w:t>
      </w:r>
    </w:p>
    <w:p w14:paraId="5B396261" w14:textId="77777777" w:rsidR="00806F0F" w:rsidRDefault="00806F0F" w:rsidP="00806F0F">
      <w:pPr>
        <w:pStyle w:val="ListBullet2"/>
        <w:numPr>
          <w:ilvl w:val="1"/>
          <w:numId w:val="16"/>
        </w:numPr>
        <w:ind w:left="850" w:hanging="425"/>
      </w:pPr>
      <w:r>
        <w:t xml:space="preserve">The final clinical study report for Study ALXN1210-PNH-304 </w:t>
      </w:r>
    </w:p>
    <w:p w14:paraId="43800C5D" w14:textId="77777777" w:rsidR="00806F0F" w:rsidRDefault="00806F0F" w:rsidP="00806F0F">
      <w:pPr>
        <w:pStyle w:val="ListBullet2"/>
        <w:numPr>
          <w:ilvl w:val="1"/>
          <w:numId w:val="16"/>
        </w:numPr>
        <w:ind w:left="850" w:hanging="425"/>
      </w:pPr>
      <w:r>
        <w:t xml:space="preserve">The final clinical study report for Study ALXN1210-aHUS-311 </w:t>
      </w:r>
    </w:p>
    <w:p w14:paraId="7C3133B9" w14:textId="217C7EDA" w:rsidR="00806F0F" w:rsidRDefault="00806F0F" w:rsidP="0035187D">
      <w:pPr>
        <w:pStyle w:val="ListBullet2"/>
        <w:numPr>
          <w:ilvl w:val="1"/>
          <w:numId w:val="16"/>
        </w:numPr>
        <w:ind w:left="850" w:hanging="425"/>
      </w:pPr>
      <w:r>
        <w:t>The final clinical study report for Study ALXN1210-aHUS-</w:t>
      </w:r>
      <w:proofErr w:type="gramStart"/>
      <w:r>
        <w:t xml:space="preserve">312 </w:t>
      </w:r>
      <w:r w:rsidR="00123535">
        <w:t>.</w:t>
      </w:r>
      <w:proofErr w:type="gramEnd"/>
    </w:p>
    <w:p w14:paraId="74A4F87F" w14:textId="77777777" w:rsidR="00C22214" w:rsidRDefault="00C22214" w:rsidP="00C22214">
      <w:pPr>
        <w:pStyle w:val="Heading3"/>
      </w:pPr>
      <w:bookmarkStart w:id="115" w:name="_Toc103679299"/>
      <w:bookmarkStart w:id="116" w:name="_Toc135662386"/>
      <w:r>
        <w:t>Risk-benefit analysis</w:t>
      </w:r>
      <w:bookmarkEnd w:id="112"/>
      <w:bookmarkEnd w:id="113"/>
      <w:bookmarkEnd w:id="115"/>
      <w:bookmarkEnd w:id="116"/>
    </w:p>
    <w:p w14:paraId="77DE2655" w14:textId="77777777" w:rsidR="00C22214" w:rsidRDefault="00C22214" w:rsidP="00C22214">
      <w:pPr>
        <w:pStyle w:val="Heading4"/>
      </w:pPr>
      <w:bookmarkStart w:id="117" w:name="_Toc98931932"/>
      <w:bookmarkStart w:id="118" w:name="_Ref135309386"/>
      <w:bookmarkStart w:id="119" w:name="_Ref135398558"/>
      <w:bookmarkStart w:id="120" w:name="_Toc135662387"/>
      <w:r>
        <w:t>Delegate’s considerations</w:t>
      </w:r>
      <w:bookmarkEnd w:id="117"/>
      <w:bookmarkEnd w:id="118"/>
      <w:bookmarkEnd w:id="119"/>
      <w:bookmarkEnd w:id="120"/>
    </w:p>
    <w:p w14:paraId="32DBB2DD" w14:textId="50DC1924" w:rsidR="00856026" w:rsidRDefault="003E2382" w:rsidP="00420B7B">
      <w:pPr>
        <w:pStyle w:val="Heading5"/>
      </w:pPr>
      <w:r w:rsidRPr="003E2382">
        <w:t>Atypical h</w:t>
      </w:r>
      <w:r w:rsidR="00B70E76">
        <w:t>a</w:t>
      </w:r>
      <w:r w:rsidRPr="003E2382">
        <w:t xml:space="preserve">emolytic uraemic syndrome </w:t>
      </w:r>
      <w:r w:rsidR="00E230F1" w:rsidRPr="00166BCD">
        <w:t>indication</w:t>
      </w:r>
    </w:p>
    <w:p w14:paraId="7B355105" w14:textId="69B04ABA" w:rsidR="00E230F1" w:rsidRPr="002639A5" w:rsidRDefault="00E230F1" w:rsidP="00E230F1">
      <w:r w:rsidRPr="002639A5">
        <w:t xml:space="preserve">The submission proposes to extend the indication to treat patients with </w:t>
      </w:r>
      <w:r w:rsidR="003E2382">
        <w:t>a</w:t>
      </w:r>
      <w:r w:rsidR="003E2382" w:rsidRPr="003E2382">
        <w:t>typical h</w:t>
      </w:r>
      <w:r w:rsidR="00B70E76">
        <w:t>a</w:t>
      </w:r>
      <w:r w:rsidR="003E2382" w:rsidRPr="003E2382">
        <w:t xml:space="preserve">emolytic uraemic syndrome indication </w:t>
      </w:r>
      <w:r w:rsidR="003E2382">
        <w:t>(</w:t>
      </w:r>
      <w:r w:rsidRPr="002639A5">
        <w:t>aHUS</w:t>
      </w:r>
      <w:r w:rsidR="003E2382">
        <w:t>)</w:t>
      </w:r>
      <w:r w:rsidRPr="002639A5">
        <w:t xml:space="preserve">, based on data from two </w:t>
      </w:r>
      <w:r w:rsidR="00B8491F">
        <w:t>Phase III</w:t>
      </w:r>
      <w:r w:rsidRPr="002639A5">
        <w:t xml:space="preserve"> multicentre, open-label,</w:t>
      </w:r>
      <w:r>
        <w:t xml:space="preserve"> single-arm studies in adult</w:t>
      </w:r>
      <w:r w:rsidRPr="002639A5">
        <w:t xml:space="preserve"> and paediatric patients with aHUS. There are inherent limitations of single-arm studies, however, the study design and sample sizes are acknowledged in the rare disease setting.</w:t>
      </w:r>
    </w:p>
    <w:p w14:paraId="47722693" w14:textId="2C16A424" w:rsidR="00E230F1" w:rsidRDefault="003C741C" w:rsidP="00E230F1">
      <w:r>
        <w:t>Study ALXN1210-aHUS-311</w:t>
      </w:r>
      <w:r w:rsidR="00E230F1" w:rsidRPr="002639A5">
        <w:t xml:space="preserve"> provided efficacy and safety data for ravulizumab in complement inhibitor treatment-</w:t>
      </w:r>
      <w:r w:rsidR="00446075">
        <w:t>naive</w:t>
      </w:r>
      <w:r w:rsidR="00E230F1" w:rsidRPr="002639A5">
        <w:t xml:space="preserve"> adults with aHUS. The primary endpoint </w:t>
      </w:r>
      <w:r w:rsidR="00FD0821">
        <w:t xml:space="preserve">complete </w:t>
      </w:r>
      <w:r w:rsidR="00E66C24">
        <w:t>t</w:t>
      </w:r>
      <w:r w:rsidR="00E66C24" w:rsidRPr="00E66C24">
        <w:t>hrombotic microangiopathy</w:t>
      </w:r>
      <w:r w:rsidR="00FD0821">
        <w:t xml:space="preserve"> response</w:t>
      </w:r>
      <w:r w:rsidR="00E230F1" w:rsidRPr="002639A5">
        <w:t xml:space="preserve"> was observed in 53.6% patients during the 26-week Initial Evaluation Period. An additional </w:t>
      </w:r>
      <w:r w:rsidR="00E66C24">
        <w:t>four</w:t>
      </w:r>
      <w:r w:rsidR="00E230F1" w:rsidRPr="002639A5">
        <w:t xml:space="preserve"> patients achieved a </w:t>
      </w:r>
      <w:r w:rsidR="00FD0821">
        <w:t xml:space="preserve">complete </w:t>
      </w:r>
      <w:r w:rsidR="00E66C24">
        <w:t>t</w:t>
      </w:r>
      <w:r w:rsidR="00E66C24" w:rsidRPr="00E66C24">
        <w:t>hrombotic microangiopathy</w:t>
      </w:r>
      <w:r w:rsidR="00FD0821">
        <w:t xml:space="preserve"> response</w:t>
      </w:r>
      <w:r w:rsidR="00E230F1" w:rsidRPr="002639A5">
        <w:t xml:space="preserve"> (60.7% overall) during the Extension Period suggesting a durable treatment effect. There were beneficial effects on renal function, with 58.6% of patients requiring dialysis </w:t>
      </w:r>
      <w:r w:rsidR="00FD0821">
        <w:t>at Baseline</w:t>
      </w:r>
      <w:r w:rsidR="00E230F1" w:rsidRPr="002639A5">
        <w:t xml:space="preserve"> discontinuing dialysis during the Initial Evaluation Period, and improvements in </w:t>
      </w:r>
      <w:r w:rsidR="00E66C24">
        <w:t>e</w:t>
      </w:r>
      <w:r w:rsidR="00E66C24" w:rsidRPr="00E66C24">
        <w:t xml:space="preserve">stimated glomerular filtration rate </w:t>
      </w:r>
      <w:r w:rsidR="00E66C24">
        <w:t>(</w:t>
      </w:r>
      <w:r w:rsidR="00E230F1" w:rsidRPr="002639A5">
        <w:t>eGFR</w:t>
      </w:r>
      <w:r w:rsidR="00E66C24">
        <w:t>)</w:t>
      </w:r>
      <w:r w:rsidR="00E230F1" w:rsidRPr="002639A5">
        <w:t xml:space="preserve"> observed during the 26-week </w:t>
      </w:r>
      <w:r w:rsidR="00856026">
        <w:t>i</w:t>
      </w:r>
      <w:r w:rsidR="00E230F1" w:rsidRPr="002639A5">
        <w:t xml:space="preserve">nitial </w:t>
      </w:r>
      <w:r w:rsidR="00856026">
        <w:t>e</w:t>
      </w:r>
      <w:r w:rsidR="00E230F1" w:rsidRPr="002639A5">
        <w:t xml:space="preserve">valuation </w:t>
      </w:r>
      <w:r w:rsidR="00856026">
        <w:t>p</w:t>
      </w:r>
      <w:r w:rsidR="00E230F1" w:rsidRPr="002639A5">
        <w:t>eriod sustained during the Extension Period.</w:t>
      </w:r>
    </w:p>
    <w:p w14:paraId="37F42B8C" w14:textId="49F85CA5" w:rsidR="00856026" w:rsidRDefault="003C741C" w:rsidP="00E230F1">
      <w:pPr>
        <w:rPr>
          <w:lang w:eastAsia="ja-JP"/>
        </w:rPr>
      </w:pPr>
      <w:r>
        <w:t>Study ALXN1210-aHUS-312</w:t>
      </w:r>
      <w:r w:rsidR="00E230F1">
        <w:t xml:space="preserve"> included 18 eligible </w:t>
      </w:r>
      <w:r w:rsidR="00E230F1" w:rsidRPr="00E33A48">
        <w:t>complement inhibitor treatment-</w:t>
      </w:r>
      <w:r w:rsidR="00446075">
        <w:t>naive</w:t>
      </w:r>
      <w:r w:rsidR="00E230F1">
        <w:t xml:space="preserve"> paediatric patients (Cohort 1) and 10 eculizumab-experienced paediatric patients with aHUS (Cohort 2). The median age at first infusion was 5.2 years and 12.5 years respectively for Cohort</w:t>
      </w:r>
      <w:r w:rsidR="00E66C24">
        <w:t> </w:t>
      </w:r>
      <w:r w:rsidR="00E230F1">
        <w:t>1 and Cohort 2.</w:t>
      </w:r>
      <w:r w:rsidR="00E230F1" w:rsidRPr="007730BB">
        <w:t xml:space="preserve"> </w:t>
      </w:r>
      <w:r w:rsidR="00E66C24">
        <w:t>C</w:t>
      </w:r>
      <w:r w:rsidR="00FD0821">
        <w:t xml:space="preserve">omplete </w:t>
      </w:r>
      <w:r w:rsidR="002F02DC" w:rsidRPr="002F02DC">
        <w:t>thrombotic microangiopathy response</w:t>
      </w:r>
      <w:r w:rsidR="00E230F1" w:rsidRPr="0021413A">
        <w:t xml:space="preserve"> was observed in </w:t>
      </w:r>
      <w:r w:rsidR="00E230F1">
        <w:t>77.8%</w:t>
      </w:r>
      <w:r w:rsidR="00E230F1" w:rsidRPr="0021413A">
        <w:t xml:space="preserve"> </w:t>
      </w:r>
      <w:r w:rsidR="00E230F1" w:rsidRPr="0021413A">
        <w:lastRenderedPageBreak/>
        <w:t>patients in Cohort 1 during the Initial Evaluation Period</w:t>
      </w:r>
      <w:r w:rsidR="00E230F1">
        <w:t xml:space="preserve"> and in 94.4% patients during the Extension Period. Positive effects on renal function were demonstrated with </w:t>
      </w:r>
      <w:r w:rsidR="002F02DC">
        <w:t>four</w:t>
      </w:r>
      <w:r w:rsidR="00E230F1">
        <w:t xml:space="preserve"> of </w:t>
      </w:r>
      <w:r w:rsidR="002F02DC">
        <w:t>six</w:t>
      </w:r>
      <w:r w:rsidR="00E230F1">
        <w:t xml:space="preserve"> patients requiring dialysis </w:t>
      </w:r>
      <w:r w:rsidR="00FD0821">
        <w:t>at Baseline</w:t>
      </w:r>
      <w:r w:rsidR="00E230F1">
        <w:t xml:space="preserve"> discontinuing dialysis by Day 36 and improvements in mean eGFR evident during the Initial Evaluation Period maintained during the Extension Period. In Cohort 2, </w:t>
      </w:r>
      <w:r w:rsidR="00E230F1">
        <w:rPr>
          <w:lang w:eastAsia="ja-JP"/>
        </w:rPr>
        <w:t xml:space="preserve">haematologic parameters (platelet count, </w:t>
      </w:r>
      <w:r w:rsidR="00AA5E97">
        <w:rPr>
          <w:lang w:eastAsia="ja-JP"/>
        </w:rPr>
        <w:t>lactate dehydrogenase, and haemoglobin concentration</w:t>
      </w:r>
      <w:r w:rsidR="00E230F1" w:rsidRPr="00A855D9">
        <w:rPr>
          <w:lang w:eastAsia="ja-JP"/>
        </w:rPr>
        <w:t>)</w:t>
      </w:r>
      <w:r w:rsidR="00E230F1">
        <w:rPr>
          <w:lang w:eastAsia="ja-JP"/>
        </w:rPr>
        <w:t xml:space="preserve"> and eGFR </w:t>
      </w:r>
      <w:r w:rsidR="00E230F1" w:rsidRPr="00A855D9">
        <w:rPr>
          <w:lang w:eastAsia="ja-JP"/>
        </w:rPr>
        <w:t>remained stable during the Initial Evaluation Period</w:t>
      </w:r>
      <w:r w:rsidR="00E230F1">
        <w:rPr>
          <w:lang w:eastAsia="ja-JP"/>
        </w:rPr>
        <w:t xml:space="preserve"> and the Extension Period. No Cohort 2 </w:t>
      </w:r>
      <w:r w:rsidR="00E230F1" w:rsidRPr="0021413A">
        <w:t xml:space="preserve">patients </w:t>
      </w:r>
      <w:r w:rsidR="00E230F1">
        <w:rPr>
          <w:lang w:eastAsia="ja-JP"/>
        </w:rPr>
        <w:t>were initiated on dialysis as of data cut-off.</w:t>
      </w:r>
    </w:p>
    <w:p w14:paraId="3FD7D44F" w14:textId="199AF4FF" w:rsidR="00856026" w:rsidRDefault="00E230F1" w:rsidP="00E230F1">
      <w:r w:rsidRPr="002639A5">
        <w:t xml:space="preserve">Overall, there were no new safety concerns identified for ravulizumab in aHUS studies as of data cut-off dates for the respective studies, acknowledging the limited sample size. Data from ongoing extension studies and aHUS registry included as an additional pharmacovigilance activity will further inform the long term safety of ravulizumab in aHUS. Additional risk minimisation activities are included in the </w:t>
      </w:r>
      <w:r w:rsidR="00AA5E97">
        <w:t>risk management plan (</w:t>
      </w:r>
      <w:r w:rsidRPr="002639A5">
        <w:t>RMP</w:t>
      </w:r>
      <w:r w:rsidR="00AA5E97">
        <w:t>)</w:t>
      </w:r>
      <w:r w:rsidRPr="002639A5">
        <w:t xml:space="preserve"> relevant to the proposed aHUS indication to communicate the risks of ravulizumab to physicians and patients.</w:t>
      </w:r>
    </w:p>
    <w:p w14:paraId="18567D28" w14:textId="1ED7759B" w:rsidR="00E230F1" w:rsidRPr="007730BB" w:rsidRDefault="00E230F1" w:rsidP="00E230F1">
      <w:bookmarkStart w:id="121" w:name="_Hlk101717132"/>
      <w:r w:rsidRPr="007730BB">
        <w:t>The issues with the proposed aHUS indication are</w:t>
      </w:r>
      <w:r w:rsidR="00AA5E97">
        <w:t xml:space="preserve"> discussed below.</w:t>
      </w:r>
    </w:p>
    <w:p w14:paraId="490C14B6" w14:textId="77777777" w:rsidR="00E230F1" w:rsidRPr="00800AC2" w:rsidRDefault="00E230F1" w:rsidP="00420B7B">
      <w:pPr>
        <w:pStyle w:val="Heading6"/>
      </w:pPr>
      <w:bookmarkStart w:id="122" w:name="_Ref135398504"/>
      <w:r w:rsidRPr="00800AC2">
        <w:t>Extrapolation to adult aHUS patients previously treated with eculizumab</w:t>
      </w:r>
      <w:bookmarkEnd w:id="122"/>
    </w:p>
    <w:p w14:paraId="3F94F66E" w14:textId="4AC78FE7" w:rsidR="00856026" w:rsidRDefault="003C741C" w:rsidP="00E230F1">
      <w:r>
        <w:t>Study ALXN1210-aHUS-311</w:t>
      </w:r>
      <w:r w:rsidR="00E230F1" w:rsidRPr="00800AC2">
        <w:t xml:space="preserve"> included adults who were complement inhibitor treatment-</w:t>
      </w:r>
      <w:r w:rsidR="00446075">
        <w:t>naive</w:t>
      </w:r>
      <w:r w:rsidR="00E230F1" w:rsidRPr="00800AC2">
        <w:t xml:space="preserve">, thus there are no data for adults previously treated with eculizumab. There were </w:t>
      </w:r>
      <w:r w:rsidR="002F02DC">
        <w:t>ten</w:t>
      </w:r>
      <w:r w:rsidR="00E230F1" w:rsidRPr="00800AC2">
        <w:t xml:space="preserve"> eculizumab-experienced paediatric patients included in </w:t>
      </w:r>
      <w:r>
        <w:t>Study ALXN1210-aHUS-312</w:t>
      </w:r>
      <w:r w:rsidR="00E230F1" w:rsidRPr="00800AC2">
        <w:t xml:space="preserve">, mostly adolescents (n = 7). The advice of the Committee </w:t>
      </w:r>
      <w:r w:rsidR="00AA5E97">
        <w:t>i</w:t>
      </w:r>
      <w:r w:rsidR="00E230F1" w:rsidRPr="00800AC2">
        <w:t xml:space="preserve">s sought </w:t>
      </w:r>
      <w:r w:rsidR="00AA5E97">
        <w:t xml:space="preserve">(see </w:t>
      </w:r>
      <w:r w:rsidR="00AA5E97" w:rsidRPr="0035187D">
        <w:rPr>
          <w:i/>
        </w:rPr>
        <w:fldChar w:fldCharType="begin"/>
      </w:r>
      <w:r w:rsidR="00AA5E97" w:rsidRPr="0035187D">
        <w:rPr>
          <w:i/>
        </w:rPr>
        <w:instrText xml:space="preserve"> REF _Ref135396120 \h </w:instrText>
      </w:r>
      <w:r w:rsidR="00AA5E97">
        <w:rPr>
          <w:i/>
        </w:rPr>
        <w:instrText xml:space="preserve"> \* MERGEFORMAT </w:instrText>
      </w:r>
      <w:r w:rsidR="00AA5E97" w:rsidRPr="0035187D">
        <w:rPr>
          <w:i/>
        </w:rPr>
      </w:r>
      <w:r w:rsidR="00AA5E97" w:rsidRPr="0035187D">
        <w:rPr>
          <w:i/>
        </w:rPr>
        <w:fldChar w:fldCharType="separate"/>
      </w:r>
      <w:r w:rsidR="00AA5E97" w:rsidRPr="0035187D">
        <w:rPr>
          <w:i/>
        </w:rPr>
        <w:t>Advisory Committee considerations</w:t>
      </w:r>
      <w:r w:rsidR="00AA5E97" w:rsidRPr="0035187D">
        <w:rPr>
          <w:i/>
        </w:rPr>
        <w:fldChar w:fldCharType="end"/>
      </w:r>
      <w:r w:rsidR="00AA5E97">
        <w:t xml:space="preserve">, below) </w:t>
      </w:r>
      <w:r w:rsidR="00E230F1" w:rsidRPr="00800AC2">
        <w:t xml:space="preserve">as to whether the disease is the same in the paediatric population and adults such that data supporting use in eculizumab-experienced paediatric patients with aHUS in </w:t>
      </w:r>
      <w:r>
        <w:t>Study ALXN1210-aHUS-312</w:t>
      </w:r>
      <w:r w:rsidR="00E230F1" w:rsidRPr="00800AC2">
        <w:t xml:space="preserve"> can be extrapolated to adults.</w:t>
      </w:r>
    </w:p>
    <w:p w14:paraId="21A97CA1" w14:textId="55F8A9BF" w:rsidR="00E230F1" w:rsidRPr="00800AC2" w:rsidRDefault="00E230F1" w:rsidP="00420B7B">
      <w:pPr>
        <w:pStyle w:val="Heading6"/>
      </w:pPr>
      <w:bookmarkStart w:id="123" w:name="_Ref135398507"/>
      <w:r w:rsidRPr="00800AC2">
        <w:t xml:space="preserve">Extrapolation to aHUS </w:t>
      </w:r>
      <w:proofErr w:type="gramStart"/>
      <w:r w:rsidRPr="00800AC2">
        <w:t>patients</w:t>
      </w:r>
      <w:proofErr w:type="gramEnd"/>
      <w:r w:rsidRPr="00800AC2">
        <w:t xml:space="preserve"> refractory to eculizumab treatment</w:t>
      </w:r>
      <w:bookmarkEnd w:id="123"/>
    </w:p>
    <w:p w14:paraId="7E1F01AE" w14:textId="18024F37" w:rsidR="00E230F1" w:rsidRPr="00800AC2" w:rsidRDefault="003C741C" w:rsidP="00E230F1">
      <w:r>
        <w:t>Study ALXN1210-aHUS-312</w:t>
      </w:r>
      <w:r w:rsidR="00E230F1" w:rsidRPr="00800AC2">
        <w:t xml:space="preserve"> included eculizumab-experienced patients treated with eculizumab for at least 90 days with evidence of clinical response to eculizumab. aHUS </w:t>
      </w:r>
      <w:proofErr w:type="gramStart"/>
      <w:r w:rsidR="00E230F1" w:rsidRPr="00800AC2">
        <w:t>patients</w:t>
      </w:r>
      <w:proofErr w:type="gramEnd"/>
      <w:r w:rsidR="00E230F1" w:rsidRPr="00800AC2">
        <w:t xml:space="preserve"> refractory to eculizumab treatment were not included in </w:t>
      </w:r>
      <w:r>
        <w:t>Study ALXN1210-aHUS-312</w:t>
      </w:r>
      <w:r w:rsidR="00E230F1" w:rsidRPr="00800AC2">
        <w:t xml:space="preserve">, however would potentially be included in the proposed indication ‘treatment of aHUS’. There is uncertainty regarding extrapolation to this population in the absence of evidence. The advice of the Committee is sought </w:t>
      </w:r>
      <w:r w:rsidR="00AA5E97">
        <w:t xml:space="preserve">(see </w:t>
      </w:r>
      <w:r w:rsidR="00AA5E97" w:rsidRPr="00766FA9">
        <w:rPr>
          <w:i/>
        </w:rPr>
        <w:fldChar w:fldCharType="begin"/>
      </w:r>
      <w:r w:rsidR="00AA5E97" w:rsidRPr="00766FA9">
        <w:rPr>
          <w:i/>
        </w:rPr>
        <w:instrText xml:space="preserve"> REF _Ref135396120 \h </w:instrText>
      </w:r>
      <w:r w:rsidR="00AA5E97">
        <w:rPr>
          <w:i/>
        </w:rPr>
        <w:instrText xml:space="preserve"> \* MERGEFORMAT </w:instrText>
      </w:r>
      <w:r w:rsidR="00AA5E97" w:rsidRPr="00766FA9">
        <w:rPr>
          <w:i/>
        </w:rPr>
      </w:r>
      <w:r w:rsidR="00AA5E97" w:rsidRPr="00766FA9">
        <w:rPr>
          <w:i/>
        </w:rPr>
        <w:fldChar w:fldCharType="separate"/>
      </w:r>
      <w:r w:rsidR="00AA5E97" w:rsidRPr="00766FA9">
        <w:rPr>
          <w:i/>
        </w:rPr>
        <w:t>Advisory Committee considerations</w:t>
      </w:r>
      <w:r w:rsidR="00AA5E97" w:rsidRPr="00766FA9">
        <w:rPr>
          <w:i/>
        </w:rPr>
        <w:fldChar w:fldCharType="end"/>
      </w:r>
      <w:r w:rsidR="00AA5E97">
        <w:t xml:space="preserve">, below) </w:t>
      </w:r>
      <w:r w:rsidR="00E230F1" w:rsidRPr="00800AC2">
        <w:t>regarding whether the indication should specify use in complement inhibitor treatment-</w:t>
      </w:r>
      <w:r w:rsidR="00446075">
        <w:t>naive</w:t>
      </w:r>
      <w:r w:rsidR="00E230F1" w:rsidRPr="00800AC2">
        <w:t xml:space="preserve"> patients or patients who have received eculizumab for at least </w:t>
      </w:r>
      <w:r w:rsidR="002F02DC">
        <w:t>three</w:t>
      </w:r>
      <w:r w:rsidR="00E230F1" w:rsidRPr="00800AC2">
        <w:t xml:space="preserve"> months and have evidence of response to eculizumab.</w:t>
      </w:r>
    </w:p>
    <w:p w14:paraId="06905E36" w14:textId="080CE727" w:rsidR="00E230F1" w:rsidRPr="00926F22" w:rsidRDefault="00E230F1" w:rsidP="00420B7B">
      <w:pPr>
        <w:pStyle w:val="Heading6"/>
      </w:pPr>
      <w:bookmarkStart w:id="124" w:name="_Ref135398510"/>
      <w:bookmarkStart w:id="125" w:name="_Hlk101719644"/>
      <w:r w:rsidRPr="00800AC2">
        <w:t xml:space="preserve">Use in paediatric aHUS patients with body weight </w:t>
      </w:r>
      <w:r w:rsidR="00AA5E97">
        <w:t>of 5 up to 20 kg</w:t>
      </w:r>
      <w:bookmarkEnd w:id="124"/>
    </w:p>
    <w:p w14:paraId="6B7AE39A" w14:textId="0D27C34D" w:rsidR="00E230F1" w:rsidRPr="00800AC2" w:rsidRDefault="00E230F1" w:rsidP="00E230F1">
      <w:r w:rsidRPr="00800AC2">
        <w:t>There is uncertainty regarding the body weight limit in paediatric patients that is adequately supported by the evidence</w:t>
      </w:r>
      <w:r w:rsidR="002F02DC">
        <w:t xml:space="preserve"> as follows:</w:t>
      </w:r>
    </w:p>
    <w:p w14:paraId="647A8EAB" w14:textId="720C78E4" w:rsidR="00E230F1" w:rsidRPr="00800AC2" w:rsidRDefault="00E230F1" w:rsidP="002F02DC">
      <w:pPr>
        <w:pStyle w:val="ListBullet"/>
      </w:pPr>
      <w:r w:rsidRPr="00800AC2">
        <w:t xml:space="preserve">Following a planned initial </w:t>
      </w:r>
      <w:r w:rsidR="00446075">
        <w:t>pharmacokinetic/pharmacodynamic</w:t>
      </w:r>
      <w:r w:rsidRPr="00800AC2">
        <w:t xml:space="preserve"> analysis in </w:t>
      </w:r>
      <w:r w:rsidR="003C741C">
        <w:t>Study</w:t>
      </w:r>
      <w:r w:rsidR="00AA5E97">
        <w:t> </w:t>
      </w:r>
      <w:r w:rsidR="003C741C">
        <w:t>ALXN1210-aHUS-312</w:t>
      </w:r>
      <w:r w:rsidRPr="00800AC2">
        <w:t xml:space="preserve">, the ravulizumab loading dose for patients with body weight 5 </w:t>
      </w:r>
      <w:r w:rsidR="002F02DC">
        <w:t>to</w:t>
      </w:r>
      <w:r w:rsidRPr="00800AC2">
        <w:t xml:space="preserve"> &lt;</w:t>
      </w:r>
      <w:r w:rsidR="003E2382">
        <w:t> </w:t>
      </w:r>
      <w:r w:rsidRPr="00800AC2">
        <w:t>10</w:t>
      </w:r>
      <w:r w:rsidR="002F02DC">
        <w:t> </w:t>
      </w:r>
      <w:r w:rsidRPr="00800AC2">
        <w:t xml:space="preserve">kg was increased from 300 mg to 600 mg. </w:t>
      </w:r>
      <w:bookmarkStart w:id="126" w:name="_Hlk101791957"/>
      <w:r w:rsidRPr="00800AC2">
        <w:t xml:space="preserve">There is uncertainty as to whether the increased loading dose is justified based on the population </w:t>
      </w:r>
      <w:r w:rsidR="002F02DC">
        <w:t>pharmacokinetic</w:t>
      </w:r>
      <w:r w:rsidRPr="00800AC2">
        <w:t xml:space="preserve"> model.</w:t>
      </w:r>
      <w:bookmarkEnd w:id="126"/>
    </w:p>
    <w:p w14:paraId="4CC01C8C" w14:textId="1F28CEF4" w:rsidR="00E230F1" w:rsidRPr="00800AC2" w:rsidRDefault="00E230F1" w:rsidP="002F02DC">
      <w:pPr>
        <w:pStyle w:val="ListBullet"/>
        <w:rPr>
          <w:bCs/>
          <w:lang w:val="en-US"/>
        </w:rPr>
      </w:pPr>
      <w:r w:rsidRPr="00800AC2">
        <w:rPr>
          <w:bCs/>
          <w:lang w:val="en-US"/>
        </w:rPr>
        <w:t xml:space="preserve">The </w:t>
      </w:r>
      <w:r w:rsidR="002F02DC">
        <w:t>p</w:t>
      </w:r>
      <w:r w:rsidRPr="00800AC2">
        <w:t xml:space="preserve">harmacometrics expert stated the </w:t>
      </w:r>
      <w:r w:rsidRPr="00800AC2">
        <w:rPr>
          <w:bCs/>
          <w:lang w:val="en-US"/>
        </w:rPr>
        <w:t xml:space="preserve">population </w:t>
      </w:r>
      <w:r w:rsidR="002F02DC">
        <w:rPr>
          <w:bCs/>
          <w:lang w:val="en-US"/>
        </w:rPr>
        <w:t>pharmacokinetic</w:t>
      </w:r>
      <w:r w:rsidRPr="00800AC2">
        <w:rPr>
          <w:bCs/>
          <w:lang w:val="en-US"/>
        </w:rPr>
        <w:t xml:space="preserve"> model failed to adequately describe the</w:t>
      </w:r>
      <w:r w:rsidR="00446075">
        <w:rPr>
          <w:bCs/>
          <w:lang w:val="en-US"/>
        </w:rPr>
        <w:t xml:space="preserve"> pharmacokinetic</w:t>
      </w:r>
      <w:r w:rsidRPr="00800AC2">
        <w:rPr>
          <w:bCs/>
          <w:lang w:val="en-US"/>
        </w:rPr>
        <w:t xml:space="preserve"> data for the </w:t>
      </w:r>
      <w:r w:rsidR="00446075">
        <w:rPr>
          <w:bCs/>
          <w:lang w:val="en-US"/>
        </w:rPr>
        <w:t>once every four</w:t>
      </w:r>
      <w:r w:rsidR="00CA039D">
        <w:rPr>
          <w:bCs/>
          <w:lang w:val="en-US"/>
        </w:rPr>
        <w:t>-</w:t>
      </w:r>
      <w:r w:rsidR="00446075">
        <w:rPr>
          <w:bCs/>
          <w:lang w:val="en-US"/>
        </w:rPr>
        <w:t>week</w:t>
      </w:r>
      <w:r w:rsidRPr="00800AC2">
        <w:rPr>
          <w:bCs/>
          <w:lang w:val="en-US"/>
        </w:rPr>
        <w:t xml:space="preserve"> regimen in children in the body weight groups </w:t>
      </w:r>
      <w:r w:rsidR="00446075">
        <w:rPr>
          <w:bCs/>
          <w:lang w:val="en-US"/>
        </w:rPr>
        <w:t>less than</w:t>
      </w:r>
      <w:r w:rsidRPr="00800AC2">
        <w:rPr>
          <w:bCs/>
          <w:lang w:val="en-US"/>
        </w:rPr>
        <w:t xml:space="preserve"> 20 kg </w:t>
      </w:r>
      <w:r w:rsidR="00446075">
        <w:rPr>
          <w:bCs/>
          <w:lang w:val="en-US"/>
        </w:rPr>
        <w:t>(</w:t>
      </w:r>
      <w:r w:rsidRPr="00800AC2">
        <w:rPr>
          <w:bCs/>
          <w:lang w:val="en-US"/>
        </w:rPr>
        <w:t xml:space="preserve">5 </w:t>
      </w:r>
      <w:r w:rsidR="00446075">
        <w:rPr>
          <w:bCs/>
          <w:lang w:val="en-US"/>
        </w:rPr>
        <w:t xml:space="preserve">kg </w:t>
      </w:r>
      <w:r w:rsidR="00AA5E97">
        <w:rPr>
          <w:bCs/>
          <w:lang w:val="en-US"/>
        </w:rPr>
        <w:t xml:space="preserve">up </w:t>
      </w:r>
      <w:r w:rsidR="00446075">
        <w:rPr>
          <w:bCs/>
          <w:lang w:val="en-US"/>
        </w:rPr>
        <w:t>to</w:t>
      </w:r>
      <w:r w:rsidR="00AA5E97">
        <w:rPr>
          <w:bCs/>
          <w:lang w:val="en-US"/>
        </w:rPr>
        <w:t xml:space="preserve"> </w:t>
      </w:r>
      <w:r w:rsidRPr="00800AC2">
        <w:rPr>
          <w:bCs/>
          <w:lang w:val="en-US"/>
        </w:rPr>
        <w:t>10 kg, 10</w:t>
      </w:r>
      <w:r w:rsidR="002F02DC">
        <w:rPr>
          <w:bCs/>
          <w:lang w:val="en-US"/>
        </w:rPr>
        <w:t xml:space="preserve"> kg</w:t>
      </w:r>
      <w:r w:rsidRPr="00800AC2">
        <w:rPr>
          <w:bCs/>
          <w:lang w:val="en-US"/>
        </w:rPr>
        <w:t xml:space="preserve"> </w:t>
      </w:r>
      <w:r w:rsidR="00AA5E97">
        <w:rPr>
          <w:bCs/>
          <w:lang w:val="en-US"/>
        </w:rPr>
        <w:t xml:space="preserve">up </w:t>
      </w:r>
      <w:r w:rsidR="00446075">
        <w:rPr>
          <w:bCs/>
          <w:lang w:val="en-US"/>
        </w:rPr>
        <w:t>to</w:t>
      </w:r>
      <w:r w:rsidR="00AA5E97">
        <w:rPr>
          <w:bCs/>
          <w:lang w:val="en-US"/>
        </w:rPr>
        <w:t xml:space="preserve"> </w:t>
      </w:r>
      <w:r w:rsidRPr="00800AC2">
        <w:rPr>
          <w:bCs/>
          <w:lang w:val="en-US"/>
        </w:rPr>
        <w:t xml:space="preserve">20 kg). Although limited, the </w:t>
      </w:r>
      <w:r w:rsidR="00446075">
        <w:rPr>
          <w:bCs/>
          <w:lang w:val="en-US"/>
        </w:rPr>
        <w:t>pharmacokinetic</w:t>
      </w:r>
      <w:r w:rsidRPr="00800AC2">
        <w:rPr>
          <w:bCs/>
          <w:lang w:val="en-US"/>
        </w:rPr>
        <w:t xml:space="preserve"> data supported the weight-based dosing regimen for patients with body weight 20 kg</w:t>
      </w:r>
      <w:r w:rsidR="00446075">
        <w:rPr>
          <w:bCs/>
          <w:lang w:val="en-US"/>
        </w:rPr>
        <w:t xml:space="preserve"> or more</w:t>
      </w:r>
      <w:r w:rsidRPr="00800AC2">
        <w:rPr>
          <w:bCs/>
          <w:lang w:val="en-US"/>
        </w:rPr>
        <w:t>.</w:t>
      </w:r>
    </w:p>
    <w:bookmarkEnd w:id="125"/>
    <w:p w14:paraId="01140C51" w14:textId="5EBEC674" w:rsidR="00E230F1" w:rsidRPr="002639A5" w:rsidRDefault="00E230F1" w:rsidP="002F02DC">
      <w:pPr>
        <w:pStyle w:val="ListBullet"/>
      </w:pPr>
      <w:r w:rsidRPr="00800AC2">
        <w:lastRenderedPageBreak/>
        <w:t xml:space="preserve">Efficacy and safety data in paediatric patients with body weight 5 </w:t>
      </w:r>
      <w:r w:rsidR="00AA5E97">
        <w:t xml:space="preserve">kg up </w:t>
      </w:r>
      <w:r w:rsidR="00446075">
        <w:t xml:space="preserve">to </w:t>
      </w:r>
      <w:r w:rsidRPr="00800AC2">
        <w:t xml:space="preserve">10 kg are limited. The </w:t>
      </w:r>
      <w:r w:rsidR="002F02DC">
        <w:t xml:space="preserve">full analysis set </w:t>
      </w:r>
      <w:r w:rsidRPr="002639A5">
        <w:t xml:space="preserve">included </w:t>
      </w:r>
      <w:r w:rsidR="002F02DC">
        <w:t>three</w:t>
      </w:r>
      <w:r w:rsidRPr="002639A5">
        <w:t xml:space="preserve"> patients with body weight </w:t>
      </w:r>
      <w:r w:rsidR="00446075">
        <w:t xml:space="preserve">from </w:t>
      </w:r>
      <w:r w:rsidRPr="002639A5">
        <w:t xml:space="preserve">5 </w:t>
      </w:r>
      <w:r w:rsidR="00446075">
        <w:t>kg up to</w:t>
      </w:r>
      <w:r w:rsidRPr="002639A5">
        <w:t xml:space="preserve"> 10 kg</w:t>
      </w:r>
      <w:r>
        <w:t>:</w:t>
      </w:r>
    </w:p>
    <w:p w14:paraId="3BE57519" w14:textId="0BDAD855" w:rsidR="00856026" w:rsidRDefault="002F02DC" w:rsidP="002F02DC">
      <w:pPr>
        <w:pStyle w:val="ListBullet2"/>
      </w:pPr>
      <w:r>
        <w:t>One</w:t>
      </w:r>
      <w:r w:rsidR="00E230F1" w:rsidRPr="002639A5">
        <w:t xml:space="preserve"> eculizumab-experienced patient received the increased loading dose of ravulizumab (600 mg) and was reported </w:t>
      </w:r>
      <w:r w:rsidR="00E230F1">
        <w:t xml:space="preserve">to </w:t>
      </w:r>
      <w:r w:rsidR="00E230F1" w:rsidRPr="002639A5">
        <w:t xml:space="preserve">have stable haematologic and eGFR parameters through data cut-off. This patient did have </w:t>
      </w:r>
      <w:r>
        <w:t>one</w:t>
      </w:r>
      <w:r w:rsidR="00E230F1" w:rsidRPr="002639A5">
        <w:t xml:space="preserve"> Grade </w:t>
      </w:r>
      <w:r w:rsidR="00E230F1">
        <w:t>3</w:t>
      </w:r>
      <w:r w:rsidR="003C741C">
        <w:t xml:space="preserve"> adverse event</w:t>
      </w:r>
      <w:r w:rsidR="00E230F1">
        <w:t xml:space="preserve"> of dehydration and </w:t>
      </w:r>
      <w:r>
        <w:t>five</w:t>
      </w:r>
      <w:r w:rsidR="00E230F1">
        <w:t xml:space="preserve"> </w:t>
      </w:r>
      <w:r w:rsidR="003C741C">
        <w:t>serious adverse event</w:t>
      </w:r>
      <w:r w:rsidR="00E230F1">
        <w:t xml:space="preserve">s </w:t>
      </w:r>
      <w:r w:rsidR="00E230F1" w:rsidRPr="002639A5">
        <w:t>(</w:t>
      </w:r>
      <w:r w:rsidR="003C741C">
        <w:t>upper respiratory tract infection</w:t>
      </w:r>
      <w:r w:rsidR="00E230F1" w:rsidRPr="002639A5">
        <w:t>, pneumonia, bronchitis) none of which were considered related to ravulizumab.</w:t>
      </w:r>
    </w:p>
    <w:p w14:paraId="1F76CE3D" w14:textId="4A44F13F" w:rsidR="00856026" w:rsidRDefault="002F02DC" w:rsidP="002F02DC">
      <w:pPr>
        <w:pStyle w:val="ListBullet2"/>
      </w:pPr>
      <w:r>
        <w:t>Two</w:t>
      </w:r>
      <w:r w:rsidR="00E230F1" w:rsidRPr="002639A5">
        <w:t xml:space="preserve"> complement inhibitor treatment-</w:t>
      </w:r>
      <w:r w:rsidR="00446075">
        <w:t>naive</w:t>
      </w:r>
      <w:r w:rsidR="00E230F1" w:rsidRPr="002639A5">
        <w:t xml:space="preserve"> patients received the 300 mg loading dose. One patient received </w:t>
      </w:r>
      <w:r>
        <w:t>two</w:t>
      </w:r>
      <w:r w:rsidR="00E230F1" w:rsidRPr="002639A5">
        <w:t xml:space="preserve"> ravulizumab doses and discontinued on Day 21 due to </w:t>
      </w:r>
      <w:r w:rsidR="003C741C">
        <w:t>serious adverse event</w:t>
      </w:r>
      <w:r w:rsidR="00E230F1" w:rsidRPr="002639A5">
        <w:t xml:space="preserve">s (hypertensive crisis </w:t>
      </w:r>
      <w:r w:rsidR="00AA5E97">
        <w:t xml:space="preserve">(treatment </w:t>
      </w:r>
      <w:r w:rsidR="00E230F1" w:rsidRPr="002639A5">
        <w:t>unrelated</w:t>
      </w:r>
      <w:r w:rsidR="00AA5E97">
        <w:t>)</w:t>
      </w:r>
      <w:r w:rsidR="00E230F1" w:rsidRPr="002639A5">
        <w:t xml:space="preserve"> and Grade 3 anaemia </w:t>
      </w:r>
      <w:r w:rsidR="00AA5E97">
        <w:t>(treatment-</w:t>
      </w:r>
      <w:r w:rsidR="00E230F1" w:rsidRPr="002639A5">
        <w:t>related</w:t>
      </w:r>
      <w:r w:rsidR="00AA5E97">
        <w:t>)</w:t>
      </w:r>
      <w:r w:rsidR="00E230F1" w:rsidRPr="002639A5">
        <w:t xml:space="preserve">). One patient completed the Initial Evaluation Period and was a </w:t>
      </w:r>
      <w:r>
        <w:t>c</w:t>
      </w:r>
      <w:r w:rsidR="00E230F1" w:rsidRPr="002639A5">
        <w:t xml:space="preserve">omplete </w:t>
      </w:r>
      <w:r w:rsidR="005F3F4F" w:rsidRPr="005F3F4F">
        <w:t>thrombotic microangiopathy</w:t>
      </w:r>
      <w:r w:rsidR="00E230F1" w:rsidRPr="002639A5">
        <w:t xml:space="preserve"> </w:t>
      </w:r>
      <w:r>
        <w:t>r</w:t>
      </w:r>
      <w:r w:rsidR="00E230F1" w:rsidRPr="002639A5">
        <w:t>esponder.</w:t>
      </w:r>
    </w:p>
    <w:p w14:paraId="4D420D8A" w14:textId="6276AA64" w:rsidR="00856026" w:rsidRDefault="00E230F1" w:rsidP="00E230F1">
      <w:r w:rsidRPr="002639A5">
        <w:t xml:space="preserve">An additional patient with body weight 5 </w:t>
      </w:r>
      <w:r w:rsidR="002F02DC">
        <w:t>to</w:t>
      </w:r>
      <w:r w:rsidRPr="002639A5">
        <w:t xml:space="preserve"> &lt; 10 kg in Cohort 1 was included in the Safety Set; this patient was withdrawn after </w:t>
      </w:r>
      <w:r w:rsidR="002F02DC">
        <w:t>two</w:t>
      </w:r>
      <w:r w:rsidRPr="002639A5">
        <w:t xml:space="preserve"> doses of ravulizumab (including 600 mg loading dose) due to </w:t>
      </w:r>
      <w:bookmarkStart w:id="127" w:name="_Hlk100825066"/>
      <w:r w:rsidRPr="002639A5">
        <w:t>study ineligibility</w:t>
      </w:r>
      <w:r w:rsidRPr="00600AEC">
        <w:t>.</w:t>
      </w:r>
    </w:p>
    <w:p w14:paraId="12240802" w14:textId="45F5901F" w:rsidR="00856026" w:rsidRDefault="00E230F1" w:rsidP="00E230F1">
      <w:bookmarkStart w:id="128" w:name="_Hlk101790534"/>
      <w:bookmarkEnd w:id="121"/>
      <w:bookmarkEnd w:id="127"/>
      <w:r w:rsidRPr="00800AC2">
        <w:t xml:space="preserve">The Delegate does not consider there is sufficient evidence to support use of ravulizumab in paediatric aHUS patients with body weight 5 </w:t>
      </w:r>
      <w:r w:rsidR="00AA5E97">
        <w:t xml:space="preserve">up to </w:t>
      </w:r>
      <w:r w:rsidRPr="00800AC2">
        <w:t>10 kg</w:t>
      </w:r>
      <w:r w:rsidR="002F02DC">
        <w:t xml:space="preserve"> for the following reasons:</w:t>
      </w:r>
    </w:p>
    <w:p w14:paraId="2EA9516C" w14:textId="3C598D33" w:rsidR="00856026" w:rsidRDefault="00E230F1" w:rsidP="002F02DC">
      <w:pPr>
        <w:pStyle w:val="ListBullet"/>
      </w:pPr>
      <w:r w:rsidRPr="00800AC2">
        <w:t xml:space="preserve">The clinical evidence comprised data from </w:t>
      </w:r>
      <w:r w:rsidR="003E2382">
        <w:t>three</w:t>
      </w:r>
      <w:r w:rsidRPr="00800AC2">
        <w:t xml:space="preserve"> patients, </w:t>
      </w:r>
      <w:r w:rsidR="003E2382">
        <w:t>one</w:t>
      </w:r>
      <w:r w:rsidRPr="00800AC2">
        <w:t xml:space="preserve"> of whom received the proposed loading dose of 600 mg. The available clinical data are too limited to draw meaningful conclusions regarding efficacy and safety in this subset of patients.</w:t>
      </w:r>
    </w:p>
    <w:p w14:paraId="5733C2A0" w14:textId="451B31DF" w:rsidR="00856026" w:rsidRDefault="00E230F1" w:rsidP="002F02DC">
      <w:pPr>
        <w:pStyle w:val="ListBullet"/>
        <w:rPr>
          <w:lang w:val="en-US"/>
        </w:rPr>
      </w:pPr>
      <w:r w:rsidRPr="00800AC2">
        <w:t xml:space="preserve">There is uncertainty regarding the proposed ravulizumab loading dose in patients with body weight 5 </w:t>
      </w:r>
      <w:r w:rsidR="00446075">
        <w:t xml:space="preserve">up to </w:t>
      </w:r>
      <w:r w:rsidRPr="00800AC2">
        <w:t>10 kg (600 mg)</w:t>
      </w:r>
      <w:r w:rsidRPr="00800AC2">
        <w:rPr>
          <w:lang w:val="en-US"/>
        </w:rPr>
        <w:t>.</w:t>
      </w:r>
    </w:p>
    <w:p w14:paraId="108ABB00" w14:textId="78A6D731" w:rsidR="00E230F1" w:rsidRPr="00800AC2" w:rsidRDefault="00E230F1" w:rsidP="002F02DC">
      <w:pPr>
        <w:pStyle w:val="ListBullet"/>
      </w:pPr>
      <w:r w:rsidRPr="00800AC2">
        <w:t xml:space="preserve">The pharmacometrics data do not support the proposed weight-based dosing regimen for patients with body weight 5 </w:t>
      </w:r>
      <w:r w:rsidR="00632122">
        <w:t xml:space="preserve">up </w:t>
      </w:r>
      <w:r w:rsidR="00472EEA">
        <w:t>to</w:t>
      </w:r>
      <w:r w:rsidRPr="00800AC2">
        <w:t xml:space="preserve"> 10 kg, acknowledging the methodological limitations of the pharmacometrics data.</w:t>
      </w:r>
    </w:p>
    <w:p w14:paraId="5B06CB4C" w14:textId="339A5C27" w:rsidR="00856026" w:rsidRDefault="00E230F1" w:rsidP="00E230F1">
      <w:r w:rsidRPr="00800AC2">
        <w:t xml:space="preserve">The Delegate does consider there is sufficient evidence to support use of ravulizumab in paediatric aHUS patients with body weight </w:t>
      </w:r>
      <w:r w:rsidR="00632122">
        <w:t>of</w:t>
      </w:r>
      <w:r w:rsidRPr="00800AC2">
        <w:t xml:space="preserve"> 10 kg</w:t>
      </w:r>
      <w:r w:rsidR="00632122">
        <w:t xml:space="preserve"> or more,</w:t>
      </w:r>
      <w:r w:rsidR="002F02DC">
        <w:t xml:space="preserve"> as:</w:t>
      </w:r>
    </w:p>
    <w:p w14:paraId="7F8FFE07" w14:textId="51E12CBF" w:rsidR="00856026" w:rsidRDefault="00E230F1" w:rsidP="002F02DC">
      <w:pPr>
        <w:pStyle w:val="ListBullet"/>
      </w:pPr>
      <w:r w:rsidRPr="00800AC2">
        <w:t xml:space="preserve">The efficacy and safety data are adequate to support use in patients with body weight </w:t>
      </w:r>
      <w:r w:rsidR="00632122">
        <w:t>of </w:t>
      </w:r>
      <w:r w:rsidRPr="00800AC2">
        <w:t>10</w:t>
      </w:r>
      <w:r w:rsidR="002F02DC">
        <w:t> </w:t>
      </w:r>
      <w:r w:rsidRPr="00800AC2">
        <w:t>kg</w:t>
      </w:r>
      <w:r w:rsidR="00632122">
        <w:t xml:space="preserve"> or more</w:t>
      </w:r>
      <w:r w:rsidRPr="00800AC2">
        <w:t>.</w:t>
      </w:r>
    </w:p>
    <w:p w14:paraId="7EDC6CE7" w14:textId="2BF1AA20" w:rsidR="00856026" w:rsidRDefault="00E230F1" w:rsidP="002F02DC">
      <w:pPr>
        <w:pStyle w:val="ListBullet"/>
      </w:pPr>
      <w:r w:rsidRPr="00800AC2">
        <w:t xml:space="preserve">The pharmacometrics data do not support the proposed weight-based dosing regimen for patients with body weight 10 </w:t>
      </w:r>
      <w:r w:rsidR="00632122">
        <w:t xml:space="preserve">up </w:t>
      </w:r>
      <w:r w:rsidR="00472EEA">
        <w:t>to</w:t>
      </w:r>
      <w:r w:rsidRPr="00800AC2">
        <w:t xml:space="preserve"> 20 kg (noting the methodological limitations as above). However, the proposed dosage regimen for patients weighing 10 </w:t>
      </w:r>
      <w:r w:rsidR="00632122">
        <w:t xml:space="preserve">up </w:t>
      </w:r>
      <w:r w:rsidR="00472EEA">
        <w:t>to</w:t>
      </w:r>
      <w:r w:rsidRPr="00800AC2">
        <w:t xml:space="preserve"> 20 kg is considered acceptable given there are clinical data to support use in patients with body weight 10 </w:t>
      </w:r>
      <w:r w:rsidR="00632122">
        <w:t xml:space="preserve">up </w:t>
      </w:r>
      <w:r w:rsidR="00472EEA">
        <w:t>to</w:t>
      </w:r>
      <w:r w:rsidRPr="00800AC2">
        <w:t xml:space="preserve"> 20 kg.</w:t>
      </w:r>
    </w:p>
    <w:p w14:paraId="13E03F44" w14:textId="528ABABD" w:rsidR="00E230F1" w:rsidRPr="00800AC2" w:rsidRDefault="00E230F1" w:rsidP="00E230F1">
      <w:r w:rsidRPr="00800AC2">
        <w:t xml:space="preserve">The advice of the Committee is sought regarding the proposed ravulizumab dosing regimen, and the </w:t>
      </w:r>
      <w:bookmarkStart w:id="129" w:name="_Hlk101816013"/>
      <w:r w:rsidRPr="00800AC2">
        <w:t xml:space="preserve">body weight limit in paediatric patients that is supported by the available </w:t>
      </w:r>
      <w:r w:rsidR="002F02DC">
        <w:t>pharmacokinetics/ pharm</w:t>
      </w:r>
      <w:r w:rsidR="003E2382">
        <w:t>a</w:t>
      </w:r>
      <w:r w:rsidR="002F02DC">
        <w:t>codynamics</w:t>
      </w:r>
      <w:r w:rsidRPr="00800AC2">
        <w:t xml:space="preserve">, </w:t>
      </w:r>
      <w:proofErr w:type="gramStart"/>
      <w:r w:rsidRPr="00800AC2">
        <w:t>efficacy</w:t>
      </w:r>
      <w:proofErr w:type="gramEnd"/>
      <w:r w:rsidRPr="00800AC2">
        <w:t xml:space="preserve"> and safety data.</w:t>
      </w:r>
    </w:p>
    <w:bookmarkEnd w:id="128"/>
    <w:bookmarkEnd w:id="129"/>
    <w:p w14:paraId="2EE8DC33" w14:textId="4B46EB74" w:rsidR="00E230F1" w:rsidRPr="00EA7C8D" w:rsidRDefault="00E230F1" w:rsidP="00420B7B">
      <w:pPr>
        <w:pStyle w:val="Heading5"/>
      </w:pPr>
      <w:r w:rsidRPr="00EA7C8D">
        <w:t xml:space="preserve">Paediatric </w:t>
      </w:r>
      <w:r w:rsidR="003E2382" w:rsidRPr="003E2382">
        <w:t>paroxysmal nocturnal haemoglobinuria</w:t>
      </w:r>
      <w:r w:rsidRPr="00EA7C8D">
        <w:t xml:space="preserve"> indication</w:t>
      </w:r>
    </w:p>
    <w:p w14:paraId="36546F8A" w14:textId="7AC39309" w:rsidR="00E230F1" w:rsidRDefault="00E230F1" w:rsidP="00E230F1">
      <w:r w:rsidRPr="002A6D83">
        <w:t xml:space="preserve">The submission proposes to extend the indication to treat paediatric </w:t>
      </w:r>
      <w:r w:rsidR="003E2382" w:rsidRPr="003E2382">
        <w:t xml:space="preserve">paroxysmal nocturnal haemoglobinuria </w:t>
      </w:r>
      <w:r w:rsidR="003E2382">
        <w:t>(</w:t>
      </w:r>
      <w:r w:rsidRPr="002A6D83">
        <w:t>PNH</w:t>
      </w:r>
      <w:r w:rsidR="003E2382">
        <w:t>)</w:t>
      </w:r>
      <w:r w:rsidRPr="002A6D83">
        <w:t xml:space="preserve"> patients. Data were provided in the </w:t>
      </w:r>
      <w:r w:rsidR="00B8491F">
        <w:t>Phase III</w:t>
      </w:r>
      <w:r w:rsidRPr="002A6D83">
        <w:t xml:space="preserve"> multicentre, open-label, single-arm </w:t>
      </w:r>
      <w:r w:rsidR="002F02DC">
        <w:t>Study ALXN1210-PNH-304</w:t>
      </w:r>
      <w:r w:rsidRPr="002A6D83">
        <w:t xml:space="preserve"> in paediatric PNH patients. </w:t>
      </w:r>
      <w:r w:rsidRPr="002639A5">
        <w:t xml:space="preserve">The study enrolled </w:t>
      </w:r>
      <w:r w:rsidRPr="00BA652A">
        <w:t>13</w:t>
      </w:r>
      <w:r w:rsidR="00632122">
        <w:rPr>
          <w:color w:val="FF0000"/>
        </w:rPr>
        <w:t> </w:t>
      </w:r>
      <w:r w:rsidRPr="002639A5">
        <w:t xml:space="preserve">patients aged 9 </w:t>
      </w:r>
      <w:r w:rsidR="00472EEA">
        <w:t>to</w:t>
      </w:r>
      <w:r>
        <w:t xml:space="preserve"> </w:t>
      </w:r>
      <w:r w:rsidRPr="002639A5">
        <w:t>17 years with body</w:t>
      </w:r>
      <w:r>
        <w:t xml:space="preserve"> </w:t>
      </w:r>
      <w:r w:rsidRPr="002639A5">
        <w:t>weight ≥</w:t>
      </w:r>
      <w:r w:rsidR="002F02DC">
        <w:t> </w:t>
      </w:r>
      <w:r w:rsidRPr="002639A5">
        <w:t xml:space="preserve">30 </w:t>
      </w:r>
      <w:proofErr w:type="gramStart"/>
      <w:r w:rsidRPr="002639A5">
        <w:t>kg;</w:t>
      </w:r>
      <w:proofErr w:type="gramEnd"/>
      <w:r w:rsidRPr="002639A5">
        <w:t xml:space="preserve"> </w:t>
      </w:r>
      <w:r w:rsidR="003E2382">
        <w:t>five</w:t>
      </w:r>
      <w:r w:rsidRPr="002639A5">
        <w:t xml:space="preserve"> complement inhibitor treatment-</w:t>
      </w:r>
      <w:r w:rsidR="00446075">
        <w:t>naive</w:t>
      </w:r>
      <w:r w:rsidRPr="002639A5">
        <w:t xml:space="preserve"> and </w:t>
      </w:r>
      <w:r w:rsidR="003E2382">
        <w:t>eight</w:t>
      </w:r>
      <w:r w:rsidRPr="002639A5">
        <w:t xml:space="preserve"> eculizumab-experienced. </w:t>
      </w:r>
      <w:r w:rsidRPr="002A6D83">
        <w:t xml:space="preserve">The planned interim </w:t>
      </w:r>
      <w:r w:rsidR="002F02DC">
        <w:t>clinical study report</w:t>
      </w:r>
      <w:r w:rsidRPr="002A6D83">
        <w:t xml:space="preserve"> included data for the first 12 patients completing the 26</w:t>
      </w:r>
      <w:r w:rsidR="002F02DC">
        <w:noBreakHyphen/>
      </w:r>
      <w:r w:rsidRPr="002A6D83">
        <w:t xml:space="preserve">week Primary Evaluation Period. </w:t>
      </w:r>
      <w:r>
        <w:t xml:space="preserve">An </w:t>
      </w:r>
      <w:r w:rsidR="002F02DC">
        <w:t>a</w:t>
      </w:r>
      <w:r>
        <w:t xml:space="preserve">ddendum to the </w:t>
      </w:r>
      <w:r>
        <w:lastRenderedPageBreak/>
        <w:t xml:space="preserve">interim CSR </w:t>
      </w:r>
      <w:r w:rsidRPr="00BA652A">
        <w:t>including data for an additional complement inhibitor treatment-</w:t>
      </w:r>
      <w:r w:rsidR="00446075">
        <w:t>naive</w:t>
      </w:r>
      <w:r w:rsidRPr="00BA652A">
        <w:t xml:space="preserve"> patient was provided on request.</w:t>
      </w:r>
    </w:p>
    <w:p w14:paraId="6047C0E5" w14:textId="3BECAE91" w:rsidR="00E230F1" w:rsidRPr="00B82827" w:rsidRDefault="00E230F1" w:rsidP="00E230F1">
      <w:r w:rsidRPr="002A6D83">
        <w:t xml:space="preserve">The primary endpoints were </w:t>
      </w:r>
      <w:r w:rsidR="00472EEA">
        <w:t>pharmacokinetic/pharmacodynamic</w:t>
      </w:r>
      <w:r w:rsidRPr="002A6D83">
        <w:t xml:space="preserve"> parameters with complete terminal complement inhibition sustained throughout the 26-week Primary Evaluation Period following weight-based ravulizumab dosing demonstrated. Efficacy was a secondary objective of the study; the endpoints were consistent with those in ravulizumab </w:t>
      </w:r>
      <w:r w:rsidR="00B8491F">
        <w:t>Phase III</w:t>
      </w:r>
      <w:r w:rsidRPr="002A6D83">
        <w:t xml:space="preserve"> adult PNH studies. On Day 183, the mean percent change from baseline in </w:t>
      </w:r>
      <w:r w:rsidR="00632122">
        <w:t>lactate dehydrogenase</w:t>
      </w:r>
      <w:r w:rsidR="00632122" w:rsidRPr="002A6D83">
        <w:t xml:space="preserve"> </w:t>
      </w:r>
      <w:r w:rsidRPr="002A6D83">
        <w:t xml:space="preserve">was </w:t>
      </w:r>
      <w:r w:rsidRPr="00982DDE">
        <w:t xml:space="preserve">-47.91% in </w:t>
      </w:r>
      <w:r w:rsidRPr="002A6D83">
        <w:t>complement inhibitor treatment-</w:t>
      </w:r>
      <w:r w:rsidR="00446075">
        <w:t>naive</w:t>
      </w:r>
      <w:r w:rsidRPr="002A6D83">
        <w:t xml:space="preserve"> patients and 4.65% for eculizumab-experienced patients</w:t>
      </w:r>
      <w:r>
        <w:t>.</w:t>
      </w:r>
      <w:r>
        <w:rPr>
          <w:color w:val="FF0000"/>
        </w:rPr>
        <w:t xml:space="preserve"> </w:t>
      </w:r>
      <w:r w:rsidRPr="00982DDE">
        <w:t>There was a clinically meaningful reduction in the need for transfusion; 60% of complement inhibitor treatment-</w:t>
      </w:r>
      <w:r w:rsidR="00446075">
        <w:t>naive</w:t>
      </w:r>
      <w:r w:rsidRPr="00982DDE">
        <w:t xml:space="preserve"> patients and all eculizumab-experienced patients remained transfusion free at Day 183. Updated data for the </w:t>
      </w:r>
      <w:r>
        <w:t>E</w:t>
      </w:r>
      <w:r w:rsidRPr="00982DDE">
        <w:t xml:space="preserve">xtension </w:t>
      </w:r>
      <w:r>
        <w:t>P</w:t>
      </w:r>
      <w:r w:rsidRPr="00982DDE">
        <w:t>eriod support maintenance of treatment effect in both complement inhibitor treatment-</w:t>
      </w:r>
      <w:r w:rsidR="00446075">
        <w:t>naive</w:t>
      </w:r>
      <w:r w:rsidRPr="00982DDE">
        <w:t xml:space="preserve"> and eculizumab-experienced patients.</w:t>
      </w:r>
    </w:p>
    <w:p w14:paraId="6F8D6B0E" w14:textId="5C8E3114" w:rsidR="00856026" w:rsidRDefault="00E230F1" w:rsidP="00E230F1">
      <w:r>
        <w:rPr>
          <w:rFonts w:eastAsia="Times New Roman"/>
          <w:szCs w:val="24"/>
          <w:lang w:eastAsia="en-AU"/>
        </w:rPr>
        <w:t>Although t</w:t>
      </w:r>
      <w:r w:rsidRPr="00EB7C26">
        <w:rPr>
          <w:rFonts w:eastAsia="Times New Roman"/>
          <w:szCs w:val="24"/>
          <w:lang w:eastAsia="en-AU"/>
        </w:rPr>
        <w:t xml:space="preserve">here were no new safety concerns for ravulizumab identified in </w:t>
      </w:r>
      <w:r w:rsidR="002F02DC">
        <w:rPr>
          <w:rFonts w:eastAsia="Times New Roman"/>
          <w:szCs w:val="24"/>
          <w:lang w:eastAsia="en-AU"/>
        </w:rPr>
        <w:t>Study ALXN1210-PNH-304</w:t>
      </w:r>
      <w:r w:rsidRPr="00EB7C26">
        <w:rPr>
          <w:rFonts w:eastAsia="Times New Roman"/>
          <w:szCs w:val="24"/>
          <w:lang w:eastAsia="en-AU"/>
        </w:rPr>
        <w:t xml:space="preserve"> for paediatric PNH patients, the sample size is </w:t>
      </w:r>
      <w:r>
        <w:rPr>
          <w:rFonts w:eastAsia="Times New Roman"/>
          <w:szCs w:val="24"/>
          <w:lang w:eastAsia="en-AU"/>
        </w:rPr>
        <w:t xml:space="preserve">small, thereby limiting meaningful conclusions regarding safety of ravulizumab in paediatric PNH patients. </w:t>
      </w:r>
      <w:r>
        <w:t xml:space="preserve">Pharmacovigilance activities include </w:t>
      </w:r>
      <w:r w:rsidRPr="00EB7C26">
        <w:t>PNH registry data</w:t>
      </w:r>
      <w:r>
        <w:t xml:space="preserve"> </w:t>
      </w:r>
      <w:r w:rsidRPr="00EB7C26">
        <w:t>which will characterise the safety profile of ravulizumab in paediatric PNH patients in the post-market setting</w:t>
      </w:r>
      <w:r>
        <w:t xml:space="preserve"> and mitigate existing uncertainty regarding safety in this patient population</w:t>
      </w:r>
      <w:r w:rsidRPr="00EB7C26">
        <w:t>.</w:t>
      </w:r>
    </w:p>
    <w:p w14:paraId="7CC2C9B3" w14:textId="3DB765AA" w:rsidR="00856026" w:rsidRDefault="00E230F1" w:rsidP="00E230F1">
      <w:bookmarkStart w:id="130" w:name="_Hlk100669420"/>
      <w:r w:rsidRPr="00D737BD">
        <w:t>The main issue relating to the proposed paediatric PNH indication is the lack of data for paediatric PNH patients &lt; 30 kg</w:t>
      </w:r>
      <w:bookmarkStart w:id="131" w:name="_Hlk100670479"/>
      <w:bookmarkEnd w:id="130"/>
      <w:r>
        <w:rPr>
          <w:rFonts w:asciiTheme="minorHAnsi" w:hAnsiTheme="minorHAnsi"/>
        </w:rPr>
        <w:t xml:space="preserve">. </w:t>
      </w:r>
      <w:r w:rsidRPr="008A36A0">
        <w:t xml:space="preserve">The </w:t>
      </w:r>
      <w:r w:rsidR="00856026">
        <w:t>sponsor</w:t>
      </w:r>
      <w:r w:rsidRPr="008A36A0">
        <w:t xml:space="preserve"> proposes use in paediatric PNH patients with body weight &lt; 30 kg based on extrapolation of </w:t>
      </w:r>
      <w:r w:rsidR="00FE589C">
        <w:t>pharmacokinetic/pharmacodynamic</w:t>
      </w:r>
      <w:r w:rsidRPr="008A36A0">
        <w:t xml:space="preserve">, efficacy and safety data in paediatric PNH </w:t>
      </w:r>
      <w:r w:rsidRPr="00800AC2">
        <w:t>patients with body weight ≥ 30 kg using supplementary data from adult PNH patients and patients with aHUS. The extrapolation approach is stated to be in line with the EMA Paediatric Investigation Plan.</w:t>
      </w:r>
    </w:p>
    <w:p w14:paraId="4ABA5363" w14:textId="01F1B28B" w:rsidR="00E230F1" w:rsidRPr="003E2382" w:rsidRDefault="00E230F1" w:rsidP="003E2382">
      <w:r w:rsidRPr="003E2382">
        <w:t xml:space="preserve">The proposed ravulizumab dosing regimen in paediatric PNH patients is identical to the ravulizumab dosing regimen in paediatric aHUS patients. The </w:t>
      </w:r>
      <w:r w:rsidR="00FE589C" w:rsidRPr="003E2382">
        <w:t>p</w:t>
      </w:r>
      <w:r w:rsidRPr="003E2382">
        <w:t xml:space="preserve">harmacometrics expert considered available data supported the weight-based dosing regimen for paediatric PNH patients over the body weight range studied (36.7 to 72.0 kg </w:t>
      </w:r>
      <w:r w:rsidR="00FD0821" w:rsidRPr="003E2382">
        <w:t>at Baseline</w:t>
      </w:r>
      <w:r w:rsidRPr="003E2382">
        <w:t xml:space="preserve">). Efficacy outcomes for common endpoints LDH, </w:t>
      </w:r>
      <w:r w:rsidR="0000270D" w:rsidRPr="003E2382">
        <w:t>transfusion avoidance</w:t>
      </w:r>
      <w:r w:rsidRPr="003E2382">
        <w:t xml:space="preserve"> and </w:t>
      </w:r>
      <w:r w:rsidR="00B70E76" w:rsidRPr="00B70E76">
        <w:t>haemoglobin</w:t>
      </w:r>
      <w:r w:rsidRPr="003E2382">
        <w:t xml:space="preserve"> stabilisation for paediatric PNH patients were generally consistent with those observed for adult PNH patients treated with ravulizumab. </w:t>
      </w:r>
      <w:bookmarkStart w:id="132" w:name="_Hlk101811469"/>
      <w:r w:rsidRPr="003E2382">
        <w:t xml:space="preserve">As the disease pathophysiology is similar in adults and children, the Delegate considers an extrapolation approach in principle is acceptable. However, advice from the Committee will be requested regarding the proposed use of ravulizumab in paediatric PNH patients </w:t>
      </w:r>
      <w:r w:rsidR="00632122">
        <w:t xml:space="preserve">below </w:t>
      </w:r>
      <w:r w:rsidRPr="003E2382">
        <w:t xml:space="preserve">30 kg, given the limited clinical data and </w:t>
      </w:r>
      <w:proofErr w:type="gramStart"/>
      <w:r w:rsidRPr="003E2382">
        <w:t>aforementioned uncertainties</w:t>
      </w:r>
      <w:proofErr w:type="gramEnd"/>
      <w:r w:rsidRPr="003E2382">
        <w:t xml:space="preserve"> regarding the body weight limit in paediatric aHUS patients that is adequately supported by the evidence.</w:t>
      </w:r>
      <w:bookmarkEnd w:id="131"/>
      <w:bookmarkEnd w:id="132"/>
    </w:p>
    <w:p w14:paraId="3916F296" w14:textId="77777777" w:rsidR="00C22214" w:rsidRDefault="00C22214" w:rsidP="00C22214">
      <w:pPr>
        <w:pStyle w:val="Heading4"/>
      </w:pPr>
      <w:bookmarkStart w:id="133" w:name="_Toc98931933"/>
      <w:bookmarkStart w:id="134" w:name="_Toc135662388"/>
      <w:r w:rsidRPr="00D23139">
        <w:t>Proposed action</w:t>
      </w:r>
      <w:bookmarkEnd w:id="133"/>
      <w:bookmarkEnd w:id="134"/>
    </w:p>
    <w:p w14:paraId="45463161" w14:textId="33A7A581" w:rsidR="00E230F1" w:rsidRPr="00E230F1" w:rsidRDefault="00632122" w:rsidP="00E230F1">
      <w:r>
        <w:t xml:space="preserve">Paroxysmal nocturnal haemoglobinuria </w:t>
      </w:r>
      <w:r w:rsidR="00E230F1">
        <w:t xml:space="preserve">and </w:t>
      </w:r>
      <w:r>
        <w:t>atypical haemolytic uraemic syndrome</w:t>
      </w:r>
      <w:r w:rsidR="00E230F1">
        <w:t xml:space="preserve"> are rare, </w:t>
      </w:r>
      <w:proofErr w:type="gramStart"/>
      <w:r w:rsidR="00E230F1">
        <w:t>progressive</w:t>
      </w:r>
      <w:proofErr w:type="gramEnd"/>
      <w:r w:rsidR="00E230F1">
        <w:t xml:space="preserve"> and potentially life-threatening diseases. The available data to support the proposed use is acknowledged given the rare disease setting. The Delegate considers there is evidence to support use of ravulizumab in aHUS and in paediatric PNH </w:t>
      </w:r>
      <w:r w:rsidR="00E230F1" w:rsidRPr="00800AC2">
        <w:t>patients however there are outstanding issues particularly in relation to the body weight limit for use of ravulizumab in paediatric patients, the extrapolation approach to support use in</w:t>
      </w:r>
      <w:r w:rsidR="00E230F1" w:rsidRPr="00360B2C">
        <w:t xml:space="preserve"> paediatric PNH patients</w:t>
      </w:r>
      <w:r w:rsidR="00E230F1">
        <w:t xml:space="preserve">, and the proposed wording of the </w:t>
      </w:r>
      <w:proofErr w:type="gramStart"/>
      <w:r w:rsidR="00E230F1">
        <w:t>aHUS</w:t>
      </w:r>
      <w:proofErr w:type="gramEnd"/>
      <w:r w:rsidR="00E230F1">
        <w:t xml:space="preserve"> indication for which the advice of the Committee is sought.</w:t>
      </w:r>
    </w:p>
    <w:p w14:paraId="0D171812" w14:textId="77777777" w:rsidR="00C22214" w:rsidRDefault="00C22214" w:rsidP="00C22214">
      <w:pPr>
        <w:pStyle w:val="Heading4"/>
      </w:pPr>
      <w:bookmarkStart w:id="135" w:name="_Toc135662389"/>
      <w:r>
        <w:lastRenderedPageBreak/>
        <w:t>Independent expert advice</w:t>
      </w:r>
      <w:bookmarkEnd w:id="135"/>
    </w:p>
    <w:p w14:paraId="2F22A5A6" w14:textId="258EA520" w:rsidR="00AB6E1E" w:rsidRDefault="0010581D" w:rsidP="00C22214">
      <w:pPr>
        <w:rPr>
          <w:szCs w:val="22"/>
        </w:rPr>
      </w:pPr>
      <w:r>
        <w:rPr>
          <w:szCs w:val="22"/>
        </w:rPr>
        <w:t>Specific pharmacometrics expert advice was sought</w:t>
      </w:r>
      <w:r w:rsidR="00AB6E1E">
        <w:rPr>
          <w:szCs w:val="22"/>
        </w:rPr>
        <w:t xml:space="preserve"> by the Delegate</w:t>
      </w:r>
      <w:r>
        <w:rPr>
          <w:szCs w:val="22"/>
        </w:rPr>
        <w:t xml:space="preserve"> as part of the evaluatio</w:t>
      </w:r>
      <w:r w:rsidR="00AB6E1E">
        <w:rPr>
          <w:szCs w:val="22"/>
        </w:rPr>
        <w:t>n of this submission,</w:t>
      </w:r>
      <w:r>
        <w:rPr>
          <w:szCs w:val="22"/>
        </w:rPr>
        <w:t xml:space="preserve"> </w:t>
      </w:r>
      <w:proofErr w:type="gramStart"/>
      <w:r>
        <w:rPr>
          <w:szCs w:val="22"/>
        </w:rPr>
        <w:t>with regard to</w:t>
      </w:r>
      <w:proofErr w:type="gramEnd"/>
      <w:r>
        <w:rPr>
          <w:szCs w:val="22"/>
        </w:rPr>
        <w:t xml:space="preserve"> the proposed dosing regimen in </w:t>
      </w:r>
      <w:r w:rsidR="00AB6E1E">
        <w:rPr>
          <w:szCs w:val="22"/>
        </w:rPr>
        <w:t xml:space="preserve">paediatric patients with </w:t>
      </w:r>
      <w:r>
        <w:rPr>
          <w:szCs w:val="22"/>
        </w:rPr>
        <w:t>aHUS and PNH.</w:t>
      </w:r>
    </w:p>
    <w:p w14:paraId="3BDC8CB9" w14:textId="566D68A3" w:rsidR="00C35A9E" w:rsidRDefault="00AB6E1E" w:rsidP="00C22214">
      <w:pPr>
        <w:rPr>
          <w:szCs w:val="22"/>
        </w:rPr>
      </w:pPr>
      <w:r>
        <w:rPr>
          <w:szCs w:val="22"/>
        </w:rPr>
        <w:t>Where</w:t>
      </w:r>
      <w:r w:rsidR="00C35A9E">
        <w:rPr>
          <w:szCs w:val="22"/>
        </w:rPr>
        <w:t xml:space="preserve"> the advice provided has been relevant </w:t>
      </w:r>
      <w:r w:rsidR="00F9394E">
        <w:rPr>
          <w:szCs w:val="22"/>
        </w:rPr>
        <w:t xml:space="preserve">(see the </w:t>
      </w:r>
      <w:r w:rsidR="00F9394E" w:rsidRPr="00B7037B">
        <w:rPr>
          <w:i/>
          <w:szCs w:val="22"/>
        </w:rPr>
        <w:fldChar w:fldCharType="begin"/>
      </w:r>
      <w:r w:rsidR="00F9394E" w:rsidRPr="00B7037B">
        <w:rPr>
          <w:i/>
          <w:szCs w:val="22"/>
        </w:rPr>
        <w:instrText xml:space="preserve"> REF _Ref135398473 \h </w:instrText>
      </w:r>
      <w:r w:rsidR="00F9394E">
        <w:rPr>
          <w:i/>
          <w:szCs w:val="22"/>
        </w:rPr>
        <w:instrText xml:space="preserve"> \* MERGEFORMAT </w:instrText>
      </w:r>
      <w:r w:rsidR="00F9394E" w:rsidRPr="00B7037B">
        <w:rPr>
          <w:i/>
          <w:szCs w:val="22"/>
        </w:rPr>
      </w:r>
      <w:r w:rsidR="00F9394E" w:rsidRPr="00B7037B">
        <w:rPr>
          <w:i/>
          <w:szCs w:val="22"/>
        </w:rPr>
        <w:fldChar w:fldCharType="separate"/>
      </w:r>
      <w:r w:rsidR="00F9394E" w:rsidRPr="00B7037B">
        <w:rPr>
          <w:i/>
        </w:rPr>
        <w:t>Population pharmacokinetics data</w:t>
      </w:r>
      <w:r w:rsidR="00F9394E" w:rsidRPr="00B7037B">
        <w:rPr>
          <w:i/>
          <w:szCs w:val="22"/>
        </w:rPr>
        <w:fldChar w:fldCharType="end"/>
      </w:r>
      <w:r w:rsidR="00F9394E">
        <w:rPr>
          <w:i/>
          <w:szCs w:val="22"/>
        </w:rPr>
        <w:t>,</w:t>
      </w:r>
      <w:r w:rsidR="00F9394E">
        <w:rPr>
          <w:szCs w:val="22"/>
        </w:rPr>
        <w:t xml:space="preserve"> </w:t>
      </w:r>
      <w:r w:rsidR="00F9394E" w:rsidRPr="00B7037B">
        <w:rPr>
          <w:i/>
          <w:szCs w:val="22"/>
        </w:rPr>
        <w:fldChar w:fldCharType="begin"/>
      </w:r>
      <w:r w:rsidR="00F9394E" w:rsidRPr="00B7037B">
        <w:rPr>
          <w:i/>
          <w:szCs w:val="22"/>
        </w:rPr>
        <w:instrText xml:space="preserve"> REF _Ref135398480 \h </w:instrText>
      </w:r>
      <w:r w:rsidR="00F9394E">
        <w:rPr>
          <w:i/>
          <w:szCs w:val="22"/>
        </w:rPr>
        <w:instrText xml:space="preserve"> \* MERGEFORMAT </w:instrText>
      </w:r>
      <w:r w:rsidR="00F9394E" w:rsidRPr="00B7037B">
        <w:rPr>
          <w:i/>
          <w:szCs w:val="22"/>
        </w:rPr>
      </w:r>
      <w:r w:rsidR="00F9394E" w:rsidRPr="00B7037B">
        <w:rPr>
          <w:i/>
          <w:szCs w:val="22"/>
        </w:rPr>
        <w:fldChar w:fldCharType="separate"/>
      </w:r>
      <w:r w:rsidR="00F9394E" w:rsidRPr="00B7037B">
        <w:rPr>
          <w:i/>
        </w:rPr>
        <w:t>Pharmacodynamics</w:t>
      </w:r>
      <w:r w:rsidR="00F9394E" w:rsidRPr="00B7037B">
        <w:rPr>
          <w:i/>
          <w:szCs w:val="22"/>
        </w:rPr>
        <w:fldChar w:fldCharType="end"/>
      </w:r>
      <w:r w:rsidR="00F9394E">
        <w:rPr>
          <w:i/>
          <w:szCs w:val="22"/>
        </w:rPr>
        <w:t xml:space="preserve">, </w:t>
      </w:r>
      <w:r w:rsidR="00F9394E" w:rsidRPr="00B7037B">
        <w:rPr>
          <w:szCs w:val="22"/>
        </w:rPr>
        <w:t xml:space="preserve">and </w:t>
      </w:r>
      <w:r w:rsidR="00F9394E" w:rsidRPr="00B7037B">
        <w:rPr>
          <w:i/>
          <w:szCs w:val="22"/>
        </w:rPr>
        <w:fldChar w:fldCharType="begin"/>
      </w:r>
      <w:r w:rsidR="00F9394E" w:rsidRPr="00B7037B">
        <w:rPr>
          <w:i/>
          <w:szCs w:val="22"/>
        </w:rPr>
        <w:instrText xml:space="preserve"> REF _Ref135398558 \h </w:instrText>
      </w:r>
      <w:r w:rsidR="00F9394E">
        <w:rPr>
          <w:i/>
          <w:szCs w:val="22"/>
        </w:rPr>
        <w:instrText xml:space="preserve"> \* MERGEFORMAT </w:instrText>
      </w:r>
      <w:r w:rsidR="00F9394E" w:rsidRPr="00B7037B">
        <w:rPr>
          <w:i/>
          <w:szCs w:val="22"/>
        </w:rPr>
      </w:r>
      <w:r w:rsidR="00F9394E" w:rsidRPr="00B7037B">
        <w:rPr>
          <w:i/>
          <w:szCs w:val="22"/>
        </w:rPr>
        <w:fldChar w:fldCharType="separate"/>
      </w:r>
      <w:r w:rsidR="00F9394E" w:rsidRPr="00B7037B">
        <w:rPr>
          <w:i/>
        </w:rPr>
        <w:t>Delegate’s considerations</w:t>
      </w:r>
      <w:r w:rsidR="00F9394E" w:rsidRPr="00B7037B">
        <w:rPr>
          <w:i/>
          <w:szCs w:val="22"/>
        </w:rPr>
        <w:fldChar w:fldCharType="end"/>
      </w:r>
      <w:r w:rsidR="00F9394E">
        <w:rPr>
          <w:i/>
          <w:szCs w:val="22"/>
        </w:rPr>
        <w:t xml:space="preserve"> </w:t>
      </w:r>
      <w:r w:rsidR="00F9394E">
        <w:rPr>
          <w:szCs w:val="22"/>
        </w:rPr>
        <w:t>sections</w:t>
      </w:r>
      <w:r w:rsidR="00F9394E">
        <w:rPr>
          <w:i/>
          <w:szCs w:val="22"/>
        </w:rPr>
        <w:t xml:space="preserve">, </w:t>
      </w:r>
      <w:r w:rsidR="00F9394E">
        <w:rPr>
          <w:szCs w:val="22"/>
        </w:rPr>
        <w:t>above)</w:t>
      </w:r>
      <w:r w:rsidR="00C35A9E">
        <w:rPr>
          <w:szCs w:val="22"/>
        </w:rPr>
        <w:t xml:space="preserve">, </w:t>
      </w:r>
      <w:r w:rsidR="00806F0F">
        <w:rPr>
          <w:szCs w:val="22"/>
        </w:rPr>
        <w:t>that</w:t>
      </w:r>
      <w:r w:rsidR="00C35A9E">
        <w:rPr>
          <w:szCs w:val="22"/>
        </w:rPr>
        <w:t xml:space="preserve"> advice has been integrated into the text and </w:t>
      </w:r>
      <w:r w:rsidR="00806F0F">
        <w:rPr>
          <w:szCs w:val="22"/>
        </w:rPr>
        <w:t>is</w:t>
      </w:r>
      <w:r w:rsidR="00C35A9E">
        <w:rPr>
          <w:szCs w:val="22"/>
        </w:rPr>
        <w:t xml:space="preserve"> clearly stated as </w:t>
      </w:r>
      <w:r w:rsidR="00806F0F">
        <w:rPr>
          <w:szCs w:val="22"/>
        </w:rPr>
        <w:t xml:space="preserve">having </w:t>
      </w:r>
      <w:r w:rsidR="00C35A9E">
        <w:rPr>
          <w:szCs w:val="22"/>
        </w:rPr>
        <w:t>being provided by the pharmacometrics expert.</w:t>
      </w:r>
    </w:p>
    <w:p w14:paraId="318CFABC" w14:textId="77777777" w:rsidR="00C22214" w:rsidRPr="00F73346" w:rsidRDefault="00C22214" w:rsidP="00C22214">
      <w:pPr>
        <w:pStyle w:val="Heading4"/>
      </w:pPr>
      <w:bookmarkStart w:id="136" w:name="_Toc98931936"/>
      <w:bookmarkStart w:id="137" w:name="_Ref135309350"/>
      <w:bookmarkStart w:id="138" w:name="_Ref135396120"/>
      <w:bookmarkStart w:id="139" w:name="_Toc135662390"/>
      <w:bookmarkStart w:id="140" w:name="_Toc247691532"/>
      <w:bookmarkStart w:id="141" w:name="_Toc314842516"/>
      <w:r w:rsidRPr="00F73346">
        <w:t>Advisory Committee considerations</w:t>
      </w:r>
      <w:bookmarkEnd w:id="136"/>
      <w:bookmarkEnd w:id="137"/>
      <w:bookmarkEnd w:id="138"/>
      <w:bookmarkEnd w:id="139"/>
    </w:p>
    <w:p w14:paraId="087BB9CB" w14:textId="22C970CB" w:rsidR="00C22214" w:rsidRPr="00BD5DBD" w:rsidRDefault="00C22214" w:rsidP="00C22214">
      <w:pPr>
        <w:rPr>
          <w:bCs/>
          <w:szCs w:val="22"/>
        </w:rPr>
      </w:pPr>
      <w:r w:rsidRPr="00BD5DBD">
        <w:rPr>
          <w:bCs/>
          <w:szCs w:val="22"/>
        </w:rPr>
        <w:t xml:space="preserve">The </w:t>
      </w:r>
      <w:hyperlink r:id="rId67"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007ABF6E" w14:textId="77777777" w:rsidR="00806F0F" w:rsidRDefault="00E230F1" w:rsidP="00E230F1">
      <w:pPr>
        <w:pStyle w:val="Numberbullet0"/>
        <w:numPr>
          <w:ilvl w:val="0"/>
          <w:numId w:val="9"/>
        </w:numPr>
        <w:spacing w:after="120"/>
        <w:ind w:left="425" w:hanging="425"/>
        <w:rPr>
          <w:b/>
          <w:bCs/>
          <w:i/>
          <w:iCs/>
        </w:rPr>
      </w:pPr>
      <w:r w:rsidRPr="00D001B9">
        <w:rPr>
          <w:b/>
          <w:bCs/>
          <w:i/>
          <w:iCs/>
        </w:rPr>
        <w:t xml:space="preserve">The </w:t>
      </w:r>
      <w:r w:rsidR="00856026">
        <w:rPr>
          <w:b/>
          <w:bCs/>
          <w:i/>
          <w:iCs/>
        </w:rPr>
        <w:t>sponsor</w:t>
      </w:r>
      <w:r w:rsidRPr="00D001B9">
        <w:rPr>
          <w:b/>
          <w:bCs/>
          <w:i/>
          <w:iCs/>
        </w:rPr>
        <w:t xml:space="preserve"> proposes a single weight-based dosing regimen for </w:t>
      </w:r>
      <w:r w:rsidR="00F9394E">
        <w:rPr>
          <w:b/>
          <w:bCs/>
          <w:i/>
          <w:iCs/>
        </w:rPr>
        <w:t>paroxysmal nocturnal haemoglobinuria (</w:t>
      </w:r>
      <w:r w:rsidRPr="00D001B9">
        <w:rPr>
          <w:b/>
          <w:bCs/>
          <w:i/>
          <w:iCs/>
        </w:rPr>
        <w:t>PNH</w:t>
      </w:r>
      <w:r w:rsidR="00F9394E">
        <w:rPr>
          <w:b/>
          <w:bCs/>
          <w:i/>
          <w:iCs/>
        </w:rPr>
        <w:t>)</w:t>
      </w:r>
      <w:r w:rsidRPr="00D001B9">
        <w:rPr>
          <w:b/>
          <w:bCs/>
          <w:i/>
          <w:iCs/>
        </w:rPr>
        <w:t xml:space="preserve"> and </w:t>
      </w:r>
      <w:r w:rsidR="00806F0F">
        <w:rPr>
          <w:b/>
          <w:bCs/>
          <w:i/>
          <w:iCs/>
        </w:rPr>
        <w:t>atypical haemolytic uraemic syndrome (</w:t>
      </w:r>
      <w:r w:rsidRPr="00D001B9">
        <w:rPr>
          <w:b/>
          <w:bCs/>
          <w:i/>
          <w:iCs/>
        </w:rPr>
        <w:t>aHUS</w:t>
      </w:r>
      <w:r w:rsidR="00806F0F">
        <w:rPr>
          <w:b/>
          <w:bCs/>
          <w:i/>
          <w:iCs/>
        </w:rPr>
        <w:t>)</w:t>
      </w:r>
      <w:r w:rsidRPr="00D001B9">
        <w:rPr>
          <w:b/>
          <w:bCs/>
          <w:i/>
          <w:iCs/>
        </w:rPr>
        <w:t xml:space="preserve"> patients with body weight ≥ 5 kg.</w:t>
      </w:r>
    </w:p>
    <w:p w14:paraId="78356FE5" w14:textId="162EEE66" w:rsidR="00856026" w:rsidRDefault="00E230F1" w:rsidP="0084036E">
      <w:pPr>
        <w:pStyle w:val="Numberbullet0"/>
        <w:numPr>
          <w:ilvl w:val="0"/>
          <w:numId w:val="0"/>
        </w:numPr>
        <w:spacing w:after="120"/>
        <w:ind w:left="425"/>
        <w:rPr>
          <w:b/>
          <w:bCs/>
          <w:i/>
          <w:iCs/>
        </w:rPr>
      </w:pPr>
      <w:r w:rsidRPr="00D001B9">
        <w:rPr>
          <w:b/>
          <w:bCs/>
          <w:i/>
          <w:iCs/>
        </w:rPr>
        <w:t>Does the Committee consider the evidence supports use of ravulizumab in patients with body weight ≥ 5 kg, ≥ 10 kg or ≥ 20 kg?</w:t>
      </w:r>
    </w:p>
    <w:p w14:paraId="28789A29" w14:textId="0DC33DFE" w:rsidR="00856026" w:rsidRDefault="00E230F1" w:rsidP="00E230F1">
      <w:r>
        <w:t>The ACM noted that the clinical trials included a very limited number (</w:t>
      </w:r>
      <w:r w:rsidR="003E2382">
        <w:t>three</w:t>
      </w:r>
      <w:r>
        <w:t>) of patients weighing less than 10 kg and acknowledged that the limited evidence causes some challenges in determining suitability within those weighing less than 10 kg. However, the ACM noted the rareness of these disorders and the difficulty recruiting participants.</w:t>
      </w:r>
    </w:p>
    <w:p w14:paraId="1C76B92C" w14:textId="3512ACB6" w:rsidR="00E230F1" w:rsidRDefault="00E230F1" w:rsidP="00E230F1">
      <w:r>
        <w:t>The ACM considered the pharmacokinetic modelling which indicated that there are minimal differences in the parameters between adults with PNH and adults and paediatrics with aHUS. This provided the ACM with reassurance regarding the usage of ravulizumab in those weighing less than 10 kg. The ACM did however note that there is potential underprediction of ravulizumab concentrations within the less than 20 kg group in the model, however given the small participant numbers (n = 9) and the coverage of the confidence intervals, this model was considered adequate.</w:t>
      </w:r>
    </w:p>
    <w:p w14:paraId="11AA7E5E" w14:textId="77777777" w:rsidR="00E230F1" w:rsidRDefault="00E230F1" w:rsidP="00E230F1">
      <w:r>
        <w:t xml:space="preserve">The ACM also highlighted </w:t>
      </w:r>
      <w:proofErr w:type="gramStart"/>
      <w:r>
        <w:t>that children</w:t>
      </w:r>
      <w:proofErr w:type="gramEnd"/>
      <w:r>
        <w:t xml:space="preserve"> would grow over the course of treatment / during the clinical trial period and move into higher weight bands.</w:t>
      </w:r>
    </w:p>
    <w:p w14:paraId="54BE8429" w14:textId="77777777" w:rsidR="00E230F1" w:rsidRDefault="00E230F1" w:rsidP="00E230F1">
      <w:r>
        <w:t>On balance, the ACM was of the view that it is not necessary to include weight-based restrictions within the indication as the modelling and kinetics do not indicate there are likely to be any clinically important differences with lower weights.</w:t>
      </w:r>
    </w:p>
    <w:p w14:paraId="0A58E670" w14:textId="77777777" w:rsidR="00806F0F" w:rsidRDefault="00E230F1" w:rsidP="00E230F1">
      <w:pPr>
        <w:pStyle w:val="Numberbullet0"/>
        <w:spacing w:after="120"/>
        <w:ind w:left="425" w:hanging="425"/>
        <w:rPr>
          <w:b/>
          <w:bCs/>
          <w:i/>
          <w:iCs/>
        </w:rPr>
      </w:pPr>
      <w:r w:rsidRPr="00D001B9">
        <w:rPr>
          <w:b/>
          <w:bCs/>
          <w:i/>
          <w:iCs/>
        </w:rPr>
        <w:t>There are no data for paediatric PNH patients with body weight &lt; 30 kg.</w:t>
      </w:r>
    </w:p>
    <w:p w14:paraId="75DBF3DC" w14:textId="217C72FB" w:rsidR="00856026" w:rsidRDefault="00E230F1" w:rsidP="0084036E">
      <w:pPr>
        <w:pStyle w:val="Numberbullet0"/>
        <w:numPr>
          <w:ilvl w:val="0"/>
          <w:numId w:val="0"/>
        </w:numPr>
        <w:spacing w:after="120"/>
        <w:ind w:left="425"/>
        <w:rPr>
          <w:b/>
          <w:bCs/>
          <w:i/>
          <w:iCs/>
        </w:rPr>
      </w:pPr>
      <w:r w:rsidRPr="00D001B9">
        <w:rPr>
          <w:b/>
          <w:bCs/>
          <w:i/>
          <w:iCs/>
        </w:rPr>
        <w:t xml:space="preserve">Does the Committee consider extrapolation of </w:t>
      </w:r>
      <w:r w:rsidR="00FE589C">
        <w:rPr>
          <w:b/>
          <w:bCs/>
          <w:i/>
          <w:iCs/>
        </w:rPr>
        <w:t>pharmacokinetic/pharmacodynamic</w:t>
      </w:r>
      <w:r w:rsidRPr="00D001B9">
        <w:rPr>
          <w:b/>
          <w:bCs/>
          <w:i/>
          <w:iCs/>
        </w:rPr>
        <w:t xml:space="preserve"> and efficacy data to support use in paediatric patients with body weight &lt; 30 kg is adequately supported by the evidence?</w:t>
      </w:r>
    </w:p>
    <w:p w14:paraId="039703DE" w14:textId="25668DCD" w:rsidR="00856026" w:rsidRDefault="00E230F1" w:rsidP="00E230F1">
      <w:r>
        <w:t xml:space="preserve">The ACM was of the view that the extrapolation of </w:t>
      </w:r>
      <w:r w:rsidR="00472EEA">
        <w:t>pharmacokinetic/pharmacodynamic</w:t>
      </w:r>
      <w:r>
        <w:t xml:space="preserve"> and efficacy data to support use in paediatric patients with a body weight of less than 30 kg is adequately supported by the evidence.</w:t>
      </w:r>
    </w:p>
    <w:p w14:paraId="465F1AB4" w14:textId="12272A86" w:rsidR="00E230F1" w:rsidRDefault="00E230F1" w:rsidP="00E230F1">
      <w:r>
        <w:lastRenderedPageBreak/>
        <w:t>In making this recommendation the ACM noted that a risk-based approach is appropriate noting the rareness of the disorder and that obtaining further data within this lower weight range will be difficult.</w:t>
      </w:r>
    </w:p>
    <w:p w14:paraId="499038F1" w14:textId="77777777" w:rsidR="00E230F1" w:rsidRDefault="00E230F1" w:rsidP="00E230F1">
      <w:r>
        <w:t>The ACM also noted that there is no reason to expect a change in kinetics with monoclonal antibodies with a change is weight.</w:t>
      </w:r>
    </w:p>
    <w:p w14:paraId="3CE54F51" w14:textId="77777777" w:rsidR="00E230F1" w:rsidRDefault="00E230F1" w:rsidP="00E230F1">
      <w:r>
        <w:t>The ACM reiterated that the model demonstrated minimal differences in the parameters between adults with PNH and adults and paediatrics with aHUS and indicated that this learning can be applied to PNH given the similarities between the aHUS and PNH clinical trials.</w:t>
      </w:r>
    </w:p>
    <w:p w14:paraId="56A84F77" w14:textId="77777777" w:rsidR="00856026" w:rsidRDefault="00E230F1" w:rsidP="00E230F1">
      <w:pPr>
        <w:pStyle w:val="Numberbullet0"/>
        <w:spacing w:after="120"/>
        <w:ind w:left="425" w:hanging="425"/>
        <w:rPr>
          <w:b/>
          <w:bCs/>
          <w:i/>
          <w:iCs/>
        </w:rPr>
      </w:pPr>
      <w:r w:rsidRPr="00D001B9">
        <w:rPr>
          <w:b/>
          <w:bCs/>
          <w:i/>
          <w:iCs/>
        </w:rPr>
        <w:t>Does the Committee consider aHUS to be a similar disease in paediatric and adult patients such that data for eculizumab-experienced paediatric patients can be extrapolated to adults?</w:t>
      </w:r>
    </w:p>
    <w:p w14:paraId="32D24C80" w14:textId="537BFD11" w:rsidR="00E230F1" w:rsidRDefault="00E230F1" w:rsidP="00E230F1">
      <w:r>
        <w:t>The ACM was of the view that it is reasonable to extrapolate the eculizumab-experienced paediatric data to adults as the disease pathophysiology is similar in adults and children. The ACM noted there does not appear to be a pharmacokinetic difference or a pharmacodynamic difference with the key biomarker (C5) between adults and children.</w:t>
      </w:r>
    </w:p>
    <w:p w14:paraId="48CD985A" w14:textId="77777777" w:rsidR="00E230F1" w:rsidRDefault="00E230F1" w:rsidP="00E230F1">
      <w:r>
        <w:t>The ACM advised that while the triggers to initiate disease onset may differ between adults and children, the underlying genetic cause is the same. Furthermore, regardless of age of onset the result is a lack of inhibition of the complement pathway with serious consequences.</w:t>
      </w:r>
    </w:p>
    <w:p w14:paraId="04357015" w14:textId="77777777" w:rsidR="00806F0F" w:rsidRDefault="00E230F1" w:rsidP="00E230F1">
      <w:pPr>
        <w:pStyle w:val="Numberbullet0"/>
        <w:spacing w:after="120"/>
        <w:ind w:left="425" w:hanging="425"/>
        <w:rPr>
          <w:b/>
          <w:bCs/>
          <w:i/>
          <w:iCs/>
        </w:rPr>
      </w:pPr>
      <w:r w:rsidRPr="00D001B9">
        <w:rPr>
          <w:b/>
          <w:bCs/>
          <w:i/>
          <w:iCs/>
        </w:rPr>
        <w:t xml:space="preserve">There are no data for aHUS </w:t>
      </w:r>
      <w:proofErr w:type="gramStart"/>
      <w:r w:rsidRPr="00D001B9">
        <w:rPr>
          <w:b/>
          <w:bCs/>
          <w:i/>
          <w:iCs/>
        </w:rPr>
        <w:t>patients</w:t>
      </w:r>
      <w:proofErr w:type="gramEnd"/>
      <w:r w:rsidRPr="00D001B9">
        <w:rPr>
          <w:b/>
          <w:bCs/>
          <w:i/>
          <w:iCs/>
        </w:rPr>
        <w:t xml:space="preserve"> refractory to eculizumab treatment.</w:t>
      </w:r>
    </w:p>
    <w:p w14:paraId="3FF3065C" w14:textId="1DA86F23" w:rsidR="00856026" w:rsidRDefault="00E230F1" w:rsidP="0084036E">
      <w:pPr>
        <w:pStyle w:val="Numberbullet0"/>
        <w:numPr>
          <w:ilvl w:val="0"/>
          <w:numId w:val="0"/>
        </w:numPr>
        <w:spacing w:after="120"/>
        <w:ind w:left="425"/>
        <w:rPr>
          <w:b/>
          <w:bCs/>
          <w:i/>
          <w:iCs/>
        </w:rPr>
      </w:pPr>
      <w:r w:rsidRPr="00D001B9">
        <w:rPr>
          <w:b/>
          <w:bCs/>
          <w:i/>
          <w:iCs/>
        </w:rPr>
        <w:t xml:space="preserve">Does the Committee consider the proposed wording of the </w:t>
      </w:r>
      <w:proofErr w:type="gramStart"/>
      <w:r w:rsidRPr="00D001B9">
        <w:rPr>
          <w:b/>
          <w:bCs/>
          <w:i/>
          <w:iCs/>
        </w:rPr>
        <w:t>aHUS</w:t>
      </w:r>
      <w:proofErr w:type="gramEnd"/>
      <w:r w:rsidRPr="00D001B9">
        <w:rPr>
          <w:b/>
          <w:bCs/>
          <w:i/>
          <w:iCs/>
        </w:rPr>
        <w:t xml:space="preserve"> indication ‘treatment of </w:t>
      </w:r>
      <w:proofErr w:type="spellStart"/>
      <w:r w:rsidRPr="00D001B9">
        <w:rPr>
          <w:b/>
          <w:bCs/>
          <w:i/>
          <w:iCs/>
        </w:rPr>
        <w:t>aHUS’</w:t>
      </w:r>
      <w:proofErr w:type="spellEnd"/>
      <w:r w:rsidRPr="00D001B9">
        <w:rPr>
          <w:b/>
          <w:bCs/>
          <w:i/>
          <w:iCs/>
        </w:rPr>
        <w:t xml:space="preserve"> acceptable or should the indication specify use in patients who are complement inhibitor treatment-</w:t>
      </w:r>
      <w:r w:rsidR="00446075">
        <w:rPr>
          <w:b/>
          <w:bCs/>
          <w:i/>
          <w:iCs/>
        </w:rPr>
        <w:t>naive</w:t>
      </w:r>
      <w:r w:rsidRPr="00D001B9">
        <w:rPr>
          <w:b/>
          <w:bCs/>
          <w:i/>
          <w:iCs/>
        </w:rPr>
        <w:t xml:space="preserve"> or have received eculizumab for at</w:t>
      </w:r>
      <w:r w:rsidR="00806F0F">
        <w:rPr>
          <w:b/>
          <w:bCs/>
          <w:i/>
          <w:iCs/>
        </w:rPr>
        <w:t> </w:t>
      </w:r>
      <w:r w:rsidRPr="00D001B9">
        <w:rPr>
          <w:b/>
          <w:bCs/>
          <w:i/>
          <w:iCs/>
        </w:rPr>
        <w:t>least</w:t>
      </w:r>
      <w:r w:rsidR="00806F0F">
        <w:rPr>
          <w:b/>
          <w:bCs/>
          <w:i/>
          <w:iCs/>
        </w:rPr>
        <w:t> </w:t>
      </w:r>
      <w:r w:rsidRPr="00D001B9">
        <w:rPr>
          <w:b/>
          <w:bCs/>
          <w:i/>
          <w:iCs/>
        </w:rPr>
        <w:t>3</w:t>
      </w:r>
      <w:r w:rsidR="00806F0F">
        <w:rPr>
          <w:b/>
          <w:bCs/>
          <w:i/>
          <w:iCs/>
        </w:rPr>
        <w:t> </w:t>
      </w:r>
      <w:r w:rsidRPr="00D001B9">
        <w:rPr>
          <w:b/>
          <w:bCs/>
          <w:i/>
          <w:iCs/>
        </w:rPr>
        <w:t>months and have evidence of response to eculizumab?</w:t>
      </w:r>
    </w:p>
    <w:p w14:paraId="3585A1AD" w14:textId="11FD5D5A" w:rsidR="00E230F1" w:rsidRDefault="00E230F1" w:rsidP="00E230F1">
      <w:r>
        <w:t xml:space="preserve">The ACM was of the view that the proposed wording of the </w:t>
      </w:r>
      <w:proofErr w:type="gramStart"/>
      <w:r>
        <w:t>aHUS</w:t>
      </w:r>
      <w:proofErr w:type="gramEnd"/>
      <w:r>
        <w:t xml:space="preserve"> indication, being ‘treatment of </w:t>
      </w:r>
      <w:proofErr w:type="spellStart"/>
      <w:r>
        <w:t>aHUS’</w:t>
      </w:r>
      <w:proofErr w:type="spellEnd"/>
      <w:r>
        <w:t xml:space="preserve"> is appropriate.</w:t>
      </w:r>
    </w:p>
    <w:p w14:paraId="629848DB" w14:textId="77777777" w:rsidR="00E230F1" w:rsidRDefault="00E230F1" w:rsidP="00E230F1">
      <w:r>
        <w:t xml:space="preserve">The ACM noted that aHUS is a rare and devasting disease and advised that it would be reasonable for ravulizumab to be used for aHUS </w:t>
      </w:r>
      <w:proofErr w:type="gramStart"/>
      <w:r>
        <w:t>patients</w:t>
      </w:r>
      <w:proofErr w:type="gramEnd"/>
      <w:r>
        <w:t xml:space="preserve"> refectory to eculizumab treatment.</w:t>
      </w:r>
    </w:p>
    <w:p w14:paraId="072FDFB1" w14:textId="77777777" w:rsidR="00E230F1" w:rsidRPr="007A2C96" w:rsidRDefault="00E230F1" w:rsidP="00E230F1">
      <w:pPr>
        <w:pStyle w:val="Numberbullet0"/>
        <w:spacing w:after="120"/>
        <w:ind w:left="425" w:hanging="425"/>
        <w:rPr>
          <w:b/>
          <w:bCs/>
          <w:i/>
          <w:iCs/>
        </w:rPr>
      </w:pPr>
      <w:r w:rsidRPr="007A2C96">
        <w:rPr>
          <w:b/>
          <w:bCs/>
          <w:i/>
          <w:iCs/>
        </w:rPr>
        <w:t>Other advice</w:t>
      </w:r>
    </w:p>
    <w:p w14:paraId="0BDE3F9B" w14:textId="402CE3F7" w:rsidR="0084036E" w:rsidRPr="00D86F8A" w:rsidRDefault="00E230F1" w:rsidP="00D86F8A">
      <w:r>
        <w:t xml:space="preserve">The ACM noted the </w:t>
      </w:r>
      <w:r w:rsidR="00856026">
        <w:t>sponsor</w:t>
      </w:r>
      <w:r>
        <w:t>’s proposed loading dose of 600 mg for both the 5 kg to less than 10</w:t>
      </w:r>
      <w:r w:rsidR="00472EEA">
        <w:t> </w:t>
      </w:r>
      <w:r>
        <w:t xml:space="preserve">kg and the 10 kg to less than 20 kg body weight ranges and acknowledged the </w:t>
      </w:r>
      <w:r w:rsidR="00856026">
        <w:t>sponsor</w:t>
      </w:r>
      <w:r>
        <w:t xml:space="preserve">s rationale for a 600 mg loading dose in the 5 kg to less than 10 kg body weight range. The volume of distribution determines the loading dose, and the ACM advised smaller patients would be expected to have a smaller </w:t>
      </w:r>
      <w:r w:rsidR="005F3F4F" w:rsidRPr="005F3F4F">
        <w:t>volume of distribution</w:t>
      </w:r>
      <w:r>
        <w:t>, in this case proportionate to their smaller plasma volume. The apparent observed difference in loading dose exposure in the very small number of participants may therefore relate to inter-individual variability rather than a true population mean effect. The ACM queried why a 300 mg loading dose was not proposed for the 5</w:t>
      </w:r>
      <w:r w:rsidR="00672C4A">
        <w:t> </w:t>
      </w:r>
      <w:r>
        <w:t>kg to less than 10 kg body weight range. However, the ACM did note that the 600 mg dose had been used without safety issues within the clinical trial.</w:t>
      </w:r>
    </w:p>
    <w:p w14:paraId="5291EA2A" w14:textId="33A63F7C" w:rsidR="00C22214" w:rsidRPr="00F73346" w:rsidRDefault="00C22214" w:rsidP="00D86F8A">
      <w:pPr>
        <w:pStyle w:val="Heading5"/>
        <w:pageBreakBefore/>
      </w:pPr>
      <w:r w:rsidRPr="00F73346">
        <w:lastRenderedPageBreak/>
        <w:t>Conclusion</w:t>
      </w:r>
    </w:p>
    <w:p w14:paraId="6859968C" w14:textId="77777777" w:rsidR="00E230F1" w:rsidRDefault="00E230F1" w:rsidP="00E230F1">
      <w:r w:rsidRPr="007E73DB">
        <w:t xml:space="preserve">The </w:t>
      </w:r>
      <w:r w:rsidRPr="00C12AE4">
        <w:t xml:space="preserve">ACM considered this product to have an </w:t>
      </w:r>
      <w:r w:rsidRPr="001E4AEE">
        <w:t>overall positive</w:t>
      </w:r>
      <w:r w:rsidRPr="00C12AE4">
        <w:t xml:space="preserve"> benefit-risk profile</w:t>
      </w:r>
      <w:r>
        <w:t xml:space="preserve"> for the indication:</w:t>
      </w:r>
    </w:p>
    <w:p w14:paraId="01CC792E" w14:textId="5734A707" w:rsidR="00856026" w:rsidRDefault="00472EEA" w:rsidP="0084036E">
      <w:pPr>
        <w:ind w:left="720"/>
        <w:rPr>
          <w:i/>
          <w:iCs/>
        </w:rPr>
      </w:pPr>
      <w:r>
        <w:rPr>
          <w:i/>
          <w:iCs/>
        </w:rPr>
        <w:t>Ultomiris</w:t>
      </w:r>
      <w:r w:rsidR="00E230F1">
        <w:rPr>
          <w:i/>
          <w:iCs/>
        </w:rPr>
        <w:t xml:space="preserve"> is indicated for the treatment of patients with</w:t>
      </w:r>
      <w:r>
        <w:rPr>
          <w:i/>
          <w:iCs/>
        </w:rPr>
        <w:t>:</w:t>
      </w:r>
    </w:p>
    <w:p w14:paraId="7D9319E3" w14:textId="6947C7E5" w:rsidR="00E230F1" w:rsidRPr="00473B64" w:rsidRDefault="00E230F1" w:rsidP="0084036E">
      <w:pPr>
        <w:pStyle w:val="ListBullet"/>
        <w:ind w:left="1080"/>
        <w:rPr>
          <w:i/>
          <w:iCs/>
        </w:rPr>
      </w:pPr>
      <w:r w:rsidRPr="00473B64">
        <w:rPr>
          <w:i/>
          <w:iCs/>
        </w:rPr>
        <w:t>Paroxysmal Nocturnal Haemoglobinuria (PNH)</w:t>
      </w:r>
    </w:p>
    <w:p w14:paraId="0F55024B" w14:textId="433C4280" w:rsidR="00E230F1" w:rsidRDefault="00E230F1" w:rsidP="0084036E">
      <w:pPr>
        <w:pStyle w:val="ListBullet"/>
        <w:ind w:left="1080"/>
        <w:rPr>
          <w:i/>
          <w:iCs/>
        </w:rPr>
      </w:pPr>
      <w:r w:rsidRPr="00BB2EBF">
        <w:rPr>
          <w:i/>
          <w:iCs/>
        </w:rPr>
        <w:t>Atypical Haemolytic Uraemic Syndrome (aHUS)</w:t>
      </w:r>
    </w:p>
    <w:p w14:paraId="307F236C" w14:textId="77777777" w:rsidR="00C22214" w:rsidRPr="002E238E" w:rsidRDefault="00C22214" w:rsidP="00C22214">
      <w:pPr>
        <w:pStyle w:val="Heading2"/>
      </w:pPr>
      <w:bookmarkStart w:id="142" w:name="_Toc103679300"/>
      <w:bookmarkStart w:id="143" w:name="_Toc135662391"/>
      <w:r>
        <w:t>Outcome</w:t>
      </w:r>
      <w:bookmarkEnd w:id="140"/>
      <w:bookmarkEnd w:id="141"/>
      <w:bookmarkEnd w:id="142"/>
      <w:bookmarkEnd w:id="143"/>
    </w:p>
    <w:p w14:paraId="699DA424" w14:textId="72DC6C84" w:rsidR="000807E3" w:rsidRDefault="00C22214" w:rsidP="000807E3">
      <w:r w:rsidRPr="00BD5DBD">
        <w:t xml:space="preserve">Based on a review of quality, safety, and efficacy, the TGA approved the registration of </w:t>
      </w:r>
      <w:r w:rsidR="00472EEA">
        <w:t>Ultomiris</w:t>
      </w:r>
      <w:r w:rsidR="000807E3">
        <w:t xml:space="preserve"> (ravulizumab) </w:t>
      </w:r>
      <w:r w:rsidR="000807E3" w:rsidRPr="000807E3">
        <w:t>300 mg in 30 mL (10 mg/mL)</w:t>
      </w:r>
      <w:r w:rsidR="000807E3">
        <w:t xml:space="preserve">, </w:t>
      </w:r>
      <w:r w:rsidR="000807E3" w:rsidRPr="000807E3">
        <w:t>300 mg in 3 mL (100 mg/mL)</w:t>
      </w:r>
      <w:r w:rsidR="000807E3">
        <w:t xml:space="preserve"> and </w:t>
      </w:r>
      <w:r w:rsidR="000807E3" w:rsidRPr="000807E3">
        <w:t>1100 mg in</w:t>
      </w:r>
      <w:r w:rsidR="000807E3">
        <w:t xml:space="preserve"> 11 </w:t>
      </w:r>
      <w:r w:rsidR="000807E3" w:rsidRPr="000807E3">
        <w:t>mL (100 mg/mL)</w:t>
      </w:r>
      <w:r w:rsidRPr="00BD5DBD">
        <w:t xml:space="preserve"> </w:t>
      </w:r>
      <w:r w:rsidR="000807E3">
        <w:t>c</w:t>
      </w:r>
      <w:r w:rsidR="000807E3" w:rsidRPr="000807E3">
        <w:t xml:space="preserve">oncentrated solution for intravenous infusion </w:t>
      </w:r>
      <w:r w:rsidR="000807E3">
        <w:t xml:space="preserve">vials </w:t>
      </w:r>
      <w:r w:rsidRPr="00BD5DBD">
        <w:t>for the following extension of indications:</w:t>
      </w:r>
    </w:p>
    <w:p w14:paraId="409CA8A1" w14:textId="52306796" w:rsidR="000807E3" w:rsidRPr="000807E3" w:rsidRDefault="00472EEA" w:rsidP="0084036E">
      <w:pPr>
        <w:ind w:left="720"/>
        <w:rPr>
          <w:rFonts w:cs="Cambria"/>
          <w:i/>
          <w:iCs/>
          <w:color w:val="000000"/>
        </w:rPr>
      </w:pPr>
      <w:r>
        <w:rPr>
          <w:rFonts w:cs="Cambria"/>
          <w:i/>
          <w:iCs/>
          <w:color w:val="000000"/>
        </w:rPr>
        <w:t>Ultomiris</w:t>
      </w:r>
      <w:r w:rsidR="000807E3" w:rsidRPr="000807E3">
        <w:rPr>
          <w:rFonts w:cs="Cambria"/>
          <w:i/>
          <w:iCs/>
          <w:color w:val="000000"/>
        </w:rPr>
        <w:t xml:space="preserve"> is indicated for the treatment of patients with: </w:t>
      </w:r>
    </w:p>
    <w:p w14:paraId="54FE027A" w14:textId="71478D0D" w:rsidR="000807E3" w:rsidRPr="000807E3" w:rsidRDefault="000807E3" w:rsidP="0084036E">
      <w:pPr>
        <w:pStyle w:val="ListBullet"/>
        <w:ind w:left="1080"/>
        <w:rPr>
          <w:i/>
          <w:iCs/>
        </w:rPr>
      </w:pPr>
      <w:r w:rsidRPr="000807E3">
        <w:rPr>
          <w:i/>
          <w:iCs/>
        </w:rPr>
        <w:t xml:space="preserve">Paroxysmal Nocturnal Haemoglobinuria (PNH) </w:t>
      </w:r>
    </w:p>
    <w:p w14:paraId="2FB1E1EE" w14:textId="1D4726A4" w:rsidR="000807E3" w:rsidRPr="000807E3" w:rsidRDefault="000807E3" w:rsidP="0084036E">
      <w:pPr>
        <w:pStyle w:val="ListBullet"/>
        <w:ind w:left="1080"/>
        <w:rPr>
          <w:i/>
          <w:iCs/>
        </w:rPr>
      </w:pPr>
      <w:r w:rsidRPr="000807E3">
        <w:rPr>
          <w:i/>
          <w:iCs/>
        </w:rPr>
        <w:t xml:space="preserve">Atypical Haemolytic Uraemic Syndrome (aHUS) </w:t>
      </w:r>
    </w:p>
    <w:p w14:paraId="07F2153D" w14:textId="2B48C669" w:rsidR="00C22214" w:rsidRPr="00BD5DBD" w:rsidRDefault="00C22214" w:rsidP="00C22214">
      <w:pPr>
        <w:rPr>
          <w:szCs w:val="22"/>
        </w:rPr>
      </w:pPr>
      <w:r w:rsidRPr="00BD5DBD">
        <w:rPr>
          <w:szCs w:val="22"/>
        </w:rPr>
        <w:t xml:space="preserve">The above extension of indications </w:t>
      </w:r>
      <w:proofErr w:type="gramStart"/>
      <w:r w:rsidRPr="00BD5DBD">
        <w:rPr>
          <w:szCs w:val="22"/>
        </w:rPr>
        <w:t>are</w:t>
      </w:r>
      <w:proofErr w:type="gramEnd"/>
      <w:r w:rsidRPr="00BD5DBD">
        <w:rPr>
          <w:szCs w:val="22"/>
        </w:rPr>
        <w:t xml:space="preserve"> inclusive of the previous approved indications. </w:t>
      </w:r>
    </w:p>
    <w:p w14:paraId="6D25891E" w14:textId="2021BD09" w:rsidR="00C22214" w:rsidRPr="00D23139" w:rsidRDefault="00C22214" w:rsidP="00C22214">
      <w:pPr>
        <w:pStyle w:val="Heading3"/>
      </w:pPr>
      <w:bookmarkStart w:id="144" w:name="_Toc103679301"/>
      <w:bookmarkStart w:id="145" w:name="_Toc135662392"/>
      <w:r w:rsidRPr="00D23139">
        <w:t>Specific conditions of registration applying to these goods</w:t>
      </w:r>
      <w:bookmarkEnd w:id="144"/>
      <w:bookmarkEnd w:id="145"/>
    </w:p>
    <w:p w14:paraId="21C328EB" w14:textId="6881A5B3" w:rsidR="000807E3" w:rsidRPr="000807E3" w:rsidRDefault="00472EEA" w:rsidP="000807E3">
      <w:pPr>
        <w:pStyle w:val="ListBullet"/>
      </w:pPr>
      <w:r>
        <w:t>U</w:t>
      </w:r>
      <w:r w:rsidR="00E82B17">
        <w:t>ltomiris</w:t>
      </w:r>
      <w:r w:rsidR="000807E3" w:rsidRPr="000807E3">
        <w:t xml:space="preserve"> (Ravulizumab) is to be included in the Black Triangle Scheme. The PI and CMI for </w:t>
      </w:r>
      <w:r>
        <w:t>U</w:t>
      </w:r>
      <w:r w:rsidR="00E82B17">
        <w:t>ltomiris</w:t>
      </w:r>
      <w:r w:rsidR="000807E3" w:rsidRPr="000807E3">
        <w:t xml:space="preserve"> must include the black triangle symbol and mandatory accompanying text for five years, which starts from the date the new indication is registered. </w:t>
      </w:r>
    </w:p>
    <w:p w14:paraId="57057924" w14:textId="68B35F9C" w:rsidR="000807E3" w:rsidRPr="000807E3" w:rsidRDefault="000807E3" w:rsidP="000807E3">
      <w:pPr>
        <w:pStyle w:val="ListBullet"/>
      </w:pPr>
      <w:r w:rsidRPr="000807E3">
        <w:t xml:space="preserve">The </w:t>
      </w:r>
      <w:r w:rsidR="00472EEA">
        <w:t>U</w:t>
      </w:r>
      <w:r w:rsidR="00E82B17">
        <w:t>ltomiris</w:t>
      </w:r>
      <w:r w:rsidRPr="000807E3">
        <w:t xml:space="preserve"> EU-Risk Management Plan (RMP) (version 3.0, dated 31 August 2021, data lock point 27 May 2020), with Australian Specific Annex (version 3.1, dated 17 November 2021), included with submission PM-2021-01659-1-6, and any subsequent revisions, as agreed with the TGA will be implemented in Australia. </w:t>
      </w:r>
    </w:p>
    <w:p w14:paraId="1F13399D" w14:textId="12379C6A" w:rsidR="000807E3" w:rsidRDefault="000807E3" w:rsidP="00472EEA">
      <w:pPr>
        <w:pStyle w:val="ListBullet"/>
        <w:numPr>
          <w:ilvl w:val="0"/>
          <w:numId w:val="0"/>
        </w:numPr>
        <w:ind w:left="360"/>
      </w:pPr>
      <w:r w:rsidRPr="000807E3">
        <w:t>An obligatory component of risk management plans is routine pharmacovigilance. Routine pharmacovigilance includes the submission of periodic safety update reports (PSURs).</w:t>
      </w:r>
    </w:p>
    <w:p w14:paraId="1468D54E" w14:textId="77777777" w:rsidR="000807E3" w:rsidRPr="000807E3" w:rsidRDefault="000807E3" w:rsidP="00472EEA">
      <w:pPr>
        <w:pStyle w:val="ListBullet"/>
        <w:numPr>
          <w:ilvl w:val="0"/>
          <w:numId w:val="0"/>
        </w:numPr>
        <w:ind w:left="360"/>
      </w:pPr>
      <w:r w:rsidRPr="000807E3">
        <w:t xml:space="preserve">Reports are to be provided in line with the current published list of EU reference dates and frequency of submission of PSURs until the period covered by such reports is not less than three years from the date of this approval letter. </w:t>
      </w:r>
    </w:p>
    <w:p w14:paraId="14CBE050" w14:textId="77777777" w:rsidR="000807E3" w:rsidRPr="000807E3" w:rsidRDefault="000807E3" w:rsidP="00472EEA">
      <w:pPr>
        <w:pStyle w:val="ListBullet"/>
        <w:numPr>
          <w:ilvl w:val="0"/>
          <w:numId w:val="0"/>
        </w:numPr>
        <w:ind w:left="360"/>
      </w:pPr>
      <w:r w:rsidRPr="000807E3">
        <w:t xml:space="preserve">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w:t>
      </w:r>
    </w:p>
    <w:p w14:paraId="6C6921C5" w14:textId="57203FEC" w:rsidR="000807E3" w:rsidRPr="000807E3" w:rsidRDefault="000807E3" w:rsidP="000807E3">
      <w:pPr>
        <w:pStyle w:val="ListBullet"/>
      </w:pPr>
      <w:r w:rsidRPr="000807E3">
        <w:t xml:space="preserve">The following study reports should be submitted to TGA for evaluation: </w:t>
      </w:r>
    </w:p>
    <w:p w14:paraId="18417210" w14:textId="61F702F9" w:rsidR="000807E3" w:rsidRPr="000807E3" w:rsidRDefault="000807E3" w:rsidP="00472EEA">
      <w:pPr>
        <w:pStyle w:val="ListBullet2"/>
      </w:pPr>
      <w:r w:rsidRPr="000807E3">
        <w:t xml:space="preserve">The final clinical study report for Study ALXN1210-PNH-304 </w:t>
      </w:r>
    </w:p>
    <w:p w14:paraId="21C18E15" w14:textId="36DDA7EB" w:rsidR="000807E3" w:rsidRPr="000807E3" w:rsidRDefault="000807E3" w:rsidP="00472EEA">
      <w:pPr>
        <w:pStyle w:val="ListBullet2"/>
      </w:pPr>
      <w:r w:rsidRPr="000807E3">
        <w:t xml:space="preserve">The final clinical study report for Study ALXN1210-aHUS-311 </w:t>
      </w:r>
    </w:p>
    <w:p w14:paraId="19746CEF" w14:textId="6B36E565" w:rsidR="000807E3" w:rsidRDefault="000807E3" w:rsidP="00472EEA">
      <w:pPr>
        <w:pStyle w:val="ListBullet2"/>
      </w:pPr>
      <w:r w:rsidRPr="000807E3">
        <w:t xml:space="preserve">The final clinical study report for Study ALXN1210-aHUS-312 </w:t>
      </w:r>
    </w:p>
    <w:p w14:paraId="2571980F" w14:textId="46981A7D" w:rsidR="000807E3" w:rsidRPr="000807E3" w:rsidRDefault="000807E3" w:rsidP="000807E3">
      <w:pPr>
        <w:pStyle w:val="ListBullet"/>
      </w:pPr>
      <w:r>
        <w:rPr>
          <w:szCs w:val="22"/>
        </w:rPr>
        <w:lastRenderedPageBreak/>
        <w:t>For all injectable products</w:t>
      </w:r>
      <w:r w:rsidR="00806F0F">
        <w:rPr>
          <w:szCs w:val="22"/>
        </w:rPr>
        <w:t>,</w:t>
      </w:r>
      <w:r>
        <w:rPr>
          <w:szCs w:val="22"/>
        </w:rPr>
        <w:t xml:space="preserve"> the Product Information must be included with the product as a package insert.</w:t>
      </w:r>
    </w:p>
    <w:p w14:paraId="451DC3FC" w14:textId="77777777" w:rsidR="00C22214" w:rsidRDefault="00C22214" w:rsidP="00C22214">
      <w:pPr>
        <w:pStyle w:val="Heading2"/>
      </w:pPr>
      <w:bookmarkStart w:id="146" w:name="_Toc103679303"/>
      <w:bookmarkStart w:id="147" w:name="_Toc135662393"/>
      <w:r>
        <w:t>Attachment 1. Product Information</w:t>
      </w:r>
      <w:bookmarkEnd w:id="146"/>
      <w:bookmarkEnd w:id="147"/>
    </w:p>
    <w:p w14:paraId="54373C36" w14:textId="24F8DDAF" w:rsidR="00856026" w:rsidRDefault="00C22214" w:rsidP="00C22214">
      <w:pPr>
        <w:rPr>
          <w:szCs w:val="22"/>
        </w:rPr>
      </w:pPr>
      <w:r w:rsidRPr="00BD5DBD">
        <w:rPr>
          <w:szCs w:val="22"/>
        </w:rPr>
        <w:t xml:space="preserve">The PI for </w:t>
      </w:r>
      <w:r w:rsidR="00472EEA">
        <w:rPr>
          <w:szCs w:val="22"/>
        </w:rPr>
        <w:t>Ultomiris</w:t>
      </w:r>
      <w:r w:rsidRPr="00BD5DBD">
        <w:rPr>
          <w:szCs w:val="22"/>
        </w:rPr>
        <w:t xml:space="preserve"> approved with the submission which is described in this AusPAR is at Attachment 1. For the most recent PI, please refer to the TGA </w:t>
      </w:r>
      <w:hyperlink r:id="rId68" w:history="1">
        <w:r w:rsidRPr="00BD5DBD">
          <w:rPr>
            <w:rStyle w:val="Hyperlink"/>
            <w:szCs w:val="22"/>
          </w:rPr>
          <w:t>PI/CMI search facility.</w:t>
        </w:r>
      </w:hyperlink>
    </w:p>
    <w:p w14:paraId="40740B65" w14:textId="487922B6"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69"/>
          <w:footerReference w:type="default" r:id="rId70"/>
          <w:pgSz w:w="11906" w:h="16838" w:code="9"/>
          <w:pgMar w:top="1134" w:right="1418" w:bottom="1361" w:left="1418" w:header="573" w:footer="567" w:gutter="0"/>
          <w:cols w:space="708"/>
          <w:docGrid w:linePitch="360"/>
        </w:sectPr>
      </w:pPr>
    </w:p>
    <w:tbl>
      <w:tblPr>
        <w:tblpPr w:leftFromText="180" w:rightFromText="180" w:vertAnchor="page" w:horzAnchor="margin" w:tblpY="13177"/>
        <w:tblW w:w="8452" w:type="dxa"/>
        <w:tblLayout w:type="fixed"/>
        <w:tblCellMar>
          <w:left w:w="0" w:type="dxa"/>
          <w:right w:w="0" w:type="dxa"/>
        </w:tblCellMar>
        <w:tblLook w:val="04A0" w:firstRow="1" w:lastRow="0" w:firstColumn="1" w:lastColumn="0" w:noHBand="0" w:noVBand="1"/>
      </w:tblPr>
      <w:tblGrid>
        <w:gridCol w:w="8452"/>
      </w:tblGrid>
      <w:tr w:rsidR="00B9110E" w:rsidRPr="00215D48" w14:paraId="14531346" w14:textId="77777777" w:rsidTr="00B9110E">
        <w:trPr>
          <w:trHeight w:hRule="exact" w:val="592"/>
        </w:trPr>
        <w:tc>
          <w:tcPr>
            <w:tcW w:w="8452" w:type="dxa"/>
          </w:tcPr>
          <w:bookmarkEnd w:id="4"/>
          <w:bookmarkEnd w:id="5"/>
          <w:p w14:paraId="46A07270" w14:textId="77777777" w:rsidR="00B9110E" w:rsidRPr="00215D48" w:rsidRDefault="00B9110E" w:rsidP="00B9110E">
            <w:pPr>
              <w:pStyle w:val="TGASignoff"/>
            </w:pPr>
            <w:r w:rsidRPr="00215D48">
              <w:lastRenderedPageBreak/>
              <w:t>Therapeutic Goods Administration</w:t>
            </w:r>
          </w:p>
        </w:tc>
      </w:tr>
      <w:tr w:rsidR="00B9110E" w:rsidRPr="002F77DE" w14:paraId="7317911F" w14:textId="77777777" w:rsidTr="00B9110E">
        <w:trPr>
          <w:trHeight w:val="1010"/>
        </w:trPr>
        <w:tc>
          <w:tcPr>
            <w:tcW w:w="8452" w:type="dxa"/>
            <w:tcMar>
              <w:top w:w="28" w:type="dxa"/>
            </w:tcMar>
          </w:tcPr>
          <w:p w14:paraId="52171D13" w14:textId="77777777" w:rsidR="00B9110E" w:rsidRPr="00215D48" w:rsidRDefault="00B9110E" w:rsidP="00B9110E">
            <w:pPr>
              <w:pStyle w:val="Address"/>
              <w:jc w:val="center"/>
            </w:pPr>
            <w:r w:rsidRPr="00215D48">
              <w:t>PO Box 100 Woden ACT 2606 Australia</w:t>
            </w:r>
          </w:p>
          <w:p w14:paraId="5BC34807" w14:textId="1203FC63" w:rsidR="00B9110E" w:rsidRPr="002F6A97" w:rsidRDefault="00B9110E" w:rsidP="00B9110E">
            <w:pPr>
              <w:pStyle w:val="Address"/>
              <w:jc w:val="center"/>
              <w:rPr>
                <w:sz w:val="22"/>
                <w:szCs w:val="22"/>
                <w:lang w:val="fr-FR"/>
              </w:rPr>
            </w:pPr>
            <w:proofErr w:type="gramStart"/>
            <w:r w:rsidRPr="002F6A97">
              <w:rPr>
                <w:lang w:val="fr-FR"/>
              </w:rPr>
              <w:t>Email:</w:t>
            </w:r>
            <w:proofErr w:type="gramEnd"/>
            <w:r w:rsidRPr="002F6A97">
              <w:rPr>
                <w:lang w:val="fr-FR"/>
              </w:rPr>
              <w:t xml:space="preserve"> </w:t>
            </w:r>
            <w:hyperlink r:id="rId71" w:history="1">
              <w:r w:rsidRPr="002F6A97">
                <w:rPr>
                  <w:rStyle w:val="Hyperlink"/>
                  <w:lang w:val="fr-FR"/>
                </w:rPr>
                <w:t>info@tga.gov.au</w:t>
              </w:r>
            </w:hyperlink>
            <w:r w:rsidRPr="002F6A97">
              <w:rPr>
                <w:lang w:val="fr-FR"/>
              </w:rPr>
              <w:t xml:space="preserve"> Phone: 1800 020 653 Fax: 02 6203 1605</w:t>
            </w:r>
          </w:p>
          <w:p w14:paraId="6DAF247C" w14:textId="3DF6130B" w:rsidR="00B9110E" w:rsidRPr="002F6A97" w:rsidRDefault="00857D8C" w:rsidP="00B9110E">
            <w:pPr>
              <w:pStyle w:val="Address"/>
              <w:jc w:val="center"/>
              <w:rPr>
                <w:rStyle w:val="Hyperlink"/>
                <w:b/>
                <w:color w:val="auto"/>
                <w:sz w:val="22"/>
                <w:lang w:val="fr-FR"/>
              </w:rPr>
            </w:pPr>
            <w:hyperlink r:id="rId72" w:history="1">
              <w:r w:rsidR="00B9110E" w:rsidRPr="002F6A97">
                <w:rPr>
                  <w:rStyle w:val="Hyperlink"/>
                  <w:b/>
                  <w:lang w:val="fr-FR"/>
                </w:rPr>
                <w:t>https://www.tga.gov.au</w:t>
              </w:r>
            </w:hyperlink>
          </w:p>
        </w:tc>
      </w:tr>
      <w:tr w:rsidR="00B9110E" w:rsidRPr="00215D48" w14:paraId="7D8E5F46" w14:textId="77777777" w:rsidTr="00B9110E">
        <w:trPr>
          <w:trHeight w:val="263"/>
        </w:trPr>
        <w:tc>
          <w:tcPr>
            <w:tcW w:w="8452" w:type="dxa"/>
            <w:tcMar>
              <w:top w:w="28" w:type="dxa"/>
            </w:tcMar>
          </w:tcPr>
          <w:p w14:paraId="6A2737A3" w14:textId="77777777" w:rsidR="00B9110E" w:rsidRPr="00215D48" w:rsidRDefault="00B9110E" w:rsidP="00B9110E">
            <w:pPr>
              <w:pStyle w:val="Address"/>
              <w:jc w:val="center"/>
            </w:pPr>
            <w:r w:rsidRPr="00215D48">
              <w:t>Reference/Publication #</w:t>
            </w:r>
          </w:p>
        </w:tc>
      </w:tr>
    </w:tbl>
    <w:p w14:paraId="7D66163E" w14:textId="77777777" w:rsidR="002A6F1F" w:rsidRDefault="002A6F1F" w:rsidP="00B9110E"/>
    <w:sectPr w:rsidR="002A6F1F" w:rsidSect="007452E8">
      <w:headerReference w:type="first" r:id="rId73"/>
      <w:footerReference w:type="first" r:id="rId7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E0DD6" w14:textId="77777777" w:rsidR="005D336B" w:rsidRDefault="005D336B" w:rsidP="00F02AEC">
      <w:pPr>
        <w:spacing w:after="0" w:line="240" w:lineRule="auto"/>
      </w:pPr>
      <w:r>
        <w:separator/>
      </w:r>
    </w:p>
  </w:endnote>
  <w:endnote w:type="continuationSeparator" w:id="0">
    <w:p w14:paraId="34C58625" w14:textId="77777777" w:rsidR="005D336B" w:rsidRDefault="005D336B" w:rsidP="00F02AEC">
      <w:pPr>
        <w:spacing w:after="0" w:line="240" w:lineRule="auto"/>
      </w:pPr>
      <w:r>
        <w:continuationSeparator/>
      </w:r>
    </w:p>
  </w:endnote>
  <w:endnote w:type="continuationNotice" w:id="1">
    <w:p w14:paraId="69F09581" w14:textId="77777777" w:rsidR="005D336B" w:rsidRDefault="005D336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NewRoman">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AC31FD" w:rsidRPr="00257138" w14:paraId="162D69C2" w14:textId="77777777" w:rsidTr="007452E8">
      <w:trPr>
        <w:trHeight w:val="423"/>
      </w:trPr>
      <w:tc>
        <w:tcPr>
          <w:tcW w:w="4360" w:type="dxa"/>
          <w:tcBorders>
            <w:top w:val="single" w:sz="4" w:space="0" w:color="auto"/>
          </w:tcBorders>
        </w:tcPr>
        <w:p w14:paraId="32E1B782" w14:textId="77777777" w:rsidR="00AC31FD" w:rsidRDefault="00AC31FD" w:rsidP="007452E8">
          <w:pPr>
            <w:pStyle w:val="Footer"/>
          </w:pPr>
        </w:p>
        <w:p w14:paraId="1849C07C" w14:textId="77777777" w:rsidR="00AC31FD" w:rsidRPr="00257138" w:rsidRDefault="00AC31FD"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AC31FD" w:rsidRDefault="00AC31FD" w:rsidP="007452E8">
              <w:pPr>
                <w:pStyle w:val="Footer"/>
                <w:jc w:val="right"/>
              </w:pPr>
            </w:p>
            <w:p w14:paraId="5EDE6DF6" w14:textId="77777777" w:rsidR="00AC31FD" w:rsidRPr="00257138" w:rsidRDefault="00AC31FD"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sdtContent>
        </w:sdt>
      </w:tc>
    </w:tr>
    <w:tr w:rsidR="00AC31FD" w:rsidRPr="00257138" w14:paraId="280F09C8" w14:textId="77777777" w:rsidTr="007452E8">
      <w:trPr>
        <w:trHeight w:val="263"/>
      </w:trPr>
      <w:tc>
        <w:tcPr>
          <w:tcW w:w="4360" w:type="dxa"/>
        </w:tcPr>
        <w:p w14:paraId="673F06D3" w14:textId="77777777" w:rsidR="00AC31FD" w:rsidRPr="00257138" w:rsidRDefault="00AC31FD" w:rsidP="007452E8">
          <w:pPr>
            <w:pStyle w:val="Footer"/>
          </w:pPr>
          <w:r w:rsidRPr="00257138">
            <w:t xml:space="preserve">V1.0 </w:t>
          </w:r>
          <w:r>
            <w:t>Month</w:t>
          </w:r>
          <w:r w:rsidRPr="00257138">
            <w:t xml:space="preserve"> 201</w:t>
          </w:r>
          <w:r>
            <w:t>2</w:t>
          </w:r>
        </w:p>
      </w:tc>
      <w:tc>
        <w:tcPr>
          <w:tcW w:w="4360" w:type="dxa"/>
        </w:tcPr>
        <w:p w14:paraId="77F5B433" w14:textId="77777777" w:rsidR="00AC31FD" w:rsidRPr="00257138" w:rsidRDefault="00AC31FD" w:rsidP="007452E8">
          <w:pPr>
            <w:pStyle w:val="Footer"/>
            <w:jc w:val="right"/>
          </w:pPr>
        </w:p>
      </w:tc>
    </w:tr>
  </w:tbl>
  <w:p w14:paraId="63F6FDDE" w14:textId="77777777" w:rsidR="00AC31FD" w:rsidRPr="00826007" w:rsidRDefault="00AC31FD"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CFE18" w14:textId="77777777" w:rsidR="00AC31FD" w:rsidRDefault="00AC31FD" w:rsidP="007452E8">
    <w:pPr>
      <w:pStyle w:val="Footer"/>
      <w:ind w:left="-1701"/>
    </w:pPr>
  </w:p>
  <w:p w14:paraId="09DAA29C" w14:textId="0F3B1476" w:rsidR="00AC31FD" w:rsidRDefault="00AC31FD" w:rsidP="007452E8">
    <w:pPr>
      <w:pStyle w:val="Footer"/>
      <w:ind w:left="-170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AC31FD" w:rsidRPr="004A3084" w14:paraId="6266BC33" w14:textId="77777777" w:rsidTr="007452E8">
      <w:trPr>
        <w:trHeight w:val="423"/>
      </w:trPr>
      <w:tc>
        <w:tcPr>
          <w:tcW w:w="7338" w:type="dxa"/>
          <w:tcBorders>
            <w:top w:val="single" w:sz="4" w:space="0" w:color="auto"/>
          </w:tcBorders>
        </w:tcPr>
        <w:p w14:paraId="3C421323" w14:textId="12D18050" w:rsidR="00AC31FD" w:rsidRPr="004A3084" w:rsidRDefault="00AC31FD" w:rsidP="007452E8">
          <w:pPr>
            <w:pStyle w:val="Footer"/>
          </w:pPr>
          <w:r w:rsidRPr="00415377">
            <w:t xml:space="preserve">AusPAR - </w:t>
          </w:r>
          <w:r>
            <w:t>Ultomiris</w:t>
          </w:r>
          <w:r w:rsidRPr="00415377">
            <w:t xml:space="preserve"> - Ravulizumab - Alexion Pharmaceuticals Australasia Pty Ltd</w:t>
          </w:r>
          <w:r>
            <w:t xml:space="preserve"> -</w:t>
          </w:r>
          <w:r>
            <w:br/>
          </w:r>
          <w:r w:rsidRPr="00415377">
            <w:t xml:space="preserve">PM-2021-01659-1-6 </w:t>
          </w:r>
          <w:r>
            <w:br/>
          </w:r>
          <w:r w:rsidR="00D4080A">
            <w:t>Final 22</w:t>
          </w:r>
          <w:r>
            <w:t xml:space="preserve"> May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155AC083" w:rsidR="00AC31FD" w:rsidRPr="004A3084" w:rsidRDefault="00AC31FD" w:rsidP="007452E8">
              <w:pPr>
                <w:pStyle w:val="Footer"/>
                <w:jc w:val="right"/>
              </w:pPr>
              <w:r w:rsidRPr="004A3084">
                <w:t xml:space="preserve">Page </w:t>
              </w:r>
              <w:r>
                <w:fldChar w:fldCharType="begin"/>
              </w:r>
              <w:r>
                <w:instrText xml:space="preserve"> PAGE </w:instrText>
              </w:r>
              <w:r>
                <w:fldChar w:fldCharType="separate"/>
              </w:r>
              <w:r w:rsidR="00672C4A">
                <w:rPr>
                  <w:noProof/>
                </w:rPr>
                <w:t>65</w:t>
              </w:r>
              <w:r>
                <w:rPr>
                  <w:noProof/>
                </w:rPr>
                <w:fldChar w:fldCharType="end"/>
              </w:r>
              <w:r w:rsidRPr="004A3084">
                <w:t xml:space="preserve"> of </w:t>
              </w:r>
              <w:fldSimple w:instr=" NUMPAGES  ">
                <w:r w:rsidR="00672C4A">
                  <w:rPr>
                    <w:noProof/>
                  </w:rPr>
                  <w:t>66</w:t>
                </w:r>
              </w:fldSimple>
            </w:p>
          </w:sdtContent>
        </w:sdt>
      </w:tc>
    </w:tr>
  </w:tbl>
  <w:p w14:paraId="1A4EDE60" w14:textId="77777777" w:rsidR="00AC31FD" w:rsidRPr="00826007" w:rsidRDefault="00AC31FD"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AC31FD" w:rsidRPr="00B9110E" w:rsidRDefault="00AC31FD" w:rsidP="00B911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F781E" w14:textId="77777777" w:rsidR="005D336B" w:rsidRDefault="005D336B" w:rsidP="00F02AEC">
      <w:pPr>
        <w:spacing w:after="0" w:line="240" w:lineRule="auto"/>
      </w:pPr>
      <w:r>
        <w:separator/>
      </w:r>
    </w:p>
  </w:footnote>
  <w:footnote w:type="continuationSeparator" w:id="0">
    <w:p w14:paraId="2BE8F2F8" w14:textId="77777777" w:rsidR="005D336B" w:rsidRDefault="005D336B" w:rsidP="00F02AEC">
      <w:pPr>
        <w:spacing w:after="0" w:line="240" w:lineRule="auto"/>
      </w:pPr>
      <w:r>
        <w:continuationSeparator/>
      </w:r>
    </w:p>
  </w:footnote>
  <w:footnote w:type="continuationNotice" w:id="1">
    <w:p w14:paraId="67306B9A" w14:textId="77777777" w:rsidR="005D336B" w:rsidRDefault="005D336B">
      <w:pPr>
        <w:spacing w:before="0" w:after="0" w:line="240" w:lineRule="auto"/>
      </w:pPr>
    </w:p>
  </w:footnote>
  <w:footnote w:id="2">
    <w:p w14:paraId="68402A9B" w14:textId="60286C39" w:rsidR="00AC31FD" w:rsidRPr="00A93DC6" w:rsidRDefault="00AC31FD">
      <w:pPr>
        <w:pStyle w:val="FootnoteText"/>
        <w:rPr>
          <w:lang w:val="en-GB"/>
        </w:rPr>
      </w:pPr>
      <w:r>
        <w:rPr>
          <w:rStyle w:val="FootnoteReference"/>
        </w:rPr>
        <w:footnoteRef/>
      </w:r>
      <w:r>
        <w:t xml:space="preserve"> This is the original indication proposed by the sponsor</w:t>
      </w:r>
      <w:r>
        <w:rPr>
          <w:lang w:val="en-GB"/>
        </w:rPr>
        <w:t xml:space="preserve"> when the TGA commenced the evaluation of this submission. It </w:t>
      </w:r>
      <w:r w:rsidRPr="007452E8">
        <w:rPr>
          <w:lang w:val="en-GB"/>
        </w:rPr>
        <w:t xml:space="preserve">may </w:t>
      </w:r>
      <w:r>
        <w:rPr>
          <w:lang w:val="en-GB"/>
        </w:rPr>
        <w:t>differ</w:t>
      </w:r>
      <w:r w:rsidRPr="007452E8">
        <w:rPr>
          <w:lang w:val="en-GB"/>
        </w:rPr>
        <w:t xml:space="preserve"> to the final indication approved by th</w:t>
      </w:r>
      <w:r>
        <w:rPr>
          <w:lang w:val="en-GB"/>
        </w:rPr>
        <w:t>e TGA and registered on the Australian Register of Therapeutic Goods.</w:t>
      </w:r>
    </w:p>
  </w:footnote>
  <w:footnote w:id="3">
    <w:p w14:paraId="57B0DC2D" w14:textId="04189F95" w:rsidR="00AC31FD" w:rsidRDefault="00AC31FD">
      <w:pPr>
        <w:pStyle w:val="FootnoteText"/>
      </w:pPr>
      <w:r>
        <w:rPr>
          <w:rStyle w:val="FootnoteReference"/>
        </w:rPr>
        <w:footnoteRef/>
      </w:r>
      <w:r>
        <w:t xml:space="preserve"> </w:t>
      </w:r>
      <w:r w:rsidRPr="00EE060E">
        <w:t>Brodsky RA. Paroxysmal nocturnal hemoglobinuria.</w:t>
      </w:r>
      <w:r w:rsidRPr="00EE060E">
        <w:rPr>
          <w:i/>
          <w:iCs/>
        </w:rPr>
        <w:t xml:space="preserve"> Blood</w:t>
      </w:r>
      <w:r w:rsidRPr="00EE060E">
        <w:t>. 2014;124(18):2804-2811.</w:t>
      </w:r>
    </w:p>
  </w:footnote>
  <w:footnote w:id="4">
    <w:p w14:paraId="597B147F" w14:textId="62393EEF" w:rsidR="00AC31FD" w:rsidRDefault="00AC31FD">
      <w:pPr>
        <w:pStyle w:val="FootnoteText"/>
      </w:pPr>
      <w:r>
        <w:rPr>
          <w:rStyle w:val="FootnoteReference"/>
        </w:rPr>
        <w:footnoteRef/>
      </w:r>
      <w:r>
        <w:t xml:space="preserve"> </w:t>
      </w:r>
      <w:r w:rsidRPr="00EE060E">
        <w:t xml:space="preserve">Gulbis B, </w:t>
      </w:r>
      <w:proofErr w:type="spellStart"/>
      <w:r w:rsidRPr="00EE060E">
        <w:t>Eleftheriou</w:t>
      </w:r>
      <w:proofErr w:type="spellEnd"/>
      <w:r w:rsidRPr="00EE060E">
        <w:t xml:space="preserve"> A, </w:t>
      </w:r>
      <w:proofErr w:type="spellStart"/>
      <w:r w:rsidRPr="00EE060E">
        <w:t>Angastiniotis</w:t>
      </w:r>
      <w:proofErr w:type="spellEnd"/>
      <w:r w:rsidRPr="00EE060E">
        <w:t xml:space="preserve"> M, Ball S, </w:t>
      </w:r>
      <w:proofErr w:type="spellStart"/>
      <w:r w:rsidRPr="00EE060E">
        <w:t>Surralles</w:t>
      </w:r>
      <w:proofErr w:type="spellEnd"/>
      <w:r w:rsidRPr="00EE060E">
        <w:t xml:space="preserve"> J, Castella M et al. Epidemiology of rare anaemias in Europe. </w:t>
      </w:r>
      <w:r w:rsidRPr="00EE060E">
        <w:rPr>
          <w:i/>
          <w:iCs/>
        </w:rPr>
        <w:t>Adv Exp Med Biol</w:t>
      </w:r>
      <w:r w:rsidRPr="00EE060E">
        <w:t xml:space="preserve">. </w:t>
      </w:r>
      <w:proofErr w:type="gramStart"/>
      <w:r w:rsidRPr="00EE060E">
        <w:t>2010;686:375</w:t>
      </w:r>
      <w:proofErr w:type="gramEnd"/>
      <w:r w:rsidRPr="00EE060E">
        <w:t>-396.</w:t>
      </w:r>
    </w:p>
  </w:footnote>
  <w:footnote w:id="5">
    <w:p w14:paraId="063A1B8F" w14:textId="78836EBC" w:rsidR="00AC31FD" w:rsidRDefault="00AC31FD">
      <w:pPr>
        <w:pStyle w:val="FootnoteText"/>
      </w:pPr>
      <w:r>
        <w:rPr>
          <w:rStyle w:val="FootnoteReference"/>
        </w:rPr>
        <w:footnoteRef/>
      </w:r>
      <w:r>
        <w:t xml:space="preserve"> </w:t>
      </w:r>
      <w:r w:rsidRPr="00EE060E">
        <w:t xml:space="preserve">Brodsky RA. Clinical manifestations and diagnosis of paroxysmal nocturnal hemoglobinuria. In: Larson RA (Ed), UpToDate, Waltham, MA. </w:t>
      </w:r>
      <w:hyperlink r:id="rId1" w:anchor="H14812567" w:history="1">
        <w:r>
          <w:rPr>
            <w:rStyle w:val="Hyperlink"/>
          </w:rPr>
          <w:t>www.uptodate.com</w:t>
        </w:r>
      </w:hyperlink>
    </w:p>
  </w:footnote>
  <w:footnote w:id="6">
    <w:p w14:paraId="739E6349" w14:textId="318AC426" w:rsidR="00AC31FD" w:rsidRPr="004A328D" w:rsidRDefault="00AC31FD">
      <w:pPr>
        <w:pStyle w:val="FootnoteText"/>
        <w:rPr>
          <w:lang w:val="es-ES"/>
        </w:rPr>
      </w:pPr>
      <w:r>
        <w:rPr>
          <w:rStyle w:val="FootnoteReference"/>
        </w:rPr>
        <w:footnoteRef/>
      </w:r>
      <w:r>
        <w:t xml:space="preserve"> </w:t>
      </w:r>
      <w:r w:rsidRPr="00EE060E">
        <w:t>van den Heuvel-</w:t>
      </w:r>
      <w:proofErr w:type="spellStart"/>
      <w:r w:rsidRPr="00EE060E">
        <w:t>Eibrink</w:t>
      </w:r>
      <w:proofErr w:type="spellEnd"/>
      <w:r w:rsidRPr="00EE060E">
        <w:t xml:space="preserve"> MM. Paroxysmal nocturnal hemoglobinuria in children. </w:t>
      </w:r>
      <w:proofErr w:type="spellStart"/>
      <w:r w:rsidRPr="004A328D">
        <w:rPr>
          <w:i/>
          <w:iCs/>
          <w:lang w:val="es-ES"/>
        </w:rPr>
        <w:t>Paediatr</w:t>
      </w:r>
      <w:proofErr w:type="spellEnd"/>
      <w:r w:rsidRPr="004A328D">
        <w:rPr>
          <w:i/>
          <w:iCs/>
          <w:lang w:val="es-ES"/>
        </w:rPr>
        <w:t xml:space="preserve"> </w:t>
      </w:r>
      <w:proofErr w:type="spellStart"/>
      <w:r w:rsidRPr="004A328D">
        <w:rPr>
          <w:i/>
          <w:iCs/>
          <w:lang w:val="es-ES"/>
        </w:rPr>
        <w:t>Drugs</w:t>
      </w:r>
      <w:proofErr w:type="spellEnd"/>
      <w:r w:rsidRPr="004A328D">
        <w:rPr>
          <w:i/>
          <w:iCs/>
          <w:lang w:val="es-ES"/>
        </w:rPr>
        <w:t>.</w:t>
      </w:r>
      <w:r w:rsidRPr="004A328D">
        <w:rPr>
          <w:lang w:val="es-ES"/>
        </w:rPr>
        <w:t xml:space="preserve"> 2007;9(1):11-16.</w:t>
      </w:r>
    </w:p>
  </w:footnote>
  <w:footnote w:id="7">
    <w:p w14:paraId="58EA2738" w14:textId="05F3949E" w:rsidR="00AC31FD" w:rsidRDefault="00AC31FD">
      <w:pPr>
        <w:pStyle w:val="FootnoteText"/>
      </w:pPr>
      <w:r>
        <w:rPr>
          <w:rStyle w:val="FootnoteReference"/>
        </w:rPr>
        <w:footnoteRef/>
      </w:r>
      <w:r w:rsidRPr="004A328D">
        <w:rPr>
          <w:lang w:val="es-ES"/>
        </w:rPr>
        <w:t xml:space="preserve"> </w:t>
      </w:r>
      <w:proofErr w:type="spellStart"/>
      <w:r w:rsidRPr="004A328D">
        <w:rPr>
          <w:lang w:val="es-ES"/>
        </w:rPr>
        <w:t>Campistol</w:t>
      </w:r>
      <w:proofErr w:type="spellEnd"/>
      <w:r w:rsidRPr="004A328D">
        <w:rPr>
          <w:lang w:val="es-ES"/>
        </w:rPr>
        <w:t xml:space="preserve"> JM, Arias M, Ariceta G, Blasco M, Espinosa L, Espinosa M et al. </w:t>
      </w:r>
      <w:r w:rsidRPr="00D567DC">
        <w:t xml:space="preserve">An update for atypical haemolytic uraemic syndrome: diagnosis and treatment. A consensus document. </w:t>
      </w:r>
      <w:proofErr w:type="spellStart"/>
      <w:r w:rsidRPr="00D567DC">
        <w:rPr>
          <w:i/>
          <w:iCs/>
        </w:rPr>
        <w:t>Nefrologia</w:t>
      </w:r>
      <w:proofErr w:type="spellEnd"/>
      <w:r w:rsidRPr="00D567DC">
        <w:rPr>
          <w:i/>
          <w:iCs/>
        </w:rPr>
        <w:t>.</w:t>
      </w:r>
      <w:r w:rsidRPr="00D567DC">
        <w:t xml:space="preserve"> 2015;35(5):421-447.</w:t>
      </w:r>
    </w:p>
  </w:footnote>
  <w:footnote w:id="8">
    <w:p w14:paraId="01BA9182" w14:textId="0AE13DE5" w:rsidR="00AC31FD" w:rsidRDefault="00AC31FD">
      <w:pPr>
        <w:pStyle w:val="FootnoteText"/>
      </w:pPr>
      <w:r>
        <w:rPr>
          <w:rStyle w:val="FootnoteReference"/>
        </w:rPr>
        <w:footnoteRef/>
      </w:r>
      <w:r>
        <w:t xml:space="preserve"> </w:t>
      </w:r>
      <w:r w:rsidRPr="00D567DC">
        <w:t xml:space="preserve">Laurence J, Haller H, </w:t>
      </w:r>
      <w:proofErr w:type="spellStart"/>
      <w:r w:rsidRPr="00D567DC">
        <w:t>Mannucci</w:t>
      </w:r>
      <w:proofErr w:type="spellEnd"/>
      <w:r w:rsidRPr="00D567DC">
        <w:t xml:space="preserve"> PM, </w:t>
      </w:r>
      <w:proofErr w:type="spellStart"/>
      <w:r w:rsidRPr="00D567DC">
        <w:t>Nangaku</w:t>
      </w:r>
      <w:proofErr w:type="spellEnd"/>
      <w:r w:rsidRPr="00D567DC">
        <w:t xml:space="preserve"> M, </w:t>
      </w:r>
      <w:proofErr w:type="spellStart"/>
      <w:r w:rsidRPr="00D567DC">
        <w:t>Praga</w:t>
      </w:r>
      <w:proofErr w:type="spellEnd"/>
      <w:r w:rsidRPr="00D567DC">
        <w:t xml:space="preserve"> M, Rodriguez de Cordoba S. Atypical </w:t>
      </w:r>
      <w:proofErr w:type="spellStart"/>
      <w:r w:rsidRPr="00D567DC">
        <w:t>hemolytic</w:t>
      </w:r>
      <w:proofErr w:type="spellEnd"/>
      <w:r w:rsidRPr="00D567DC">
        <w:t xml:space="preserve"> uraemic syndrome (</w:t>
      </w:r>
      <w:proofErr w:type="spellStart"/>
      <w:r w:rsidRPr="00D567DC">
        <w:t>aHUS</w:t>
      </w:r>
      <w:proofErr w:type="spellEnd"/>
      <w:r w:rsidRPr="00D567DC">
        <w:t xml:space="preserve">): essential aspects of an accurate diagnosis. </w:t>
      </w:r>
      <w:r w:rsidRPr="00D567DC">
        <w:rPr>
          <w:i/>
          <w:iCs/>
        </w:rPr>
        <w:t xml:space="preserve">Clin Adv </w:t>
      </w:r>
      <w:proofErr w:type="spellStart"/>
      <w:r w:rsidRPr="00D567DC">
        <w:rPr>
          <w:i/>
          <w:iCs/>
        </w:rPr>
        <w:t>Hematol</w:t>
      </w:r>
      <w:proofErr w:type="spellEnd"/>
      <w:r w:rsidRPr="00D567DC">
        <w:rPr>
          <w:i/>
          <w:iCs/>
        </w:rPr>
        <w:t xml:space="preserve"> Oncol.</w:t>
      </w:r>
      <w:r w:rsidRPr="00D567DC">
        <w:t xml:space="preserve"> 2016;14 Suppl 11(11):2-15.</w:t>
      </w:r>
    </w:p>
  </w:footnote>
  <w:footnote w:id="9">
    <w:p w14:paraId="6B5A897C" w14:textId="0EDDE61C" w:rsidR="00AC31FD" w:rsidRPr="004A328D" w:rsidRDefault="00AC31FD">
      <w:pPr>
        <w:pStyle w:val="FootnoteText"/>
        <w:rPr>
          <w:lang w:val="fr-FR"/>
        </w:rPr>
      </w:pPr>
      <w:r>
        <w:rPr>
          <w:rStyle w:val="FootnoteReference"/>
        </w:rPr>
        <w:footnoteRef/>
      </w:r>
      <w:r>
        <w:t xml:space="preserve"> </w:t>
      </w:r>
      <w:r w:rsidRPr="00D567DC">
        <w:t xml:space="preserve">Avila </w:t>
      </w:r>
      <w:proofErr w:type="spellStart"/>
      <w:r w:rsidRPr="00D567DC">
        <w:t>Bernabeu</w:t>
      </w:r>
      <w:proofErr w:type="spellEnd"/>
      <w:r w:rsidRPr="00D567DC">
        <w:t xml:space="preserve"> AI, </w:t>
      </w:r>
      <w:proofErr w:type="spellStart"/>
      <w:r w:rsidRPr="00D567DC">
        <w:t>Cavero</w:t>
      </w:r>
      <w:proofErr w:type="spellEnd"/>
      <w:r w:rsidRPr="00D567DC">
        <w:t xml:space="preserve"> </w:t>
      </w:r>
      <w:proofErr w:type="spellStart"/>
      <w:r w:rsidRPr="00D567DC">
        <w:t>Escribano</w:t>
      </w:r>
      <w:proofErr w:type="spellEnd"/>
      <w:r w:rsidRPr="00D567DC">
        <w:t xml:space="preserve"> T, Cao </w:t>
      </w:r>
      <w:proofErr w:type="spellStart"/>
      <w:r w:rsidRPr="00D567DC">
        <w:t>Vilarino</w:t>
      </w:r>
      <w:proofErr w:type="spellEnd"/>
      <w:r w:rsidRPr="00D567DC">
        <w:t xml:space="preserve"> M. Atypical </w:t>
      </w:r>
      <w:proofErr w:type="spellStart"/>
      <w:r w:rsidRPr="00D567DC">
        <w:t>hemolytic</w:t>
      </w:r>
      <w:proofErr w:type="spellEnd"/>
      <w:r w:rsidRPr="00D567DC">
        <w:t xml:space="preserve"> uraemic syndrome (</w:t>
      </w:r>
      <w:proofErr w:type="spellStart"/>
      <w:r w:rsidRPr="00D567DC">
        <w:t>aHUS</w:t>
      </w:r>
      <w:proofErr w:type="spellEnd"/>
      <w:r w:rsidRPr="00D567DC">
        <w:t xml:space="preserve">): new challenges in the complement blockage era. </w:t>
      </w:r>
      <w:proofErr w:type="spellStart"/>
      <w:r w:rsidRPr="004A328D">
        <w:rPr>
          <w:i/>
          <w:iCs/>
          <w:lang w:val="fr-FR"/>
        </w:rPr>
        <w:t>Nephron</w:t>
      </w:r>
      <w:proofErr w:type="spellEnd"/>
      <w:r w:rsidRPr="004A328D">
        <w:rPr>
          <w:i/>
          <w:iCs/>
          <w:lang w:val="fr-FR"/>
        </w:rPr>
        <w:t>.</w:t>
      </w:r>
      <w:r w:rsidRPr="004A328D">
        <w:rPr>
          <w:lang w:val="fr-FR"/>
        </w:rPr>
        <w:t xml:space="preserve"> </w:t>
      </w:r>
      <w:proofErr w:type="gramStart"/>
      <w:r w:rsidRPr="004A328D">
        <w:rPr>
          <w:lang w:val="fr-FR"/>
        </w:rPr>
        <w:t>2020;</w:t>
      </w:r>
      <w:proofErr w:type="gramEnd"/>
      <w:r w:rsidRPr="004A328D">
        <w:rPr>
          <w:lang w:val="fr-FR"/>
        </w:rPr>
        <w:t>144:537-549.</w:t>
      </w:r>
    </w:p>
  </w:footnote>
  <w:footnote w:id="10">
    <w:p w14:paraId="4DEB1CBD" w14:textId="168909AB" w:rsidR="00AC31FD" w:rsidRDefault="00AC31FD">
      <w:pPr>
        <w:pStyle w:val="FootnoteText"/>
      </w:pPr>
      <w:r>
        <w:rPr>
          <w:rStyle w:val="FootnoteReference"/>
        </w:rPr>
        <w:footnoteRef/>
      </w:r>
      <w:r w:rsidRPr="004A328D">
        <w:rPr>
          <w:lang w:val="fr-FR"/>
        </w:rPr>
        <w:t xml:space="preserve"> </w:t>
      </w:r>
      <w:proofErr w:type="spellStart"/>
      <w:r w:rsidRPr="004A328D">
        <w:rPr>
          <w:lang w:val="fr-FR"/>
        </w:rPr>
        <w:t>Fremeaux-Bacchi</w:t>
      </w:r>
      <w:proofErr w:type="spellEnd"/>
      <w:r w:rsidRPr="004A328D">
        <w:rPr>
          <w:lang w:val="fr-FR"/>
        </w:rPr>
        <w:t xml:space="preserve"> V, </w:t>
      </w:r>
      <w:proofErr w:type="spellStart"/>
      <w:r w:rsidRPr="004A328D">
        <w:rPr>
          <w:lang w:val="fr-FR"/>
        </w:rPr>
        <w:t>Fakhouri</w:t>
      </w:r>
      <w:proofErr w:type="spellEnd"/>
      <w:r w:rsidRPr="004A328D">
        <w:rPr>
          <w:lang w:val="fr-FR"/>
        </w:rPr>
        <w:t xml:space="preserve"> F, Garnier A, Bienaimé F, Dragon-Dury M, Ngo S et al. </w:t>
      </w:r>
      <w:r w:rsidRPr="007B0A6A">
        <w:t xml:space="preserve">Genetics and outcome of atypical </w:t>
      </w:r>
      <w:proofErr w:type="spellStart"/>
      <w:r w:rsidRPr="007B0A6A">
        <w:t>hemolytic</w:t>
      </w:r>
      <w:proofErr w:type="spellEnd"/>
      <w:r w:rsidRPr="007B0A6A">
        <w:t xml:space="preserve"> uraemic syndrome: a nationwide French series comparing children and adults. </w:t>
      </w:r>
      <w:r w:rsidRPr="007B0A6A">
        <w:rPr>
          <w:i/>
          <w:iCs/>
        </w:rPr>
        <w:t>Clin J Am Soc Nephrol.</w:t>
      </w:r>
      <w:r w:rsidRPr="007B0A6A">
        <w:t xml:space="preserve"> </w:t>
      </w:r>
      <w:proofErr w:type="gramStart"/>
      <w:r w:rsidRPr="007B0A6A">
        <w:t>2013;8:554</w:t>
      </w:r>
      <w:proofErr w:type="gramEnd"/>
      <w:r w:rsidRPr="007B0A6A">
        <w:t>-562.</w:t>
      </w:r>
    </w:p>
  </w:footnote>
  <w:footnote w:id="11">
    <w:p w14:paraId="6A93E6E1" w14:textId="4264F2D1" w:rsidR="00AC31FD" w:rsidRPr="00082A18" w:rsidRDefault="00AC31FD">
      <w:pPr>
        <w:pStyle w:val="FootnoteText"/>
      </w:pPr>
      <w:r>
        <w:rPr>
          <w:rStyle w:val="FootnoteReference"/>
        </w:rPr>
        <w:footnoteRef/>
      </w:r>
      <w:r>
        <w:t xml:space="preserve"> An AusPAR documenting the evaluation and approval of </w:t>
      </w:r>
      <w:proofErr w:type="spellStart"/>
      <w:r>
        <w:t>Ultromiris</w:t>
      </w:r>
      <w:proofErr w:type="spellEnd"/>
      <w:r>
        <w:t xml:space="preserve"> (</w:t>
      </w:r>
      <w:proofErr w:type="spellStart"/>
      <w:r>
        <w:t>ravulizumab</w:t>
      </w:r>
      <w:proofErr w:type="spellEnd"/>
      <w:r>
        <w:t xml:space="preserve">) as a new chemical entity (submission PM-2018-05023-1-6) indicated for the </w:t>
      </w:r>
      <w:r w:rsidRPr="0035187D">
        <w:rPr>
          <w:i/>
        </w:rPr>
        <w:t xml:space="preserve">treatment of adult patients with paroxysmal </w:t>
      </w:r>
      <w:r>
        <w:rPr>
          <w:i/>
        </w:rPr>
        <w:t>nocturnal haemoglobinuria (PNH)</w:t>
      </w:r>
      <w:r>
        <w:t xml:space="preserve"> is available online at </w:t>
      </w:r>
      <w:hyperlink r:id="rId2" w:history="1">
        <w:r w:rsidRPr="00AF1F6D">
          <w:rPr>
            <w:rStyle w:val="Hyperlink"/>
            <w:lang w:val="en-GB"/>
          </w:rPr>
          <w:t>https://www.tga.gov.au/resources/auspar/auspar-ravulizumab</w:t>
        </w:r>
      </w:hyperlink>
      <w:r>
        <w:rPr>
          <w:lang w:val="en-GB"/>
        </w:rPr>
        <w:t xml:space="preserve"> </w:t>
      </w:r>
    </w:p>
  </w:footnote>
  <w:footnote w:id="12">
    <w:p w14:paraId="21FCD783" w14:textId="77777777" w:rsidR="00AC31FD" w:rsidRPr="002753D1" w:rsidRDefault="00AC31FD" w:rsidP="007601F1">
      <w:pPr>
        <w:pStyle w:val="FootnoteText"/>
        <w:rPr>
          <w:lang w:val="en-GB"/>
        </w:rPr>
      </w:pPr>
      <w:r>
        <w:rPr>
          <w:rStyle w:val="FootnoteReference"/>
        </w:rPr>
        <w:footnoteRef/>
      </w:r>
      <w:r>
        <w:t xml:space="preserve"> </w:t>
      </w:r>
      <w:proofErr w:type="spellStart"/>
      <w:r>
        <w:t>AusPAR</w:t>
      </w:r>
      <w:proofErr w:type="spellEnd"/>
      <w:r>
        <w:t xml:space="preserve"> for </w:t>
      </w:r>
      <w:proofErr w:type="spellStart"/>
      <w:r>
        <w:t>Empaveli</w:t>
      </w:r>
      <w:proofErr w:type="spellEnd"/>
      <w:r>
        <w:t xml:space="preserve"> (</w:t>
      </w:r>
      <w:proofErr w:type="spellStart"/>
      <w:r w:rsidRPr="007601F1">
        <w:t>pegcetacoplan</w:t>
      </w:r>
      <w:proofErr w:type="spellEnd"/>
      <w:r>
        <w:t>), Apellis Australia Pty Ltd; submission</w:t>
      </w:r>
      <w:r w:rsidRPr="007601F1">
        <w:t xml:space="preserve"> PM-2020-05447-1-6</w:t>
      </w:r>
      <w:r>
        <w:t xml:space="preserve">. Available at: </w:t>
      </w:r>
      <w:hyperlink r:id="rId3" w:history="1">
        <w:r w:rsidRPr="00AF1F6D">
          <w:rPr>
            <w:rStyle w:val="Hyperlink"/>
          </w:rPr>
          <w:t>https://www.tga.gov.au/resources/auspar/auspar-pegcetacoplan</w:t>
        </w:r>
      </w:hyperlink>
      <w:r>
        <w:t xml:space="preserve"> </w:t>
      </w:r>
    </w:p>
  </w:footnote>
  <w:footnote w:id="13">
    <w:p w14:paraId="79CF4A8B" w14:textId="05D08E25" w:rsidR="00AC31FD" w:rsidRPr="0035187D" w:rsidRDefault="00AC31FD">
      <w:pPr>
        <w:pStyle w:val="FootnoteText"/>
        <w:rPr>
          <w:lang w:val="en-GB"/>
        </w:rPr>
      </w:pPr>
      <w:r>
        <w:rPr>
          <w:rStyle w:val="FootnoteReference"/>
        </w:rPr>
        <w:footnoteRef/>
      </w:r>
      <w:r>
        <w:t xml:space="preserve"> AusPAR for Soliris (eculizumab), Alexion Pharmaceuticals Australasia Pty Ltd; submission PM-2019-04825-1-1. Available at: </w:t>
      </w:r>
      <w:hyperlink r:id="rId4" w:history="1">
        <w:r w:rsidRPr="00AF1F6D">
          <w:rPr>
            <w:rStyle w:val="Hyperlink"/>
          </w:rPr>
          <w:t>https://www.tga.gov.au/resources/auspar/auspar-eculizumab</w:t>
        </w:r>
      </w:hyperlink>
      <w:r>
        <w:t xml:space="preserve"> </w:t>
      </w:r>
    </w:p>
  </w:footnote>
  <w:footnote w:id="14">
    <w:p w14:paraId="72258E67" w14:textId="51AA42AA" w:rsidR="00AC31FD" w:rsidRDefault="00AC31FD">
      <w:pPr>
        <w:pStyle w:val="FootnoteText"/>
      </w:pPr>
      <w:r>
        <w:rPr>
          <w:rStyle w:val="FootnoteReference"/>
        </w:rPr>
        <w:footnoteRef/>
      </w:r>
      <w:r>
        <w:t xml:space="preserve"> The </w:t>
      </w:r>
      <w:r w:rsidRPr="00856026">
        <w:t xml:space="preserve">European Public Assessment Report </w:t>
      </w:r>
      <w:r>
        <w:t>for Ultomiris</w:t>
      </w:r>
      <w:r w:rsidRPr="00856026">
        <w:t xml:space="preserve"> aHUS indication </w:t>
      </w:r>
      <w:r>
        <w:t xml:space="preserve">can be accessed at: </w:t>
      </w:r>
      <w:hyperlink r:id="rId5" w:history="1">
        <w:r>
          <w:rPr>
            <w:rStyle w:val="Hyperlink"/>
          </w:rPr>
          <w:t>Ultomiris, INN-ravulizumab (europa.eu)</w:t>
        </w:r>
      </w:hyperlink>
    </w:p>
  </w:footnote>
  <w:footnote w:id="15">
    <w:p w14:paraId="05BAA6AE" w14:textId="70DCC6BA" w:rsidR="00AC31FD" w:rsidRPr="0035187D" w:rsidRDefault="00AC31FD">
      <w:pPr>
        <w:pStyle w:val="FootnoteText"/>
        <w:rPr>
          <w:lang w:val="en-GB"/>
        </w:rPr>
      </w:pPr>
      <w:r>
        <w:rPr>
          <w:rStyle w:val="FootnoteReference"/>
        </w:rPr>
        <w:footnoteRef/>
      </w:r>
      <w:r>
        <w:t xml:space="preserve"> Study ALXN1210-aHUS-311: </w:t>
      </w:r>
      <w:r w:rsidRPr="008560C2">
        <w:t xml:space="preserve">Single Arm Study of ALXN1210 </w:t>
      </w:r>
      <w:r>
        <w:t xml:space="preserve">[ravulizumab] </w:t>
      </w:r>
      <w:r w:rsidRPr="008560C2">
        <w:t xml:space="preserve">in Complement Inhibitor Treatment-naïve Adult and Adolescent Patients </w:t>
      </w:r>
      <w:proofErr w:type="gramStart"/>
      <w:r w:rsidRPr="008560C2">
        <w:t>With</w:t>
      </w:r>
      <w:proofErr w:type="gramEnd"/>
      <w:r w:rsidRPr="008560C2">
        <w:t xml:space="preserve"> Atypical </w:t>
      </w:r>
      <w:proofErr w:type="spellStart"/>
      <w:r w:rsidRPr="008560C2">
        <w:t>Hemolytic</w:t>
      </w:r>
      <w:proofErr w:type="spellEnd"/>
      <w:r w:rsidRPr="008560C2">
        <w:t xml:space="preserve"> Uremic Syndrome (</w:t>
      </w:r>
      <w:proofErr w:type="spellStart"/>
      <w:r w:rsidRPr="008560C2">
        <w:t>aHUS</w:t>
      </w:r>
      <w:proofErr w:type="spellEnd"/>
      <w:r w:rsidRPr="008560C2">
        <w:t>)</w:t>
      </w:r>
      <w:r>
        <w:t>.</w:t>
      </w:r>
      <w:r>
        <w:br/>
      </w:r>
      <w:r w:rsidRPr="008560C2">
        <w:t>ClinicalTrials.gov Identifier: NCT02949128</w:t>
      </w:r>
    </w:p>
  </w:footnote>
  <w:footnote w:id="16">
    <w:p w14:paraId="53D721ED" w14:textId="61EA311B" w:rsidR="00AC31FD" w:rsidRPr="0035187D" w:rsidRDefault="00AC31FD">
      <w:pPr>
        <w:pStyle w:val="FootnoteText"/>
        <w:rPr>
          <w:lang w:val="en-GB"/>
        </w:rPr>
      </w:pPr>
      <w:r>
        <w:rPr>
          <w:rStyle w:val="FootnoteReference"/>
        </w:rPr>
        <w:footnoteRef/>
      </w:r>
      <w:r>
        <w:t xml:space="preserve"> Study </w:t>
      </w:r>
      <w:r w:rsidRPr="004934F4">
        <w:t>ALXN1210-aHUS-312</w:t>
      </w:r>
      <w:r>
        <w:t>: A Phase III</w:t>
      </w:r>
      <w:r w:rsidRPr="004934F4">
        <w:t xml:space="preserve">, Open-Label, </w:t>
      </w:r>
      <w:proofErr w:type="spellStart"/>
      <w:r w:rsidRPr="004934F4">
        <w:t>Multicenter</w:t>
      </w:r>
      <w:proofErr w:type="spellEnd"/>
      <w:r w:rsidRPr="004934F4">
        <w:t xml:space="preserve"> Study of ALXN1210</w:t>
      </w:r>
      <w:r>
        <w:t xml:space="preserve"> [ravulizumab]</w:t>
      </w:r>
      <w:r w:rsidRPr="004934F4">
        <w:t xml:space="preserve"> in Children and Adolescents </w:t>
      </w:r>
      <w:proofErr w:type="gramStart"/>
      <w:r w:rsidRPr="004934F4">
        <w:t>With</w:t>
      </w:r>
      <w:proofErr w:type="gramEnd"/>
      <w:r w:rsidRPr="004934F4">
        <w:t xml:space="preserve"> Atypical </w:t>
      </w:r>
      <w:proofErr w:type="spellStart"/>
      <w:r w:rsidRPr="004934F4">
        <w:t>Hemolytic</w:t>
      </w:r>
      <w:proofErr w:type="spellEnd"/>
      <w:r w:rsidRPr="004934F4">
        <w:t xml:space="preserve"> Uremic Syndrome (</w:t>
      </w:r>
      <w:proofErr w:type="spellStart"/>
      <w:r w:rsidRPr="004934F4">
        <w:t>aHUS</w:t>
      </w:r>
      <w:proofErr w:type="spellEnd"/>
      <w:r w:rsidRPr="004934F4">
        <w:t>)</w:t>
      </w:r>
      <w:r>
        <w:t xml:space="preserve">. </w:t>
      </w:r>
      <w:r w:rsidRPr="004934F4">
        <w:t>ClinicalTrials.gov Identifier: NCT03131219</w:t>
      </w:r>
      <w:r>
        <w:t>.</w:t>
      </w:r>
    </w:p>
  </w:footnote>
  <w:footnote w:id="17">
    <w:p w14:paraId="3859B9F5" w14:textId="7A1CAFF0" w:rsidR="00AC31FD" w:rsidRPr="008F6E08" w:rsidRDefault="00AC31FD" w:rsidP="00AC31FD">
      <w:pPr>
        <w:pStyle w:val="FootnoteText"/>
      </w:pPr>
      <w:r>
        <w:rPr>
          <w:rStyle w:val="FootnoteReference"/>
        </w:rPr>
        <w:footnoteRef/>
      </w:r>
      <w:r>
        <w:t xml:space="preserve"> Study ALXN1210-PNH-304: </w:t>
      </w:r>
      <w:r w:rsidRPr="00AC31FD">
        <w:t xml:space="preserve">A Phase 3, Open-Label Study of ALXN1210 in Children and Adolescents </w:t>
      </w:r>
      <w:proofErr w:type="gramStart"/>
      <w:r w:rsidRPr="00AC31FD">
        <w:t>With</w:t>
      </w:r>
      <w:proofErr w:type="gramEnd"/>
      <w:r w:rsidRPr="00AC31FD">
        <w:t xml:space="preserve"> Paroxysmal Nocturnal Hemoglobinuria (PNH)</w:t>
      </w:r>
      <w:r>
        <w:t>. ClinicalTrials.gov Identifier: NCT03406507.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AC31FD" w:rsidRPr="00CB0550" w:rsidRDefault="00AC31FD"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AC31FD" w:rsidRPr="002B29B2" w14:paraId="3E15C3BC" w14:textId="77777777" w:rsidTr="007452E8">
      <w:trPr>
        <w:trHeight w:hRule="exact" w:val="8845"/>
      </w:trPr>
      <w:tc>
        <w:tcPr>
          <w:tcW w:w="11964" w:type="dxa"/>
          <w:vAlign w:val="center"/>
        </w:tcPr>
        <w:p w14:paraId="6FDE4BFB" w14:textId="361781C9" w:rsidR="00AC31FD" w:rsidRPr="002B29B2" w:rsidRDefault="00AC31FD" w:rsidP="007452E8">
          <w:pPr>
            <w:ind w:left="-57"/>
            <w:rPr>
              <w:noProof/>
            </w:rPr>
          </w:pPr>
        </w:p>
      </w:tc>
    </w:tr>
  </w:tbl>
  <w:p w14:paraId="6402DE55" w14:textId="77777777" w:rsidR="00AC31FD" w:rsidRDefault="00AC31FD" w:rsidP="007452E8">
    <w:pPr>
      <w:rPr>
        <w:noProof/>
      </w:rPr>
    </w:pPr>
    <w:r>
      <w:rPr>
        <w:noProof/>
        <w:lang w:val="en-GB"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AC31FD" w:rsidRDefault="00AC31FD"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AC31FD" w:rsidRPr="00B9110E" w:rsidRDefault="00AC31FD" w:rsidP="00B911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DF3F97"/>
    <w:multiLevelType w:val="hybridMultilevel"/>
    <w:tmpl w:val="E80087E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164CC07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0F8336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BC39E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7FEE5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9FC3CD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5BC1E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3"/>
    <w:multiLevelType w:val="singleLevel"/>
    <w:tmpl w:val="5BFA227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87E40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EA92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C11752"/>
    <w:multiLevelType w:val="hybridMultilevel"/>
    <w:tmpl w:val="DE7CBAD0"/>
    <w:lvl w:ilvl="0" w:tplc="65028138">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4"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6"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7"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25C0026"/>
    <w:multiLevelType w:val="hybridMultilevel"/>
    <w:tmpl w:val="D4FAE8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77A14FB"/>
    <w:multiLevelType w:val="hybridMultilevel"/>
    <w:tmpl w:val="2F9EDB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6D592DF9"/>
    <w:multiLevelType w:val="hybridMultilevel"/>
    <w:tmpl w:val="818EAC72"/>
    <w:lvl w:ilvl="0" w:tplc="BC443256">
      <w:start w:val="1"/>
      <w:numFmt w:val="lowerRoman"/>
      <w:lvlText w:val="(%1)"/>
      <w:lvlJc w:val="left"/>
      <w:pPr>
        <w:ind w:left="770" w:hanging="720"/>
      </w:pPr>
      <w:rPr>
        <w:rFonts w:hint="default"/>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num w:numId="1">
    <w:abstractNumId w:val="14"/>
  </w:num>
  <w:num w:numId="2">
    <w:abstractNumId w:val="12"/>
  </w:num>
  <w:num w:numId="3">
    <w:abstractNumId w:val="13"/>
  </w:num>
  <w:num w:numId="4">
    <w:abstractNumId w:val="17"/>
  </w:num>
  <w:num w:numId="5">
    <w:abstractNumId w:val="15"/>
  </w:num>
  <w:num w:numId="6">
    <w:abstractNumId w:val="16"/>
  </w:num>
  <w:num w:numId="7">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1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0"/>
  </w:num>
  <w:num w:numId="12">
    <w:abstractNumId w:val="18"/>
  </w:num>
  <w:num w:numId="13">
    <w:abstractNumId w:val="19"/>
  </w:num>
  <w:num w:numId="14">
    <w:abstractNumId w:val="9"/>
  </w:num>
  <w:num w:numId="15">
    <w:abstractNumId w:val="7"/>
  </w:num>
  <w:num w:numId="16">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6"/>
  </w:num>
  <w:num w:numId="19">
    <w:abstractNumId w:val="5"/>
  </w:num>
  <w:num w:numId="20">
    <w:abstractNumId w:val="8"/>
  </w:num>
  <w:num w:numId="21">
    <w:abstractNumId w:val="4"/>
  </w:num>
  <w:num w:numId="22">
    <w:abstractNumId w:val="3"/>
  </w:num>
  <w:num w:numId="23">
    <w:abstractNumId w:val="2"/>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8B6"/>
    <w:rsid w:val="0000270D"/>
    <w:rsid w:val="0005096B"/>
    <w:rsid w:val="00051B4B"/>
    <w:rsid w:val="00077844"/>
    <w:rsid w:val="000807E3"/>
    <w:rsid w:val="00082A18"/>
    <w:rsid w:val="000843C4"/>
    <w:rsid w:val="00094B81"/>
    <w:rsid w:val="00096282"/>
    <w:rsid w:val="000975AA"/>
    <w:rsid w:val="000B28EA"/>
    <w:rsid w:val="000D7934"/>
    <w:rsid w:val="00101FB1"/>
    <w:rsid w:val="0010581D"/>
    <w:rsid w:val="00112EF6"/>
    <w:rsid w:val="00123535"/>
    <w:rsid w:val="0012473C"/>
    <w:rsid w:val="0013528C"/>
    <w:rsid w:val="00146952"/>
    <w:rsid w:val="00162A88"/>
    <w:rsid w:val="00163335"/>
    <w:rsid w:val="00165D28"/>
    <w:rsid w:val="0016726F"/>
    <w:rsid w:val="001700D5"/>
    <w:rsid w:val="001705CE"/>
    <w:rsid w:val="00175CD8"/>
    <w:rsid w:val="001C1826"/>
    <w:rsid w:val="001C1C2E"/>
    <w:rsid w:val="001C29B2"/>
    <w:rsid w:val="001C5E4C"/>
    <w:rsid w:val="001E1B2F"/>
    <w:rsid w:val="001F463A"/>
    <w:rsid w:val="00203235"/>
    <w:rsid w:val="0020369B"/>
    <w:rsid w:val="00226F39"/>
    <w:rsid w:val="002400EE"/>
    <w:rsid w:val="00241B60"/>
    <w:rsid w:val="00284678"/>
    <w:rsid w:val="002A6F1F"/>
    <w:rsid w:val="002C2BA0"/>
    <w:rsid w:val="002C3BD7"/>
    <w:rsid w:val="002C5E29"/>
    <w:rsid w:val="002D7127"/>
    <w:rsid w:val="002F02DC"/>
    <w:rsid w:val="002F483A"/>
    <w:rsid w:val="002F63B1"/>
    <w:rsid w:val="002F6A97"/>
    <w:rsid w:val="002F77DE"/>
    <w:rsid w:val="003008D8"/>
    <w:rsid w:val="00303959"/>
    <w:rsid w:val="00312AC3"/>
    <w:rsid w:val="00314430"/>
    <w:rsid w:val="00322B46"/>
    <w:rsid w:val="00324B33"/>
    <w:rsid w:val="00330C22"/>
    <w:rsid w:val="00345E36"/>
    <w:rsid w:val="00346EC2"/>
    <w:rsid w:val="0035187D"/>
    <w:rsid w:val="0035444D"/>
    <w:rsid w:val="003601A2"/>
    <w:rsid w:val="0036478A"/>
    <w:rsid w:val="003664A8"/>
    <w:rsid w:val="00367A0A"/>
    <w:rsid w:val="003705C1"/>
    <w:rsid w:val="003761B8"/>
    <w:rsid w:val="00384CA5"/>
    <w:rsid w:val="00387478"/>
    <w:rsid w:val="00395140"/>
    <w:rsid w:val="003B149C"/>
    <w:rsid w:val="003C38D8"/>
    <w:rsid w:val="003C4E07"/>
    <w:rsid w:val="003C741C"/>
    <w:rsid w:val="003D1A14"/>
    <w:rsid w:val="003D71A1"/>
    <w:rsid w:val="003E2382"/>
    <w:rsid w:val="003E6597"/>
    <w:rsid w:val="003F5C76"/>
    <w:rsid w:val="00415377"/>
    <w:rsid w:val="0041688F"/>
    <w:rsid w:val="00420B7B"/>
    <w:rsid w:val="0042376F"/>
    <w:rsid w:val="004246B8"/>
    <w:rsid w:val="00424C41"/>
    <w:rsid w:val="00433318"/>
    <w:rsid w:val="00446075"/>
    <w:rsid w:val="00452A6B"/>
    <w:rsid w:val="004537EB"/>
    <w:rsid w:val="00472EEA"/>
    <w:rsid w:val="00477C4E"/>
    <w:rsid w:val="00491A55"/>
    <w:rsid w:val="004934F4"/>
    <w:rsid w:val="004A22A9"/>
    <w:rsid w:val="004A328D"/>
    <w:rsid w:val="004B3081"/>
    <w:rsid w:val="004B3190"/>
    <w:rsid w:val="004C7A29"/>
    <w:rsid w:val="004F4532"/>
    <w:rsid w:val="00501B82"/>
    <w:rsid w:val="00505493"/>
    <w:rsid w:val="00524C89"/>
    <w:rsid w:val="0053297A"/>
    <w:rsid w:val="00535DFE"/>
    <w:rsid w:val="00553D74"/>
    <w:rsid w:val="00562F42"/>
    <w:rsid w:val="00564C74"/>
    <w:rsid w:val="0056766D"/>
    <w:rsid w:val="005811AB"/>
    <w:rsid w:val="0058150A"/>
    <w:rsid w:val="0058575E"/>
    <w:rsid w:val="0058783C"/>
    <w:rsid w:val="005911AE"/>
    <w:rsid w:val="0059313A"/>
    <w:rsid w:val="005B023F"/>
    <w:rsid w:val="005C794A"/>
    <w:rsid w:val="005D2089"/>
    <w:rsid w:val="005D336B"/>
    <w:rsid w:val="005D46B2"/>
    <w:rsid w:val="005D4971"/>
    <w:rsid w:val="005D7514"/>
    <w:rsid w:val="005E1A7B"/>
    <w:rsid w:val="005E44B2"/>
    <w:rsid w:val="005F3F4F"/>
    <w:rsid w:val="00624BBF"/>
    <w:rsid w:val="006277A1"/>
    <w:rsid w:val="00632122"/>
    <w:rsid w:val="006351D9"/>
    <w:rsid w:val="0063576D"/>
    <w:rsid w:val="006364D5"/>
    <w:rsid w:val="00637130"/>
    <w:rsid w:val="00637F0E"/>
    <w:rsid w:val="006423F2"/>
    <w:rsid w:val="00643A95"/>
    <w:rsid w:val="0064460D"/>
    <w:rsid w:val="00672C4A"/>
    <w:rsid w:val="00682071"/>
    <w:rsid w:val="00690538"/>
    <w:rsid w:val="00692CCD"/>
    <w:rsid w:val="00694D1C"/>
    <w:rsid w:val="006A1F0B"/>
    <w:rsid w:val="006A277A"/>
    <w:rsid w:val="006D6B44"/>
    <w:rsid w:val="007072A1"/>
    <w:rsid w:val="00710BC5"/>
    <w:rsid w:val="00717B61"/>
    <w:rsid w:val="0072003B"/>
    <w:rsid w:val="00721120"/>
    <w:rsid w:val="007357B9"/>
    <w:rsid w:val="007452E8"/>
    <w:rsid w:val="00746990"/>
    <w:rsid w:val="00750D70"/>
    <w:rsid w:val="007601F1"/>
    <w:rsid w:val="00770570"/>
    <w:rsid w:val="00793272"/>
    <w:rsid w:val="007B04DE"/>
    <w:rsid w:val="007B0A6A"/>
    <w:rsid w:val="007B4C10"/>
    <w:rsid w:val="007C57BC"/>
    <w:rsid w:val="007D4138"/>
    <w:rsid w:val="007D60AF"/>
    <w:rsid w:val="007E513E"/>
    <w:rsid w:val="007F0A77"/>
    <w:rsid w:val="007F50D3"/>
    <w:rsid w:val="00806F0F"/>
    <w:rsid w:val="00810189"/>
    <w:rsid w:val="008169AB"/>
    <w:rsid w:val="00827F4C"/>
    <w:rsid w:val="008329DB"/>
    <w:rsid w:val="008361C5"/>
    <w:rsid w:val="0083628F"/>
    <w:rsid w:val="00837AB9"/>
    <w:rsid w:val="0084036E"/>
    <w:rsid w:val="008434F9"/>
    <w:rsid w:val="00850637"/>
    <w:rsid w:val="00856026"/>
    <w:rsid w:val="008560C2"/>
    <w:rsid w:val="00857D8C"/>
    <w:rsid w:val="00860B29"/>
    <w:rsid w:val="00871AB4"/>
    <w:rsid w:val="0087722B"/>
    <w:rsid w:val="00877763"/>
    <w:rsid w:val="008804CF"/>
    <w:rsid w:val="00893B21"/>
    <w:rsid w:val="008964B3"/>
    <w:rsid w:val="00897A9D"/>
    <w:rsid w:val="008A2B72"/>
    <w:rsid w:val="008B112F"/>
    <w:rsid w:val="008C49C6"/>
    <w:rsid w:val="008C754C"/>
    <w:rsid w:val="008D0C4B"/>
    <w:rsid w:val="008D6A54"/>
    <w:rsid w:val="008F6E08"/>
    <w:rsid w:val="00902727"/>
    <w:rsid w:val="0090605E"/>
    <w:rsid w:val="009108CE"/>
    <w:rsid w:val="00910CC3"/>
    <w:rsid w:val="00915A9F"/>
    <w:rsid w:val="00915CAB"/>
    <w:rsid w:val="00922228"/>
    <w:rsid w:val="009246B8"/>
    <w:rsid w:val="00930D58"/>
    <w:rsid w:val="009409D5"/>
    <w:rsid w:val="00966EF1"/>
    <w:rsid w:val="00996F5A"/>
    <w:rsid w:val="00996FA5"/>
    <w:rsid w:val="009A4553"/>
    <w:rsid w:val="009B4209"/>
    <w:rsid w:val="009E6F8C"/>
    <w:rsid w:val="00A01C56"/>
    <w:rsid w:val="00A04E5B"/>
    <w:rsid w:val="00A231CE"/>
    <w:rsid w:val="00A2688D"/>
    <w:rsid w:val="00A358E7"/>
    <w:rsid w:val="00A3792D"/>
    <w:rsid w:val="00A51A2D"/>
    <w:rsid w:val="00A63D9B"/>
    <w:rsid w:val="00A6526C"/>
    <w:rsid w:val="00A93DC6"/>
    <w:rsid w:val="00AA5E97"/>
    <w:rsid w:val="00AA678E"/>
    <w:rsid w:val="00AB0591"/>
    <w:rsid w:val="00AB6E1E"/>
    <w:rsid w:val="00AB7CBF"/>
    <w:rsid w:val="00AC31FD"/>
    <w:rsid w:val="00AE121E"/>
    <w:rsid w:val="00AE1947"/>
    <w:rsid w:val="00AE2DDA"/>
    <w:rsid w:val="00AF31D8"/>
    <w:rsid w:val="00B36183"/>
    <w:rsid w:val="00B445F7"/>
    <w:rsid w:val="00B46BC0"/>
    <w:rsid w:val="00B55681"/>
    <w:rsid w:val="00B70E76"/>
    <w:rsid w:val="00B82827"/>
    <w:rsid w:val="00B842C3"/>
    <w:rsid w:val="00B8491F"/>
    <w:rsid w:val="00B9110E"/>
    <w:rsid w:val="00B967FF"/>
    <w:rsid w:val="00BA7F7D"/>
    <w:rsid w:val="00BC3104"/>
    <w:rsid w:val="00BD07DF"/>
    <w:rsid w:val="00BD5DBD"/>
    <w:rsid w:val="00BF4638"/>
    <w:rsid w:val="00BF706D"/>
    <w:rsid w:val="00C07551"/>
    <w:rsid w:val="00C1289C"/>
    <w:rsid w:val="00C22214"/>
    <w:rsid w:val="00C35A9E"/>
    <w:rsid w:val="00C407AB"/>
    <w:rsid w:val="00C40E1B"/>
    <w:rsid w:val="00C449AF"/>
    <w:rsid w:val="00C570FF"/>
    <w:rsid w:val="00C6574E"/>
    <w:rsid w:val="00C74CF1"/>
    <w:rsid w:val="00C756BA"/>
    <w:rsid w:val="00C816C6"/>
    <w:rsid w:val="00CA039D"/>
    <w:rsid w:val="00CA7B59"/>
    <w:rsid w:val="00CB0550"/>
    <w:rsid w:val="00CB1259"/>
    <w:rsid w:val="00CD0401"/>
    <w:rsid w:val="00CE5CB4"/>
    <w:rsid w:val="00CF670C"/>
    <w:rsid w:val="00D01DDB"/>
    <w:rsid w:val="00D04A68"/>
    <w:rsid w:val="00D078BE"/>
    <w:rsid w:val="00D13F8A"/>
    <w:rsid w:val="00D30F65"/>
    <w:rsid w:val="00D4080A"/>
    <w:rsid w:val="00D567DC"/>
    <w:rsid w:val="00D62877"/>
    <w:rsid w:val="00D63760"/>
    <w:rsid w:val="00D7231D"/>
    <w:rsid w:val="00D86F8A"/>
    <w:rsid w:val="00D918D5"/>
    <w:rsid w:val="00D94235"/>
    <w:rsid w:val="00D94C8E"/>
    <w:rsid w:val="00DB1CF3"/>
    <w:rsid w:val="00DC7007"/>
    <w:rsid w:val="00DE78CA"/>
    <w:rsid w:val="00DF5BFE"/>
    <w:rsid w:val="00E15AD1"/>
    <w:rsid w:val="00E230F1"/>
    <w:rsid w:val="00E250E8"/>
    <w:rsid w:val="00E47E0C"/>
    <w:rsid w:val="00E51813"/>
    <w:rsid w:val="00E53D3F"/>
    <w:rsid w:val="00E5579B"/>
    <w:rsid w:val="00E61A9C"/>
    <w:rsid w:val="00E647C3"/>
    <w:rsid w:val="00E66C24"/>
    <w:rsid w:val="00E6771E"/>
    <w:rsid w:val="00E76E48"/>
    <w:rsid w:val="00E82B17"/>
    <w:rsid w:val="00E87C03"/>
    <w:rsid w:val="00E93B71"/>
    <w:rsid w:val="00EA27F3"/>
    <w:rsid w:val="00EB25DE"/>
    <w:rsid w:val="00EE060E"/>
    <w:rsid w:val="00EE502A"/>
    <w:rsid w:val="00F02AEC"/>
    <w:rsid w:val="00F157FC"/>
    <w:rsid w:val="00F30AF3"/>
    <w:rsid w:val="00F46EEC"/>
    <w:rsid w:val="00F473B1"/>
    <w:rsid w:val="00F657B4"/>
    <w:rsid w:val="00F865A7"/>
    <w:rsid w:val="00F9394E"/>
    <w:rsid w:val="00F9568B"/>
    <w:rsid w:val="00FA0754"/>
    <w:rsid w:val="00FA1BC9"/>
    <w:rsid w:val="00FA49C3"/>
    <w:rsid w:val="00FB236E"/>
    <w:rsid w:val="00FD0821"/>
    <w:rsid w:val="00FE2164"/>
    <w:rsid w:val="00FE589C"/>
    <w:rsid w:val="00FF4EC4"/>
    <w:rsid w:val="00FF57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8A955F29-C0D3-45B6-AB9C-57F9769C3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96B"/>
    <w:pPr>
      <w:spacing w:before="120"/>
    </w:pPr>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922228"/>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B8282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4537EB"/>
    <w:pPr>
      <w:numPr>
        <w:numId w:val="1"/>
      </w:numPr>
      <w:spacing w:after="180" w:line="240" w:lineRule="atLeast"/>
    </w:pPr>
    <w:rPr>
      <w:rFonts w:eastAsia="Cambria" w:cs="Times New Roman"/>
    </w:rPr>
  </w:style>
  <w:style w:type="paragraph" w:styleId="ListBullet2">
    <w:name w:val="List Bullet 2"/>
    <w:basedOn w:val="Normal"/>
    <w:uiPriority w:val="2"/>
    <w:qFormat/>
    <w:rsid w:val="007B4C10"/>
    <w:pPr>
      <w:numPr>
        <w:ilvl w:val="1"/>
        <w:numId w:val="1"/>
      </w:numPr>
      <w:spacing w:after="180" w:line="240" w:lineRule="atLeast"/>
      <w:ind w:left="850" w:hanging="425"/>
    </w:pPr>
    <w:rPr>
      <w:rFonts w:eastAsia="Cambria" w:cs="Times New Roman"/>
    </w:rPr>
  </w:style>
  <w:style w:type="paragraph" w:styleId="ListBullet3">
    <w:name w:val="List Bullet 3"/>
    <w:basedOn w:val="Normal"/>
    <w:uiPriority w:val="2"/>
    <w:qFormat/>
    <w:rsid w:val="0056766D"/>
    <w:pPr>
      <w:numPr>
        <w:numId w:val="3"/>
      </w:numPr>
      <w:spacing w:after="180" w:line="240" w:lineRule="atLeast"/>
      <w:ind w:left="1276" w:hanging="425"/>
    </w:pPr>
    <w:rPr>
      <w:rFonts w:eastAsia="Cambria" w:cs="Times New Roman"/>
      <w:color w:val="333F48"/>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B46BC0"/>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3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after="100" w:line="240" w:lineRule="atLeast"/>
      <w:ind w:left="851"/>
    </w:pPr>
    <w:rPr>
      <w:rFonts w:ascii="Arial" w:eastAsia="Cambria" w:hAnsi="Arial" w:cs="Times New Roman"/>
      <w:b/>
      <w:color w:val="333F48"/>
    </w:rPr>
  </w:style>
  <w:style w:type="paragraph" w:styleId="FootnoteText">
    <w:name w:val="footnote text"/>
    <w:basedOn w:val="Normal"/>
    <w:link w:val="FootnoteTextChar"/>
    <w:rsid w:val="00312AC3"/>
    <w:pPr>
      <w:keepLines/>
      <w:spacing w:after="0" w:line="240" w:lineRule="atLeast"/>
    </w:pPr>
    <w:rPr>
      <w:rFonts w:eastAsia="Cambria" w:cs="Times New Roman"/>
      <w:color w:val="333F48"/>
      <w:sz w:val="18"/>
    </w:rPr>
  </w:style>
  <w:style w:type="character" w:customStyle="1" w:styleId="FootnoteTextChar">
    <w:name w:val="Footnote Text Char"/>
    <w:basedOn w:val="DefaultParagraphFont"/>
    <w:link w:val="FootnoteText"/>
    <w:rsid w:val="00312AC3"/>
    <w:rPr>
      <w:rFonts w:ascii="Cambria" w:eastAsia="Cambria" w:hAnsi="Cambria" w:cs="Times New Roman"/>
      <w:color w:val="333F48"/>
      <w:sz w:val="18"/>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line="240" w:lineRule="atLeast"/>
    </w:pPr>
    <w:rPr>
      <w:rFonts w:eastAsia="Cambria" w:cs="Times New Roman"/>
      <w:i/>
      <w:color w:val="007099"/>
      <w:szCs w:val="22"/>
    </w:rPr>
  </w:style>
  <w:style w:type="paragraph" w:customStyle="1" w:styleId="TableTitle">
    <w:name w:val="Table Title"/>
    <w:basedOn w:val="Normal"/>
    <w:rsid w:val="00324B33"/>
    <w:pPr>
      <w:keepNext/>
      <w:spacing w:line="240" w:lineRule="atLeast"/>
    </w:pPr>
    <w:rPr>
      <w:rFonts w:eastAsia="Cambria" w:cs="Times New Roman"/>
      <w:b/>
      <w:szCs w:val="22"/>
    </w:rPr>
  </w:style>
  <w:style w:type="paragraph" w:customStyle="1" w:styleId="TableDescription">
    <w:name w:val="Table Description"/>
    <w:basedOn w:val="Normal"/>
    <w:rsid w:val="0056766D"/>
    <w:pPr>
      <w:spacing w:after="0" w:line="240" w:lineRule="auto"/>
    </w:pPr>
    <w:rPr>
      <w:rFonts w:eastAsia="Cambria" w:cs="Times New Roman"/>
      <w:sz w:val="19"/>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customStyle="1" w:styleId="UnresolvedMention1">
    <w:name w:val="Unresolved Mention1"/>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E5579B"/>
    <w:rPr>
      <w:sz w:val="20"/>
      <w:lang w:val="en-GB"/>
    </w:rPr>
  </w:style>
  <w:style w:type="paragraph" w:customStyle="1" w:styleId="Default">
    <w:name w:val="Default"/>
    <w:rsid w:val="005811AB"/>
    <w:pPr>
      <w:autoSpaceDE w:val="0"/>
      <w:autoSpaceDN w:val="0"/>
      <w:adjustRightInd w:val="0"/>
      <w:spacing w:after="0" w:line="240" w:lineRule="auto"/>
    </w:pPr>
    <w:rPr>
      <w:rFonts w:ascii="Cambria" w:hAnsi="Cambria" w:cs="Cambria"/>
      <w:color w:val="000000"/>
      <w:sz w:val="24"/>
      <w:szCs w:val="24"/>
    </w:rPr>
  </w:style>
  <w:style w:type="paragraph" w:styleId="Caption">
    <w:name w:val="caption"/>
    <w:basedOn w:val="Normal"/>
    <w:next w:val="Normal"/>
    <w:uiPriority w:val="35"/>
    <w:unhideWhenUsed/>
    <w:qFormat/>
    <w:rsid w:val="007B0A6A"/>
    <w:pPr>
      <w:spacing w:after="200" w:line="240" w:lineRule="auto"/>
    </w:pPr>
    <w:rPr>
      <w:i/>
      <w:iCs/>
      <w:color w:val="44546A" w:themeColor="text2"/>
      <w:sz w:val="18"/>
      <w:szCs w:val="18"/>
    </w:rPr>
  </w:style>
  <w:style w:type="table" w:customStyle="1" w:styleId="TableGrid4">
    <w:name w:val="Table Grid4"/>
    <w:basedOn w:val="TableNormal"/>
    <w:next w:val="TableGrid"/>
    <w:uiPriority w:val="39"/>
    <w:rsid w:val="00AA678E"/>
    <w:pPr>
      <w:spacing w:after="0" w:line="240" w:lineRule="auto"/>
    </w:pPr>
    <w:rPr>
      <w:rFonts w:ascii="Cambria" w:eastAsia="Times New Roma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A678E"/>
    <w:pPr>
      <w:spacing w:after="0" w:line="240" w:lineRule="auto"/>
    </w:pPr>
    <w:rPr>
      <w:rFonts w:ascii="Cambria" w:eastAsia="Times New Roma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AA678E"/>
    <w:pPr>
      <w:adjustRightInd w:val="0"/>
      <w:snapToGrid w:val="0"/>
      <w:spacing w:before="180" w:after="180" w:line="240" w:lineRule="atLeast"/>
      <w:ind w:left="720"/>
      <w:contextualSpacing/>
    </w:pPr>
    <w:rPr>
      <w:rFonts w:eastAsia="MS Mincho" w:cs="Times New Roman"/>
      <w:lang w:eastAsia="ja-JP"/>
    </w:rPr>
  </w:style>
  <w:style w:type="table" w:customStyle="1" w:styleId="TableGrid2">
    <w:name w:val="Table Grid2"/>
    <w:basedOn w:val="TableNormal"/>
    <w:next w:val="TableGrid"/>
    <w:uiPriority w:val="39"/>
    <w:rsid w:val="00AA678E"/>
    <w:pPr>
      <w:spacing w:after="0" w:line="240" w:lineRule="auto"/>
    </w:pPr>
    <w:rPr>
      <w:rFonts w:ascii="Cambria" w:eastAsia="Times New Roma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A678E"/>
    <w:pPr>
      <w:spacing w:after="0" w:line="240" w:lineRule="auto"/>
    </w:pPr>
    <w:rPr>
      <w:rFonts w:ascii="Cambria" w:eastAsia="Times New Roma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922228"/>
    <w:rPr>
      <w:rFonts w:asciiTheme="majorHAnsi" w:eastAsiaTheme="majorEastAsia" w:hAnsiTheme="majorHAnsi" w:cstheme="majorBidi"/>
      <w:i/>
      <w:iCs/>
      <w:color w:val="1F3763" w:themeColor="accent1" w:themeShade="7F"/>
      <w:sz w:val="22"/>
    </w:rPr>
  </w:style>
  <w:style w:type="character" w:customStyle="1" w:styleId="BulletlistChar">
    <w:name w:val="Bullet list Char"/>
    <w:basedOn w:val="DefaultParagraphFont"/>
    <w:link w:val="Bulletlist"/>
    <w:locked/>
    <w:rsid w:val="00123535"/>
    <w:rPr>
      <w:rFonts w:ascii="Cambria" w:eastAsia="Times New Roman" w:hAnsi="Cambria" w:cs="Times New Roman"/>
      <w:kern w:val="2"/>
      <w:sz w:val="23"/>
    </w:rPr>
  </w:style>
  <w:style w:type="paragraph" w:customStyle="1" w:styleId="Bulletlist">
    <w:name w:val="Bullet list"/>
    <w:basedOn w:val="Normal"/>
    <w:link w:val="BulletlistChar"/>
    <w:qFormat/>
    <w:rsid w:val="00123535"/>
    <w:pPr>
      <w:numPr>
        <w:numId w:val="17"/>
      </w:numPr>
      <w:snapToGrid w:val="0"/>
      <w:spacing w:before="0" w:after="180" w:line="252" w:lineRule="auto"/>
      <w:ind w:left="426" w:hanging="284"/>
    </w:pPr>
    <w:rPr>
      <w:rFonts w:eastAsia="Times New Roman" w:cs="Times New Roman"/>
      <w:kern w:val="2"/>
      <w:sz w:val="23"/>
    </w:rPr>
  </w:style>
  <w:style w:type="character" w:customStyle="1" w:styleId="Heading8Char">
    <w:name w:val="Heading 8 Char"/>
    <w:basedOn w:val="DefaultParagraphFont"/>
    <w:link w:val="Heading8"/>
    <w:uiPriority w:val="9"/>
    <w:rsid w:val="00B82827"/>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B8282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71931">
      <w:bodyDiv w:val="1"/>
      <w:marLeft w:val="0"/>
      <w:marRight w:val="0"/>
      <w:marTop w:val="0"/>
      <w:marBottom w:val="0"/>
      <w:divBdr>
        <w:top w:val="none" w:sz="0" w:space="0" w:color="auto"/>
        <w:left w:val="none" w:sz="0" w:space="0" w:color="auto"/>
        <w:bottom w:val="none" w:sz="0" w:space="0" w:color="auto"/>
        <w:right w:val="none" w:sz="0" w:space="0" w:color="auto"/>
      </w:divBdr>
    </w:div>
    <w:div w:id="563836940">
      <w:bodyDiv w:val="1"/>
      <w:marLeft w:val="0"/>
      <w:marRight w:val="0"/>
      <w:marTop w:val="0"/>
      <w:marBottom w:val="0"/>
      <w:divBdr>
        <w:top w:val="none" w:sz="0" w:space="0" w:color="auto"/>
        <w:left w:val="none" w:sz="0" w:space="0" w:color="auto"/>
        <w:bottom w:val="none" w:sz="0" w:space="0" w:color="auto"/>
        <w:right w:val="none" w:sz="0" w:space="0" w:color="auto"/>
      </w:divBdr>
    </w:div>
    <w:div w:id="594828291">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979311617">
      <w:bodyDiv w:val="1"/>
      <w:marLeft w:val="0"/>
      <w:marRight w:val="0"/>
      <w:marTop w:val="0"/>
      <w:marBottom w:val="0"/>
      <w:divBdr>
        <w:top w:val="none" w:sz="0" w:space="0" w:color="auto"/>
        <w:left w:val="none" w:sz="0" w:space="0" w:color="auto"/>
        <w:bottom w:val="none" w:sz="0" w:space="0" w:color="auto"/>
        <w:right w:val="none" w:sz="0" w:space="0" w:color="auto"/>
      </w:divBdr>
    </w:div>
    <w:div w:id="1203397599">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525094105">
      <w:bodyDiv w:val="1"/>
      <w:marLeft w:val="0"/>
      <w:marRight w:val="0"/>
      <w:marTop w:val="0"/>
      <w:marBottom w:val="0"/>
      <w:divBdr>
        <w:top w:val="none" w:sz="0" w:space="0" w:color="auto"/>
        <w:left w:val="none" w:sz="0" w:space="0" w:color="auto"/>
        <w:bottom w:val="none" w:sz="0" w:space="0" w:color="auto"/>
        <w:right w:val="none" w:sz="0" w:space="0" w:color="auto"/>
      </w:divBdr>
    </w:div>
    <w:div w:id="1955092100">
      <w:bodyDiv w:val="1"/>
      <w:marLeft w:val="0"/>
      <w:marRight w:val="0"/>
      <w:marTop w:val="0"/>
      <w:marBottom w:val="0"/>
      <w:divBdr>
        <w:top w:val="none" w:sz="0" w:space="0" w:color="auto"/>
        <w:left w:val="none" w:sz="0" w:space="0" w:color="auto"/>
        <w:bottom w:val="none" w:sz="0" w:space="0" w:color="auto"/>
        <w:right w:val="none" w:sz="0" w:space="0" w:color="auto"/>
      </w:divBdr>
    </w:div>
    <w:div w:id="1955284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tga.copyright@tga.gov.au" TargetMode="External"/><Relationship Id="rId26" Type="http://schemas.openxmlformats.org/officeDocument/2006/relationships/hyperlink" Target="https://www.tga.gov.au/how-we-regulate/supply-therapeutic-good-0/supply-prescription-medicine/application-process/prescription-medicines-registration-process" TargetMode="External"/><Relationship Id="rId39" Type="http://schemas.microsoft.com/office/2007/relationships/hdphoto" Target="media/hdphoto5.wdp"/><Relationship Id="rId21" Type="http://schemas.openxmlformats.org/officeDocument/2006/relationships/hyperlink" Target="https://www.tga.gov.au/products/australian-register-therapeutic-goods-artg" TargetMode="External"/><Relationship Id="rId34" Type="http://schemas.openxmlformats.org/officeDocument/2006/relationships/image" Target="media/image9.png"/><Relationship Id="rId42" Type="http://schemas.openxmlformats.org/officeDocument/2006/relationships/image" Target="media/image13.png"/><Relationship Id="rId47" Type="http://schemas.microsoft.com/office/2007/relationships/hdphoto" Target="media/hdphoto7.wdp"/><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hyperlink" Target="https://www.tga.gov.au/publication/risk-management-plans-medicines-and-biologicals" TargetMode="External"/><Relationship Id="rId68" Type="http://schemas.openxmlformats.org/officeDocument/2006/relationships/hyperlink" Target="https://www.tga.gov.au/picmi-search-facility" TargetMode="External"/><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mailto:info@tga.gov.au" TargetMode="External"/><Relationship Id="rId2" Type="http://schemas.openxmlformats.org/officeDocument/2006/relationships/customXml" Target="../customXml/item2.xml"/><Relationship Id="rId16" Type="http://schemas.openxmlformats.org/officeDocument/2006/relationships/hyperlink" Target="https://www.tga.gov.au" TargetMode="Externa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hyperlink" Target="https://www.tga.gov.au/products/australian-register-therapeutic-goods-artg/consumer-medicines-information-cmi" TargetMode="External"/><Relationship Id="rId32" Type="http://schemas.openxmlformats.org/officeDocument/2006/relationships/image" Target="media/image8.png"/><Relationship Id="rId37" Type="http://schemas.microsoft.com/office/2007/relationships/hdphoto" Target="media/hdphoto4.wdp"/><Relationship Id="rId40" Type="http://schemas.openxmlformats.org/officeDocument/2006/relationships/image" Target="media/image12.png"/><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hyperlink" Target="https://www.tga.gov.au/resources/resource/guidance/risk-management-plans-medicines-and-biologicals/australia-specific-annex-eu-rmp" TargetMode="External"/><Relationship Id="rId7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tga.gov.au/products/australian-register-therapeutic-goods-artg/product-information-one" TargetMode="External"/><Relationship Id="rId28" Type="http://schemas.openxmlformats.org/officeDocument/2006/relationships/image" Target="media/image5.png"/><Relationship Id="rId36" Type="http://schemas.openxmlformats.org/officeDocument/2006/relationships/image" Target="media/image10.png"/><Relationship Id="rId49" Type="http://schemas.openxmlformats.org/officeDocument/2006/relationships/image" Target="media/image19.png"/><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footnotes" Target="footnotes.xml"/><Relationship Id="rId19" Type="http://schemas.openxmlformats.org/officeDocument/2006/relationships/hyperlink" Target="https://www.tga.gov.au/black-triangle-scheme" TargetMode="External"/><Relationship Id="rId31" Type="http://schemas.openxmlformats.org/officeDocument/2006/relationships/image" Target="media/image7.png"/><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hyperlink" Target="https://www.tga.gov.au/resources/resource/guidance/risk-management-plans-medicines-and-biologicals/australia-specific-annex-eu-rmp" TargetMode="External"/><Relationship Id="rId73"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tga.gov.au/products/australian-register-therapeutic-goods-artg" TargetMode="External"/><Relationship Id="rId27" Type="http://schemas.openxmlformats.org/officeDocument/2006/relationships/image" Target="media/image4.png"/><Relationship Id="rId30" Type="http://schemas.microsoft.com/office/2007/relationships/hdphoto" Target="media/hdphoto1.wdp"/><Relationship Id="rId35" Type="http://schemas.microsoft.com/office/2007/relationships/hdphoto" Target="media/hdphoto3.wdp"/><Relationship Id="rId43" Type="http://schemas.openxmlformats.org/officeDocument/2006/relationships/image" Target="media/image14.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hyperlink" Target="https://www.tga.gov.au/tgas-risk-management-approach" TargetMode="External"/><Relationship Id="rId69"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image" Target="media/image21.png"/><Relationship Id="rId72" Type="http://schemas.openxmlformats.org/officeDocument/2006/relationships/hyperlink" Target="https://www.tga.gov.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tga.gov.au/australian-public-assessment-report-auspar-guidance" TargetMode="External"/><Relationship Id="rId25" Type="http://schemas.openxmlformats.org/officeDocument/2006/relationships/hyperlink" Target="https://www.tga.gov.au/picmi-search-facility" TargetMode="External"/><Relationship Id="rId33" Type="http://schemas.microsoft.com/office/2007/relationships/hdphoto" Target="media/hdphoto2.wdp"/><Relationship Id="rId38" Type="http://schemas.openxmlformats.org/officeDocument/2006/relationships/image" Target="media/image11.png"/><Relationship Id="rId46" Type="http://schemas.openxmlformats.org/officeDocument/2006/relationships/image" Target="media/image17.png"/><Relationship Id="rId59" Type="http://schemas.openxmlformats.org/officeDocument/2006/relationships/image" Target="media/image29.png"/><Relationship Id="rId67" Type="http://schemas.openxmlformats.org/officeDocument/2006/relationships/hyperlink" Target="https://www.tga.gov.au/committee/advisory-committee-medicines-acm" TargetMode="External"/><Relationship Id="rId20" Type="http://schemas.openxmlformats.org/officeDocument/2006/relationships/image" Target="media/image3.png"/><Relationship Id="rId41" Type="http://schemas.microsoft.com/office/2007/relationships/hdphoto" Target="media/hdphoto6.wdp"/><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footer" Target="footer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resources/auspar/auspar-pegcetacoplan" TargetMode="External"/><Relationship Id="rId2" Type="http://schemas.openxmlformats.org/officeDocument/2006/relationships/hyperlink" Target="https://www.tga.gov.au/resources/auspar/auspar-ravulizumab" TargetMode="External"/><Relationship Id="rId1" Type="http://schemas.openxmlformats.org/officeDocument/2006/relationships/hyperlink" Target="https://www.uptodate.com/contents/clinical-manifestations-and-diagnosis-of-paroxysmal-nocturnal-hemoglobinuria?search=paroxysmal%20nocturnal%20hemoglobinuria&amp;source=search_result&amp;selectedTitle=1~87&amp;usage_type=default&amp;display_rank=1" TargetMode="External"/><Relationship Id="rId5" Type="http://schemas.openxmlformats.org/officeDocument/2006/relationships/hyperlink" Target="https://www.ema.europa.eu/en/documents/variation-report/ultomiris-h-c-004954-ii-0002-epar-assessment-report-variation_en.pdf" TargetMode="External"/><Relationship Id="rId4" Type="http://schemas.openxmlformats.org/officeDocument/2006/relationships/hyperlink" Target="https://www.tga.gov.au/resources/auspar/auspar-eculizumab"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1ee89e71-04cd-405e-9ca3-99e020c1694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0F674905EE9EA44CA1614436FA3C3BB8" ma:contentTypeVersion="6" ma:contentTypeDescription="Create a new document." ma:contentTypeScope="" ma:versionID="b4077113803e1846484f2255e8441c6b">
  <xsd:schema xmlns:xsd="http://www.w3.org/2001/XMLSchema" xmlns:xs="http://www.w3.org/2001/XMLSchema" xmlns:p="http://schemas.microsoft.com/office/2006/metadata/properties" xmlns:ns2="44a56295-c29e-4898-8136-a54736c65b82" xmlns:ns3="71d0e392-d422-410c-a141-93a6b4be59c2" xmlns:ns4="5cb1083a-1d5c-4f34-ac9b-2f52c0b17e82" targetNamespace="http://schemas.microsoft.com/office/2006/metadata/properties" ma:root="true" ma:fieldsID="f5c957e0574e8647a927b04f72d52a55" ns2:_="" ns3:_="" ns4:_="">
    <xsd:import namespace="44a56295-c29e-4898-8136-a54736c65b82"/>
    <xsd:import namespace="71d0e392-d422-410c-a141-93a6b4be59c2"/>
    <xsd:import namespace="5cb1083a-1d5c-4f34-ac9b-2f52c0b17e82"/>
    <xsd:element name="properties">
      <xsd:complexType>
        <xsd:sequence>
          <xsd:element name="documentManagement">
            <xsd:complexType>
              <xsd:all>
                <xsd:element ref="ns2:Descriptions" minOccurs="0"/>
                <xsd:element ref="ns2:Keyword" minOccurs="0"/>
                <xsd:element ref="ns3:MediaServiceMetadata" minOccurs="0"/>
                <xsd:element ref="ns3:MediaServiceFastMetadat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d0e392-d422-410c-a141-93a6b4be59c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b1083a-1d5c-4f34-ac9b-2f52c0b17e8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40905-D3F1-40BF-B0CD-863D20EA8BD8}">
  <ds:schemaRefs>
    <ds:schemaRef ds:uri="Microsoft.SharePoint.Taxonomy.ContentTypeSync"/>
  </ds:schemaRefs>
</ds:datastoreItem>
</file>

<file path=customXml/itemProps2.xml><?xml version="1.0" encoding="utf-8"?>
<ds:datastoreItem xmlns:ds="http://schemas.openxmlformats.org/officeDocument/2006/customXml" ds:itemID="{9217BDED-EA3F-4ED1-841F-482B972B55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71d0e392-d422-410c-a141-93a6b4be59c2"/>
    <ds:schemaRef ds:uri="5cb1083a-1d5c-4f34-ac9b-2f52c0b17e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E34C52-8256-4A38-B7C6-3F36B3533E51}">
  <ds:schemaRefs>
    <ds:schemaRef ds:uri="http://schemas.microsoft.com/office/2006/metadata/properties"/>
    <ds:schemaRef ds:uri="http://schemas.microsoft.com/office/infopath/2007/PartnerControls"/>
    <ds:schemaRef ds:uri="44a56295-c29e-4898-8136-a54736c65b82"/>
  </ds:schemaRefs>
</ds:datastoreItem>
</file>

<file path=customXml/itemProps4.xml><?xml version="1.0" encoding="utf-8"?>
<ds:datastoreItem xmlns:ds="http://schemas.openxmlformats.org/officeDocument/2006/customXml" ds:itemID="{4B7770A1-662C-43EA-A7A0-52FBE8408A93}">
  <ds:schemaRefs>
    <ds:schemaRef ds:uri="http://schemas.microsoft.com/sharepoint/v3/contenttype/forms"/>
  </ds:schemaRefs>
</ds:datastoreItem>
</file>

<file path=customXml/itemProps5.xml><?xml version="1.0" encoding="utf-8"?>
<ds:datastoreItem xmlns:ds="http://schemas.openxmlformats.org/officeDocument/2006/customXml" ds:itemID="{3B6EB9CD-4003-4225-9AE7-F4C0EB2D8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66</Pages>
  <Words>19694</Words>
  <Characters>112262</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Australian public assessment report for Ultomiris</vt:lpstr>
    </vt:vector>
  </TitlesOfParts>
  <Company>Department of Health and Aged Care</Company>
  <LinksUpToDate>false</LinksUpToDate>
  <CharactersWithSpaces>131693</CharactersWithSpaces>
  <SharedDoc>false</SharedDoc>
  <HLinks>
    <vt:vector size="276" baseType="variant">
      <vt:variant>
        <vt:i4>3473445</vt:i4>
      </vt:variant>
      <vt:variant>
        <vt:i4>450</vt:i4>
      </vt:variant>
      <vt:variant>
        <vt:i4>0</vt:i4>
      </vt:variant>
      <vt:variant>
        <vt:i4>5</vt:i4>
      </vt:variant>
      <vt:variant>
        <vt:lpwstr>https://www.tga.gov.au/</vt:lpwstr>
      </vt:variant>
      <vt:variant>
        <vt:lpwstr/>
      </vt:variant>
      <vt:variant>
        <vt:i4>5242926</vt:i4>
      </vt:variant>
      <vt:variant>
        <vt:i4>447</vt:i4>
      </vt:variant>
      <vt:variant>
        <vt:i4>0</vt:i4>
      </vt:variant>
      <vt:variant>
        <vt:i4>5</vt:i4>
      </vt:variant>
      <vt:variant>
        <vt:lpwstr>mailto:info@tga.gov.au</vt:lpwstr>
      </vt:variant>
      <vt:variant>
        <vt:lpwstr/>
      </vt:variant>
      <vt:variant>
        <vt:i4>720961</vt:i4>
      </vt:variant>
      <vt:variant>
        <vt:i4>444</vt:i4>
      </vt:variant>
      <vt:variant>
        <vt:i4>0</vt:i4>
      </vt:variant>
      <vt:variant>
        <vt:i4>5</vt:i4>
      </vt:variant>
      <vt:variant>
        <vt:lpwstr>https://www.tga.gov.au/picmi-search-facility</vt:lpwstr>
      </vt:variant>
      <vt:variant>
        <vt:lpwstr/>
      </vt:variant>
      <vt:variant>
        <vt:i4>524365</vt:i4>
      </vt:variant>
      <vt:variant>
        <vt:i4>441</vt:i4>
      </vt:variant>
      <vt:variant>
        <vt:i4>0</vt:i4>
      </vt:variant>
      <vt:variant>
        <vt:i4>5</vt:i4>
      </vt:variant>
      <vt:variant>
        <vt:lpwstr>https://www.tga.gov.au/committee/advisory-committee-medicines-acm</vt:lpwstr>
      </vt:variant>
      <vt:variant>
        <vt:lpwstr/>
      </vt:variant>
      <vt:variant>
        <vt:i4>2424877</vt:i4>
      </vt:variant>
      <vt:variant>
        <vt:i4>438</vt:i4>
      </vt:variant>
      <vt:variant>
        <vt:i4>0</vt:i4>
      </vt:variant>
      <vt:variant>
        <vt:i4>5</vt:i4>
      </vt:variant>
      <vt:variant>
        <vt:lpwstr>https://www.tga.gov.au/resources/resource/guidance/risk-management-plans-medicines-and-biologicals/australia-specific-annex-eu-rmp</vt:lpwstr>
      </vt:variant>
      <vt:variant>
        <vt:lpwstr/>
      </vt:variant>
      <vt:variant>
        <vt:i4>2424877</vt:i4>
      </vt:variant>
      <vt:variant>
        <vt:i4>435</vt:i4>
      </vt:variant>
      <vt:variant>
        <vt:i4>0</vt:i4>
      </vt:variant>
      <vt:variant>
        <vt:i4>5</vt:i4>
      </vt:variant>
      <vt:variant>
        <vt:lpwstr>https://www.tga.gov.au/resources/resource/guidance/risk-management-plans-medicines-and-biologicals/australia-specific-annex-eu-rmp</vt:lpwstr>
      </vt:variant>
      <vt:variant>
        <vt:lpwstr/>
      </vt:variant>
      <vt:variant>
        <vt:i4>5111899</vt:i4>
      </vt:variant>
      <vt:variant>
        <vt:i4>432</vt:i4>
      </vt:variant>
      <vt:variant>
        <vt:i4>0</vt:i4>
      </vt:variant>
      <vt:variant>
        <vt:i4>5</vt:i4>
      </vt:variant>
      <vt:variant>
        <vt:lpwstr>https://www.tga.gov.au/tgas-risk-management-approach</vt:lpwstr>
      </vt:variant>
      <vt:variant>
        <vt:lpwstr/>
      </vt:variant>
      <vt:variant>
        <vt:i4>7929888</vt:i4>
      </vt:variant>
      <vt:variant>
        <vt:i4>429</vt:i4>
      </vt:variant>
      <vt:variant>
        <vt:i4>0</vt:i4>
      </vt:variant>
      <vt:variant>
        <vt:i4>5</vt:i4>
      </vt:variant>
      <vt:variant>
        <vt:lpwstr>https://www.tga.gov.au/publication/risk-management-plans-medicines-and-biologicals</vt:lpwstr>
      </vt:variant>
      <vt:variant>
        <vt:lpwstr/>
      </vt:variant>
      <vt:variant>
        <vt:i4>1835097</vt:i4>
      </vt:variant>
      <vt:variant>
        <vt:i4>240</vt:i4>
      </vt:variant>
      <vt:variant>
        <vt:i4>0</vt:i4>
      </vt:variant>
      <vt:variant>
        <vt:i4>5</vt:i4>
      </vt:variant>
      <vt:variant>
        <vt:lpwstr>https://www.tga.gov.au/how-we-regulate/supply-therapeutic-good-0/supply-prescription-medicine/application-process/prescription-medicines-registration-process</vt:lpwstr>
      </vt:variant>
      <vt:variant>
        <vt:lpwstr/>
      </vt:variant>
      <vt:variant>
        <vt:i4>720961</vt:i4>
      </vt:variant>
      <vt:variant>
        <vt:i4>237</vt:i4>
      </vt:variant>
      <vt:variant>
        <vt:i4>0</vt:i4>
      </vt:variant>
      <vt:variant>
        <vt:i4>5</vt:i4>
      </vt:variant>
      <vt:variant>
        <vt:lpwstr>https://www.tga.gov.au/picmi-search-facility</vt:lpwstr>
      </vt:variant>
      <vt:variant>
        <vt:lpwstr/>
      </vt:variant>
      <vt:variant>
        <vt:i4>983049</vt:i4>
      </vt:variant>
      <vt:variant>
        <vt:i4>234</vt:i4>
      </vt:variant>
      <vt:variant>
        <vt:i4>0</vt:i4>
      </vt:variant>
      <vt:variant>
        <vt:i4>5</vt:i4>
      </vt:variant>
      <vt:variant>
        <vt:lpwstr>https://www.tga.gov.au/products/australian-register-therapeutic-goods-artg/consumer-medicines-information-cmi</vt:lpwstr>
      </vt:variant>
      <vt:variant>
        <vt:lpwstr/>
      </vt:variant>
      <vt:variant>
        <vt:i4>2752617</vt:i4>
      </vt:variant>
      <vt:variant>
        <vt:i4>231</vt:i4>
      </vt:variant>
      <vt:variant>
        <vt:i4>0</vt:i4>
      </vt:variant>
      <vt:variant>
        <vt:i4>5</vt:i4>
      </vt:variant>
      <vt:variant>
        <vt:lpwstr>https://www.tga.gov.au/products/australian-register-therapeutic-goods-artg/product-information-one</vt:lpwstr>
      </vt:variant>
      <vt:variant>
        <vt:lpwstr/>
      </vt:variant>
      <vt:variant>
        <vt:i4>2424874</vt:i4>
      </vt:variant>
      <vt:variant>
        <vt:i4>222</vt:i4>
      </vt:variant>
      <vt:variant>
        <vt:i4>0</vt:i4>
      </vt:variant>
      <vt:variant>
        <vt:i4>5</vt:i4>
      </vt:variant>
      <vt:variant>
        <vt:lpwstr>https://www.tga.gov.au/products/australian-register-therapeutic-goods-artg</vt:lpwstr>
      </vt:variant>
      <vt:variant>
        <vt:lpwstr/>
      </vt:variant>
      <vt:variant>
        <vt:i4>2424874</vt:i4>
      </vt:variant>
      <vt:variant>
        <vt:i4>219</vt:i4>
      </vt:variant>
      <vt:variant>
        <vt:i4>0</vt:i4>
      </vt:variant>
      <vt:variant>
        <vt:i4>5</vt:i4>
      </vt:variant>
      <vt:variant>
        <vt:lpwstr>https://www.tga.gov.au/products/australian-register-therapeutic-goods-artg</vt:lpwstr>
      </vt:variant>
      <vt:variant>
        <vt:lpwstr/>
      </vt:variant>
      <vt:variant>
        <vt:i4>786511</vt:i4>
      </vt:variant>
      <vt:variant>
        <vt:i4>168</vt:i4>
      </vt:variant>
      <vt:variant>
        <vt:i4>0</vt:i4>
      </vt:variant>
      <vt:variant>
        <vt:i4>5</vt:i4>
      </vt:variant>
      <vt:variant>
        <vt:lpwstr>https://www.tga.gov.au/black-triangle-scheme</vt:lpwstr>
      </vt:variant>
      <vt:variant>
        <vt:lpwstr/>
      </vt:variant>
      <vt:variant>
        <vt:i4>1245238</vt:i4>
      </vt:variant>
      <vt:variant>
        <vt:i4>161</vt:i4>
      </vt:variant>
      <vt:variant>
        <vt:i4>0</vt:i4>
      </vt:variant>
      <vt:variant>
        <vt:i4>5</vt:i4>
      </vt:variant>
      <vt:variant>
        <vt:lpwstr/>
      </vt:variant>
      <vt:variant>
        <vt:lpwstr>_Toc132618496</vt:lpwstr>
      </vt:variant>
      <vt:variant>
        <vt:i4>1245238</vt:i4>
      </vt:variant>
      <vt:variant>
        <vt:i4>155</vt:i4>
      </vt:variant>
      <vt:variant>
        <vt:i4>0</vt:i4>
      </vt:variant>
      <vt:variant>
        <vt:i4>5</vt:i4>
      </vt:variant>
      <vt:variant>
        <vt:lpwstr/>
      </vt:variant>
      <vt:variant>
        <vt:lpwstr>_Toc132618495</vt:lpwstr>
      </vt:variant>
      <vt:variant>
        <vt:i4>1245238</vt:i4>
      </vt:variant>
      <vt:variant>
        <vt:i4>149</vt:i4>
      </vt:variant>
      <vt:variant>
        <vt:i4>0</vt:i4>
      </vt:variant>
      <vt:variant>
        <vt:i4>5</vt:i4>
      </vt:variant>
      <vt:variant>
        <vt:lpwstr/>
      </vt:variant>
      <vt:variant>
        <vt:lpwstr>_Toc132618494</vt:lpwstr>
      </vt:variant>
      <vt:variant>
        <vt:i4>1245238</vt:i4>
      </vt:variant>
      <vt:variant>
        <vt:i4>143</vt:i4>
      </vt:variant>
      <vt:variant>
        <vt:i4>0</vt:i4>
      </vt:variant>
      <vt:variant>
        <vt:i4>5</vt:i4>
      </vt:variant>
      <vt:variant>
        <vt:lpwstr/>
      </vt:variant>
      <vt:variant>
        <vt:lpwstr>_Toc132618493</vt:lpwstr>
      </vt:variant>
      <vt:variant>
        <vt:i4>1245238</vt:i4>
      </vt:variant>
      <vt:variant>
        <vt:i4>137</vt:i4>
      </vt:variant>
      <vt:variant>
        <vt:i4>0</vt:i4>
      </vt:variant>
      <vt:variant>
        <vt:i4>5</vt:i4>
      </vt:variant>
      <vt:variant>
        <vt:lpwstr/>
      </vt:variant>
      <vt:variant>
        <vt:lpwstr>_Toc132618492</vt:lpwstr>
      </vt:variant>
      <vt:variant>
        <vt:i4>1245238</vt:i4>
      </vt:variant>
      <vt:variant>
        <vt:i4>131</vt:i4>
      </vt:variant>
      <vt:variant>
        <vt:i4>0</vt:i4>
      </vt:variant>
      <vt:variant>
        <vt:i4>5</vt:i4>
      </vt:variant>
      <vt:variant>
        <vt:lpwstr/>
      </vt:variant>
      <vt:variant>
        <vt:lpwstr>_Toc132618491</vt:lpwstr>
      </vt:variant>
      <vt:variant>
        <vt:i4>1245238</vt:i4>
      </vt:variant>
      <vt:variant>
        <vt:i4>125</vt:i4>
      </vt:variant>
      <vt:variant>
        <vt:i4>0</vt:i4>
      </vt:variant>
      <vt:variant>
        <vt:i4>5</vt:i4>
      </vt:variant>
      <vt:variant>
        <vt:lpwstr/>
      </vt:variant>
      <vt:variant>
        <vt:lpwstr>_Toc132618490</vt:lpwstr>
      </vt:variant>
      <vt:variant>
        <vt:i4>1179702</vt:i4>
      </vt:variant>
      <vt:variant>
        <vt:i4>119</vt:i4>
      </vt:variant>
      <vt:variant>
        <vt:i4>0</vt:i4>
      </vt:variant>
      <vt:variant>
        <vt:i4>5</vt:i4>
      </vt:variant>
      <vt:variant>
        <vt:lpwstr/>
      </vt:variant>
      <vt:variant>
        <vt:lpwstr>_Toc132618489</vt:lpwstr>
      </vt:variant>
      <vt:variant>
        <vt:i4>1179702</vt:i4>
      </vt:variant>
      <vt:variant>
        <vt:i4>113</vt:i4>
      </vt:variant>
      <vt:variant>
        <vt:i4>0</vt:i4>
      </vt:variant>
      <vt:variant>
        <vt:i4>5</vt:i4>
      </vt:variant>
      <vt:variant>
        <vt:lpwstr/>
      </vt:variant>
      <vt:variant>
        <vt:lpwstr>_Toc132618488</vt:lpwstr>
      </vt:variant>
      <vt:variant>
        <vt:i4>1179702</vt:i4>
      </vt:variant>
      <vt:variant>
        <vt:i4>107</vt:i4>
      </vt:variant>
      <vt:variant>
        <vt:i4>0</vt:i4>
      </vt:variant>
      <vt:variant>
        <vt:i4>5</vt:i4>
      </vt:variant>
      <vt:variant>
        <vt:lpwstr/>
      </vt:variant>
      <vt:variant>
        <vt:lpwstr>_Toc132618487</vt:lpwstr>
      </vt:variant>
      <vt:variant>
        <vt:i4>1179702</vt:i4>
      </vt:variant>
      <vt:variant>
        <vt:i4>101</vt:i4>
      </vt:variant>
      <vt:variant>
        <vt:i4>0</vt:i4>
      </vt:variant>
      <vt:variant>
        <vt:i4>5</vt:i4>
      </vt:variant>
      <vt:variant>
        <vt:lpwstr/>
      </vt:variant>
      <vt:variant>
        <vt:lpwstr>_Toc132618486</vt:lpwstr>
      </vt:variant>
      <vt:variant>
        <vt:i4>1179702</vt:i4>
      </vt:variant>
      <vt:variant>
        <vt:i4>95</vt:i4>
      </vt:variant>
      <vt:variant>
        <vt:i4>0</vt:i4>
      </vt:variant>
      <vt:variant>
        <vt:i4>5</vt:i4>
      </vt:variant>
      <vt:variant>
        <vt:lpwstr/>
      </vt:variant>
      <vt:variant>
        <vt:lpwstr>_Toc132618485</vt:lpwstr>
      </vt:variant>
      <vt:variant>
        <vt:i4>1179702</vt:i4>
      </vt:variant>
      <vt:variant>
        <vt:i4>89</vt:i4>
      </vt:variant>
      <vt:variant>
        <vt:i4>0</vt:i4>
      </vt:variant>
      <vt:variant>
        <vt:i4>5</vt:i4>
      </vt:variant>
      <vt:variant>
        <vt:lpwstr/>
      </vt:variant>
      <vt:variant>
        <vt:lpwstr>_Toc132618484</vt:lpwstr>
      </vt:variant>
      <vt:variant>
        <vt:i4>1179702</vt:i4>
      </vt:variant>
      <vt:variant>
        <vt:i4>83</vt:i4>
      </vt:variant>
      <vt:variant>
        <vt:i4>0</vt:i4>
      </vt:variant>
      <vt:variant>
        <vt:i4>5</vt:i4>
      </vt:variant>
      <vt:variant>
        <vt:lpwstr/>
      </vt:variant>
      <vt:variant>
        <vt:lpwstr>_Toc132618483</vt:lpwstr>
      </vt:variant>
      <vt:variant>
        <vt:i4>1179702</vt:i4>
      </vt:variant>
      <vt:variant>
        <vt:i4>77</vt:i4>
      </vt:variant>
      <vt:variant>
        <vt:i4>0</vt:i4>
      </vt:variant>
      <vt:variant>
        <vt:i4>5</vt:i4>
      </vt:variant>
      <vt:variant>
        <vt:lpwstr/>
      </vt:variant>
      <vt:variant>
        <vt:lpwstr>_Toc132618482</vt:lpwstr>
      </vt:variant>
      <vt:variant>
        <vt:i4>1179702</vt:i4>
      </vt:variant>
      <vt:variant>
        <vt:i4>71</vt:i4>
      </vt:variant>
      <vt:variant>
        <vt:i4>0</vt:i4>
      </vt:variant>
      <vt:variant>
        <vt:i4>5</vt:i4>
      </vt:variant>
      <vt:variant>
        <vt:lpwstr/>
      </vt:variant>
      <vt:variant>
        <vt:lpwstr>_Toc132618481</vt:lpwstr>
      </vt:variant>
      <vt:variant>
        <vt:i4>1179702</vt:i4>
      </vt:variant>
      <vt:variant>
        <vt:i4>65</vt:i4>
      </vt:variant>
      <vt:variant>
        <vt:i4>0</vt:i4>
      </vt:variant>
      <vt:variant>
        <vt:i4>5</vt:i4>
      </vt:variant>
      <vt:variant>
        <vt:lpwstr/>
      </vt:variant>
      <vt:variant>
        <vt:lpwstr>_Toc132618480</vt:lpwstr>
      </vt:variant>
      <vt:variant>
        <vt:i4>1900598</vt:i4>
      </vt:variant>
      <vt:variant>
        <vt:i4>59</vt:i4>
      </vt:variant>
      <vt:variant>
        <vt:i4>0</vt:i4>
      </vt:variant>
      <vt:variant>
        <vt:i4>5</vt:i4>
      </vt:variant>
      <vt:variant>
        <vt:lpwstr/>
      </vt:variant>
      <vt:variant>
        <vt:lpwstr>_Toc132618479</vt:lpwstr>
      </vt:variant>
      <vt:variant>
        <vt:i4>1900598</vt:i4>
      </vt:variant>
      <vt:variant>
        <vt:i4>53</vt:i4>
      </vt:variant>
      <vt:variant>
        <vt:i4>0</vt:i4>
      </vt:variant>
      <vt:variant>
        <vt:i4>5</vt:i4>
      </vt:variant>
      <vt:variant>
        <vt:lpwstr/>
      </vt:variant>
      <vt:variant>
        <vt:lpwstr>_Toc132618478</vt:lpwstr>
      </vt:variant>
      <vt:variant>
        <vt:i4>1900598</vt:i4>
      </vt:variant>
      <vt:variant>
        <vt:i4>47</vt:i4>
      </vt:variant>
      <vt:variant>
        <vt:i4>0</vt:i4>
      </vt:variant>
      <vt:variant>
        <vt:i4>5</vt:i4>
      </vt:variant>
      <vt:variant>
        <vt:lpwstr/>
      </vt:variant>
      <vt:variant>
        <vt:lpwstr>_Toc132618477</vt:lpwstr>
      </vt:variant>
      <vt:variant>
        <vt:i4>1900598</vt:i4>
      </vt:variant>
      <vt:variant>
        <vt:i4>41</vt:i4>
      </vt:variant>
      <vt:variant>
        <vt:i4>0</vt:i4>
      </vt:variant>
      <vt:variant>
        <vt:i4>5</vt:i4>
      </vt:variant>
      <vt:variant>
        <vt:lpwstr/>
      </vt:variant>
      <vt:variant>
        <vt:lpwstr>_Toc132618476</vt:lpwstr>
      </vt:variant>
      <vt:variant>
        <vt:i4>1900598</vt:i4>
      </vt:variant>
      <vt:variant>
        <vt:i4>35</vt:i4>
      </vt:variant>
      <vt:variant>
        <vt:i4>0</vt:i4>
      </vt:variant>
      <vt:variant>
        <vt:i4>5</vt:i4>
      </vt:variant>
      <vt:variant>
        <vt:lpwstr/>
      </vt:variant>
      <vt:variant>
        <vt:lpwstr>_Toc132618475</vt:lpwstr>
      </vt:variant>
      <vt:variant>
        <vt:i4>1900598</vt:i4>
      </vt:variant>
      <vt:variant>
        <vt:i4>29</vt:i4>
      </vt:variant>
      <vt:variant>
        <vt:i4>0</vt:i4>
      </vt:variant>
      <vt:variant>
        <vt:i4>5</vt:i4>
      </vt:variant>
      <vt:variant>
        <vt:lpwstr/>
      </vt:variant>
      <vt:variant>
        <vt:lpwstr>_Toc132618474</vt:lpwstr>
      </vt:variant>
      <vt:variant>
        <vt:i4>1900598</vt:i4>
      </vt:variant>
      <vt:variant>
        <vt:i4>23</vt:i4>
      </vt:variant>
      <vt:variant>
        <vt:i4>0</vt:i4>
      </vt:variant>
      <vt:variant>
        <vt:i4>5</vt:i4>
      </vt:variant>
      <vt:variant>
        <vt:lpwstr/>
      </vt:variant>
      <vt:variant>
        <vt:lpwstr>_Toc132618473</vt:lpwstr>
      </vt:variant>
      <vt:variant>
        <vt:i4>1900598</vt:i4>
      </vt:variant>
      <vt:variant>
        <vt:i4>17</vt:i4>
      </vt:variant>
      <vt:variant>
        <vt:i4>0</vt:i4>
      </vt:variant>
      <vt:variant>
        <vt:i4>5</vt:i4>
      </vt:variant>
      <vt:variant>
        <vt:lpwstr/>
      </vt:variant>
      <vt:variant>
        <vt:lpwstr>_Toc132618472</vt:lpwstr>
      </vt:variant>
      <vt:variant>
        <vt:i4>1900598</vt:i4>
      </vt:variant>
      <vt:variant>
        <vt:i4>11</vt:i4>
      </vt:variant>
      <vt:variant>
        <vt:i4>0</vt:i4>
      </vt:variant>
      <vt:variant>
        <vt:i4>5</vt:i4>
      </vt:variant>
      <vt:variant>
        <vt:lpwstr/>
      </vt:variant>
      <vt:variant>
        <vt:lpwstr>_Toc132618471</vt:lpwstr>
      </vt:variant>
      <vt:variant>
        <vt:i4>6291548</vt:i4>
      </vt:variant>
      <vt:variant>
        <vt:i4>6</vt:i4>
      </vt:variant>
      <vt:variant>
        <vt:i4>0</vt:i4>
      </vt:variant>
      <vt:variant>
        <vt:i4>5</vt:i4>
      </vt:variant>
      <vt:variant>
        <vt:lpwstr>mailto:tga.copyright@tga.gov.au</vt:lpwstr>
      </vt:variant>
      <vt:variant>
        <vt:lpwstr/>
      </vt:variant>
      <vt:variant>
        <vt:i4>7995497</vt:i4>
      </vt:variant>
      <vt:variant>
        <vt:i4>3</vt:i4>
      </vt:variant>
      <vt:variant>
        <vt:i4>0</vt:i4>
      </vt:variant>
      <vt:variant>
        <vt:i4>5</vt:i4>
      </vt:variant>
      <vt:variant>
        <vt:lpwstr>https://www.tga.gov.au/australian-public-assessment-report-auspar-guidance</vt:lpwstr>
      </vt:variant>
      <vt:variant>
        <vt:lpwstr/>
      </vt:variant>
      <vt:variant>
        <vt:i4>3473445</vt:i4>
      </vt:variant>
      <vt:variant>
        <vt:i4>0</vt:i4>
      </vt:variant>
      <vt:variant>
        <vt:i4>0</vt:i4>
      </vt:variant>
      <vt:variant>
        <vt:i4>5</vt:i4>
      </vt:variant>
      <vt:variant>
        <vt:lpwstr>https://www.tga.gov.au/</vt:lpwstr>
      </vt:variant>
      <vt:variant>
        <vt:lpwstr/>
      </vt:variant>
      <vt:variant>
        <vt:i4>8323094</vt:i4>
      </vt:variant>
      <vt:variant>
        <vt:i4>3</vt:i4>
      </vt:variant>
      <vt:variant>
        <vt:i4>0</vt:i4>
      </vt:variant>
      <vt:variant>
        <vt:i4>5</vt:i4>
      </vt:variant>
      <vt:variant>
        <vt:lpwstr>https://www.ema.europa.eu/en/documents/variation-report/ultomiris-h-c-004954-ii-0002-epar-assessment-report-variation_en.pdf</vt:lpwstr>
      </vt:variant>
      <vt:variant>
        <vt:lpwstr/>
      </vt:variant>
      <vt:variant>
        <vt:i4>2228248</vt:i4>
      </vt:variant>
      <vt:variant>
        <vt:i4>0</vt:i4>
      </vt:variant>
      <vt:variant>
        <vt:i4>0</vt:i4>
      </vt:variant>
      <vt:variant>
        <vt:i4>5</vt:i4>
      </vt:variant>
      <vt:variant>
        <vt:lpwstr>https://www.uptodate.com/contents/clinical-manifestations-and-diagnosis-of-paroxysmal-nocturnal-hemoglobinuria?search=paroxysmal%20nocturnal%20hemoglobinuria&amp;source=search_result&amp;selectedTitle=1~87&amp;usage_type=default&amp;display_rank=1</vt:lpwstr>
      </vt:variant>
      <vt:variant>
        <vt:lpwstr>H14812567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Ultomiris</dc:title>
  <dc:subject>Prescription medicines</dc:subject>
  <dc:creator>Therapeutic Goods Administration</dc:creator>
  <cp:keywords/>
  <dc:description/>
  <cp:lastModifiedBy>PITKIN, Brendan</cp:lastModifiedBy>
  <cp:revision>18</cp:revision>
  <dcterms:created xsi:type="dcterms:W3CDTF">2023-05-18T02:21:00Z</dcterms:created>
  <dcterms:modified xsi:type="dcterms:W3CDTF">2023-06-05T04:32:00Z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0x0101000F674905EE9EA44CA1614436FA3C3BB8</vt:lpwstr>
  </property>
</Properties>
</file>