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AC6E74" w14:paraId="0F4BDD46" w14:textId="77777777" w:rsidTr="00BF1190">
        <w:trPr>
          <w:trHeight w:val="1863"/>
        </w:trPr>
        <w:tc>
          <w:tcPr>
            <w:tcW w:w="3652" w:type="dxa"/>
            <w:tcBorders>
              <w:top w:val="nil"/>
              <w:left w:val="nil"/>
              <w:bottom w:val="nil"/>
              <w:right w:val="nil"/>
            </w:tcBorders>
          </w:tcPr>
          <w:p w14:paraId="6A16FF45" w14:textId="1905D956" w:rsidR="008E7846" w:rsidRPr="00AC6E74" w:rsidRDefault="00902671" w:rsidP="00F931CE">
            <w:pPr>
              <w:pStyle w:val="Date"/>
              <w:framePr w:hSpace="0" w:wrap="auto" w:vAnchor="margin" w:hAnchor="text" w:yAlign="inline"/>
              <w:suppressOverlap w:val="0"/>
            </w:pPr>
            <w:r>
              <w:t>May</w:t>
            </w:r>
            <w:r w:rsidR="00FA7B45" w:rsidRPr="00AC6E74">
              <w:t xml:space="preserve"> 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C6E74" w14:paraId="4E49EA5D" w14:textId="77777777" w:rsidTr="0032583B">
        <w:trPr>
          <w:trHeight w:val="868"/>
        </w:trPr>
        <w:tc>
          <w:tcPr>
            <w:tcW w:w="9079" w:type="dxa"/>
          </w:tcPr>
          <w:p w14:paraId="6C748CC9" w14:textId="75183AAB" w:rsidR="0032583B" w:rsidRPr="00AC6E74" w:rsidRDefault="0032583B" w:rsidP="00F931CE">
            <w:pPr>
              <w:pStyle w:val="Title"/>
              <w:framePr w:hSpace="0" w:wrap="auto" w:vAnchor="margin" w:yAlign="inline"/>
            </w:pPr>
            <w:r w:rsidRPr="00AC6E74">
              <w:t>Australian Public Assessment Report for</w:t>
            </w:r>
            <w:r w:rsidR="00AF2313" w:rsidRPr="00AC6E74">
              <w:t xml:space="preserve"> </w:t>
            </w:r>
            <w:r w:rsidR="00FA7B45" w:rsidRPr="00AC6E74">
              <w:t>Lumakras</w:t>
            </w:r>
          </w:p>
        </w:tc>
      </w:tr>
      <w:tr w:rsidR="0032583B" w:rsidRPr="00AC6E74" w14:paraId="0D0D8FF9" w14:textId="77777777" w:rsidTr="0032583B">
        <w:tc>
          <w:tcPr>
            <w:tcW w:w="9079" w:type="dxa"/>
          </w:tcPr>
          <w:p w14:paraId="04B0C8A2" w14:textId="60A03B19" w:rsidR="0032583B" w:rsidRPr="00AC6E74" w:rsidRDefault="00BB75D6" w:rsidP="00F931CE">
            <w:pPr>
              <w:pStyle w:val="Subtitle"/>
              <w:framePr w:hSpace="0" w:wrap="auto" w:vAnchor="margin" w:yAlign="inline"/>
            </w:pPr>
            <w:r w:rsidRPr="00AC6E74">
              <w:t>Active ingredient</w:t>
            </w:r>
            <w:r w:rsidR="0032583B" w:rsidRPr="00AC6E74">
              <w:t xml:space="preserve">: </w:t>
            </w:r>
            <w:bookmarkStart w:id="0" w:name="_Hlk137028427"/>
            <w:r w:rsidR="00FA7B45" w:rsidRPr="00AC6E74">
              <w:t>Sotorasib</w:t>
            </w:r>
            <w:bookmarkEnd w:id="0"/>
          </w:p>
        </w:tc>
      </w:tr>
      <w:tr w:rsidR="0032583B" w:rsidRPr="00AC6E74" w14:paraId="5DA9AD9D" w14:textId="77777777" w:rsidTr="0032583B">
        <w:trPr>
          <w:trHeight w:val="486"/>
        </w:trPr>
        <w:tc>
          <w:tcPr>
            <w:tcW w:w="9079" w:type="dxa"/>
          </w:tcPr>
          <w:p w14:paraId="5C5901DF" w14:textId="33EE83BF" w:rsidR="0032583B" w:rsidRPr="00AC6E74" w:rsidRDefault="00460036" w:rsidP="009556D7">
            <w:pPr>
              <w:pStyle w:val="Subtitle"/>
              <w:framePr w:hSpace="0" w:wrap="auto" w:vAnchor="margin" w:yAlign="inline"/>
            </w:pPr>
            <w:r w:rsidRPr="00AC6E74">
              <w:t xml:space="preserve">Sponsor: </w:t>
            </w:r>
            <w:bookmarkStart w:id="1" w:name="_Hlk137028445"/>
            <w:r w:rsidR="00FA7B45" w:rsidRPr="00AC6E74">
              <w:t>Amgen Australia Pty Ltd</w:t>
            </w:r>
            <w:bookmarkEnd w:id="1"/>
          </w:p>
        </w:tc>
      </w:tr>
    </w:tbl>
    <w:p w14:paraId="51764590" w14:textId="77777777" w:rsidR="008E7846" w:rsidRPr="00AC6E74" w:rsidRDefault="008E7846" w:rsidP="0085156D">
      <w:r w:rsidRPr="00AC6E74">
        <w:br w:type="page"/>
      </w:r>
    </w:p>
    <w:p w14:paraId="415783DF" w14:textId="77777777" w:rsidR="008E7846" w:rsidRPr="00AC6E74" w:rsidRDefault="008E7846" w:rsidP="008E7846">
      <w:pPr>
        <w:pStyle w:val="NonTOCHeading2"/>
      </w:pPr>
      <w:r w:rsidRPr="00AC6E74">
        <w:lastRenderedPageBreak/>
        <w:t>About the Therapeutic Goods Administration (TGA)</w:t>
      </w:r>
    </w:p>
    <w:p w14:paraId="556AE4B1" w14:textId="77777777" w:rsidR="00AF2313" w:rsidRPr="00AC6E74" w:rsidRDefault="00AF2313" w:rsidP="00AF2313">
      <w:pPr>
        <w:pStyle w:val="ListBullet"/>
      </w:pPr>
      <w:r w:rsidRPr="00AC6E74">
        <w:t>The Therapeutic Goods Administration (TGA) is part of the Australian Government Department of Health and is responsible for regulating therapeutic goods, including medicines, medical devices, and biologicals.</w:t>
      </w:r>
    </w:p>
    <w:p w14:paraId="00D43C9C" w14:textId="77777777" w:rsidR="00AF2313" w:rsidRPr="00AC6E74" w:rsidRDefault="00AF2313" w:rsidP="00AF2313">
      <w:pPr>
        <w:pStyle w:val="ListBullet"/>
      </w:pPr>
      <w:r w:rsidRPr="00AC6E74">
        <w:t xml:space="preserve">The TGA administers the </w:t>
      </w:r>
      <w:r w:rsidRPr="00AC6E74">
        <w:rPr>
          <w:i/>
          <w:iCs/>
        </w:rPr>
        <w:t>Therapeutic Goods Act 1989</w:t>
      </w:r>
      <w:r w:rsidRPr="00AC6E74">
        <w:t xml:space="preserve"> (the Act), applying a risk management approach designed to ensure therapeutic goods supplied in Australia meet acceptable standards of quality, </w:t>
      </w:r>
      <w:r w:rsidR="00CC5044" w:rsidRPr="00AC6E74">
        <w:t>safety,</w:t>
      </w:r>
      <w:r w:rsidRPr="00AC6E74">
        <w:t xml:space="preserve"> and efficacy.</w:t>
      </w:r>
    </w:p>
    <w:p w14:paraId="6925EC22" w14:textId="77777777" w:rsidR="00AF2313" w:rsidRPr="00AC6E74" w:rsidRDefault="00AF2313" w:rsidP="00AF2313">
      <w:pPr>
        <w:pStyle w:val="ListBullet"/>
      </w:pPr>
      <w:r w:rsidRPr="00AC6E74">
        <w:t>The work of the TGA is based on applying scientific and clinical expertise to decision-making, to ensure that the benefits to the Australian public outweigh any risks associated with the use of therapeutic goods.</w:t>
      </w:r>
    </w:p>
    <w:p w14:paraId="6EE0CEC8" w14:textId="77777777" w:rsidR="00AF2313" w:rsidRPr="00AC6E74" w:rsidRDefault="00AF2313" w:rsidP="00AF2313">
      <w:pPr>
        <w:pStyle w:val="ListBullet"/>
      </w:pPr>
      <w:r w:rsidRPr="00AC6E74">
        <w:t>The TGA relies on the public, healthcare professionals and industry to report problems with therapeutic goods. The TGA investigates reports received to determine any necessary regulatory action.</w:t>
      </w:r>
    </w:p>
    <w:p w14:paraId="4169D2AE" w14:textId="2550E25C" w:rsidR="00AF2313" w:rsidRPr="00AC6E74" w:rsidRDefault="00AF2313" w:rsidP="00AF2313">
      <w:pPr>
        <w:pStyle w:val="ListBullet"/>
      </w:pPr>
      <w:r w:rsidRPr="00AC6E74">
        <w:t xml:space="preserve">To report a problem with a therapeutic good, please see the information on the </w:t>
      </w:r>
      <w:hyperlink r:id="rId8" w:history="1">
        <w:r w:rsidRPr="00AC6E74">
          <w:rPr>
            <w:rStyle w:val="Hyperlink"/>
          </w:rPr>
          <w:t>TGA website</w:t>
        </w:r>
      </w:hyperlink>
      <w:r w:rsidRPr="00AC6E74">
        <w:t>.</w:t>
      </w:r>
    </w:p>
    <w:p w14:paraId="13C43927" w14:textId="77777777" w:rsidR="008E7846" w:rsidRPr="00AC6E74" w:rsidRDefault="008E7846" w:rsidP="00875A6B">
      <w:pPr>
        <w:pStyle w:val="NonTOCHeading2"/>
      </w:pPr>
      <w:r w:rsidRPr="00AC6E74">
        <w:t>About AusPARs</w:t>
      </w:r>
    </w:p>
    <w:p w14:paraId="69D13BC5" w14:textId="2B08B971" w:rsidR="00AF2313" w:rsidRPr="00AC6E74" w:rsidRDefault="00AF2313" w:rsidP="00AF2313">
      <w:pPr>
        <w:pStyle w:val="ListBullet"/>
      </w:pPr>
      <w:r w:rsidRPr="00AC6E74">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9" w:history="1">
        <w:r w:rsidRPr="00AC6E74">
          <w:rPr>
            <w:rStyle w:val="Hyperlink"/>
          </w:rPr>
          <w:t>Australian Public Assessment Report (AusPAR) guidance</w:t>
        </w:r>
      </w:hyperlink>
      <w:r w:rsidRPr="00AC6E74">
        <w:t>.</w:t>
      </w:r>
    </w:p>
    <w:p w14:paraId="1AEEF406" w14:textId="77777777" w:rsidR="00AF2313" w:rsidRPr="00AC6E74" w:rsidRDefault="00AF2313" w:rsidP="00AF2313">
      <w:pPr>
        <w:pStyle w:val="ListBullet"/>
      </w:pPr>
      <w:r w:rsidRPr="00AC6E74">
        <w:t>AusPARs are prepared and published by the TGA.</w:t>
      </w:r>
    </w:p>
    <w:p w14:paraId="5C143C88" w14:textId="77777777" w:rsidR="00AF2313" w:rsidRPr="00AC6E74" w:rsidRDefault="00AF2313" w:rsidP="00AF2313">
      <w:pPr>
        <w:pStyle w:val="ListBullet"/>
      </w:pPr>
      <w:r w:rsidRPr="00AC6E74">
        <w:t>AusPARs are static documents that provide information that relates to a submission at a particular point in time.</w:t>
      </w:r>
      <w:r w:rsidR="008110BC" w:rsidRPr="00AC6E74">
        <w:t xml:space="preserve"> The publication of an AusPAR is an important part of the transparency of the TGA’s decision-making process.</w:t>
      </w:r>
    </w:p>
    <w:p w14:paraId="0F6309A5" w14:textId="77777777" w:rsidR="00AF2313" w:rsidRPr="00AC6E74" w:rsidRDefault="00AF2313" w:rsidP="00AF2313">
      <w:pPr>
        <w:pStyle w:val="ListBullet"/>
      </w:pPr>
      <w:r w:rsidRPr="00AC6E74">
        <w:t>A new AusPAR may be provided to reflect changes to indications or major variations to a prescription medicine subject to evaluation by the TGA.</w:t>
      </w:r>
    </w:p>
    <w:p w14:paraId="6575C96B" w14:textId="77777777" w:rsidR="00924482" w:rsidRPr="00AC6E74" w:rsidRDefault="00924482" w:rsidP="00F54B65">
      <w:pPr>
        <w:pStyle w:val="LegalSubheading"/>
        <w:spacing w:before="3120"/>
      </w:pPr>
      <w:r w:rsidRPr="00AC6E74">
        <w:t>Copyright</w:t>
      </w:r>
    </w:p>
    <w:p w14:paraId="72BCFCD6" w14:textId="08BEEB9C" w:rsidR="00924482" w:rsidRPr="00AC6E74" w:rsidRDefault="00924482" w:rsidP="00924482">
      <w:pPr>
        <w:pStyle w:val="LegalCopy"/>
      </w:pPr>
      <w:r w:rsidRPr="00AC6E74">
        <w:rPr>
          <w:rFonts w:cs="Arial"/>
          <w:lang w:val="en-GB"/>
        </w:rPr>
        <w:t>© Commonwealth of Australia 20</w:t>
      </w:r>
      <w:r w:rsidR="00460036" w:rsidRPr="00AC6E74">
        <w:rPr>
          <w:rFonts w:cs="Arial"/>
          <w:lang w:val="en-GB"/>
        </w:rPr>
        <w:t>2</w:t>
      </w:r>
      <w:r w:rsidR="00FA7B45" w:rsidRPr="00AC6E74">
        <w:rPr>
          <w:rFonts w:cs="Arial"/>
          <w:lang w:val="en-GB"/>
        </w:rPr>
        <w:t>3</w:t>
      </w:r>
      <w:r w:rsidRPr="00AC6E74">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AC6E74">
        <w:rPr>
          <w:rFonts w:cs="Arial"/>
          <w:i/>
          <w:lang w:val="en-GB"/>
        </w:rPr>
        <w:t>Copyright Act 1968</w:t>
      </w:r>
      <w:r w:rsidRPr="00AC6E74">
        <w:rPr>
          <w:rFonts w:cs="Arial"/>
          <w:lang w:val="en-GB"/>
        </w:rPr>
        <w:t xml:space="preserve"> or allowed by this copyright notice, all other rights are </w:t>
      </w:r>
      <w:r w:rsidR="00EB36D6" w:rsidRPr="00AC6E74">
        <w:rPr>
          <w:rFonts w:cs="Arial"/>
          <w:lang w:val="en-GB"/>
        </w:rPr>
        <w:t>reserved,</w:t>
      </w:r>
      <w:r w:rsidRPr="00AC6E74">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AC6E74">
        <w:rPr>
          <w:rFonts w:cs="Arial"/>
          <w:lang w:val="en-GB"/>
        </w:rPr>
        <w:t>Woden</w:t>
      </w:r>
      <w:proofErr w:type="spellEnd"/>
      <w:r w:rsidRPr="00AC6E74">
        <w:rPr>
          <w:rFonts w:cs="Arial"/>
          <w:lang w:val="en-GB"/>
        </w:rPr>
        <w:t xml:space="preserve"> ACT 2606 or emailed to &lt;</w:t>
      </w:r>
      <w:hyperlink r:id="rId10" w:history="1">
        <w:r w:rsidRPr="00AC6E74">
          <w:rPr>
            <w:rStyle w:val="Hyperlink"/>
            <w:rFonts w:cs="Arial"/>
            <w:lang w:val="en-GB"/>
          </w:rPr>
          <w:t>tga.copyright@tga.gov.au</w:t>
        </w:r>
      </w:hyperlink>
      <w:r w:rsidRPr="00AC6E74">
        <w:rPr>
          <w:rFonts w:cs="Arial"/>
        </w:rPr>
        <w:t>&gt;.</w:t>
      </w:r>
    </w:p>
    <w:p w14:paraId="573C9E51" w14:textId="77777777" w:rsidR="00924482" w:rsidRPr="00AC6E74" w:rsidRDefault="00924482" w:rsidP="00924482">
      <w:pPr>
        <w:pStyle w:val="LegalCopy"/>
        <w:sectPr w:rsidR="00924482" w:rsidRPr="00AC6E74"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B927DF0" w14:textId="77777777" w:rsidR="0089635C" w:rsidRPr="00AC6E74" w:rsidRDefault="0089635C" w:rsidP="0010788A">
          <w:pPr>
            <w:pStyle w:val="Contents"/>
          </w:pPr>
          <w:r w:rsidRPr="00AC6E74">
            <w:t>Contents</w:t>
          </w:r>
        </w:p>
        <w:p w14:paraId="0B4C5E99" w14:textId="625393E5" w:rsidR="009B21DC" w:rsidRDefault="00C525A2">
          <w:pPr>
            <w:pStyle w:val="TOC1"/>
            <w:rPr>
              <w:rFonts w:asciiTheme="minorHAnsi" w:eastAsiaTheme="minorEastAsia" w:hAnsiTheme="minorHAnsi" w:cstheme="minorBidi"/>
              <w:b w:val="0"/>
              <w:noProof/>
              <w:sz w:val="22"/>
              <w:lang w:eastAsia="en-AU"/>
            </w:rPr>
          </w:pPr>
          <w:r w:rsidRPr="00AC6E74">
            <w:fldChar w:fldCharType="begin"/>
          </w:r>
          <w:r w:rsidRPr="00AC6E74">
            <w:instrText xml:space="preserve"> TOC \h \z \t "Heading 2,1,Heading 3,2" </w:instrText>
          </w:r>
          <w:r w:rsidRPr="00AC6E74">
            <w:fldChar w:fldCharType="separate"/>
          </w:r>
          <w:hyperlink w:anchor="_Toc136358052" w:history="1">
            <w:r w:rsidR="009B21DC" w:rsidRPr="0041305E">
              <w:rPr>
                <w:rStyle w:val="Hyperlink"/>
                <w:noProof/>
              </w:rPr>
              <w:t>List of abbreviations</w:t>
            </w:r>
            <w:r w:rsidR="009B21DC">
              <w:rPr>
                <w:noProof/>
                <w:webHidden/>
              </w:rPr>
              <w:tab/>
            </w:r>
            <w:r w:rsidR="009B21DC">
              <w:rPr>
                <w:noProof/>
                <w:webHidden/>
              </w:rPr>
              <w:fldChar w:fldCharType="begin"/>
            </w:r>
            <w:r w:rsidR="009B21DC">
              <w:rPr>
                <w:noProof/>
                <w:webHidden/>
              </w:rPr>
              <w:instrText xml:space="preserve"> PAGEREF _Toc136358052 \h </w:instrText>
            </w:r>
            <w:r w:rsidR="009B21DC">
              <w:rPr>
                <w:noProof/>
                <w:webHidden/>
              </w:rPr>
            </w:r>
            <w:r w:rsidR="009B21DC">
              <w:rPr>
                <w:noProof/>
                <w:webHidden/>
              </w:rPr>
              <w:fldChar w:fldCharType="separate"/>
            </w:r>
            <w:r w:rsidR="009B21DC">
              <w:rPr>
                <w:noProof/>
                <w:webHidden/>
              </w:rPr>
              <w:t>4</w:t>
            </w:r>
            <w:r w:rsidR="009B21DC">
              <w:rPr>
                <w:noProof/>
                <w:webHidden/>
              </w:rPr>
              <w:fldChar w:fldCharType="end"/>
            </w:r>
          </w:hyperlink>
        </w:p>
        <w:p w14:paraId="0BD5DB11" w14:textId="004FB2BD" w:rsidR="009B21DC" w:rsidRDefault="004E662D">
          <w:pPr>
            <w:pStyle w:val="TOC1"/>
            <w:rPr>
              <w:rFonts w:asciiTheme="minorHAnsi" w:eastAsiaTheme="minorEastAsia" w:hAnsiTheme="minorHAnsi" w:cstheme="minorBidi"/>
              <w:b w:val="0"/>
              <w:noProof/>
              <w:sz w:val="22"/>
              <w:lang w:eastAsia="en-AU"/>
            </w:rPr>
          </w:pPr>
          <w:hyperlink w:anchor="_Toc136358053" w:history="1">
            <w:r w:rsidR="009B21DC" w:rsidRPr="0041305E">
              <w:rPr>
                <w:rStyle w:val="Hyperlink"/>
                <w:noProof/>
              </w:rPr>
              <w:t>Product submission</w:t>
            </w:r>
            <w:r w:rsidR="009B21DC">
              <w:rPr>
                <w:noProof/>
                <w:webHidden/>
              </w:rPr>
              <w:tab/>
            </w:r>
            <w:r w:rsidR="009B21DC">
              <w:rPr>
                <w:noProof/>
                <w:webHidden/>
              </w:rPr>
              <w:fldChar w:fldCharType="begin"/>
            </w:r>
            <w:r w:rsidR="009B21DC">
              <w:rPr>
                <w:noProof/>
                <w:webHidden/>
              </w:rPr>
              <w:instrText xml:space="preserve"> PAGEREF _Toc136358053 \h </w:instrText>
            </w:r>
            <w:r w:rsidR="009B21DC">
              <w:rPr>
                <w:noProof/>
                <w:webHidden/>
              </w:rPr>
            </w:r>
            <w:r w:rsidR="009B21DC">
              <w:rPr>
                <w:noProof/>
                <w:webHidden/>
              </w:rPr>
              <w:fldChar w:fldCharType="separate"/>
            </w:r>
            <w:r w:rsidR="009B21DC">
              <w:rPr>
                <w:noProof/>
                <w:webHidden/>
              </w:rPr>
              <w:t>6</w:t>
            </w:r>
            <w:r w:rsidR="009B21DC">
              <w:rPr>
                <w:noProof/>
                <w:webHidden/>
              </w:rPr>
              <w:fldChar w:fldCharType="end"/>
            </w:r>
          </w:hyperlink>
        </w:p>
        <w:p w14:paraId="2641D998" w14:textId="014A7A15" w:rsidR="009B21DC" w:rsidRDefault="004E662D">
          <w:pPr>
            <w:pStyle w:val="TOC2"/>
            <w:rPr>
              <w:rFonts w:asciiTheme="minorHAnsi" w:eastAsiaTheme="minorEastAsia" w:hAnsiTheme="minorHAnsi" w:cstheme="minorBidi"/>
              <w:b w:val="0"/>
              <w:noProof/>
              <w:sz w:val="22"/>
              <w:lang w:eastAsia="en-AU"/>
            </w:rPr>
          </w:pPr>
          <w:hyperlink w:anchor="_Toc136358054" w:history="1">
            <w:r w:rsidR="009B21DC" w:rsidRPr="0041305E">
              <w:rPr>
                <w:rStyle w:val="Hyperlink"/>
                <w:noProof/>
                <w:lang w:eastAsia="en-AU"/>
              </w:rPr>
              <w:t>Submission details</w:t>
            </w:r>
            <w:r w:rsidR="009B21DC">
              <w:rPr>
                <w:noProof/>
                <w:webHidden/>
              </w:rPr>
              <w:tab/>
            </w:r>
            <w:r w:rsidR="009B21DC">
              <w:rPr>
                <w:noProof/>
                <w:webHidden/>
              </w:rPr>
              <w:fldChar w:fldCharType="begin"/>
            </w:r>
            <w:r w:rsidR="009B21DC">
              <w:rPr>
                <w:noProof/>
                <w:webHidden/>
              </w:rPr>
              <w:instrText xml:space="preserve"> PAGEREF _Toc136358054 \h </w:instrText>
            </w:r>
            <w:r w:rsidR="009B21DC">
              <w:rPr>
                <w:noProof/>
                <w:webHidden/>
              </w:rPr>
            </w:r>
            <w:r w:rsidR="009B21DC">
              <w:rPr>
                <w:noProof/>
                <w:webHidden/>
              </w:rPr>
              <w:fldChar w:fldCharType="separate"/>
            </w:r>
            <w:r w:rsidR="009B21DC">
              <w:rPr>
                <w:noProof/>
                <w:webHidden/>
              </w:rPr>
              <w:t>6</w:t>
            </w:r>
            <w:r w:rsidR="009B21DC">
              <w:rPr>
                <w:noProof/>
                <w:webHidden/>
              </w:rPr>
              <w:fldChar w:fldCharType="end"/>
            </w:r>
          </w:hyperlink>
        </w:p>
        <w:p w14:paraId="47455B75" w14:textId="157A8E59" w:rsidR="009B21DC" w:rsidRDefault="004E662D">
          <w:pPr>
            <w:pStyle w:val="TOC2"/>
            <w:rPr>
              <w:rFonts w:asciiTheme="minorHAnsi" w:eastAsiaTheme="minorEastAsia" w:hAnsiTheme="minorHAnsi" w:cstheme="minorBidi"/>
              <w:b w:val="0"/>
              <w:noProof/>
              <w:sz w:val="22"/>
              <w:lang w:eastAsia="en-AU"/>
            </w:rPr>
          </w:pPr>
          <w:hyperlink w:anchor="_Toc136358055" w:history="1">
            <w:r w:rsidR="009B21DC" w:rsidRPr="0041305E">
              <w:rPr>
                <w:rStyle w:val="Hyperlink"/>
                <w:noProof/>
              </w:rPr>
              <w:t>Product background</w:t>
            </w:r>
            <w:r w:rsidR="009B21DC">
              <w:rPr>
                <w:noProof/>
                <w:webHidden/>
              </w:rPr>
              <w:tab/>
            </w:r>
            <w:r w:rsidR="009B21DC">
              <w:rPr>
                <w:noProof/>
                <w:webHidden/>
              </w:rPr>
              <w:fldChar w:fldCharType="begin"/>
            </w:r>
            <w:r w:rsidR="009B21DC">
              <w:rPr>
                <w:noProof/>
                <w:webHidden/>
              </w:rPr>
              <w:instrText xml:space="preserve"> PAGEREF _Toc136358055 \h </w:instrText>
            </w:r>
            <w:r w:rsidR="009B21DC">
              <w:rPr>
                <w:noProof/>
                <w:webHidden/>
              </w:rPr>
            </w:r>
            <w:r w:rsidR="009B21DC">
              <w:rPr>
                <w:noProof/>
                <w:webHidden/>
              </w:rPr>
              <w:fldChar w:fldCharType="separate"/>
            </w:r>
            <w:r w:rsidR="009B21DC">
              <w:rPr>
                <w:noProof/>
                <w:webHidden/>
              </w:rPr>
              <w:t>7</w:t>
            </w:r>
            <w:r w:rsidR="009B21DC">
              <w:rPr>
                <w:noProof/>
                <w:webHidden/>
              </w:rPr>
              <w:fldChar w:fldCharType="end"/>
            </w:r>
          </w:hyperlink>
        </w:p>
        <w:p w14:paraId="4AD27D08" w14:textId="61BCCEA2" w:rsidR="009B21DC" w:rsidRDefault="004E662D">
          <w:pPr>
            <w:pStyle w:val="TOC2"/>
            <w:rPr>
              <w:rFonts w:asciiTheme="minorHAnsi" w:eastAsiaTheme="minorEastAsia" w:hAnsiTheme="minorHAnsi" w:cstheme="minorBidi"/>
              <w:b w:val="0"/>
              <w:noProof/>
              <w:sz w:val="22"/>
              <w:lang w:eastAsia="en-AU"/>
            </w:rPr>
          </w:pPr>
          <w:hyperlink w:anchor="_Toc136358056" w:history="1">
            <w:r w:rsidR="009B21DC" w:rsidRPr="0041305E">
              <w:rPr>
                <w:rStyle w:val="Hyperlink"/>
                <w:noProof/>
              </w:rPr>
              <w:t>Regulatory status</w:t>
            </w:r>
            <w:r w:rsidR="009B21DC">
              <w:rPr>
                <w:noProof/>
                <w:webHidden/>
              </w:rPr>
              <w:tab/>
            </w:r>
            <w:r w:rsidR="009B21DC">
              <w:rPr>
                <w:noProof/>
                <w:webHidden/>
              </w:rPr>
              <w:fldChar w:fldCharType="begin"/>
            </w:r>
            <w:r w:rsidR="009B21DC">
              <w:rPr>
                <w:noProof/>
                <w:webHidden/>
              </w:rPr>
              <w:instrText xml:space="preserve"> PAGEREF _Toc136358056 \h </w:instrText>
            </w:r>
            <w:r w:rsidR="009B21DC">
              <w:rPr>
                <w:noProof/>
                <w:webHidden/>
              </w:rPr>
            </w:r>
            <w:r w:rsidR="009B21DC">
              <w:rPr>
                <w:noProof/>
                <w:webHidden/>
              </w:rPr>
              <w:fldChar w:fldCharType="separate"/>
            </w:r>
            <w:r w:rsidR="009B21DC">
              <w:rPr>
                <w:noProof/>
                <w:webHidden/>
              </w:rPr>
              <w:t>9</w:t>
            </w:r>
            <w:r w:rsidR="009B21DC">
              <w:rPr>
                <w:noProof/>
                <w:webHidden/>
              </w:rPr>
              <w:fldChar w:fldCharType="end"/>
            </w:r>
          </w:hyperlink>
        </w:p>
        <w:p w14:paraId="08137A78" w14:textId="27697B86" w:rsidR="009B21DC" w:rsidRDefault="004E662D">
          <w:pPr>
            <w:pStyle w:val="TOC2"/>
            <w:rPr>
              <w:rFonts w:asciiTheme="minorHAnsi" w:eastAsiaTheme="minorEastAsia" w:hAnsiTheme="minorHAnsi" w:cstheme="minorBidi"/>
              <w:b w:val="0"/>
              <w:noProof/>
              <w:sz w:val="22"/>
              <w:lang w:eastAsia="en-AU"/>
            </w:rPr>
          </w:pPr>
          <w:hyperlink w:anchor="_Toc136358057" w:history="1">
            <w:r w:rsidR="009B21DC" w:rsidRPr="0041305E">
              <w:rPr>
                <w:rStyle w:val="Hyperlink"/>
                <w:noProof/>
              </w:rPr>
              <w:t>Product Information</w:t>
            </w:r>
            <w:r w:rsidR="009B21DC">
              <w:rPr>
                <w:noProof/>
                <w:webHidden/>
              </w:rPr>
              <w:tab/>
            </w:r>
            <w:r w:rsidR="009B21DC">
              <w:rPr>
                <w:noProof/>
                <w:webHidden/>
              </w:rPr>
              <w:fldChar w:fldCharType="begin"/>
            </w:r>
            <w:r w:rsidR="009B21DC">
              <w:rPr>
                <w:noProof/>
                <w:webHidden/>
              </w:rPr>
              <w:instrText xml:space="preserve"> PAGEREF _Toc136358057 \h </w:instrText>
            </w:r>
            <w:r w:rsidR="009B21DC">
              <w:rPr>
                <w:noProof/>
                <w:webHidden/>
              </w:rPr>
            </w:r>
            <w:r w:rsidR="009B21DC">
              <w:rPr>
                <w:noProof/>
                <w:webHidden/>
              </w:rPr>
              <w:fldChar w:fldCharType="separate"/>
            </w:r>
            <w:r w:rsidR="009B21DC">
              <w:rPr>
                <w:noProof/>
                <w:webHidden/>
              </w:rPr>
              <w:t>12</w:t>
            </w:r>
            <w:r w:rsidR="009B21DC">
              <w:rPr>
                <w:noProof/>
                <w:webHidden/>
              </w:rPr>
              <w:fldChar w:fldCharType="end"/>
            </w:r>
          </w:hyperlink>
        </w:p>
        <w:p w14:paraId="6E4E09E9" w14:textId="26658638" w:rsidR="009B21DC" w:rsidRDefault="004E662D">
          <w:pPr>
            <w:pStyle w:val="TOC1"/>
            <w:rPr>
              <w:rFonts w:asciiTheme="minorHAnsi" w:eastAsiaTheme="minorEastAsia" w:hAnsiTheme="minorHAnsi" w:cstheme="minorBidi"/>
              <w:b w:val="0"/>
              <w:noProof/>
              <w:sz w:val="22"/>
              <w:lang w:eastAsia="en-AU"/>
            </w:rPr>
          </w:pPr>
          <w:hyperlink w:anchor="_Toc136358058" w:history="1">
            <w:r w:rsidR="009B21DC" w:rsidRPr="0041305E">
              <w:rPr>
                <w:rStyle w:val="Hyperlink"/>
                <w:noProof/>
              </w:rPr>
              <w:t>Registration timeline</w:t>
            </w:r>
            <w:r w:rsidR="009B21DC">
              <w:rPr>
                <w:noProof/>
                <w:webHidden/>
              </w:rPr>
              <w:tab/>
            </w:r>
            <w:r w:rsidR="009B21DC">
              <w:rPr>
                <w:noProof/>
                <w:webHidden/>
              </w:rPr>
              <w:fldChar w:fldCharType="begin"/>
            </w:r>
            <w:r w:rsidR="009B21DC">
              <w:rPr>
                <w:noProof/>
                <w:webHidden/>
              </w:rPr>
              <w:instrText xml:space="preserve"> PAGEREF _Toc136358058 \h </w:instrText>
            </w:r>
            <w:r w:rsidR="009B21DC">
              <w:rPr>
                <w:noProof/>
                <w:webHidden/>
              </w:rPr>
            </w:r>
            <w:r w:rsidR="009B21DC">
              <w:rPr>
                <w:noProof/>
                <w:webHidden/>
              </w:rPr>
              <w:fldChar w:fldCharType="separate"/>
            </w:r>
            <w:r w:rsidR="009B21DC">
              <w:rPr>
                <w:noProof/>
                <w:webHidden/>
              </w:rPr>
              <w:t>12</w:t>
            </w:r>
            <w:r w:rsidR="009B21DC">
              <w:rPr>
                <w:noProof/>
                <w:webHidden/>
              </w:rPr>
              <w:fldChar w:fldCharType="end"/>
            </w:r>
          </w:hyperlink>
        </w:p>
        <w:p w14:paraId="42DF11F3" w14:textId="2D006253" w:rsidR="009B21DC" w:rsidRDefault="004E662D">
          <w:pPr>
            <w:pStyle w:val="TOC1"/>
            <w:rPr>
              <w:rFonts w:asciiTheme="minorHAnsi" w:eastAsiaTheme="minorEastAsia" w:hAnsiTheme="minorHAnsi" w:cstheme="minorBidi"/>
              <w:b w:val="0"/>
              <w:noProof/>
              <w:sz w:val="22"/>
              <w:lang w:eastAsia="en-AU"/>
            </w:rPr>
          </w:pPr>
          <w:hyperlink w:anchor="_Toc136358059" w:history="1">
            <w:r w:rsidR="009B21DC" w:rsidRPr="0041305E">
              <w:rPr>
                <w:rStyle w:val="Hyperlink"/>
                <w:noProof/>
              </w:rPr>
              <w:t>Submission overview and risk/benefit assessment</w:t>
            </w:r>
            <w:r w:rsidR="009B21DC">
              <w:rPr>
                <w:noProof/>
                <w:webHidden/>
              </w:rPr>
              <w:tab/>
            </w:r>
            <w:r w:rsidR="009B21DC">
              <w:rPr>
                <w:noProof/>
                <w:webHidden/>
              </w:rPr>
              <w:fldChar w:fldCharType="begin"/>
            </w:r>
            <w:r w:rsidR="009B21DC">
              <w:rPr>
                <w:noProof/>
                <w:webHidden/>
              </w:rPr>
              <w:instrText xml:space="preserve"> PAGEREF _Toc136358059 \h </w:instrText>
            </w:r>
            <w:r w:rsidR="009B21DC">
              <w:rPr>
                <w:noProof/>
                <w:webHidden/>
              </w:rPr>
            </w:r>
            <w:r w:rsidR="009B21DC">
              <w:rPr>
                <w:noProof/>
                <w:webHidden/>
              </w:rPr>
              <w:fldChar w:fldCharType="separate"/>
            </w:r>
            <w:r w:rsidR="009B21DC">
              <w:rPr>
                <w:noProof/>
                <w:webHidden/>
              </w:rPr>
              <w:t>13</w:t>
            </w:r>
            <w:r w:rsidR="009B21DC">
              <w:rPr>
                <w:noProof/>
                <w:webHidden/>
              </w:rPr>
              <w:fldChar w:fldCharType="end"/>
            </w:r>
          </w:hyperlink>
        </w:p>
        <w:p w14:paraId="02C07D1C" w14:textId="1544ACFA" w:rsidR="009B21DC" w:rsidRDefault="004E662D">
          <w:pPr>
            <w:pStyle w:val="TOC2"/>
            <w:rPr>
              <w:rFonts w:asciiTheme="minorHAnsi" w:eastAsiaTheme="minorEastAsia" w:hAnsiTheme="minorHAnsi" w:cstheme="minorBidi"/>
              <w:b w:val="0"/>
              <w:noProof/>
              <w:sz w:val="22"/>
              <w:lang w:eastAsia="en-AU"/>
            </w:rPr>
          </w:pPr>
          <w:hyperlink w:anchor="_Toc136358060" w:history="1">
            <w:r w:rsidR="009B21DC" w:rsidRPr="0041305E">
              <w:rPr>
                <w:rStyle w:val="Hyperlink"/>
                <w:noProof/>
              </w:rPr>
              <w:t>Quality</w:t>
            </w:r>
            <w:r w:rsidR="009B21DC">
              <w:rPr>
                <w:noProof/>
                <w:webHidden/>
              </w:rPr>
              <w:tab/>
            </w:r>
            <w:r w:rsidR="009B21DC">
              <w:rPr>
                <w:noProof/>
                <w:webHidden/>
              </w:rPr>
              <w:fldChar w:fldCharType="begin"/>
            </w:r>
            <w:r w:rsidR="009B21DC">
              <w:rPr>
                <w:noProof/>
                <w:webHidden/>
              </w:rPr>
              <w:instrText xml:space="preserve"> PAGEREF _Toc136358060 \h </w:instrText>
            </w:r>
            <w:r w:rsidR="009B21DC">
              <w:rPr>
                <w:noProof/>
                <w:webHidden/>
              </w:rPr>
            </w:r>
            <w:r w:rsidR="009B21DC">
              <w:rPr>
                <w:noProof/>
                <w:webHidden/>
              </w:rPr>
              <w:fldChar w:fldCharType="separate"/>
            </w:r>
            <w:r w:rsidR="009B21DC">
              <w:rPr>
                <w:noProof/>
                <w:webHidden/>
              </w:rPr>
              <w:t>13</w:t>
            </w:r>
            <w:r w:rsidR="009B21DC">
              <w:rPr>
                <w:noProof/>
                <w:webHidden/>
              </w:rPr>
              <w:fldChar w:fldCharType="end"/>
            </w:r>
          </w:hyperlink>
        </w:p>
        <w:p w14:paraId="2D8C48E1" w14:textId="10FFCB64" w:rsidR="009B21DC" w:rsidRDefault="004E662D">
          <w:pPr>
            <w:pStyle w:val="TOC2"/>
            <w:rPr>
              <w:rFonts w:asciiTheme="minorHAnsi" w:eastAsiaTheme="minorEastAsia" w:hAnsiTheme="minorHAnsi" w:cstheme="minorBidi"/>
              <w:b w:val="0"/>
              <w:noProof/>
              <w:sz w:val="22"/>
              <w:lang w:eastAsia="en-AU"/>
            </w:rPr>
          </w:pPr>
          <w:hyperlink w:anchor="_Toc136358061" w:history="1">
            <w:r w:rsidR="009B21DC" w:rsidRPr="0041305E">
              <w:rPr>
                <w:rStyle w:val="Hyperlink"/>
                <w:noProof/>
              </w:rPr>
              <w:t>Nonclinical</w:t>
            </w:r>
            <w:r w:rsidR="009B21DC">
              <w:rPr>
                <w:noProof/>
                <w:webHidden/>
              </w:rPr>
              <w:tab/>
            </w:r>
            <w:r w:rsidR="009B21DC">
              <w:rPr>
                <w:noProof/>
                <w:webHidden/>
              </w:rPr>
              <w:fldChar w:fldCharType="begin"/>
            </w:r>
            <w:r w:rsidR="009B21DC">
              <w:rPr>
                <w:noProof/>
                <w:webHidden/>
              </w:rPr>
              <w:instrText xml:space="preserve"> PAGEREF _Toc136358061 \h </w:instrText>
            </w:r>
            <w:r w:rsidR="009B21DC">
              <w:rPr>
                <w:noProof/>
                <w:webHidden/>
              </w:rPr>
            </w:r>
            <w:r w:rsidR="009B21DC">
              <w:rPr>
                <w:noProof/>
                <w:webHidden/>
              </w:rPr>
              <w:fldChar w:fldCharType="separate"/>
            </w:r>
            <w:r w:rsidR="009B21DC">
              <w:rPr>
                <w:noProof/>
                <w:webHidden/>
              </w:rPr>
              <w:t>14</w:t>
            </w:r>
            <w:r w:rsidR="009B21DC">
              <w:rPr>
                <w:noProof/>
                <w:webHidden/>
              </w:rPr>
              <w:fldChar w:fldCharType="end"/>
            </w:r>
          </w:hyperlink>
        </w:p>
        <w:p w14:paraId="79D4B1EF" w14:textId="42E10858" w:rsidR="009B21DC" w:rsidRDefault="004E662D">
          <w:pPr>
            <w:pStyle w:val="TOC2"/>
            <w:rPr>
              <w:rFonts w:asciiTheme="minorHAnsi" w:eastAsiaTheme="minorEastAsia" w:hAnsiTheme="minorHAnsi" w:cstheme="minorBidi"/>
              <w:b w:val="0"/>
              <w:noProof/>
              <w:sz w:val="22"/>
              <w:lang w:eastAsia="en-AU"/>
            </w:rPr>
          </w:pPr>
          <w:hyperlink w:anchor="_Toc136358062" w:history="1">
            <w:r w:rsidR="009B21DC" w:rsidRPr="0041305E">
              <w:rPr>
                <w:rStyle w:val="Hyperlink"/>
                <w:noProof/>
              </w:rPr>
              <w:t>Clinical</w:t>
            </w:r>
            <w:r w:rsidR="009B21DC">
              <w:rPr>
                <w:noProof/>
                <w:webHidden/>
              </w:rPr>
              <w:tab/>
            </w:r>
            <w:r w:rsidR="009B21DC">
              <w:rPr>
                <w:noProof/>
                <w:webHidden/>
              </w:rPr>
              <w:fldChar w:fldCharType="begin"/>
            </w:r>
            <w:r w:rsidR="009B21DC">
              <w:rPr>
                <w:noProof/>
                <w:webHidden/>
              </w:rPr>
              <w:instrText xml:space="preserve"> PAGEREF _Toc136358062 \h </w:instrText>
            </w:r>
            <w:r w:rsidR="009B21DC">
              <w:rPr>
                <w:noProof/>
                <w:webHidden/>
              </w:rPr>
            </w:r>
            <w:r w:rsidR="009B21DC">
              <w:rPr>
                <w:noProof/>
                <w:webHidden/>
              </w:rPr>
              <w:fldChar w:fldCharType="separate"/>
            </w:r>
            <w:r w:rsidR="009B21DC">
              <w:rPr>
                <w:noProof/>
                <w:webHidden/>
              </w:rPr>
              <w:t>15</w:t>
            </w:r>
            <w:r w:rsidR="009B21DC">
              <w:rPr>
                <w:noProof/>
                <w:webHidden/>
              </w:rPr>
              <w:fldChar w:fldCharType="end"/>
            </w:r>
          </w:hyperlink>
        </w:p>
        <w:p w14:paraId="6FBB18A1" w14:textId="561CA400" w:rsidR="009B21DC" w:rsidRDefault="004E662D">
          <w:pPr>
            <w:pStyle w:val="TOC2"/>
            <w:rPr>
              <w:rFonts w:asciiTheme="minorHAnsi" w:eastAsiaTheme="minorEastAsia" w:hAnsiTheme="minorHAnsi" w:cstheme="minorBidi"/>
              <w:b w:val="0"/>
              <w:noProof/>
              <w:sz w:val="22"/>
              <w:lang w:eastAsia="en-AU"/>
            </w:rPr>
          </w:pPr>
          <w:hyperlink w:anchor="_Toc136358063" w:history="1">
            <w:r w:rsidR="009B21DC" w:rsidRPr="0041305E">
              <w:rPr>
                <w:rStyle w:val="Hyperlink"/>
                <w:noProof/>
                <w:lang w:eastAsia="en-AU"/>
              </w:rPr>
              <w:t>Risk management plan</w:t>
            </w:r>
            <w:r w:rsidR="009B21DC">
              <w:rPr>
                <w:noProof/>
                <w:webHidden/>
              </w:rPr>
              <w:tab/>
            </w:r>
            <w:r w:rsidR="009B21DC">
              <w:rPr>
                <w:noProof/>
                <w:webHidden/>
              </w:rPr>
              <w:fldChar w:fldCharType="begin"/>
            </w:r>
            <w:r w:rsidR="009B21DC">
              <w:rPr>
                <w:noProof/>
                <w:webHidden/>
              </w:rPr>
              <w:instrText xml:space="preserve"> PAGEREF _Toc136358063 \h </w:instrText>
            </w:r>
            <w:r w:rsidR="009B21DC">
              <w:rPr>
                <w:noProof/>
                <w:webHidden/>
              </w:rPr>
            </w:r>
            <w:r w:rsidR="009B21DC">
              <w:rPr>
                <w:noProof/>
                <w:webHidden/>
              </w:rPr>
              <w:fldChar w:fldCharType="separate"/>
            </w:r>
            <w:r w:rsidR="009B21DC">
              <w:rPr>
                <w:noProof/>
                <w:webHidden/>
              </w:rPr>
              <w:t>40</w:t>
            </w:r>
            <w:r w:rsidR="009B21DC">
              <w:rPr>
                <w:noProof/>
                <w:webHidden/>
              </w:rPr>
              <w:fldChar w:fldCharType="end"/>
            </w:r>
          </w:hyperlink>
        </w:p>
        <w:p w14:paraId="77ACCD99" w14:textId="27D8549D" w:rsidR="009B21DC" w:rsidRDefault="004E662D">
          <w:pPr>
            <w:pStyle w:val="TOC2"/>
            <w:rPr>
              <w:rFonts w:asciiTheme="minorHAnsi" w:eastAsiaTheme="minorEastAsia" w:hAnsiTheme="minorHAnsi" w:cstheme="minorBidi"/>
              <w:b w:val="0"/>
              <w:noProof/>
              <w:sz w:val="22"/>
              <w:lang w:eastAsia="en-AU"/>
            </w:rPr>
          </w:pPr>
          <w:hyperlink w:anchor="_Toc136358064" w:history="1">
            <w:r w:rsidR="009B21DC" w:rsidRPr="0041305E">
              <w:rPr>
                <w:rStyle w:val="Hyperlink"/>
                <w:noProof/>
              </w:rPr>
              <w:t>Risk-benefit analysis</w:t>
            </w:r>
            <w:r w:rsidR="009B21DC">
              <w:rPr>
                <w:noProof/>
                <w:webHidden/>
              </w:rPr>
              <w:tab/>
            </w:r>
            <w:r w:rsidR="009B21DC">
              <w:rPr>
                <w:noProof/>
                <w:webHidden/>
              </w:rPr>
              <w:fldChar w:fldCharType="begin"/>
            </w:r>
            <w:r w:rsidR="009B21DC">
              <w:rPr>
                <w:noProof/>
                <w:webHidden/>
              </w:rPr>
              <w:instrText xml:space="preserve"> PAGEREF _Toc136358064 \h </w:instrText>
            </w:r>
            <w:r w:rsidR="009B21DC">
              <w:rPr>
                <w:noProof/>
                <w:webHidden/>
              </w:rPr>
            </w:r>
            <w:r w:rsidR="009B21DC">
              <w:rPr>
                <w:noProof/>
                <w:webHidden/>
              </w:rPr>
              <w:fldChar w:fldCharType="separate"/>
            </w:r>
            <w:r w:rsidR="009B21DC">
              <w:rPr>
                <w:noProof/>
                <w:webHidden/>
              </w:rPr>
              <w:t>41</w:t>
            </w:r>
            <w:r w:rsidR="009B21DC">
              <w:rPr>
                <w:noProof/>
                <w:webHidden/>
              </w:rPr>
              <w:fldChar w:fldCharType="end"/>
            </w:r>
          </w:hyperlink>
        </w:p>
        <w:p w14:paraId="3B586330" w14:textId="76885CC6" w:rsidR="009B21DC" w:rsidRDefault="004E662D">
          <w:pPr>
            <w:pStyle w:val="TOC1"/>
            <w:rPr>
              <w:rFonts w:asciiTheme="minorHAnsi" w:eastAsiaTheme="minorEastAsia" w:hAnsiTheme="minorHAnsi" w:cstheme="minorBidi"/>
              <w:b w:val="0"/>
              <w:noProof/>
              <w:sz w:val="22"/>
              <w:lang w:eastAsia="en-AU"/>
            </w:rPr>
          </w:pPr>
          <w:hyperlink w:anchor="_Toc136358065" w:history="1">
            <w:r w:rsidR="009B21DC" w:rsidRPr="0041305E">
              <w:rPr>
                <w:rStyle w:val="Hyperlink"/>
                <w:noProof/>
              </w:rPr>
              <w:t>Outcome</w:t>
            </w:r>
            <w:r w:rsidR="009B21DC">
              <w:rPr>
                <w:noProof/>
                <w:webHidden/>
              </w:rPr>
              <w:tab/>
            </w:r>
            <w:r w:rsidR="009B21DC">
              <w:rPr>
                <w:noProof/>
                <w:webHidden/>
              </w:rPr>
              <w:fldChar w:fldCharType="begin"/>
            </w:r>
            <w:r w:rsidR="009B21DC">
              <w:rPr>
                <w:noProof/>
                <w:webHidden/>
              </w:rPr>
              <w:instrText xml:space="preserve"> PAGEREF _Toc136358065 \h </w:instrText>
            </w:r>
            <w:r w:rsidR="009B21DC">
              <w:rPr>
                <w:noProof/>
                <w:webHidden/>
              </w:rPr>
            </w:r>
            <w:r w:rsidR="009B21DC">
              <w:rPr>
                <w:noProof/>
                <w:webHidden/>
              </w:rPr>
              <w:fldChar w:fldCharType="separate"/>
            </w:r>
            <w:r w:rsidR="009B21DC">
              <w:rPr>
                <w:noProof/>
                <w:webHidden/>
              </w:rPr>
              <w:t>46</w:t>
            </w:r>
            <w:r w:rsidR="009B21DC">
              <w:rPr>
                <w:noProof/>
                <w:webHidden/>
              </w:rPr>
              <w:fldChar w:fldCharType="end"/>
            </w:r>
          </w:hyperlink>
        </w:p>
        <w:p w14:paraId="48E204F9" w14:textId="083EDF72" w:rsidR="009B21DC" w:rsidRDefault="004E662D">
          <w:pPr>
            <w:pStyle w:val="TOC2"/>
            <w:rPr>
              <w:rFonts w:asciiTheme="minorHAnsi" w:eastAsiaTheme="minorEastAsia" w:hAnsiTheme="minorHAnsi" w:cstheme="minorBidi"/>
              <w:b w:val="0"/>
              <w:noProof/>
              <w:sz w:val="22"/>
              <w:lang w:eastAsia="en-AU"/>
            </w:rPr>
          </w:pPr>
          <w:hyperlink w:anchor="_Toc136358066" w:history="1">
            <w:r w:rsidR="009B21DC" w:rsidRPr="0041305E">
              <w:rPr>
                <w:rStyle w:val="Hyperlink"/>
                <w:noProof/>
              </w:rPr>
              <w:t>Specific conditions of registration applying to these goods</w:t>
            </w:r>
            <w:r w:rsidR="009B21DC">
              <w:rPr>
                <w:noProof/>
                <w:webHidden/>
              </w:rPr>
              <w:tab/>
            </w:r>
            <w:r w:rsidR="009B21DC">
              <w:rPr>
                <w:noProof/>
                <w:webHidden/>
              </w:rPr>
              <w:fldChar w:fldCharType="begin"/>
            </w:r>
            <w:r w:rsidR="009B21DC">
              <w:rPr>
                <w:noProof/>
                <w:webHidden/>
              </w:rPr>
              <w:instrText xml:space="preserve"> PAGEREF _Toc136358066 \h </w:instrText>
            </w:r>
            <w:r w:rsidR="009B21DC">
              <w:rPr>
                <w:noProof/>
                <w:webHidden/>
              </w:rPr>
            </w:r>
            <w:r w:rsidR="009B21DC">
              <w:rPr>
                <w:noProof/>
                <w:webHidden/>
              </w:rPr>
              <w:fldChar w:fldCharType="separate"/>
            </w:r>
            <w:r w:rsidR="009B21DC">
              <w:rPr>
                <w:noProof/>
                <w:webHidden/>
              </w:rPr>
              <w:t>47</w:t>
            </w:r>
            <w:r w:rsidR="009B21DC">
              <w:rPr>
                <w:noProof/>
                <w:webHidden/>
              </w:rPr>
              <w:fldChar w:fldCharType="end"/>
            </w:r>
          </w:hyperlink>
        </w:p>
        <w:p w14:paraId="21E5AAD0" w14:textId="52C89C11" w:rsidR="009B21DC" w:rsidRDefault="004E662D">
          <w:pPr>
            <w:pStyle w:val="TOC1"/>
            <w:rPr>
              <w:rFonts w:asciiTheme="minorHAnsi" w:eastAsiaTheme="minorEastAsia" w:hAnsiTheme="minorHAnsi" w:cstheme="minorBidi"/>
              <w:b w:val="0"/>
              <w:noProof/>
              <w:sz w:val="22"/>
              <w:lang w:eastAsia="en-AU"/>
            </w:rPr>
          </w:pPr>
          <w:hyperlink w:anchor="_Toc136358067" w:history="1">
            <w:r w:rsidR="009B21DC" w:rsidRPr="0041305E">
              <w:rPr>
                <w:rStyle w:val="Hyperlink"/>
                <w:noProof/>
              </w:rPr>
              <w:t>Attachment 1. Product Information</w:t>
            </w:r>
            <w:r w:rsidR="009B21DC">
              <w:rPr>
                <w:noProof/>
                <w:webHidden/>
              </w:rPr>
              <w:tab/>
            </w:r>
            <w:r w:rsidR="009B21DC">
              <w:rPr>
                <w:noProof/>
                <w:webHidden/>
              </w:rPr>
              <w:fldChar w:fldCharType="begin"/>
            </w:r>
            <w:r w:rsidR="009B21DC">
              <w:rPr>
                <w:noProof/>
                <w:webHidden/>
              </w:rPr>
              <w:instrText xml:space="preserve"> PAGEREF _Toc136358067 \h </w:instrText>
            </w:r>
            <w:r w:rsidR="009B21DC">
              <w:rPr>
                <w:noProof/>
                <w:webHidden/>
              </w:rPr>
            </w:r>
            <w:r w:rsidR="009B21DC">
              <w:rPr>
                <w:noProof/>
                <w:webHidden/>
              </w:rPr>
              <w:fldChar w:fldCharType="separate"/>
            </w:r>
            <w:r w:rsidR="009B21DC">
              <w:rPr>
                <w:noProof/>
                <w:webHidden/>
              </w:rPr>
              <w:t>48</w:t>
            </w:r>
            <w:r w:rsidR="009B21DC">
              <w:rPr>
                <w:noProof/>
                <w:webHidden/>
              </w:rPr>
              <w:fldChar w:fldCharType="end"/>
            </w:r>
          </w:hyperlink>
        </w:p>
        <w:p w14:paraId="01BBB075" w14:textId="02D6A5B0" w:rsidR="003A7F6C" w:rsidRPr="00AC6E74" w:rsidRDefault="00C525A2" w:rsidP="00EB36D6">
          <w:r w:rsidRPr="00AC6E74">
            <w:fldChar w:fldCharType="end"/>
          </w:r>
        </w:p>
      </w:sdtContent>
    </w:sdt>
    <w:bookmarkStart w:id="4" w:name="_Toc314842482" w:displacedByCustomXml="prev"/>
    <w:p w14:paraId="186D2FBB" w14:textId="77777777" w:rsidR="00FD119B" w:rsidRPr="00AC6E74" w:rsidRDefault="00FD119B">
      <w:pPr>
        <w:spacing w:before="0" w:after="200" w:line="0" w:lineRule="auto"/>
      </w:pPr>
      <w:r w:rsidRPr="00AC6E74">
        <w:br w:type="page"/>
      </w:r>
    </w:p>
    <w:p w14:paraId="2FCCC765" w14:textId="77777777" w:rsidR="00AF2313" w:rsidRPr="00AC6E74" w:rsidRDefault="00AF2313" w:rsidP="00AF2313">
      <w:pPr>
        <w:pStyle w:val="Heading2"/>
      </w:pPr>
      <w:bookmarkStart w:id="5" w:name="_Toc98931917"/>
      <w:bookmarkStart w:id="6" w:name="_Toc136358052"/>
      <w:r w:rsidRPr="00AC6E74">
        <w:lastRenderedPageBreak/>
        <w:t>List of abbreviations</w:t>
      </w:r>
      <w:bookmarkEnd w:id="5"/>
      <w:bookmarkEnd w:id="6"/>
    </w:p>
    <w:tbl>
      <w:tblPr>
        <w:tblStyle w:val="TableTGAblue"/>
        <w:tblW w:w="5000" w:type="pct"/>
        <w:tblLook w:val="04A0" w:firstRow="1" w:lastRow="0" w:firstColumn="1" w:lastColumn="0" w:noHBand="0" w:noVBand="1"/>
      </w:tblPr>
      <w:tblGrid>
        <w:gridCol w:w="1719"/>
        <w:gridCol w:w="1196"/>
        <w:gridCol w:w="5569"/>
      </w:tblGrid>
      <w:tr w:rsidR="00AF2313" w:rsidRPr="00AC6E74" w14:paraId="6BA08C19"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73198696" w14:textId="77777777" w:rsidR="00AF2313" w:rsidRPr="00AC6E74" w:rsidRDefault="00AF2313">
            <w:pPr>
              <w:rPr>
                <w:color w:val="FFFFFF"/>
              </w:rPr>
            </w:pPr>
            <w:bookmarkStart w:id="7" w:name="_Hlk130388313"/>
            <w:r w:rsidRPr="00AC6E74">
              <w:t>Abbreviation</w:t>
            </w:r>
          </w:p>
        </w:tc>
        <w:tc>
          <w:tcPr>
            <w:tcW w:w="3282" w:type="pct"/>
            <w:hideMark/>
          </w:tcPr>
          <w:p w14:paraId="354D2566" w14:textId="77777777" w:rsidR="00AF2313" w:rsidRPr="00AC6E74" w:rsidRDefault="00AF2313">
            <w:r w:rsidRPr="00AC6E74">
              <w:t>Meaning</w:t>
            </w:r>
          </w:p>
        </w:tc>
      </w:tr>
      <w:tr w:rsidR="00987863" w:rsidRPr="00AC6E74" w14:paraId="2E9F31BA" w14:textId="77777777" w:rsidTr="00987863">
        <w:trPr>
          <w:cantSplit/>
        </w:trPr>
        <w:tc>
          <w:tcPr>
            <w:tcW w:w="1013" w:type="pct"/>
            <w:tcBorders>
              <w:top w:val="single" w:sz="8" w:space="0" w:color="002C47"/>
              <w:left w:val="single" w:sz="8" w:space="0" w:color="002C47"/>
              <w:bottom w:val="single" w:sz="8" w:space="0" w:color="002C47"/>
              <w:right w:val="single" w:sz="8" w:space="0" w:color="002C47"/>
            </w:tcBorders>
          </w:tcPr>
          <w:p w14:paraId="092B9751" w14:textId="56E7C40D" w:rsidR="00987863" w:rsidRPr="00AC6E74" w:rsidRDefault="00987863" w:rsidP="00987863">
            <w:r w:rsidRPr="00AC6E74">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6858B832" w14:textId="14590FED" w:rsidR="00987863" w:rsidRPr="00AC6E74" w:rsidRDefault="00987863" w:rsidP="00987863">
            <w:r w:rsidRPr="00AC6E74">
              <w:t>Advisory Committee on Medicines</w:t>
            </w:r>
          </w:p>
        </w:tc>
      </w:tr>
      <w:tr w:rsidR="00987863" w:rsidRPr="00AC6E74" w14:paraId="5BC1CBF8" w14:textId="77777777" w:rsidTr="00987863">
        <w:trPr>
          <w:cantSplit/>
        </w:trPr>
        <w:tc>
          <w:tcPr>
            <w:tcW w:w="1013" w:type="pct"/>
            <w:tcBorders>
              <w:top w:val="single" w:sz="8" w:space="0" w:color="002C47"/>
              <w:left w:val="single" w:sz="8" w:space="0" w:color="002C47"/>
              <w:bottom w:val="single" w:sz="8" w:space="0" w:color="002C47"/>
              <w:right w:val="single" w:sz="8" w:space="0" w:color="002C47"/>
            </w:tcBorders>
          </w:tcPr>
          <w:p w14:paraId="6DAE4000" w14:textId="37C4AB79" w:rsidR="00987863" w:rsidRPr="00AC6E74" w:rsidRDefault="00987863" w:rsidP="00987863">
            <w:r w:rsidRPr="00AC6E74">
              <w:t>AE</w:t>
            </w:r>
          </w:p>
        </w:tc>
        <w:tc>
          <w:tcPr>
            <w:tcW w:w="3987" w:type="pct"/>
            <w:gridSpan w:val="2"/>
            <w:tcBorders>
              <w:top w:val="single" w:sz="8" w:space="0" w:color="002C47"/>
              <w:left w:val="single" w:sz="8" w:space="0" w:color="002C47"/>
              <w:bottom w:val="single" w:sz="8" w:space="0" w:color="002C47"/>
              <w:right w:val="single" w:sz="8" w:space="0" w:color="002C47"/>
            </w:tcBorders>
          </w:tcPr>
          <w:p w14:paraId="50DA24C7" w14:textId="0EF31987" w:rsidR="00987863" w:rsidRPr="00AC6E74" w:rsidRDefault="00987863" w:rsidP="00987863">
            <w:r w:rsidRPr="00AC6E74">
              <w:t>Adverse event</w:t>
            </w:r>
          </w:p>
        </w:tc>
      </w:tr>
      <w:tr w:rsidR="00987863" w:rsidRPr="00AC6E74" w14:paraId="7C300C4C" w14:textId="77777777" w:rsidTr="00987863">
        <w:trPr>
          <w:cantSplit/>
        </w:trPr>
        <w:tc>
          <w:tcPr>
            <w:tcW w:w="1013" w:type="pct"/>
            <w:tcBorders>
              <w:top w:val="single" w:sz="8" w:space="0" w:color="002C47"/>
              <w:left w:val="single" w:sz="8" w:space="0" w:color="002C47"/>
              <w:bottom w:val="single" w:sz="8" w:space="0" w:color="002C47"/>
              <w:right w:val="single" w:sz="8" w:space="0" w:color="002C47"/>
            </w:tcBorders>
          </w:tcPr>
          <w:p w14:paraId="34BAD597" w14:textId="1F26F7FB" w:rsidR="00987863" w:rsidRPr="00AC6E74" w:rsidRDefault="00987863" w:rsidP="00987863">
            <w:r w:rsidRPr="00AC6E74">
              <w:t>ALT</w:t>
            </w:r>
          </w:p>
        </w:tc>
        <w:tc>
          <w:tcPr>
            <w:tcW w:w="3987" w:type="pct"/>
            <w:gridSpan w:val="2"/>
            <w:tcBorders>
              <w:top w:val="single" w:sz="8" w:space="0" w:color="002C47"/>
              <w:left w:val="single" w:sz="8" w:space="0" w:color="002C47"/>
              <w:bottom w:val="single" w:sz="8" w:space="0" w:color="002C47"/>
              <w:right w:val="single" w:sz="8" w:space="0" w:color="002C47"/>
            </w:tcBorders>
          </w:tcPr>
          <w:p w14:paraId="7EA0DC4A" w14:textId="21AC43D6" w:rsidR="00987863" w:rsidRPr="00AC6E74" w:rsidRDefault="00987863" w:rsidP="00987863">
            <w:bookmarkStart w:id="8" w:name="_Hlk130550585"/>
            <w:r w:rsidRPr="00AC6E74">
              <w:t>Alanine aminotransferase</w:t>
            </w:r>
            <w:bookmarkEnd w:id="8"/>
          </w:p>
        </w:tc>
      </w:tr>
      <w:tr w:rsidR="00987863" w:rsidRPr="00AC6E74" w14:paraId="4AE2B79F" w14:textId="77777777" w:rsidTr="00987863">
        <w:trPr>
          <w:cantSplit/>
        </w:trPr>
        <w:tc>
          <w:tcPr>
            <w:tcW w:w="1013" w:type="pct"/>
            <w:tcBorders>
              <w:top w:val="single" w:sz="8" w:space="0" w:color="002C47"/>
              <w:left w:val="single" w:sz="8" w:space="0" w:color="002C47"/>
              <w:bottom w:val="single" w:sz="8" w:space="0" w:color="002C47"/>
              <w:right w:val="single" w:sz="8" w:space="0" w:color="002C47"/>
            </w:tcBorders>
          </w:tcPr>
          <w:p w14:paraId="5A54C4E8" w14:textId="7BEECE22" w:rsidR="00987863" w:rsidRPr="00AC6E74" w:rsidRDefault="00987863" w:rsidP="00987863">
            <w:proofErr w:type="spellStart"/>
            <w:r w:rsidRPr="00AC6E74">
              <w:t>aPTT</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0112D785" w14:textId="56CF5484" w:rsidR="00987863" w:rsidRPr="00AC6E74" w:rsidRDefault="00987863" w:rsidP="00987863">
            <w:r w:rsidRPr="00AC6E74">
              <w:t>Activated partial thromboplastin time</w:t>
            </w:r>
          </w:p>
        </w:tc>
      </w:tr>
      <w:tr w:rsidR="00987863" w:rsidRPr="00AC6E74" w14:paraId="2D90B1DD" w14:textId="77777777" w:rsidTr="00987863">
        <w:trPr>
          <w:cantSplit/>
        </w:trPr>
        <w:tc>
          <w:tcPr>
            <w:tcW w:w="1013" w:type="pct"/>
            <w:tcBorders>
              <w:top w:val="single" w:sz="8" w:space="0" w:color="002C47"/>
              <w:left w:val="single" w:sz="8" w:space="0" w:color="002C47"/>
              <w:bottom w:val="single" w:sz="8" w:space="0" w:color="002C47"/>
              <w:right w:val="single" w:sz="8" w:space="0" w:color="002C47"/>
            </w:tcBorders>
          </w:tcPr>
          <w:p w14:paraId="76AB3257" w14:textId="6FF7229A" w:rsidR="00987863" w:rsidRPr="00AC6E74" w:rsidRDefault="00987863" w:rsidP="00987863">
            <w:r w:rsidRPr="00AC6E74">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20B72845" w14:textId="76F76348" w:rsidR="00987863" w:rsidRPr="00AC6E74" w:rsidRDefault="00987863" w:rsidP="00987863">
            <w:r w:rsidRPr="00AC6E74">
              <w:t>Australian Register of Therapeutic Goods</w:t>
            </w:r>
          </w:p>
        </w:tc>
      </w:tr>
      <w:tr w:rsidR="00987863" w:rsidRPr="00AC6E74" w14:paraId="5BA8A512" w14:textId="77777777" w:rsidTr="00987863">
        <w:trPr>
          <w:cantSplit/>
        </w:trPr>
        <w:tc>
          <w:tcPr>
            <w:tcW w:w="1013" w:type="pct"/>
            <w:tcBorders>
              <w:top w:val="single" w:sz="8" w:space="0" w:color="002C47"/>
              <w:left w:val="single" w:sz="8" w:space="0" w:color="002C47"/>
              <w:bottom w:val="single" w:sz="8" w:space="0" w:color="002C47"/>
              <w:right w:val="single" w:sz="8" w:space="0" w:color="002C47"/>
            </w:tcBorders>
          </w:tcPr>
          <w:p w14:paraId="23043A1D" w14:textId="0BA8AC62" w:rsidR="00987863" w:rsidRPr="00AC6E74" w:rsidRDefault="00987863" w:rsidP="00987863">
            <w:r w:rsidRPr="00AC6E74">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7436214E" w14:textId="60E9DC61" w:rsidR="00987863" w:rsidRPr="00AC6E74" w:rsidRDefault="00987863" w:rsidP="00987863">
            <w:r w:rsidRPr="00AC6E74">
              <w:t>Australia specific annex</w:t>
            </w:r>
          </w:p>
        </w:tc>
      </w:tr>
      <w:tr w:rsidR="00987863" w:rsidRPr="00AC6E74" w14:paraId="50A7DC5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FD18791" w14:textId="06B85899" w:rsidR="00987863" w:rsidRPr="00AC6E74" w:rsidRDefault="00987863" w:rsidP="00987863">
            <w:pPr>
              <w:rPr>
                <w:color w:val="000000"/>
              </w:rPr>
            </w:pPr>
            <w:r w:rsidRPr="00AC6E74">
              <w:t>AST</w:t>
            </w:r>
          </w:p>
        </w:tc>
        <w:tc>
          <w:tcPr>
            <w:tcW w:w="3987" w:type="pct"/>
            <w:gridSpan w:val="2"/>
            <w:tcBorders>
              <w:top w:val="single" w:sz="8" w:space="0" w:color="002C47"/>
              <w:left w:val="single" w:sz="8" w:space="0" w:color="002C47"/>
              <w:bottom w:val="single" w:sz="8" w:space="0" w:color="002C47"/>
              <w:right w:val="single" w:sz="8" w:space="0" w:color="002C47"/>
            </w:tcBorders>
          </w:tcPr>
          <w:p w14:paraId="544AB252" w14:textId="210C865B" w:rsidR="00987863" w:rsidRPr="00AC6E74" w:rsidRDefault="00987863" w:rsidP="00987863">
            <w:pPr>
              <w:rPr>
                <w:color w:val="000000"/>
              </w:rPr>
            </w:pPr>
            <w:r w:rsidRPr="00AC6E74">
              <w:t>Aspartate aminotransferase</w:t>
            </w:r>
          </w:p>
        </w:tc>
      </w:tr>
      <w:tr w:rsidR="00987863" w:rsidRPr="00AC6E74" w14:paraId="103A6F7D"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52BBD1D0" w14:textId="47C6EFB1" w:rsidR="00987863" w:rsidRPr="00AC6E74" w:rsidRDefault="00987863" w:rsidP="00987863">
            <w:r w:rsidRPr="00AC6E74">
              <w:t>BCRP</w:t>
            </w:r>
          </w:p>
        </w:tc>
        <w:tc>
          <w:tcPr>
            <w:tcW w:w="3987" w:type="pct"/>
            <w:gridSpan w:val="2"/>
            <w:tcBorders>
              <w:top w:val="single" w:sz="8" w:space="0" w:color="002C47"/>
              <w:left w:val="single" w:sz="8" w:space="0" w:color="002C47"/>
              <w:bottom w:val="single" w:sz="8" w:space="0" w:color="002C47"/>
              <w:right w:val="single" w:sz="8" w:space="0" w:color="002C47"/>
            </w:tcBorders>
          </w:tcPr>
          <w:p w14:paraId="0A6CEFDC" w14:textId="34365937" w:rsidR="00987863" w:rsidRPr="00AC6E74" w:rsidRDefault="00987863" w:rsidP="00987863">
            <w:r w:rsidRPr="00AC6E74">
              <w:t>Breast cancer resistance protein</w:t>
            </w:r>
          </w:p>
        </w:tc>
      </w:tr>
      <w:tr w:rsidR="00987863" w:rsidRPr="00AC6E74" w14:paraId="3FD10B3E"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2CD3DA77" w14:textId="5AE8C1E3" w:rsidR="00987863" w:rsidRPr="00AC6E74" w:rsidRDefault="00987863" w:rsidP="00987863">
            <w:pPr>
              <w:rPr>
                <w:color w:val="000000"/>
              </w:rPr>
            </w:pPr>
            <w:r w:rsidRPr="00AC6E74">
              <w:t>C</w:t>
            </w:r>
            <w:r w:rsidRPr="00AC6E74">
              <w:rPr>
                <w:vertAlign w:val="subscript"/>
              </w:rPr>
              <w:t>max</w:t>
            </w:r>
          </w:p>
        </w:tc>
        <w:tc>
          <w:tcPr>
            <w:tcW w:w="3987" w:type="pct"/>
            <w:gridSpan w:val="2"/>
            <w:tcBorders>
              <w:top w:val="single" w:sz="8" w:space="0" w:color="002C47"/>
              <w:left w:val="single" w:sz="8" w:space="0" w:color="002C47"/>
              <w:bottom w:val="single" w:sz="8" w:space="0" w:color="002C47"/>
              <w:right w:val="single" w:sz="8" w:space="0" w:color="002C47"/>
            </w:tcBorders>
          </w:tcPr>
          <w:p w14:paraId="5670C8B7" w14:textId="16CD5B6C" w:rsidR="00987863" w:rsidRPr="00AC6E74" w:rsidRDefault="00987863" w:rsidP="00987863">
            <w:r w:rsidRPr="00AC6E74">
              <w:t>Maximum observed drug concentration</w:t>
            </w:r>
          </w:p>
        </w:tc>
      </w:tr>
      <w:tr w:rsidR="00987863" w:rsidRPr="00AC6E74" w14:paraId="43A4DDD2"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2AB76054" w14:textId="26DE9489" w:rsidR="00987863" w:rsidRPr="00AC6E74" w:rsidRDefault="00987863" w:rsidP="00987863">
            <w:r w:rsidRPr="00AC6E74">
              <w:t>CI</w:t>
            </w:r>
          </w:p>
        </w:tc>
        <w:tc>
          <w:tcPr>
            <w:tcW w:w="3987" w:type="pct"/>
            <w:gridSpan w:val="2"/>
            <w:tcBorders>
              <w:top w:val="single" w:sz="8" w:space="0" w:color="002C47"/>
              <w:left w:val="single" w:sz="8" w:space="0" w:color="002C47"/>
              <w:bottom w:val="single" w:sz="8" w:space="0" w:color="002C47"/>
              <w:right w:val="single" w:sz="8" w:space="0" w:color="002C47"/>
            </w:tcBorders>
          </w:tcPr>
          <w:p w14:paraId="57F741D1" w14:textId="12BE1F11" w:rsidR="00987863" w:rsidRPr="00AC6E74" w:rsidRDefault="00987863" w:rsidP="00987863">
            <w:r w:rsidRPr="00AC6E74">
              <w:t>Confidence interval</w:t>
            </w:r>
          </w:p>
        </w:tc>
      </w:tr>
      <w:tr w:rsidR="00987863" w:rsidRPr="00AC6E74" w14:paraId="6A9DF0E0"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31D1332B" w14:textId="482EA4E1" w:rsidR="00987863" w:rsidRPr="00AC6E74" w:rsidRDefault="00987863" w:rsidP="00987863">
            <w:r w:rsidRPr="00AC6E74">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41A4CECA" w14:textId="40782DF8" w:rsidR="00987863" w:rsidRPr="00AC6E74" w:rsidRDefault="00987863" w:rsidP="00987863">
            <w:r w:rsidRPr="00AC6E74">
              <w:t>Consumer Medicines Information</w:t>
            </w:r>
          </w:p>
        </w:tc>
      </w:tr>
      <w:tr w:rsidR="00987863" w:rsidRPr="00AC6E74" w14:paraId="1384B48B"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5040AE33" w14:textId="650F04FF" w:rsidR="00987863" w:rsidRPr="00AC6E74" w:rsidRDefault="00987863" w:rsidP="00987863">
            <w:r w:rsidRPr="00AC6E74">
              <w:t>CYP</w:t>
            </w:r>
          </w:p>
        </w:tc>
        <w:tc>
          <w:tcPr>
            <w:tcW w:w="3987" w:type="pct"/>
            <w:gridSpan w:val="2"/>
            <w:tcBorders>
              <w:top w:val="single" w:sz="8" w:space="0" w:color="002C47"/>
              <w:left w:val="single" w:sz="8" w:space="0" w:color="002C47"/>
              <w:bottom w:val="single" w:sz="8" w:space="0" w:color="002C47"/>
              <w:right w:val="single" w:sz="8" w:space="0" w:color="002C47"/>
            </w:tcBorders>
          </w:tcPr>
          <w:p w14:paraId="5C67C1DA" w14:textId="61853ADD" w:rsidR="00987863" w:rsidRPr="00AC6E74" w:rsidRDefault="00987863" w:rsidP="00987863">
            <w:r w:rsidRPr="00AC6E74">
              <w:t>Cytochrome P450</w:t>
            </w:r>
          </w:p>
        </w:tc>
      </w:tr>
      <w:tr w:rsidR="00987863" w:rsidRPr="00AC6E74" w14:paraId="2001CACE"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1BED2161" w14:textId="7FCE0697" w:rsidR="00987863" w:rsidRPr="00AC6E74" w:rsidRDefault="00987863" w:rsidP="00987863">
            <w:r w:rsidRPr="00AC6E74">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73265117" w14:textId="1DDFD32E" w:rsidR="00987863" w:rsidRPr="00AC6E74" w:rsidRDefault="00987863" w:rsidP="00987863">
            <w:r w:rsidRPr="00AC6E74">
              <w:t>Data lock point</w:t>
            </w:r>
          </w:p>
        </w:tc>
      </w:tr>
      <w:tr w:rsidR="00987863" w:rsidRPr="00AC6E74" w14:paraId="080C985C"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349F0DD4" w14:textId="663DA8E8" w:rsidR="00987863" w:rsidRPr="00AC6E74" w:rsidRDefault="00987863" w:rsidP="00987863">
            <w:r w:rsidRPr="00AC6E74">
              <w:t>DOR</w:t>
            </w:r>
          </w:p>
        </w:tc>
        <w:tc>
          <w:tcPr>
            <w:tcW w:w="3987" w:type="pct"/>
            <w:gridSpan w:val="2"/>
            <w:tcBorders>
              <w:top w:val="single" w:sz="8" w:space="0" w:color="002C47"/>
              <w:left w:val="single" w:sz="8" w:space="0" w:color="002C47"/>
              <w:bottom w:val="single" w:sz="8" w:space="0" w:color="002C47"/>
              <w:right w:val="single" w:sz="8" w:space="0" w:color="002C47"/>
            </w:tcBorders>
          </w:tcPr>
          <w:p w14:paraId="54E248B8" w14:textId="0306A806" w:rsidR="00987863" w:rsidRPr="00AC6E74" w:rsidRDefault="00987863" w:rsidP="00987863">
            <w:r w:rsidRPr="00AC6E74">
              <w:t>Duration of response</w:t>
            </w:r>
          </w:p>
        </w:tc>
      </w:tr>
      <w:tr w:rsidR="00987863" w:rsidRPr="00AC6E74" w14:paraId="215A79FF"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67B6ED6E" w14:textId="2706EAA7" w:rsidR="00987863" w:rsidRPr="00AC6E74" w:rsidRDefault="00987863" w:rsidP="00987863">
            <w:r w:rsidRPr="00AC6E74">
              <w:t>ECOG</w:t>
            </w:r>
          </w:p>
        </w:tc>
        <w:tc>
          <w:tcPr>
            <w:tcW w:w="3987" w:type="pct"/>
            <w:gridSpan w:val="2"/>
            <w:tcBorders>
              <w:top w:val="single" w:sz="8" w:space="0" w:color="002C47"/>
              <w:left w:val="single" w:sz="8" w:space="0" w:color="002C47"/>
              <w:bottom w:val="single" w:sz="8" w:space="0" w:color="002C47"/>
              <w:right w:val="single" w:sz="8" w:space="0" w:color="002C47"/>
            </w:tcBorders>
          </w:tcPr>
          <w:p w14:paraId="6FBF84E7" w14:textId="557C152C" w:rsidR="00987863" w:rsidRPr="00AC6E74" w:rsidRDefault="00987863" w:rsidP="00987863">
            <w:r w:rsidRPr="00AC6E74">
              <w:t>Eastern Cooperative Oncology Group</w:t>
            </w:r>
          </w:p>
        </w:tc>
      </w:tr>
      <w:tr w:rsidR="00987863" w:rsidRPr="00AC6E74" w14:paraId="7DDFCDA4"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6796AF59" w14:textId="0DE1145A" w:rsidR="00987863" w:rsidRPr="00AC6E74" w:rsidRDefault="00987863" w:rsidP="00987863">
            <w:r w:rsidRPr="00AC6E74">
              <w:t>EU</w:t>
            </w:r>
          </w:p>
        </w:tc>
        <w:tc>
          <w:tcPr>
            <w:tcW w:w="3987" w:type="pct"/>
            <w:gridSpan w:val="2"/>
            <w:tcBorders>
              <w:top w:val="single" w:sz="8" w:space="0" w:color="002C47"/>
              <w:left w:val="single" w:sz="8" w:space="0" w:color="002C47"/>
              <w:bottom w:val="single" w:sz="8" w:space="0" w:color="002C47"/>
              <w:right w:val="single" w:sz="8" w:space="0" w:color="002C47"/>
            </w:tcBorders>
          </w:tcPr>
          <w:p w14:paraId="1AD1CE30" w14:textId="0ED67945" w:rsidR="00987863" w:rsidRPr="00AC6E74" w:rsidRDefault="00987863" w:rsidP="00987863">
            <w:r w:rsidRPr="00AC6E74">
              <w:t>European Union</w:t>
            </w:r>
          </w:p>
        </w:tc>
      </w:tr>
      <w:tr w:rsidR="00987863" w:rsidRPr="00AC6E74" w14:paraId="74479760"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5BA92E3F" w14:textId="79872B0B" w:rsidR="00987863" w:rsidRPr="00AC6E74" w:rsidRDefault="00987863" w:rsidP="00987863">
            <w:r w:rsidRPr="00AC6E74">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04600FB7" w14:textId="4177CD24" w:rsidR="00987863" w:rsidRPr="00AC6E74" w:rsidRDefault="00987863" w:rsidP="00987863">
            <w:r w:rsidRPr="00AC6E74">
              <w:t>Food and Drug Administration (United States</w:t>
            </w:r>
            <w:r w:rsidR="00D6575F">
              <w:t xml:space="preserve"> of America</w:t>
            </w:r>
            <w:r w:rsidRPr="00AC6E74">
              <w:t>)</w:t>
            </w:r>
          </w:p>
        </w:tc>
      </w:tr>
      <w:tr w:rsidR="00987863" w:rsidRPr="00AC6E74" w14:paraId="4D4CCB3E"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4C351365" w14:textId="161DE1A4" w:rsidR="00987863" w:rsidRPr="00AC6E74" w:rsidRDefault="00987863" w:rsidP="00987863">
            <w:r w:rsidRPr="00AC6E74">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2B35E2DC" w14:textId="4AAD6FE8" w:rsidR="00987863" w:rsidRPr="00AC6E74" w:rsidRDefault="00987863" w:rsidP="00987863">
            <w:r w:rsidRPr="00AC6E74">
              <w:t>Good Pharmacovigilance Practices</w:t>
            </w:r>
          </w:p>
        </w:tc>
      </w:tr>
      <w:tr w:rsidR="00987863" w:rsidRPr="00AC6E74" w14:paraId="49ED88DA"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6EE1FF22" w14:textId="38A7DDC0" w:rsidR="00987863" w:rsidRPr="00AC6E74" w:rsidRDefault="00987863" w:rsidP="00987863">
            <w:r w:rsidRPr="00AC6E74">
              <w:rPr>
                <w:i/>
                <w:iCs/>
              </w:rPr>
              <w:t>KRAS</w:t>
            </w:r>
          </w:p>
        </w:tc>
        <w:tc>
          <w:tcPr>
            <w:tcW w:w="3987" w:type="pct"/>
            <w:gridSpan w:val="2"/>
            <w:tcBorders>
              <w:top w:val="single" w:sz="8" w:space="0" w:color="002C47"/>
              <w:left w:val="single" w:sz="8" w:space="0" w:color="002C47"/>
              <w:bottom w:val="single" w:sz="8" w:space="0" w:color="002C47"/>
              <w:right w:val="single" w:sz="8" w:space="0" w:color="002C47"/>
            </w:tcBorders>
          </w:tcPr>
          <w:p w14:paraId="6F05BB40" w14:textId="25F20270" w:rsidR="00987863" w:rsidRPr="00AC6E74" w:rsidRDefault="00987863" w:rsidP="00594BB6">
            <w:r w:rsidRPr="00AC6E74">
              <w:t>Kirsten rat sarcoma viral oncogene</w:t>
            </w:r>
          </w:p>
        </w:tc>
      </w:tr>
      <w:tr w:rsidR="00987863" w:rsidRPr="00AC6E74" w14:paraId="61F45E9D"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273FD2C6" w14:textId="76DE99D4" w:rsidR="00987863" w:rsidRPr="00AC6E74" w:rsidRDefault="00987863" w:rsidP="00987863">
            <w:pPr>
              <w:rPr>
                <w:i/>
                <w:iCs/>
              </w:rPr>
            </w:pPr>
            <w:r w:rsidRPr="00AC6E74">
              <w:t>MATE</w:t>
            </w:r>
          </w:p>
        </w:tc>
        <w:tc>
          <w:tcPr>
            <w:tcW w:w="3987" w:type="pct"/>
            <w:gridSpan w:val="2"/>
            <w:tcBorders>
              <w:top w:val="single" w:sz="8" w:space="0" w:color="002C47"/>
              <w:left w:val="single" w:sz="8" w:space="0" w:color="002C47"/>
              <w:bottom w:val="single" w:sz="8" w:space="0" w:color="002C47"/>
              <w:right w:val="single" w:sz="8" w:space="0" w:color="002C47"/>
            </w:tcBorders>
          </w:tcPr>
          <w:p w14:paraId="5685B16C" w14:textId="21119F72" w:rsidR="00987863" w:rsidRPr="00AC6E74" w:rsidRDefault="00987863" w:rsidP="00987863">
            <w:r w:rsidRPr="00AC6E74">
              <w:t>Multidrug and toxin extrusion protein</w:t>
            </w:r>
          </w:p>
        </w:tc>
      </w:tr>
      <w:tr w:rsidR="00987863" w:rsidRPr="00AC6E74" w14:paraId="2E36A64C"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7B7FCDF7" w14:textId="0196707A" w:rsidR="00987863" w:rsidRPr="00AC6E74" w:rsidRDefault="00987863" w:rsidP="00987863">
            <w:r w:rsidRPr="00AC6E74">
              <w:t>NCCN</w:t>
            </w:r>
          </w:p>
        </w:tc>
        <w:tc>
          <w:tcPr>
            <w:tcW w:w="3987" w:type="pct"/>
            <w:gridSpan w:val="2"/>
            <w:tcBorders>
              <w:top w:val="single" w:sz="8" w:space="0" w:color="002C47"/>
              <w:left w:val="single" w:sz="8" w:space="0" w:color="002C47"/>
              <w:bottom w:val="single" w:sz="8" w:space="0" w:color="002C47"/>
              <w:right w:val="single" w:sz="8" w:space="0" w:color="002C47"/>
            </w:tcBorders>
          </w:tcPr>
          <w:p w14:paraId="710D81BA" w14:textId="0365BB03" w:rsidR="00987863" w:rsidRPr="00AC6E74" w:rsidRDefault="00987863" w:rsidP="00987863">
            <w:r w:rsidRPr="00AC6E74">
              <w:t>National Comprehensive Cancer Network</w:t>
            </w:r>
          </w:p>
        </w:tc>
      </w:tr>
      <w:tr w:rsidR="00987863" w:rsidRPr="00AC6E74" w14:paraId="1AE83214"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1DC19DEE" w14:textId="58D5DD44" w:rsidR="00987863" w:rsidRPr="00AC6E74" w:rsidRDefault="00987863" w:rsidP="00987863">
            <w:r w:rsidRPr="00AC6E74">
              <w:t>NSCLC</w:t>
            </w:r>
          </w:p>
        </w:tc>
        <w:tc>
          <w:tcPr>
            <w:tcW w:w="3987" w:type="pct"/>
            <w:gridSpan w:val="2"/>
            <w:tcBorders>
              <w:top w:val="single" w:sz="8" w:space="0" w:color="002C47"/>
              <w:left w:val="single" w:sz="8" w:space="0" w:color="002C47"/>
              <w:bottom w:val="single" w:sz="8" w:space="0" w:color="002C47"/>
              <w:right w:val="single" w:sz="8" w:space="0" w:color="002C47"/>
            </w:tcBorders>
          </w:tcPr>
          <w:p w14:paraId="27D469B6" w14:textId="0F272807" w:rsidR="00987863" w:rsidRPr="00AC6E74" w:rsidRDefault="00987863" w:rsidP="00987863">
            <w:r w:rsidRPr="00AC6E74">
              <w:t>Non-small cell lung cancer</w:t>
            </w:r>
          </w:p>
        </w:tc>
      </w:tr>
      <w:tr w:rsidR="00987863" w:rsidRPr="00AC6E74" w14:paraId="105737E2"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27E3DB66" w14:textId="7D07A573" w:rsidR="00987863" w:rsidRPr="00AC6E74" w:rsidRDefault="00987863" w:rsidP="00987863">
            <w:r w:rsidRPr="00AC6E74">
              <w:t>OATP</w:t>
            </w:r>
          </w:p>
        </w:tc>
        <w:tc>
          <w:tcPr>
            <w:tcW w:w="3987" w:type="pct"/>
            <w:gridSpan w:val="2"/>
            <w:tcBorders>
              <w:top w:val="single" w:sz="8" w:space="0" w:color="002C47"/>
              <w:left w:val="single" w:sz="8" w:space="0" w:color="002C47"/>
              <w:bottom w:val="single" w:sz="8" w:space="0" w:color="002C47"/>
              <w:right w:val="single" w:sz="8" w:space="0" w:color="002C47"/>
            </w:tcBorders>
          </w:tcPr>
          <w:p w14:paraId="6B64AD3F" w14:textId="6B3C9703" w:rsidR="00987863" w:rsidRPr="00AC6E74" w:rsidRDefault="00987863" w:rsidP="00987863">
            <w:r w:rsidRPr="00AC6E74">
              <w:t>Organic anion transporting polypeptide</w:t>
            </w:r>
          </w:p>
        </w:tc>
      </w:tr>
      <w:tr w:rsidR="00987863" w:rsidRPr="00AC6E74" w14:paraId="28D6E4B8"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6EB1C1D0" w14:textId="571129D4" w:rsidR="00987863" w:rsidRPr="00AC6E74" w:rsidRDefault="00987863" w:rsidP="00987863">
            <w:r w:rsidRPr="00AC6E74">
              <w:t>OCT</w:t>
            </w:r>
          </w:p>
        </w:tc>
        <w:tc>
          <w:tcPr>
            <w:tcW w:w="3987" w:type="pct"/>
            <w:gridSpan w:val="2"/>
            <w:tcBorders>
              <w:top w:val="single" w:sz="8" w:space="0" w:color="002C47"/>
              <w:left w:val="single" w:sz="8" w:space="0" w:color="002C47"/>
              <w:bottom w:val="single" w:sz="8" w:space="0" w:color="002C47"/>
              <w:right w:val="single" w:sz="8" w:space="0" w:color="002C47"/>
            </w:tcBorders>
          </w:tcPr>
          <w:p w14:paraId="34652F5D" w14:textId="5B2ADD63" w:rsidR="00987863" w:rsidRPr="00AC6E74" w:rsidRDefault="00987863" w:rsidP="00987863">
            <w:r w:rsidRPr="00AC6E74">
              <w:t>Organic cation transporter</w:t>
            </w:r>
          </w:p>
        </w:tc>
      </w:tr>
      <w:tr w:rsidR="00987863" w:rsidRPr="00AC6E74" w14:paraId="1C429A3A"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162FEF07" w14:textId="42237737" w:rsidR="00987863" w:rsidRPr="00AC6E74" w:rsidRDefault="00987863" w:rsidP="00987863">
            <w:r w:rsidRPr="00AC6E74">
              <w:t>ORR</w:t>
            </w:r>
          </w:p>
        </w:tc>
        <w:tc>
          <w:tcPr>
            <w:tcW w:w="3987" w:type="pct"/>
            <w:gridSpan w:val="2"/>
            <w:tcBorders>
              <w:top w:val="single" w:sz="8" w:space="0" w:color="002C47"/>
              <w:left w:val="single" w:sz="8" w:space="0" w:color="002C47"/>
              <w:bottom w:val="single" w:sz="8" w:space="0" w:color="002C47"/>
              <w:right w:val="single" w:sz="8" w:space="0" w:color="002C47"/>
            </w:tcBorders>
          </w:tcPr>
          <w:p w14:paraId="47F1A48D" w14:textId="7F562C7F" w:rsidR="00987863" w:rsidRPr="00AC6E74" w:rsidRDefault="00987863" w:rsidP="00987863">
            <w:r w:rsidRPr="00AC6E74">
              <w:t>Objective response rate</w:t>
            </w:r>
            <w:r w:rsidR="00481AD4" w:rsidRPr="00AC6E74">
              <w:t>/overall response rate</w:t>
            </w:r>
          </w:p>
        </w:tc>
      </w:tr>
      <w:tr w:rsidR="00987863" w:rsidRPr="00AC6E74" w14:paraId="7DAB7F42"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586F17E0" w14:textId="373DFD5D" w:rsidR="00987863" w:rsidRPr="00AC6E74" w:rsidRDefault="00987863" w:rsidP="00987863">
            <w:r w:rsidRPr="00AC6E74">
              <w:lastRenderedPageBreak/>
              <w:t>PD-1</w:t>
            </w:r>
          </w:p>
        </w:tc>
        <w:tc>
          <w:tcPr>
            <w:tcW w:w="3987" w:type="pct"/>
            <w:gridSpan w:val="2"/>
            <w:tcBorders>
              <w:top w:val="single" w:sz="8" w:space="0" w:color="002C47"/>
              <w:left w:val="single" w:sz="8" w:space="0" w:color="002C47"/>
              <w:bottom w:val="single" w:sz="8" w:space="0" w:color="002C47"/>
              <w:right w:val="single" w:sz="8" w:space="0" w:color="002C47"/>
            </w:tcBorders>
          </w:tcPr>
          <w:p w14:paraId="38F3D7D3" w14:textId="3A2544E8" w:rsidR="00987863" w:rsidRPr="00AC6E74" w:rsidRDefault="00987863" w:rsidP="00987863">
            <w:r w:rsidRPr="00AC6E74">
              <w:t>Programmed cell death protein 1</w:t>
            </w:r>
          </w:p>
        </w:tc>
      </w:tr>
      <w:tr w:rsidR="00987863" w:rsidRPr="00AC6E74" w14:paraId="5DFEC781"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174D77EB" w14:textId="12387941" w:rsidR="00987863" w:rsidRPr="00AC6E74" w:rsidRDefault="00987863" w:rsidP="00987863">
            <w:r w:rsidRPr="00AC6E74">
              <w:t>PD-L1</w:t>
            </w:r>
          </w:p>
        </w:tc>
        <w:tc>
          <w:tcPr>
            <w:tcW w:w="3987" w:type="pct"/>
            <w:gridSpan w:val="2"/>
            <w:tcBorders>
              <w:top w:val="single" w:sz="8" w:space="0" w:color="002C47"/>
              <w:left w:val="single" w:sz="8" w:space="0" w:color="002C47"/>
              <w:bottom w:val="single" w:sz="8" w:space="0" w:color="002C47"/>
              <w:right w:val="single" w:sz="8" w:space="0" w:color="002C47"/>
            </w:tcBorders>
          </w:tcPr>
          <w:p w14:paraId="11FE25DA" w14:textId="1B9080D7" w:rsidR="00987863" w:rsidRPr="00AC6E74" w:rsidRDefault="00987863" w:rsidP="00987863">
            <w:r w:rsidRPr="00AC6E74">
              <w:t>Programmed death-ligand 1</w:t>
            </w:r>
          </w:p>
        </w:tc>
      </w:tr>
      <w:tr w:rsidR="00987863" w:rsidRPr="00AC6E74" w14:paraId="1E4389C6"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02220A71" w14:textId="2009289B" w:rsidR="00987863" w:rsidRPr="00AC6E74" w:rsidRDefault="00987863" w:rsidP="00987863">
            <w:r w:rsidRPr="00AC6E74">
              <w:t>PI</w:t>
            </w:r>
          </w:p>
        </w:tc>
        <w:tc>
          <w:tcPr>
            <w:tcW w:w="3987" w:type="pct"/>
            <w:gridSpan w:val="2"/>
            <w:tcBorders>
              <w:top w:val="single" w:sz="8" w:space="0" w:color="002C47"/>
              <w:left w:val="single" w:sz="8" w:space="0" w:color="002C47"/>
              <w:bottom w:val="single" w:sz="8" w:space="0" w:color="002C47"/>
              <w:right w:val="single" w:sz="8" w:space="0" w:color="002C47"/>
            </w:tcBorders>
          </w:tcPr>
          <w:p w14:paraId="6EF73F47" w14:textId="1A677437" w:rsidR="00987863" w:rsidRPr="00AC6E74" w:rsidRDefault="00987863" w:rsidP="00987863">
            <w:r w:rsidRPr="00AC6E74">
              <w:t>Product Information</w:t>
            </w:r>
          </w:p>
        </w:tc>
      </w:tr>
      <w:tr w:rsidR="00987863" w:rsidRPr="00AC6E74" w14:paraId="70DE1F0C"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699FFC44" w14:textId="145A15A2" w:rsidR="00987863" w:rsidRPr="00AC6E74" w:rsidRDefault="00987863" w:rsidP="00987863">
            <w:r w:rsidRPr="00AC6E74">
              <w:t>PK</w:t>
            </w:r>
          </w:p>
        </w:tc>
        <w:tc>
          <w:tcPr>
            <w:tcW w:w="3987" w:type="pct"/>
            <w:gridSpan w:val="2"/>
            <w:tcBorders>
              <w:top w:val="single" w:sz="8" w:space="0" w:color="002C47"/>
              <w:left w:val="single" w:sz="8" w:space="0" w:color="002C47"/>
              <w:bottom w:val="single" w:sz="8" w:space="0" w:color="002C47"/>
              <w:right w:val="single" w:sz="8" w:space="0" w:color="002C47"/>
            </w:tcBorders>
          </w:tcPr>
          <w:p w14:paraId="399DAC0C" w14:textId="5EFCAE82" w:rsidR="00987863" w:rsidRPr="00AC6E74" w:rsidRDefault="00987863" w:rsidP="00987863">
            <w:r w:rsidRPr="00AC6E74">
              <w:t>Pharmacokinetic(s)</w:t>
            </w:r>
          </w:p>
        </w:tc>
      </w:tr>
      <w:tr w:rsidR="00987863" w:rsidRPr="00AC6E74" w14:paraId="1CA459D2"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4D021826" w14:textId="68169AFD" w:rsidR="00987863" w:rsidRPr="00AC6E74" w:rsidRDefault="00987863" w:rsidP="00987863">
            <w:proofErr w:type="spellStart"/>
            <w:r w:rsidRPr="00AC6E74">
              <w:t>PopPK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46548BD" w14:textId="136BB456" w:rsidR="00987863" w:rsidRPr="00AC6E74" w:rsidRDefault="00987863" w:rsidP="00987863">
            <w:r w:rsidRPr="00AC6E74">
              <w:t>population pharmacokinetics</w:t>
            </w:r>
          </w:p>
        </w:tc>
      </w:tr>
      <w:tr w:rsidR="00987863" w:rsidRPr="00AC6E74" w14:paraId="7AD79171"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12E8BDDD" w14:textId="3AF3A492" w:rsidR="00987863" w:rsidRPr="00AC6E74" w:rsidRDefault="00987863" w:rsidP="00987863">
            <w:r w:rsidRPr="00AC6E74">
              <w:t>RECIST</w:t>
            </w:r>
          </w:p>
        </w:tc>
        <w:tc>
          <w:tcPr>
            <w:tcW w:w="3987" w:type="pct"/>
            <w:gridSpan w:val="2"/>
            <w:tcBorders>
              <w:top w:val="single" w:sz="8" w:space="0" w:color="002C47"/>
              <w:left w:val="single" w:sz="8" w:space="0" w:color="002C47"/>
              <w:bottom w:val="single" w:sz="8" w:space="0" w:color="002C47"/>
              <w:right w:val="single" w:sz="8" w:space="0" w:color="002C47"/>
            </w:tcBorders>
          </w:tcPr>
          <w:p w14:paraId="05C893B7" w14:textId="2FFD4D15" w:rsidR="00987863" w:rsidRPr="00AC6E74" w:rsidRDefault="00987863" w:rsidP="00987863">
            <w:r w:rsidRPr="00AC6E74">
              <w:t xml:space="preserve">Response Evaluation Criteria </w:t>
            </w:r>
            <w:proofErr w:type="gramStart"/>
            <w:r w:rsidRPr="00AC6E74">
              <w:t>In</w:t>
            </w:r>
            <w:proofErr w:type="gramEnd"/>
            <w:r w:rsidRPr="00AC6E74">
              <w:t xml:space="preserve"> Solid Tumours</w:t>
            </w:r>
          </w:p>
        </w:tc>
      </w:tr>
      <w:tr w:rsidR="00987863" w:rsidRPr="00AC6E74" w14:paraId="4522F1A0"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6C0B0920" w14:textId="689C6874" w:rsidR="00987863" w:rsidRPr="00AC6E74" w:rsidRDefault="00987863" w:rsidP="00987863">
            <w:r w:rsidRPr="00AC6E74">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7E6A0A88" w14:textId="53602878" w:rsidR="00987863" w:rsidRPr="00AC6E74" w:rsidRDefault="00987863" w:rsidP="00987863">
            <w:r w:rsidRPr="00AC6E74">
              <w:t>Risk management plan</w:t>
            </w:r>
          </w:p>
        </w:tc>
      </w:tr>
      <w:tr w:rsidR="00987863" w:rsidRPr="00AC6E74" w14:paraId="3A4F3FD0"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4C36FA40" w14:textId="0D4FE70E" w:rsidR="00987863" w:rsidRPr="00AC6E74" w:rsidRDefault="00987863" w:rsidP="00987863">
            <w:r w:rsidRPr="00AC6E74">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742B4050" w14:textId="4D5FCB6B" w:rsidR="00987863" w:rsidRPr="00AC6E74" w:rsidRDefault="00987863" w:rsidP="00987863">
            <w:r w:rsidRPr="00AC6E74">
              <w:t>Therapeutic Goods Administration</w:t>
            </w:r>
          </w:p>
        </w:tc>
      </w:tr>
      <w:tr w:rsidR="00987863" w:rsidRPr="00AC6E74" w14:paraId="6C0EBB4E" w14:textId="77777777" w:rsidTr="000054EA">
        <w:trPr>
          <w:cantSplit/>
        </w:trPr>
        <w:tc>
          <w:tcPr>
            <w:tcW w:w="1013" w:type="pct"/>
            <w:tcBorders>
              <w:top w:val="single" w:sz="8" w:space="0" w:color="002C47"/>
              <w:left w:val="single" w:sz="8" w:space="0" w:color="002C47"/>
              <w:bottom w:val="single" w:sz="8" w:space="0" w:color="002C47"/>
              <w:right w:val="single" w:sz="8" w:space="0" w:color="002C47"/>
            </w:tcBorders>
          </w:tcPr>
          <w:p w14:paraId="1623574C" w14:textId="0C347EA6" w:rsidR="00987863" w:rsidRPr="00AC6E74" w:rsidRDefault="00987863" w:rsidP="00987863">
            <w:proofErr w:type="spellStart"/>
            <w:r w:rsidRPr="00AC6E74">
              <w:rPr>
                <w:color w:val="000000"/>
              </w:rPr>
              <w:t>T</w:t>
            </w:r>
            <w:r w:rsidRPr="00AC6E74">
              <w:rPr>
                <w:color w:val="000000"/>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4D8CBC9" w14:textId="54EB5B94" w:rsidR="00987863" w:rsidRPr="00AC6E74" w:rsidRDefault="00987863" w:rsidP="00987863">
            <w:r w:rsidRPr="00AC6E74">
              <w:rPr>
                <w:color w:val="000000"/>
              </w:rPr>
              <w:t>Time after administration of a drug when the maximum plasma concentration is reached</w:t>
            </w:r>
          </w:p>
        </w:tc>
      </w:tr>
      <w:bookmarkEnd w:id="7"/>
    </w:tbl>
    <w:p w14:paraId="51A91F8A" w14:textId="77777777" w:rsidR="00FD119B" w:rsidRPr="00AC6E74" w:rsidRDefault="00FD119B" w:rsidP="00FD119B">
      <w:pPr>
        <w:spacing w:before="0" w:after="200" w:line="0" w:lineRule="auto"/>
        <w:rPr>
          <w:b/>
          <w:i/>
          <w:sz w:val="24"/>
          <w:szCs w:val="24"/>
        </w:rPr>
      </w:pPr>
      <w:r w:rsidRPr="00AC6E74">
        <w:rPr>
          <w:b/>
          <w:i/>
          <w:sz w:val="24"/>
          <w:szCs w:val="24"/>
        </w:rPr>
        <w:br w:type="page"/>
      </w:r>
    </w:p>
    <w:p w14:paraId="6B8E9A13" w14:textId="77777777" w:rsidR="008E7846" w:rsidRPr="00AC6E74" w:rsidRDefault="009F2673" w:rsidP="008E7846">
      <w:pPr>
        <w:pStyle w:val="Heading2"/>
      </w:pPr>
      <w:bookmarkStart w:id="9" w:name="_Toc136358053"/>
      <w:r w:rsidRPr="00AC6E74">
        <w:lastRenderedPageBreak/>
        <w:t>Pr</w:t>
      </w:r>
      <w:r w:rsidR="008E7846" w:rsidRPr="00AC6E74">
        <w:t>oduct submission</w:t>
      </w:r>
      <w:bookmarkEnd w:id="9"/>
      <w:bookmarkEnd w:id="2"/>
      <w:bookmarkEnd w:id="4"/>
    </w:p>
    <w:p w14:paraId="66C0A9DF" w14:textId="77777777" w:rsidR="008E7846" w:rsidRPr="00AC6E74" w:rsidRDefault="008E7846" w:rsidP="009E5A87">
      <w:pPr>
        <w:pStyle w:val="Heading3"/>
        <w:rPr>
          <w:lang w:eastAsia="en-AU"/>
        </w:rPr>
      </w:pPr>
      <w:bookmarkStart w:id="10" w:name="_Toc247691502"/>
      <w:bookmarkStart w:id="11" w:name="_Toc314842483"/>
      <w:bookmarkStart w:id="12" w:name="_Toc136358054"/>
      <w:r w:rsidRPr="00AC6E74">
        <w:rPr>
          <w:lang w:eastAsia="en-AU"/>
        </w:rPr>
        <w:t>Submission details</w:t>
      </w:r>
      <w:bookmarkEnd w:id="10"/>
      <w:bookmarkEnd w:id="11"/>
      <w:bookmarkEnd w:id="12"/>
    </w:p>
    <w:tbl>
      <w:tblPr>
        <w:tblW w:w="5000" w:type="pct"/>
        <w:tblLook w:val="01E0" w:firstRow="1" w:lastRow="1" w:firstColumn="1" w:lastColumn="1" w:noHBand="0" w:noVBand="0"/>
      </w:tblPr>
      <w:tblGrid>
        <w:gridCol w:w="2682"/>
        <w:gridCol w:w="5822"/>
      </w:tblGrid>
      <w:tr w:rsidR="009F2673" w:rsidRPr="00AC6E74" w14:paraId="3313B239" w14:textId="77777777" w:rsidTr="00FA7B45">
        <w:tc>
          <w:tcPr>
            <w:tcW w:w="1577" w:type="pct"/>
          </w:tcPr>
          <w:p w14:paraId="0841C474" w14:textId="77777777" w:rsidR="009F2673" w:rsidRPr="00AC6E74" w:rsidRDefault="009F2673" w:rsidP="009E5A87">
            <w:pPr>
              <w:rPr>
                <w:i/>
              </w:rPr>
            </w:pPr>
            <w:r w:rsidRPr="00AC6E74">
              <w:rPr>
                <w:i/>
              </w:rPr>
              <w:t>Type of submission:</w:t>
            </w:r>
          </w:p>
        </w:tc>
        <w:tc>
          <w:tcPr>
            <w:tcW w:w="3423" w:type="pct"/>
          </w:tcPr>
          <w:p w14:paraId="5E1A53F4" w14:textId="1C8A24DD" w:rsidR="009F2673" w:rsidRPr="00AC6E74" w:rsidRDefault="009F2673" w:rsidP="009E5A87">
            <w:bookmarkStart w:id="13" w:name="_Hlk137030031"/>
            <w:r w:rsidRPr="00AC6E74">
              <w:t>New chemical entity</w:t>
            </w:r>
            <w:bookmarkEnd w:id="13"/>
          </w:p>
        </w:tc>
      </w:tr>
      <w:tr w:rsidR="009F2673" w:rsidRPr="00AC6E74" w14:paraId="6CDD139C" w14:textId="77777777" w:rsidTr="00FA7B45">
        <w:tc>
          <w:tcPr>
            <w:tcW w:w="1577" w:type="pct"/>
          </w:tcPr>
          <w:p w14:paraId="15A914D8" w14:textId="2F8A1D27" w:rsidR="009F2673" w:rsidRPr="00AC6E74" w:rsidRDefault="009F2673" w:rsidP="009E5A87">
            <w:pPr>
              <w:rPr>
                <w:i/>
              </w:rPr>
            </w:pPr>
            <w:r w:rsidRPr="00AC6E74">
              <w:rPr>
                <w:i/>
              </w:rPr>
              <w:t>Product name:</w:t>
            </w:r>
          </w:p>
        </w:tc>
        <w:tc>
          <w:tcPr>
            <w:tcW w:w="3423" w:type="pct"/>
          </w:tcPr>
          <w:p w14:paraId="129157AC" w14:textId="1CD79838" w:rsidR="009F2673" w:rsidRPr="00AC6E74" w:rsidRDefault="00FA7B45" w:rsidP="009E5A87">
            <w:r w:rsidRPr="00AC6E74">
              <w:t>Lumakras</w:t>
            </w:r>
          </w:p>
        </w:tc>
      </w:tr>
      <w:tr w:rsidR="009F2673" w:rsidRPr="00AC6E74" w14:paraId="424330D5" w14:textId="77777777" w:rsidTr="00FA7B45">
        <w:tc>
          <w:tcPr>
            <w:tcW w:w="1577" w:type="pct"/>
          </w:tcPr>
          <w:p w14:paraId="7846355D" w14:textId="0A90C30A" w:rsidR="009F2673" w:rsidRPr="00AC6E74" w:rsidRDefault="009F2673" w:rsidP="009E5A87">
            <w:pPr>
              <w:rPr>
                <w:i/>
              </w:rPr>
            </w:pPr>
            <w:r w:rsidRPr="00AC6E74">
              <w:rPr>
                <w:i/>
              </w:rPr>
              <w:t>Active ingredient:</w:t>
            </w:r>
          </w:p>
        </w:tc>
        <w:tc>
          <w:tcPr>
            <w:tcW w:w="3423" w:type="pct"/>
          </w:tcPr>
          <w:p w14:paraId="387A2DFE" w14:textId="5FC2394C" w:rsidR="009F2673" w:rsidRPr="00AC6E74" w:rsidRDefault="00FA7B45" w:rsidP="009E5A87">
            <w:r w:rsidRPr="00AC6E74">
              <w:t>Sotorasib</w:t>
            </w:r>
          </w:p>
        </w:tc>
      </w:tr>
      <w:tr w:rsidR="009F2673" w:rsidRPr="00AC6E74" w14:paraId="3616C1B1" w14:textId="77777777" w:rsidTr="00FA7B45">
        <w:tc>
          <w:tcPr>
            <w:tcW w:w="1577" w:type="pct"/>
          </w:tcPr>
          <w:p w14:paraId="26B520C4" w14:textId="77777777" w:rsidR="009F2673" w:rsidRPr="00AC6E74" w:rsidRDefault="009F2673" w:rsidP="009E5A87">
            <w:pPr>
              <w:rPr>
                <w:i/>
              </w:rPr>
            </w:pPr>
            <w:r w:rsidRPr="00AC6E74">
              <w:rPr>
                <w:i/>
              </w:rPr>
              <w:t>Decision:</w:t>
            </w:r>
          </w:p>
        </w:tc>
        <w:tc>
          <w:tcPr>
            <w:tcW w:w="3423" w:type="pct"/>
          </w:tcPr>
          <w:p w14:paraId="0DB6BA53" w14:textId="5BCF38AA" w:rsidR="009F2673" w:rsidRPr="00AC6E74" w:rsidRDefault="009F2673" w:rsidP="009E5A87">
            <w:bookmarkStart w:id="14" w:name="_Hlk137030045"/>
            <w:r w:rsidRPr="00AC6E74">
              <w:t>Approved for provisional registration</w:t>
            </w:r>
            <w:bookmarkEnd w:id="14"/>
          </w:p>
        </w:tc>
      </w:tr>
      <w:tr w:rsidR="009F2673" w:rsidRPr="00AC6E74" w14:paraId="75360063" w14:textId="77777777" w:rsidTr="00FA7B45">
        <w:tc>
          <w:tcPr>
            <w:tcW w:w="1577" w:type="pct"/>
          </w:tcPr>
          <w:p w14:paraId="22117E57" w14:textId="77777777" w:rsidR="009F2673" w:rsidRPr="00AC6E74" w:rsidRDefault="009F2673" w:rsidP="009E5A87">
            <w:pPr>
              <w:rPr>
                <w:i/>
              </w:rPr>
            </w:pPr>
            <w:r w:rsidRPr="00AC6E74">
              <w:rPr>
                <w:i/>
              </w:rPr>
              <w:t>Date of decision:</w:t>
            </w:r>
          </w:p>
        </w:tc>
        <w:tc>
          <w:tcPr>
            <w:tcW w:w="3423" w:type="pct"/>
          </w:tcPr>
          <w:p w14:paraId="14289DAF" w14:textId="4AA5172A" w:rsidR="009F2673" w:rsidRPr="00AC6E74" w:rsidRDefault="00162AE3" w:rsidP="009E5A87">
            <w:r w:rsidRPr="00AC6E74">
              <w:t>28 March 2022</w:t>
            </w:r>
          </w:p>
        </w:tc>
      </w:tr>
      <w:tr w:rsidR="009F2673" w:rsidRPr="00AC6E74" w14:paraId="784F6DD5" w14:textId="77777777" w:rsidTr="00FA7B45">
        <w:tc>
          <w:tcPr>
            <w:tcW w:w="1577" w:type="pct"/>
          </w:tcPr>
          <w:p w14:paraId="33B9D08C" w14:textId="77777777" w:rsidR="009F2673" w:rsidRPr="00AC6E74" w:rsidRDefault="009F2673" w:rsidP="009E5A87">
            <w:pPr>
              <w:rPr>
                <w:i/>
              </w:rPr>
            </w:pPr>
            <w:r w:rsidRPr="00AC6E74">
              <w:rPr>
                <w:i/>
              </w:rPr>
              <w:t>Date of entry onto ARTG:</w:t>
            </w:r>
          </w:p>
        </w:tc>
        <w:tc>
          <w:tcPr>
            <w:tcW w:w="3423" w:type="pct"/>
          </w:tcPr>
          <w:p w14:paraId="7A826AFD" w14:textId="32F3F501" w:rsidR="009F2673" w:rsidRPr="00AC6E74" w:rsidRDefault="00162AE3" w:rsidP="009E5A87">
            <w:r w:rsidRPr="00AC6E74">
              <w:t>30 March 2022</w:t>
            </w:r>
          </w:p>
        </w:tc>
      </w:tr>
      <w:tr w:rsidR="009F2673" w:rsidRPr="00AC6E74" w14:paraId="5C82E87B" w14:textId="77777777" w:rsidTr="00FA7B45">
        <w:tc>
          <w:tcPr>
            <w:tcW w:w="1577" w:type="pct"/>
          </w:tcPr>
          <w:p w14:paraId="1A358363" w14:textId="1346B5BD" w:rsidR="009F2673" w:rsidRPr="00AC6E74" w:rsidRDefault="009F2673" w:rsidP="009E5A87">
            <w:pPr>
              <w:rPr>
                <w:i/>
              </w:rPr>
            </w:pPr>
            <w:r w:rsidRPr="00AC6E74">
              <w:rPr>
                <w:i/>
              </w:rPr>
              <w:t>ARTG number:</w:t>
            </w:r>
          </w:p>
        </w:tc>
        <w:tc>
          <w:tcPr>
            <w:tcW w:w="3423" w:type="pct"/>
          </w:tcPr>
          <w:p w14:paraId="11FE1BF3" w14:textId="0FC112F8" w:rsidR="009F2673" w:rsidRPr="00AC6E74" w:rsidRDefault="00162AE3" w:rsidP="009E5A87">
            <w:r w:rsidRPr="00AC6E74">
              <w:t>353210</w:t>
            </w:r>
          </w:p>
        </w:tc>
      </w:tr>
      <w:tr w:rsidR="009F2673" w:rsidRPr="00AC6E74" w14:paraId="67E59854" w14:textId="77777777" w:rsidTr="00FA7B45">
        <w:tc>
          <w:tcPr>
            <w:tcW w:w="1577" w:type="pct"/>
          </w:tcPr>
          <w:p w14:paraId="251DA129" w14:textId="7518136F" w:rsidR="009F2673" w:rsidRPr="00AC6E74" w:rsidRDefault="001B1DA4" w:rsidP="009E5A87">
            <w:pPr>
              <w:rPr>
                <w:i/>
              </w:rPr>
            </w:pPr>
            <w:r w:rsidRPr="00AC6E74">
              <w:rPr>
                <w:rFonts w:ascii="Wingdings 3" w:hAnsi="Wingdings 3"/>
                <w:sz w:val="34"/>
                <w:szCs w:val="34"/>
                <w:lang w:eastAsia="en-AU"/>
              </w:rPr>
              <w:t></w:t>
            </w:r>
            <w:hyperlink r:id="rId14" w:history="1">
              <w:r w:rsidR="009F2673" w:rsidRPr="00AC6E74">
                <w:rPr>
                  <w:rStyle w:val="Hyperlink"/>
                  <w:i/>
                </w:rPr>
                <w:t>Black Triangle Scheme</w:t>
              </w:r>
            </w:hyperlink>
            <w:r w:rsidR="009F2673" w:rsidRPr="00AC6E74">
              <w:rPr>
                <w:i/>
              </w:rPr>
              <w:t>:</w:t>
            </w:r>
          </w:p>
        </w:tc>
        <w:tc>
          <w:tcPr>
            <w:tcW w:w="3423" w:type="pct"/>
          </w:tcPr>
          <w:p w14:paraId="7CBC59A3" w14:textId="68ED3015" w:rsidR="009F2673" w:rsidRPr="00AC6E74" w:rsidRDefault="009F2673" w:rsidP="009E5A87">
            <w:r w:rsidRPr="00AC6E74">
              <w:t>Yes</w:t>
            </w:r>
            <w:r w:rsidR="00162AE3" w:rsidRPr="00AC6E74">
              <w:t>.</w:t>
            </w:r>
          </w:p>
          <w:p w14:paraId="75DAD9E2" w14:textId="221D97BB" w:rsidR="009F2673" w:rsidRPr="00AC6E74" w:rsidRDefault="009F2673" w:rsidP="009E5A87">
            <w:r w:rsidRPr="00AC6E74">
              <w:t>As a provisionally registered product, this medicine will remain in the Black Triangle Scheme for the duration of its provisional registration</w:t>
            </w:r>
          </w:p>
        </w:tc>
      </w:tr>
      <w:tr w:rsidR="009F2673" w:rsidRPr="00AC6E74" w14:paraId="0DFE4D2C" w14:textId="77777777" w:rsidTr="00FA7B45">
        <w:tc>
          <w:tcPr>
            <w:tcW w:w="1577" w:type="pct"/>
          </w:tcPr>
          <w:p w14:paraId="6E11B7A3" w14:textId="77777777" w:rsidR="009F2673" w:rsidRPr="00AC6E74" w:rsidRDefault="009F2673" w:rsidP="009E5A87">
            <w:pPr>
              <w:rPr>
                <w:i/>
              </w:rPr>
            </w:pPr>
            <w:r w:rsidRPr="00AC6E74">
              <w:rPr>
                <w:i/>
              </w:rPr>
              <w:t>Sponsor’s name and address:</w:t>
            </w:r>
          </w:p>
        </w:tc>
        <w:tc>
          <w:tcPr>
            <w:tcW w:w="3423" w:type="pct"/>
          </w:tcPr>
          <w:p w14:paraId="4FC689CC" w14:textId="77777777" w:rsidR="009F2673" w:rsidRPr="00AC6E74" w:rsidRDefault="00FA7B45" w:rsidP="009E5A87">
            <w:r w:rsidRPr="00AC6E74">
              <w:t>Amgen Australia Pty Ltd</w:t>
            </w:r>
          </w:p>
          <w:p w14:paraId="1475B37D" w14:textId="77777777" w:rsidR="00162AE3" w:rsidRPr="00AC6E74" w:rsidRDefault="00162AE3" w:rsidP="00162AE3">
            <w:r w:rsidRPr="00AC6E74">
              <w:t>Level 11, 10 Carrington Street</w:t>
            </w:r>
          </w:p>
          <w:p w14:paraId="38BEE259" w14:textId="02738A92" w:rsidR="00162AE3" w:rsidRPr="00AC6E74" w:rsidRDefault="00162AE3" w:rsidP="00162AE3">
            <w:r w:rsidRPr="00AC6E74">
              <w:t>Sydney, NSW 2000</w:t>
            </w:r>
          </w:p>
        </w:tc>
      </w:tr>
      <w:tr w:rsidR="009F2673" w:rsidRPr="00AC6E74" w14:paraId="7C4796A4" w14:textId="77777777" w:rsidTr="00FA7B45">
        <w:tc>
          <w:tcPr>
            <w:tcW w:w="1577" w:type="pct"/>
          </w:tcPr>
          <w:p w14:paraId="6FE3467B" w14:textId="7E32668D" w:rsidR="009F2673" w:rsidRPr="00AC6E74" w:rsidRDefault="009F2673" w:rsidP="009E5A87">
            <w:pPr>
              <w:rPr>
                <w:i/>
              </w:rPr>
            </w:pPr>
            <w:r w:rsidRPr="00AC6E74">
              <w:rPr>
                <w:i/>
              </w:rPr>
              <w:t>Dose form:</w:t>
            </w:r>
          </w:p>
        </w:tc>
        <w:tc>
          <w:tcPr>
            <w:tcW w:w="3423" w:type="pct"/>
          </w:tcPr>
          <w:p w14:paraId="7D13D10B" w14:textId="7F514164" w:rsidR="009F2673" w:rsidRPr="00AC6E74" w:rsidRDefault="00162AE3" w:rsidP="009E5A87">
            <w:r w:rsidRPr="00AC6E74">
              <w:t>Film</w:t>
            </w:r>
            <w:r w:rsidR="00F108EA" w:rsidRPr="00AC6E74">
              <w:t xml:space="preserve"> </w:t>
            </w:r>
            <w:r w:rsidRPr="00AC6E74">
              <w:t>coated tablet</w:t>
            </w:r>
          </w:p>
        </w:tc>
      </w:tr>
      <w:tr w:rsidR="009F2673" w:rsidRPr="00AC6E74" w14:paraId="6B9BA6AF" w14:textId="77777777" w:rsidTr="00FA7B45">
        <w:tc>
          <w:tcPr>
            <w:tcW w:w="1577" w:type="pct"/>
          </w:tcPr>
          <w:p w14:paraId="616B1753" w14:textId="2A9EF1ED" w:rsidR="009F2673" w:rsidRPr="00AC6E74" w:rsidRDefault="009F2673" w:rsidP="009E5A87">
            <w:pPr>
              <w:rPr>
                <w:i/>
              </w:rPr>
            </w:pPr>
            <w:r w:rsidRPr="00AC6E74">
              <w:rPr>
                <w:i/>
              </w:rPr>
              <w:t>Strength:</w:t>
            </w:r>
          </w:p>
        </w:tc>
        <w:tc>
          <w:tcPr>
            <w:tcW w:w="3423" w:type="pct"/>
          </w:tcPr>
          <w:p w14:paraId="646AADD5" w14:textId="34814616" w:rsidR="009F2673" w:rsidRPr="00AC6E74" w:rsidRDefault="00162AE3" w:rsidP="009E5A87">
            <w:r w:rsidRPr="00AC6E74">
              <w:t>120 mg</w:t>
            </w:r>
          </w:p>
        </w:tc>
      </w:tr>
      <w:tr w:rsidR="009F2673" w:rsidRPr="00AC6E74" w14:paraId="00AD597B" w14:textId="77777777" w:rsidTr="00FA7B45">
        <w:tc>
          <w:tcPr>
            <w:tcW w:w="1577" w:type="pct"/>
          </w:tcPr>
          <w:p w14:paraId="4D566D67" w14:textId="34E31714" w:rsidR="009F2673" w:rsidRPr="00AC6E74" w:rsidRDefault="009F2673" w:rsidP="009E5A87">
            <w:pPr>
              <w:rPr>
                <w:i/>
              </w:rPr>
            </w:pPr>
            <w:r w:rsidRPr="00AC6E74">
              <w:rPr>
                <w:i/>
              </w:rPr>
              <w:t>Container:</w:t>
            </w:r>
          </w:p>
        </w:tc>
        <w:tc>
          <w:tcPr>
            <w:tcW w:w="3423" w:type="pct"/>
          </w:tcPr>
          <w:p w14:paraId="07AFDC91" w14:textId="78A5AF60" w:rsidR="009F2673" w:rsidRPr="00AC6E74" w:rsidRDefault="00162AE3" w:rsidP="009E5A87">
            <w:r w:rsidRPr="00AC6E74">
              <w:t>Blister pack</w:t>
            </w:r>
          </w:p>
        </w:tc>
      </w:tr>
      <w:tr w:rsidR="009F2673" w:rsidRPr="00AC6E74" w14:paraId="4C74B00A" w14:textId="77777777" w:rsidTr="00FA7B45">
        <w:tc>
          <w:tcPr>
            <w:tcW w:w="1577" w:type="pct"/>
          </w:tcPr>
          <w:p w14:paraId="154E7D02" w14:textId="511B761F" w:rsidR="009F2673" w:rsidRPr="00AC6E74" w:rsidRDefault="009F2673" w:rsidP="009E5A87">
            <w:pPr>
              <w:rPr>
                <w:i/>
              </w:rPr>
            </w:pPr>
            <w:r w:rsidRPr="00AC6E74">
              <w:rPr>
                <w:i/>
              </w:rPr>
              <w:t>Pack sizes:</w:t>
            </w:r>
          </w:p>
        </w:tc>
        <w:tc>
          <w:tcPr>
            <w:tcW w:w="3423" w:type="pct"/>
          </w:tcPr>
          <w:p w14:paraId="7F1E677A" w14:textId="6C06F46D" w:rsidR="009F2673" w:rsidRPr="00AC6E74" w:rsidRDefault="00162AE3" w:rsidP="009E5A87">
            <w:r w:rsidRPr="00AC6E74">
              <w:t>56 and 240</w:t>
            </w:r>
          </w:p>
        </w:tc>
      </w:tr>
      <w:tr w:rsidR="009F2673" w:rsidRPr="00AC6E74" w14:paraId="0C347AA1" w14:textId="77777777" w:rsidTr="00FA7B45">
        <w:tc>
          <w:tcPr>
            <w:tcW w:w="1577" w:type="pct"/>
          </w:tcPr>
          <w:p w14:paraId="3392437B" w14:textId="77777777" w:rsidR="009F2673" w:rsidRPr="00AC6E74" w:rsidRDefault="009F2673" w:rsidP="009E5A87">
            <w:pPr>
              <w:rPr>
                <w:i/>
              </w:rPr>
            </w:pPr>
            <w:r w:rsidRPr="00AC6E74">
              <w:rPr>
                <w:i/>
              </w:rPr>
              <w:t>Approved therapeutic use:</w:t>
            </w:r>
          </w:p>
        </w:tc>
        <w:tc>
          <w:tcPr>
            <w:tcW w:w="3423" w:type="pct"/>
          </w:tcPr>
          <w:p w14:paraId="4942B15B" w14:textId="57DA6CAD" w:rsidR="001E0F3E" w:rsidRPr="00AC6E74" w:rsidRDefault="00F108EA" w:rsidP="001E0F3E">
            <w:pPr>
              <w:rPr>
                <w:i/>
                <w:iCs/>
              </w:rPr>
            </w:pPr>
            <w:r w:rsidRPr="00AC6E74">
              <w:rPr>
                <w:i/>
                <w:iCs/>
              </w:rPr>
              <w:t>Lumakras</w:t>
            </w:r>
            <w:r w:rsidR="001E0F3E" w:rsidRPr="00AC6E74">
              <w:rPr>
                <w:i/>
                <w:iCs/>
              </w:rPr>
              <w:t xml:space="preserve"> has provisional approval in Australia for the treatment of adult patients with KRAS</w:t>
            </w:r>
            <w:r w:rsidR="008408C3" w:rsidRPr="00AC6E74">
              <w:rPr>
                <w:i/>
                <w:iCs/>
              </w:rPr>
              <w:t xml:space="preserve"> </w:t>
            </w:r>
            <w:r w:rsidR="001E0F3E" w:rsidRPr="00AC6E74">
              <w:rPr>
                <w:i/>
                <w:iCs/>
              </w:rPr>
              <w:t>G12C-mutated locally advanced or metastatic non-small cell lung cancer (NSCLC) who have received at least one prior systemic therapy for advanced disease.</w:t>
            </w:r>
          </w:p>
          <w:p w14:paraId="0D3382FA" w14:textId="172BED98" w:rsidR="009F2673" w:rsidRPr="00AC6E74" w:rsidRDefault="001E0F3E" w:rsidP="001E0F3E">
            <w:r w:rsidRPr="00AC6E74">
              <w:rPr>
                <w:i/>
                <w:iCs/>
              </w:rPr>
              <w:t xml:space="preserve">The decision to approve this indication has been made </w:t>
            </w:r>
            <w:proofErr w:type="gramStart"/>
            <w:r w:rsidRPr="00AC6E74">
              <w:rPr>
                <w:i/>
                <w:iCs/>
              </w:rPr>
              <w:t>on the basis of</w:t>
            </w:r>
            <w:proofErr w:type="gramEnd"/>
            <w:r w:rsidRPr="00AC6E74">
              <w:rPr>
                <w:i/>
                <w:iCs/>
              </w:rPr>
              <w:t xml:space="preserve"> the objective response rate (ORR) and the duration of response (DOR). Continued approval of this indication depends on the verification and description of benefit in confirmatory trials.</w:t>
            </w:r>
          </w:p>
        </w:tc>
      </w:tr>
      <w:tr w:rsidR="009F2673" w:rsidRPr="00AC6E74" w14:paraId="1307ED83" w14:textId="77777777" w:rsidTr="00FA7B45">
        <w:tc>
          <w:tcPr>
            <w:tcW w:w="1577" w:type="pct"/>
          </w:tcPr>
          <w:p w14:paraId="545122BE" w14:textId="0CA82CF8" w:rsidR="009F2673" w:rsidRPr="00AC6E74" w:rsidRDefault="009F2673" w:rsidP="009E5A87">
            <w:pPr>
              <w:rPr>
                <w:i/>
              </w:rPr>
            </w:pPr>
            <w:r w:rsidRPr="00AC6E74">
              <w:rPr>
                <w:i/>
              </w:rPr>
              <w:t>Route of administration:</w:t>
            </w:r>
          </w:p>
        </w:tc>
        <w:tc>
          <w:tcPr>
            <w:tcW w:w="3423" w:type="pct"/>
          </w:tcPr>
          <w:p w14:paraId="47AEABF7" w14:textId="36EC8B16" w:rsidR="009F2673" w:rsidRPr="00AC6E74" w:rsidRDefault="00162AE3" w:rsidP="009E5A87">
            <w:r w:rsidRPr="00AC6E74">
              <w:t>Oral</w:t>
            </w:r>
          </w:p>
        </w:tc>
      </w:tr>
      <w:tr w:rsidR="009F2673" w:rsidRPr="00AC6E74" w14:paraId="376F26BA" w14:textId="77777777" w:rsidTr="00FA7B45">
        <w:tc>
          <w:tcPr>
            <w:tcW w:w="1577" w:type="pct"/>
          </w:tcPr>
          <w:p w14:paraId="322F78B5" w14:textId="77777777" w:rsidR="009F2673" w:rsidRPr="00AC6E74" w:rsidRDefault="009F2673" w:rsidP="009E5A87">
            <w:pPr>
              <w:rPr>
                <w:i/>
              </w:rPr>
            </w:pPr>
            <w:r w:rsidRPr="00AC6E74">
              <w:rPr>
                <w:i/>
              </w:rPr>
              <w:t>Dosage:</w:t>
            </w:r>
          </w:p>
        </w:tc>
        <w:tc>
          <w:tcPr>
            <w:tcW w:w="3423" w:type="pct"/>
          </w:tcPr>
          <w:p w14:paraId="770A40F1" w14:textId="4C88DA15" w:rsidR="001E0F3E" w:rsidRPr="00AC6E74" w:rsidRDefault="00D6575F" w:rsidP="001E0F3E">
            <w:r>
              <w:t>T</w:t>
            </w:r>
            <w:r w:rsidR="001E0F3E" w:rsidRPr="00AC6E74">
              <w:t xml:space="preserve">he presence of a </w:t>
            </w:r>
            <w:r w:rsidR="00EB463D" w:rsidRPr="00AC6E74">
              <w:rPr>
                <w:i/>
                <w:iCs/>
              </w:rPr>
              <w:t>KRAS G12C</w:t>
            </w:r>
            <w:r w:rsidR="001E0F3E" w:rsidRPr="00AC6E74">
              <w:t xml:space="preserve"> mutation using a validated test </w:t>
            </w:r>
            <w:r>
              <w:t xml:space="preserve">should be confirmed </w:t>
            </w:r>
            <w:r w:rsidR="001E0F3E" w:rsidRPr="00AC6E74">
              <w:t xml:space="preserve">prior to initiation of </w:t>
            </w:r>
            <w:r w:rsidR="00F108EA" w:rsidRPr="00AC6E74">
              <w:t>Lumakras</w:t>
            </w:r>
            <w:r w:rsidR="00CC340F">
              <w:t xml:space="preserve"> treatment</w:t>
            </w:r>
            <w:r w:rsidR="001E0F3E" w:rsidRPr="00AC6E74">
              <w:t>.</w:t>
            </w:r>
          </w:p>
          <w:p w14:paraId="0BC4832A" w14:textId="43ECE515" w:rsidR="001E0F3E" w:rsidRPr="00AC6E74" w:rsidRDefault="001E0F3E" w:rsidP="001E0F3E">
            <w:r w:rsidRPr="00AC6E74">
              <w:lastRenderedPageBreak/>
              <w:t xml:space="preserve">The recommended dose of </w:t>
            </w:r>
            <w:r w:rsidR="00F108EA" w:rsidRPr="00AC6E74">
              <w:t>Lumakras</w:t>
            </w:r>
            <w:r w:rsidRPr="00AC6E74">
              <w:t xml:space="preserve"> is 960 mg (as eight 120</w:t>
            </w:r>
            <w:r w:rsidR="00F108EA" w:rsidRPr="00AC6E74">
              <w:t> </w:t>
            </w:r>
            <w:r w:rsidRPr="00AC6E74">
              <w:t>mg tablets) orally once daily until disease progression or unacceptable toxicity (see Table 2</w:t>
            </w:r>
            <w:r w:rsidR="00F108EA" w:rsidRPr="00AC6E74">
              <w:t xml:space="preserve"> of the Product Information</w:t>
            </w:r>
            <w:r w:rsidRPr="00AC6E74">
              <w:t>).</w:t>
            </w:r>
          </w:p>
          <w:p w14:paraId="0CE89FDA" w14:textId="55AC6B60" w:rsidR="001E0F3E" w:rsidRPr="00AC6E74" w:rsidRDefault="001E0F3E" w:rsidP="001E0F3E">
            <w:r w:rsidRPr="00AC6E74">
              <w:t xml:space="preserve">Take </w:t>
            </w:r>
            <w:r w:rsidR="00F108EA" w:rsidRPr="00AC6E74">
              <w:t>Lumakras</w:t>
            </w:r>
            <w:r w:rsidRPr="00AC6E74">
              <w:t xml:space="preserve"> at the same time each day with or without food. Swallow tablets whole. Do not chew, crush, or split tablets.</w:t>
            </w:r>
          </w:p>
          <w:p w14:paraId="53492D82" w14:textId="333AF03B" w:rsidR="001E0F3E" w:rsidRPr="00AC6E74" w:rsidRDefault="001E0F3E" w:rsidP="001E0F3E">
            <w:r w:rsidRPr="00AC6E74">
              <w:t xml:space="preserve">If a dose of </w:t>
            </w:r>
            <w:r w:rsidR="00F108EA" w:rsidRPr="00AC6E74">
              <w:t>Lumakras</w:t>
            </w:r>
            <w:r w:rsidRPr="00AC6E74">
              <w:t xml:space="preserve"> is missed, do not take the dose if 6</w:t>
            </w:r>
            <w:r w:rsidR="00C568D6" w:rsidRPr="00AC6E74">
              <w:t> </w:t>
            </w:r>
            <w:r w:rsidRPr="00AC6E74">
              <w:t>hours or more have passed from the scheduled time of dosing. Resume treatment as prescribed the next day.</w:t>
            </w:r>
          </w:p>
          <w:p w14:paraId="586F76B1" w14:textId="2C0FA10D" w:rsidR="001E0F3E" w:rsidRPr="00AC6E74" w:rsidRDefault="001E0F3E" w:rsidP="001E0F3E">
            <w:r w:rsidRPr="00AC6E74">
              <w:t xml:space="preserve">Do not take an additional dose if vomiting occurs after taking </w:t>
            </w:r>
            <w:r w:rsidR="00F108EA" w:rsidRPr="00AC6E74">
              <w:t>Lumakras</w:t>
            </w:r>
            <w:r w:rsidRPr="00AC6E74">
              <w:t>. Resume treatment as prescribed the next day.</w:t>
            </w:r>
          </w:p>
          <w:p w14:paraId="601241B2" w14:textId="77777777" w:rsidR="009F2673" w:rsidRPr="00AC6E74" w:rsidRDefault="009F2673" w:rsidP="009E5A87">
            <w:r w:rsidRPr="00AC6E74">
              <w:t>For further information regarding dosage, refer to the Product Information.</w:t>
            </w:r>
          </w:p>
        </w:tc>
      </w:tr>
      <w:tr w:rsidR="009F2673" w:rsidRPr="00AC6E74" w14:paraId="3A7701A0" w14:textId="77777777" w:rsidTr="00FA7B45">
        <w:tc>
          <w:tcPr>
            <w:tcW w:w="1577" w:type="pct"/>
          </w:tcPr>
          <w:p w14:paraId="3E2D77F9" w14:textId="77777777" w:rsidR="009F2673" w:rsidRPr="00AC6E74" w:rsidRDefault="009F2673" w:rsidP="009E5A87">
            <w:pPr>
              <w:rPr>
                <w:i/>
              </w:rPr>
            </w:pPr>
            <w:r w:rsidRPr="00AC6E74">
              <w:rPr>
                <w:i/>
              </w:rPr>
              <w:lastRenderedPageBreak/>
              <w:t>Pregnancy category:</w:t>
            </w:r>
          </w:p>
        </w:tc>
        <w:tc>
          <w:tcPr>
            <w:tcW w:w="3423" w:type="pct"/>
          </w:tcPr>
          <w:p w14:paraId="1E844D62" w14:textId="7AE98D04" w:rsidR="001E0F3E" w:rsidRPr="00AC6E74" w:rsidRDefault="001E0F3E" w:rsidP="001E0F3E">
            <w:r w:rsidRPr="00AC6E74">
              <w:t>B3</w:t>
            </w:r>
          </w:p>
          <w:p w14:paraId="754A4199" w14:textId="77777777" w:rsidR="001E0F3E" w:rsidRPr="00AC6E74" w:rsidRDefault="001E0F3E" w:rsidP="001E0F3E">
            <w:r w:rsidRPr="00AC6E74">
              <w:t xml:space="preserve">Drugs which have been taken by only a limited number of pregnant women and women of childbearing age, without an increase in the frequency of malformation or other direct or indirect harmful effects on the human </w:t>
            </w:r>
            <w:proofErr w:type="spellStart"/>
            <w:r w:rsidRPr="00AC6E74">
              <w:t>fetus</w:t>
            </w:r>
            <w:proofErr w:type="spellEnd"/>
            <w:r w:rsidRPr="00AC6E74">
              <w:t xml:space="preserve"> having been observed.</w:t>
            </w:r>
          </w:p>
          <w:p w14:paraId="6CD3C7CA" w14:textId="4913C68E" w:rsidR="001E0F3E" w:rsidRPr="00AC6E74" w:rsidRDefault="001E0F3E" w:rsidP="001E0F3E">
            <w:r w:rsidRPr="00AC6E74">
              <w:t>Studies in animals have shown evidence of an increased occurrence of fetal damage, the significance of which is considered uncertain in humans.</w:t>
            </w:r>
          </w:p>
          <w:p w14:paraId="3B4E0087" w14:textId="775B29BC" w:rsidR="009F2673" w:rsidRPr="00AC6E74" w:rsidRDefault="009F2673" w:rsidP="009E5A87">
            <w:r w:rsidRPr="00AC6E74">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2863504" w14:textId="77777777" w:rsidR="008E7846" w:rsidRPr="00AC6E74" w:rsidRDefault="008E7846" w:rsidP="008E7846">
      <w:pPr>
        <w:pStyle w:val="Heading3"/>
      </w:pPr>
      <w:bookmarkStart w:id="15" w:name="_Toc247691503"/>
      <w:bookmarkStart w:id="16" w:name="_Toc314842484"/>
      <w:bookmarkStart w:id="17" w:name="_Toc136358055"/>
      <w:r w:rsidRPr="00AC6E74">
        <w:t>Product background</w:t>
      </w:r>
      <w:bookmarkEnd w:id="15"/>
      <w:bookmarkEnd w:id="16"/>
      <w:bookmarkEnd w:id="17"/>
    </w:p>
    <w:p w14:paraId="71AC7E6A" w14:textId="39232614" w:rsidR="009F2673" w:rsidRPr="00AC6E74" w:rsidRDefault="009F2673" w:rsidP="009F2673">
      <w:r w:rsidRPr="00AC6E74">
        <w:t xml:space="preserve">This AusPAR describes the </w:t>
      </w:r>
      <w:r w:rsidR="001E359E" w:rsidRPr="00AC6E74">
        <w:t>submission</w:t>
      </w:r>
      <w:r w:rsidRPr="00AC6E74">
        <w:t xml:space="preserve"> by </w:t>
      </w:r>
      <w:r w:rsidR="00FA7B45" w:rsidRPr="00AC6E74">
        <w:t>Amgen Australia Pty Ltd</w:t>
      </w:r>
      <w:r w:rsidRPr="00AC6E74">
        <w:t xml:space="preserve"> (the sponsor) to register </w:t>
      </w:r>
      <w:r w:rsidR="00FA7B45" w:rsidRPr="00AC6E74">
        <w:t xml:space="preserve">Lumakras </w:t>
      </w:r>
      <w:r w:rsidRPr="00AC6E74">
        <w:t>(</w:t>
      </w:r>
      <w:proofErr w:type="spellStart"/>
      <w:r w:rsidR="00FA7B45" w:rsidRPr="00AC6E74">
        <w:t>sotorasib</w:t>
      </w:r>
      <w:proofErr w:type="spellEnd"/>
      <w:r w:rsidRPr="00AC6E74">
        <w:t xml:space="preserve">) </w:t>
      </w:r>
      <w:r w:rsidR="00162AE3" w:rsidRPr="00AC6E74">
        <w:t>120 mg</w:t>
      </w:r>
      <w:r w:rsidRPr="00AC6E74">
        <w:t xml:space="preserve"> </w:t>
      </w:r>
      <w:r w:rsidR="00162AE3" w:rsidRPr="00AC6E74">
        <w:t>film coated tablet</w:t>
      </w:r>
      <w:r w:rsidR="00CC340F">
        <w:t>s</w:t>
      </w:r>
      <w:r w:rsidR="00162AE3" w:rsidRPr="00AC6E74">
        <w:t>, blister pack</w:t>
      </w:r>
      <w:r w:rsidRPr="00AC6E74">
        <w:t xml:space="preserve"> for the following proposed indication:</w:t>
      </w:r>
    </w:p>
    <w:p w14:paraId="7A376FBF" w14:textId="718814AB" w:rsidR="00162AE3" w:rsidRPr="00AC6E74" w:rsidRDefault="00162AE3" w:rsidP="00162AE3">
      <w:pPr>
        <w:ind w:left="720"/>
        <w:rPr>
          <w:i/>
          <w:iCs/>
        </w:rPr>
      </w:pPr>
      <w:r w:rsidRPr="00AC6E74">
        <w:rPr>
          <w:i/>
          <w:iCs/>
        </w:rPr>
        <w:t>The treatment of patients with previously treated KRAS</w:t>
      </w:r>
      <w:r w:rsidR="008408C3" w:rsidRPr="00AC6E74">
        <w:rPr>
          <w:i/>
          <w:iCs/>
        </w:rPr>
        <w:t xml:space="preserve"> </w:t>
      </w:r>
      <w:r w:rsidRPr="00AC6E74">
        <w:rPr>
          <w:i/>
          <w:iCs/>
        </w:rPr>
        <w:t>G12C-mutated locally advanced or metastatic non-small cell lung cancer (NSCLC).</w:t>
      </w:r>
    </w:p>
    <w:p w14:paraId="3277C7D2" w14:textId="1478ADED" w:rsidR="00EB5910" w:rsidRPr="00AC6E74" w:rsidRDefault="00EB5910" w:rsidP="00EB5910">
      <w:bookmarkStart w:id="18" w:name="_Toc314842485"/>
      <w:bookmarkStart w:id="19" w:name="_Toc247691504"/>
      <w:r w:rsidRPr="00AC6E74">
        <w:t>In 201</w:t>
      </w:r>
      <w:r w:rsidR="00230786" w:rsidRPr="00AC6E74">
        <w:t>8</w:t>
      </w:r>
      <w:r w:rsidRPr="00AC6E74">
        <w:t>, the age</w:t>
      </w:r>
      <w:r w:rsidR="00C568D6" w:rsidRPr="00AC6E74">
        <w:t xml:space="preserve"> </w:t>
      </w:r>
      <w:r w:rsidRPr="00AC6E74">
        <w:t>standardised incidence rate of lung cancer was 4</w:t>
      </w:r>
      <w:r w:rsidR="00230786" w:rsidRPr="00AC6E74">
        <w:t>4</w:t>
      </w:r>
      <w:r w:rsidRPr="00AC6E74">
        <w:t xml:space="preserve"> per 100,000 persons in Australia; it is estimated that there will be over </w:t>
      </w:r>
      <w:r w:rsidR="00230786" w:rsidRPr="00AC6E74">
        <w:t xml:space="preserve">14,500 </w:t>
      </w:r>
      <w:r w:rsidRPr="00AC6E74">
        <w:t>new diagnoses of lung cancer in 202</w:t>
      </w:r>
      <w:r w:rsidR="00230786" w:rsidRPr="00AC6E74">
        <w:t>2</w:t>
      </w:r>
      <w:r w:rsidRPr="00AC6E74">
        <w:t>.</w:t>
      </w:r>
      <w:r w:rsidR="002A2318" w:rsidRPr="00AC6E74">
        <w:t xml:space="preserve"> </w:t>
      </w:r>
      <w:r w:rsidRPr="00AC6E74">
        <w:t>Lung cancer was the most common cause of cancer death in Australia in 20</w:t>
      </w:r>
      <w:r w:rsidR="00230786" w:rsidRPr="00AC6E74">
        <w:t>20</w:t>
      </w:r>
      <w:r w:rsidRPr="00AC6E74">
        <w:t xml:space="preserve"> with </w:t>
      </w:r>
      <w:r w:rsidR="00230786" w:rsidRPr="00AC6E74">
        <w:t xml:space="preserve">8,457 </w:t>
      </w:r>
      <w:r w:rsidRPr="00AC6E74">
        <w:t>deaths reported.</w:t>
      </w:r>
      <w:bookmarkStart w:id="20" w:name="_Ref130226730"/>
      <w:r w:rsidRPr="00AC6E74">
        <w:rPr>
          <w:vertAlign w:val="superscript"/>
        </w:rPr>
        <w:footnoteReference w:id="1"/>
      </w:r>
      <w:bookmarkEnd w:id="20"/>
      <w:r w:rsidRPr="00AC6E74">
        <w:t xml:space="preserve"> Although the five-year relative survival for lung cancer has </w:t>
      </w:r>
      <w:r w:rsidRPr="00AC6E74">
        <w:lastRenderedPageBreak/>
        <w:t xml:space="preserve">improved in recent years to </w:t>
      </w:r>
      <w:r w:rsidR="00230786" w:rsidRPr="00AC6E74">
        <w:t>22</w:t>
      </w:r>
      <w:r w:rsidRPr="00AC6E74">
        <w:t>%, the five-year survival for those with stage 4 disease</w:t>
      </w:r>
      <w:r w:rsidR="00DB11B7">
        <w:t>;</w:t>
      </w:r>
      <w:r w:rsidR="00CC340F">
        <w:rPr>
          <w:rStyle w:val="FootnoteReference"/>
        </w:rPr>
        <w:footnoteReference w:id="2"/>
      </w:r>
      <w:r w:rsidRPr="00AC6E74">
        <w:t xml:space="preserve"> remains poor at 3.2%.</w:t>
      </w:r>
      <w:bookmarkStart w:id="21" w:name="_Ref130226750"/>
      <w:r w:rsidRPr="00AC6E74">
        <w:rPr>
          <w:vertAlign w:val="superscript"/>
        </w:rPr>
        <w:footnoteReference w:id="3"/>
      </w:r>
      <w:bookmarkEnd w:id="21"/>
    </w:p>
    <w:p w14:paraId="38399C61" w14:textId="0D1D1BEF" w:rsidR="00EB5910" w:rsidRPr="00AC6E74" w:rsidRDefault="00EB5910" w:rsidP="00EB5910">
      <w:r w:rsidRPr="00AC6E74">
        <w:t>Non-small cell lung cancer (NSCLC) accounts for 80</w:t>
      </w:r>
      <w:r w:rsidR="00C568D6" w:rsidRPr="00AC6E74">
        <w:t xml:space="preserve">% to </w:t>
      </w:r>
      <w:r w:rsidRPr="00AC6E74">
        <w:t>90% of lung cancers.</w:t>
      </w:r>
      <w:r w:rsidR="002A2318" w:rsidRPr="00AC6E74">
        <w:t xml:space="preserve"> </w:t>
      </w:r>
      <w:r w:rsidRPr="00AC6E74">
        <w:t>Activating Kirsten rat sarcoma viral oncogene homologue (</w:t>
      </w:r>
      <w:r w:rsidRPr="00AC6E74">
        <w:rPr>
          <w:i/>
          <w:iCs/>
        </w:rPr>
        <w:t>KRAS</w:t>
      </w:r>
      <w:r w:rsidRPr="00AC6E74">
        <w:t>) mutations are found in approximately 25</w:t>
      </w:r>
      <w:r w:rsidR="00C568D6" w:rsidRPr="00AC6E74">
        <w:t xml:space="preserve">% to </w:t>
      </w:r>
      <w:r w:rsidRPr="00AC6E74">
        <w:t>30% of non-squamous cell NSCLCs, representing the most prevalent genomic driver event.</w:t>
      </w:r>
      <w:r w:rsidR="002A2318" w:rsidRPr="00AC6E74">
        <w:t xml:space="preserve"> </w:t>
      </w:r>
      <w:r w:rsidRPr="00AC6E74">
        <w:rPr>
          <w:i/>
          <w:iCs/>
        </w:rPr>
        <w:t>KRAS</w:t>
      </w:r>
      <w:r w:rsidRPr="00AC6E74">
        <w:t xml:space="preserve">-mutated NSCLC constitutes a molecularly diverse and clinically heterogeneous group, and standard treatment options in the advanced setting provide only modest clinical benefit. </w:t>
      </w:r>
      <w:r w:rsidR="00EB463D" w:rsidRPr="00AC6E74">
        <w:rPr>
          <w:i/>
          <w:iCs/>
        </w:rPr>
        <w:t>KRAS G12C</w:t>
      </w:r>
      <w:r w:rsidRPr="00AC6E74">
        <w:t xml:space="preserve"> is the most common of all </w:t>
      </w:r>
      <w:r w:rsidRPr="00AC6E74">
        <w:rPr>
          <w:i/>
          <w:iCs/>
        </w:rPr>
        <w:t>KRAS</w:t>
      </w:r>
      <w:r w:rsidRPr="00AC6E74">
        <w:t xml:space="preserve"> mutations (with glycine substitution by cysteine at codon 12), with a prevalence of approximately 13% in lung adenocarcinomas.</w:t>
      </w:r>
      <w:bookmarkStart w:id="22" w:name="_Ref130226981"/>
      <w:r w:rsidRPr="00AC6E74">
        <w:rPr>
          <w:vertAlign w:val="superscript"/>
        </w:rPr>
        <w:footnoteReference w:id="4"/>
      </w:r>
      <w:bookmarkEnd w:id="22"/>
      <w:r w:rsidRPr="00AC6E74">
        <w:rPr>
          <w:vertAlign w:val="superscript"/>
        </w:rPr>
        <w:t>,</w:t>
      </w:r>
      <w:bookmarkStart w:id="23" w:name="_Ref130226794"/>
      <w:r w:rsidRPr="00AC6E74">
        <w:rPr>
          <w:vertAlign w:val="superscript"/>
        </w:rPr>
        <w:footnoteReference w:id="5"/>
      </w:r>
      <w:bookmarkEnd w:id="23"/>
    </w:p>
    <w:p w14:paraId="5F46F337" w14:textId="5F0F2517" w:rsidR="00EB5910" w:rsidRPr="00AC6E74" w:rsidRDefault="00EB5910" w:rsidP="00EB5910">
      <w:r w:rsidRPr="00AC6E74">
        <w:t xml:space="preserve">In recent years, improvements in systemic therapy for advanced </w:t>
      </w:r>
      <w:r w:rsidR="00581EEE" w:rsidRPr="00AC6E74">
        <w:t>NSCLC</w:t>
      </w:r>
      <w:r w:rsidRPr="00AC6E74">
        <w:t>, including checkpoint inhibitors with or without chemotherapy, and targeted therapies (for those with specific oncogenic driver mutations), have led to a significant reduction in mortality.</w:t>
      </w:r>
      <w:r w:rsidR="005E0735" w:rsidRPr="00AC6E74">
        <w:rPr>
          <w:vertAlign w:val="superscript"/>
        </w:rPr>
        <w:fldChar w:fldCharType="begin"/>
      </w:r>
      <w:r w:rsidR="005E0735" w:rsidRPr="00AC6E74">
        <w:rPr>
          <w:vertAlign w:val="superscript"/>
        </w:rPr>
        <w:instrText xml:space="preserve"> NOTEREF _Ref130226730 \h  \* MERGEFORMAT </w:instrText>
      </w:r>
      <w:r w:rsidR="005E0735" w:rsidRPr="00AC6E74">
        <w:rPr>
          <w:vertAlign w:val="superscript"/>
        </w:rPr>
      </w:r>
      <w:r w:rsidR="005E0735" w:rsidRPr="00AC6E74">
        <w:rPr>
          <w:vertAlign w:val="superscript"/>
        </w:rPr>
        <w:fldChar w:fldCharType="separate"/>
      </w:r>
      <w:r w:rsidR="009B21DC">
        <w:rPr>
          <w:vertAlign w:val="superscript"/>
        </w:rPr>
        <w:t>1</w:t>
      </w:r>
      <w:r w:rsidR="005E0735" w:rsidRPr="00AC6E74">
        <w:rPr>
          <w:vertAlign w:val="superscript"/>
        </w:rPr>
        <w:fldChar w:fldCharType="end"/>
      </w:r>
      <w:r w:rsidR="005E0735" w:rsidRPr="00AC6E74">
        <w:rPr>
          <w:vertAlign w:val="superscript"/>
        </w:rPr>
        <w:t>,</w:t>
      </w:r>
      <w:r w:rsidR="005E0735" w:rsidRPr="00AC6E74">
        <w:rPr>
          <w:vertAlign w:val="superscript"/>
        </w:rPr>
        <w:fldChar w:fldCharType="begin"/>
      </w:r>
      <w:r w:rsidR="005E0735" w:rsidRPr="00AC6E74">
        <w:rPr>
          <w:vertAlign w:val="superscript"/>
        </w:rPr>
        <w:instrText xml:space="preserve"> NOTEREF _Ref130226750 \h  \* MERGEFORMAT </w:instrText>
      </w:r>
      <w:r w:rsidR="005E0735" w:rsidRPr="00AC6E74">
        <w:rPr>
          <w:vertAlign w:val="superscript"/>
        </w:rPr>
      </w:r>
      <w:r w:rsidR="005E0735" w:rsidRPr="00AC6E74">
        <w:rPr>
          <w:vertAlign w:val="superscript"/>
        </w:rPr>
        <w:fldChar w:fldCharType="separate"/>
      </w:r>
      <w:r w:rsidR="009B21DC">
        <w:rPr>
          <w:vertAlign w:val="superscript"/>
        </w:rPr>
        <w:t>3</w:t>
      </w:r>
      <w:r w:rsidR="005E0735" w:rsidRPr="00AC6E74">
        <w:rPr>
          <w:vertAlign w:val="superscript"/>
        </w:rPr>
        <w:fldChar w:fldCharType="end"/>
      </w:r>
      <w:r w:rsidR="005E0735" w:rsidRPr="00AC6E74">
        <w:t xml:space="preserve"> </w:t>
      </w:r>
      <w:r w:rsidRPr="00AC6E74">
        <w:t>However, the prognosis in patients with advanced NSCLC receiving therapy in the second line setting or beyond remains poor, with response rates of 6</w:t>
      </w:r>
      <w:r w:rsidR="00566CF6" w:rsidRPr="00AC6E74">
        <w:t xml:space="preserve">% to </w:t>
      </w:r>
      <w:r w:rsidRPr="00AC6E74">
        <w:t xml:space="preserve">20% and median </w:t>
      </w:r>
      <w:r w:rsidR="007F4EEA" w:rsidRPr="00AC6E74">
        <w:t>progression free survival</w:t>
      </w:r>
      <w:r w:rsidRPr="00AC6E74">
        <w:t xml:space="preserve"> of 2</w:t>
      </w:r>
      <w:r w:rsidR="00566CF6" w:rsidRPr="00AC6E74">
        <w:t xml:space="preserve"> to </w:t>
      </w:r>
      <w:r w:rsidRPr="00AC6E74">
        <w:t>4 months associated with chemotherapy or checkpoint inhibitors.</w:t>
      </w:r>
      <w:r w:rsidR="005E0735" w:rsidRPr="00AC6E74">
        <w:rPr>
          <w:vertAlign w:val="superscript"/>
        </w:rPr>
        <w:fldChar w:fldCharType="begin"/>
      </w:r>
      <w:r w:rsidR="005E0735" w:rsidRPr="00AC6E74">
        <w:rPr>
          <w:vertAlign w:val="superscript"/>
        </w:rPr>
        <w:instrText xml:space="preserve"> NOTEREF _Ref130226794 \h  \* MERGEFORMAT </w:instrText>
      </w:r>
      <w:r w:rsidR="005E0735" w:rsidRPr="00AC6E74">
        <w:rPr>
          <w:vertAlign w:val="superscript"/>
        </w:rPr>
      </w:r>
      <w:r w:rsidR="005E0735" w:rsidRPr="00AC6E74">
        <w:rPr>
          <w:vertAlign w:val="superscript"/>
        </w:rPr>
        <w:fldChar w:fldCharType="separate"/>
      </w:r>
      <w:r w:rsidR="009B21DC">
        <w:rPr>
          <w:vertAlign w:val="superscript"/>
        </w:rPr>
        <w:t>5</w:t>
      </w:r>
      <w:r w:rsidR="005E0735" w:rsidRPr="00AC6E74">
        <w:rPr>
          <w:vertAlign w:val="superscript"/>
        </w:rPr>
        <w:fldChar w:fldCharType="end"/>
      </w:r>
    </w:p>
    <w:p w14:paraId="3FED73F3" w14:textId="474C1B09" w:rsidR="00EB5910" w:rsidRPr="00AC6E74" w:rsidRDefault="00EB5910" w:rsidP="00EB5910">
      <w:r w:rsidRPr="00AC6E74">
        <w:t>For patients without an actionable oncogenic driver (</w:t>
      </w:r>
      <w:r w:rsidR="00566CF6" w:rsidRPr="00AC6E74">
        <w:t>that is,</w:t>
      </w:r>
      <w:r w:rsidRPr="00AC6E74">
        <w:t xml:space="preserve"> no </w:t>
      </w:r>
      <w:r w:rsidRPr="00DB11B7">
        <w:rPr>
          <w:i/>
        </w:rPr>
        <w:t>EGFR, ALK, ROS1</w:t>
      </w:r>
      <w:r w:rsidRPr="00AC6E74">
        <w:t xml:space="preserve">, METex14 skipping, </w:t>
      </w:r>
      <w:r w:rsidRPr="00DB11B7">
        <w:rPr>
          <w:i/>
        </w:rPr>
        <w:t>BRAF</w:t>
      </w:r>
      <w:r w:rsidRPr="00AC6E74">
        <w:t xml:space="preserve"> or </w:t>
      </w:r>
      <w:r w:rsidRPr="00DB11B7">
        <w:rPr>
          <w:i/>
        </w:rPr>
        <w:t>RET</w:t>
      </w:r>
      <w:r w:rsidRPr="00AC6E74">
        <w:t xml:space="preserve"> variants) who have disease progression after receiving anti-</w:t>
      </w:r>
      <w:r w:rsidR="00943063" w:rsidRPr="00AC6E74">
        <w:t>programmed death-ligand 1 (anti-</w:t>
      </w:r>
      <w:r w:rsidRPr="00AC6E74">
        <w:t>PD-L1</w:t>
      </w:r>
      <w:r w:rsidR="00943063" w:rsidRPr="00AC6E74">
        <w:t>)</w:t>
      </w:r>
      <w:r w:rsidR="00566CF6" w:rsidRPr="00AC6E74">
        <w:t xml:space="preserve"> or </w:t>
      </w:r>
      <w:r w:rsidR="00943063" w:rsidRPr="00AC6E74">
        <w:t>programmed cell death protein 1 (</w:t>
      </w:r>
      <w:r w:rsidRPr="00AC6E74">
        <w:t>PD</w:t>
      </w:r>
      <w:r w:rsidR="00943063" w:rsidRPr="00AC6E74">
        <w:noBreakHyphen/>
      </w:r>
      <w:r w:rsidRPr="00AC6E74">
        <w:t>1</w:t>
      </w:r>
      <w:r w:rsidR="00943063" w:rsidRPr="00AC6E74">
        <w:t>)</w:t>
      </w:r>
      <w:r w:rsidRPr="00AC6E74">
        <w:t xml:space="preserve"> therapy and/or platinum</w:t>
      </w:r>
      <w:r w:rsidR="00C54AB8" w:rsidRPr="00AC6E74">
        <w:t xml:space="preserve"> </w:t>
      </w:r>
      <w:r w:rsidRPr="00AC6E74">
        <w:t xml:space="preserve">based chemotherapy, subsequent systemic therapy options recommended by </w:t>
      </w:r>
      <w:r w:rsidR="00A82A7A" w:rsidRPr="00AC6E74">
        <w:t xml:space="preserve">the </w:t>
      </w:r>
      <w:r w:rsidR="000A2D01" w:rsidRPr="00AC6E74">
        <w:t>National Comprehensive Cancer Network (</w:t>
      </w:r>
      <w:r w:rsidRPr="00AC6E74">
        <w:t>NCCN</w:t>
      </w:r>
      <w:r w:rsidR="000A2D01" w:rsidRPr="00AC6E74">
        <w:t>)</w:t>
      </w:r>
      <w:r w:rsidRPr="00AC6E74">
        <w:t xml:space="preserve"> guidelines include immunotherapy (</w:t>
      </w:r>
      <w:r w:rsidR="00566CF6" w:rsidRPr="00AC6E74">
        <w:t>that is,</w:t>
      </w:r>
      <w:r w:rsidRPr="00AC6E74">
        <w:t xml:space="preserve"> a PD</w:t>
      </w:r>
      <w:r w:rsidR="00566CF6" w:rsidRPr="00AC6E74">
        <w:noBreakHyphen/>
      </w:r>
      <w:r w:rsidRPr="00AC6E74">
        <w:t>1 or PD-L1 inhibitor) if not previously received, or chemotherapy (</w:t>
      </w:r>
      <w:r w:rsidR="00566CF6" w:rsidRPr="00AC6E74">
        <w:t>for example,</w:t>
      </w:r>
      <w:r w:rsidRPr="00AC6E74">
        <w:t xml:space="preserve"> docetaxel with</w:t>
      </w:r>
      <w:r w:rsidR="00566CF6" w:rsidRPr="00AC6E74">
        <w:t xml:space="preserve"> or </w:t>
      </w:r>
      <w:r w:rsidRPr="00AC6E74">
        <w:t>without ramucirumab; gemcitabine; or pemetrexed for non-squamous NSCLC) if not previously received.</w:t>
      </w:r>
      <w:r w:rsidR="005E0735" w:rsidRPr="00AC6E74">
        <w:rPr>
          <w:vertAlign w:val="superscript"/>
        </w:rPr>
        <w:fldChar w:fldCharType="begin"/>
      </w:r>
      <w:r w:rsidR="005E0735" w:rsidRPr="00AC6E74">
        <w:rPr>
          <w:vertAlign w:val="superscript"/>
        </w:rPr>
        <w:instrText xml:space="preserve"> NOTEREF _Ref130226981 \h  \* MERGEFORMAT </w:instrText>
      </w:r>
      <w:r w:rsidR="005E0735" w:rsidRPr="00AC6E74">
        <w:rPr>
          <w:vertAlign w:val="superscript"/>
        </w:rPr>
      </w:r>
      <w:r w:rsidR="005E0735" w:rsidRPr="00AC6E74">
        <w:rPr>
          <w:vertAlign w:val="superscript"/>
        </w:rPr>
        <w:fldChar w:fldCharType="separate"/>
      </w:r>
      <w:r w:rsidR="009B21DC">
        <w:rPr>
          <w:vertAlign w:val="superscript"/>
        </w:rPr>
        <w:t>4</w:t>
      </w:r>
      <w:r w:rsidR="005E0735" w:rsidRPr="00AC6E74">
        <w:rPr>
          <w:vertAlign w:val="superscript"/>
        </w:rPr>
        <w:fldChar w:fldCharType="end"/>
      </w:r>
      <w:r w:rsidR="002A2318" w:rsidRPr="00AC6E74">
        <w:t xml:space="preserve"> </w:t>
      </w:r>
      <w:r w:rsidR="00A82A7A" w:rsidRPr="00AC6E74">
        <w:t xml:space="preserve">The </w:t>
      </w:r>
      <w:r w:rsidRPr="00AC6E74">
        <w:t xml:space="preserve">NCCN guidelines have recently been updated to include </w:t>
      </w:r>
      <w:proofErr w:type="spellStart"/>
      <w:r w:rsidRPr="00AC6E74">
        <w:t>sotorasib</w:t>
      </w:r>
      <w:proofErr w:type="spellEnd"/>
      <w:r w:rsidRPr="00AC6E74">
        <w:t xml:space="preserve"> as the recommended subsequent therapy for patients with </w:t>
      </w:r>
      <w:r w:rsidR="00EB463D" w:rsidRPr="00AC6E74">
        <w:rPr>
          <w:i/>
          <w:iCs/>
        </w:rPr>
        <w:t>KRAS G12C</w:t>
      </w:r>
      <w:r w:rsidRPr="00AC6E74">
        <w:t xml:space="preserve"> mutation positive disease following initial systemic therapy.</w:t>
      </w:r>
    </w:p>
    <w:p w14:paraId="13860B7E" w14:textId="6C9593CE" w:rsidR="00EB5910" w:rsidRPr="00AC6E74" w:rsidRDefault="00EB5910" w:rsidP="00EB5910">
      <w:r w:rsidRPr="00AC6E74">
        <w:t xml:space="preserve">In Australia, for patients with </w:t>
      </w:r>
      <w:r w:rsidR="00EB463D" w:rsidRPr="00AC6E74">
        <w:rPr>
          <w:i/>
          <w:iCs/>
        </w:rPr>
        <w:t>KRAS G12C</w:t>
      </w:r>
      <w:r w:rsidR="00377425" w:rsidRPr="00AC6E74">
        <w:t>-</w:t>
      </w:r>
      <w:r w:rsidRPr="00AC6E74">
        <w:t>mutated advanced NSCLC and disease progression on</w:t>
      </w:r>
      <w:r w:rsidR="00566CF6" w:rsidRPr="00AC6E74">
        <w:t xml:space="preserve"> or </w:t>
      </w:r>
      <w:r w:rsidRPr="00AC6E74">
        <w:t>after a PD-L1 inhibitor</w:t>
      </w:r>
      <w:r w:rsidR="00566CF6" w:rsidRPr="00AC6E74">
        <w:t xml:space="preserve"> or </w:t>
      </w:r>
      <w:r w:rsidRPr="00AC6E74">
        <w:t>platinum</w:t>
      </w:r>
      <w:r w:rsidR="000A2D01" w:rsidRPr="00AC6E74">
        <w:t>-</w:t>
      </w:r>
      <w:r w:rsidRPr="00AC6E74">
        <w:t>based chemotherapy regimen, targeted therapy is not currently available; chemotherapy remains standard of care (</w:t>
      </w:r>
      <w:r w:rsidR="00566CF6" w:rsidRPr="00AC6E74">
        <w:t>that is,</w:t>
      </w:r>
      <w:r w:rsidRPr="00AC6E74">
        <w:t xml:space="preserve"> docetaxel, pemetrexed or gemcitabine monotherapy if not previously received).</w:t>
      </w:r>
      <w:r w:rsidR="002A2318" w:rsidRPr="00AC6E74">
        <w:t xml:space="preserve"> </w:t>
      </w:r>
      <w:r w:rsidRPr="00AC6E74">
        <w:t xml:space="preserve">Selective </w:t>
      </w:r>
      <w:r w:rsidR="00EB463D" w:rsidRPr="00AC6E74">
        <w:t>KRAS G12C</w:t>
      </w:r>
      <w:r w:rsidRPr="00AC6E74">
        <w:t xml:space="preserve"> inhibitors have been under investigation in this population. </w:t>
      </w:r>
      <w:r w:rsidR="000A2D01" w:rsidRPr="00AC6E74">
        <w:lastRenderedPageBreak/>
        <w:t xml:space="preserve">Study 20170543 (also known as the </w:t>
      </w:r>
      <w:r w:rsidR="001D420C" w:rsidRPr="00AC6E74">
        <w:t>CODEBREAK</w:t>
      </w:r>
      <w:r w:rsidRPr="00AC6E74">
        <w:t xml:space="preserve"> 100</w:t>
      </w:r>
      <w:r w:rsidR="001D420C" w:rsidRPr="00AC6E74">
        <w:t xml:space="preserve"> trial</w:t>
      </w:r>
      <w:r w:rsidR="000A2D01" w:rsidRPr="00AC6E74">
        <w:t>)</w:t>
      </w:r>
      <w:r w:rsidR="001D420C" w:rsidRPr="00AC6E74">
        <w:t xml:space="preserve"> is</w:t>
      </w:r>
      <w:r w:rsidRPr="00AC6E74">
        <w:t xml:space="preserve"> a first</w:t>
      </w:r>
      <w:r w:rsidR="00F809D5" w:rsidRPr="00AC6E74">
        <w:noBreakHyphen/>
      </w:r>
      <w:r w:rsidRPr="00AC6E74">
        <w:t>in</w:t>
      </w:r>
      <w:r w:rsidR="00F809D5" w:rsidRPr="00AC6E74">
        <w:noBreakHyphen/>
      </w:r>
      <w:r w:rsidRPr="00AC6E74">
        <w:t xml:space="preserve">human trial of </w:t>
      </w:r>
      <w:proofErr w:type="spellStart"/>
      <w:r w:rsidRPr="00AC6E74">
        <w:t>sotorasib</w:t>
      </w:r>
      <w:proofErr w:type="spellEnd"/>
      <w:r w:rsidRPr="00AC6E74">
        <w:t xml:space="preserve">, an irreversible and specific small molecular inhibitor of </w:t>
      </w:r>
      <w:r w:rsidR="00EB463D" w:rsidRPr="00DB11B7">
        <w:rPr>
          <w:i/>
        </w:rPr>
        <w:t>KRAS G12C</w:t>
      </w:r>
      <w:r w:rsidR="001D420C" w:rsidRPr="00AC6E74">
        <w:t xml:space="preserve">. This study </w:t>
      </w:r>
      <w:r w:rsidRPr="00AC6E74">
        <w:t>showed promising results including an overall response rate of 36%, a median duration of response of 10.0 months, and disease control rate of 80.6%.</w:t>
      </w:r>
      <w:r w:rsidR="002A2318" w:rsidRPr="00AC6E74">
        <w:t xml:space="preserve"> </w:t>
      </w:r>
      <w:r w:rsidRPr="00AC6E74">
        <w:t xml:space="preserve">Findings from this pivotal </w:t>
      </w:r>
      <w:r w:rsidR="000C30B5" w:rsidRPr="00AC6E74">
        <w:t>Phase II</w:t>
      </w:r>
      <w:r w:rsidRPr="00AC6E74">
        <w:t xml:space="preserve"> study form the basis of this submission.</w:t>
      </w:r>
    </w:p>
    <w:p w14:paraId="0B7B215D" w14:textId="078DE19E" w:rsidR="004408D3" w:rsidRPr="00AC6E74" w:rsidRDefault="004408D3" w:rsidP="004408D3">
      <w:r w:rsidRPr="00AC6E74">
        <w:t xml:space="preserve">Sotorasib is a </w:t>
      </w:r>
      <w:r w:rsidR="00EB463D" w:rsidRPr="00AC6E74">
        <w:t>KRAS G12C</w:t>
      </w:r>
      <w:r w:rsidRPr="00AC6E74">
        <w:t xml:space="preserve"> inhibitor, which covalently and irreversibly binds to the altered cysteine of </w:t>
      </w:r>
      <w:r w:rsidR="00EB463D" w:rsidRPr="00DB11B7">
        <w:rPr>
          <w:i/>
        </w:rPr>
        <w:t>KRAS G12C</w:t>
      </w:r>
      <w:r w:rsidRPr="00AC6E74">
        <w:t xml:space="preserve">, locking the protein in an inactive state, preventing downstream signalling without affecting wild-type </w:t>
      </w:r>
      <w:r w:rsidRPr="00DB11B7">
        <w:rPr>
          <w:i/>
        </w:rPr>
        <w:t>KRAS</w:t>
      </w:r>
      <w:r w:rsidRPr="00AC6E74">
        <w:t xml:space="preserve">. Inactivation of </w:t>
      </w:r>
      <w:r w:rsidR="00EB463D" w:rsidRPr="00DB11B7">
        <w:rPr>
          <w:i/>
        </w:rPr>
        <w:t>KRAS G12C</w:t>
      </w:r>
      <w:r w:rsidRPr="00AC6E74">
        <w:t xml:space="preserve"> by </w:t>
      </w:r>
      <w:proofErr w:type="spellStart"/>
      <w:r w:rsidRPr="00AC6E74">
        <w:t>sotorasib</w:t>
      </w:r>
      <w:proofErr w:type="spellEnd"/>
      <w:r w:rsidRPr="00AC6E74">
        <w:t xml:space="preserve"> blocked tumour cell signalling and survival, inhibited cell growth, promoted apoptosis, and induced anti-tumour inflammatory responses only in </w:t>
      </w:r>
      <w:r w:rsidR="00EB463D" w:rsidRPr="00DB11B7">
        <w:rPr>
          <w:i/>
        </w:rPr>
        <w:t>KRAS G12C</w:t>
      </w:r>
      <w:r w:rsidRPr="00AC6E74">
        <w:t xml:space="preserve"> tumour cell lines. Sotorasib inhibited </w:t>
      </w:r>
      <w:r w:rsidR="00EB463D" w:rsidRPr="00DB11B7">
        <w:rPr>
          <w:i/>
        </w:rPr>
        <w:t>KRAS G12C</w:t>
      </w:r>
      <w:r w:rsidRPr="00AC6E74">
        <w:t xml:space="preserve"> </w:t>
      </w:r>
      <w:r w:rsidRPr="00AC6E74">
        <w:rPr>
          <w:i/>
          <w:iCs/>
        </w:rPr>
        <w:t>in vitro</w:t>
      </w:r>
      <w:r w:rsidRPr="00AC6E74">
        <w:t xml:space="preserve"> and </w:t>
      </w:r>
      <w:r w:rsidRPr="00AC6E74">
        <w:rPr>
          <w:i/>
          <w:iCs/>
        </w:rPr>
        <w:t>in vivo</w:t>
      </w:r>
      <w:r w:rsidRPr="00AC6E74">
        <w:t xml:space="preserve"> with minimal detectable off-target activity. In mouse tumour </w:t>
      </w:r>
      <w:r w:rsidR="00EB463D" w:rsidRPr="00DB11B7">
        <w:rPr>
          <w:i/>
        </w:rPr>
        <w:t>KRAS G12C</w:t>
      </w:r>
      <w:r w:rsidRPr="00AC6E74">
        <w:t xml:space="preserve"> xenograft models, treatment with </w:t>
      </w:r>
      <w:proofErr w:type="spellStart"/>
      <w:r w:rsidRPr="00AC6E74">
        <w:t>sotorasib</w:t>
      </w:r>
      <w:proofErr w:type="spellEnd"/>
      <w:r w:rsidRPr="00AC6E74">
        <w:t xml:space="preserve"> led to tumour regressions, anti-tumour immunity and prolonged survival.</w:t>
      </w:r>
    </w:p>
    <w:p w14:paraId="5DF0A9CE" w14:textId="4DB5FAFD" w:rsidR="009F2673" w:rsidRPr="00AC6E74" w:rsidRDefault="009F2673" w:rsidP="009F2673">
      <w:r w:rsidRPr="00AC6E74">
        <w:t xml:space="preserve">This evaluation was facilitated through </w:t>
      </w:r>
      <w:hyperlink r:id="rId15" w:history="1">
        <w:r w:rsidRPr="00AC6E74">
          <w:rPr>
            <w:rStyle w:val="Hyperlink"/>
          </w:rPr>
          <w:t>Project Orbis</w:t>
        </w:r>
      </w:hyperlink>
      <w:r w:rsidR="00833ED8" w:rsidRPr="00AC6E74">
        <w:t>,</w:t>
      </w:r>
      <w:r w:rsidRPr="00AC6E74">
        <w:t xml:space="preserve"> an initiative of the United States Food and Drug Administration </w:t>
      </w:r>
      <w:r w:rsidRPr="00AC6E74">
        <w:rPr>
          <w:color w:val="000000" w:themeColor="text1"/>
        </w:rPr>
        <w:t xml:space="preserve">(FDA) Oncology </w:t>
      </w:r>
      <w:proofErr w:type="spellStart"/>
      <w:r w:rsidRPr="00AC6E74">
        <w:rPr>
          <w:color w:val="000000" w:themeColor="text1"/>
        </w:rPr>
        <w:t>Center</w:t>
      </w:r>
      <w:proofErr w:type="spellEnd"/>
      <w:r w:rsidRPr="00AC6E74">
        <w:rPr>
          <w:color w:val="000000" w:themeColor="text1"/>
        </w:rPr>
        <w:t xml:space="preserve"> of Excellence. Under this project, the FDA, Health Canada, </w:t>
      </w:r>
      <w:r w:rsidR="00EE231F" w:rsidRPr="00AC6E74">
        <w:rPr>
          <w:color w:val="000000" w:themeColor="text1"/>
        </w:rPr>
        <w:t>National Health Surveillance Agency (Bra</w:t>
      </w:r>
      <w:r w:rsidR="00EE231F" w:rsidRPr="00AC6E74">
        <w:t>zil), Medicines and Healthcare products Regulatory Agency (United Kingdom)</w:t>
      </w:r>
      <w:r w:rsidR="006D1E1D" w:rsidRPr="00AC6E74">
        <w:t xml:space="preserve">, Health Sciences Authority of </w:t>
      </w:r>
      <w:r w:rsidR="006D1E1D" w:rsidRPr="00594BB6">
        <w:t>Singapore</w:t>
      </w:r>
      <w:r w:rsidR="00ED3BA2" w:rsidRPr="00174A4D">
        <w:t xml:space="preserve">, </w:t>
      </w:r>
      <w:r w:rsidR="006D1E1D" w:rsidRPr="00174A4D">
        <w:t>Ministry of Health (</w:t>
      </w:r>
      <w:r w:rsidR="00ED3BA2" w:rsidRPr="00174A4D">
        <w:t>Israel</w:t>
      </w:r>
      <w:r w:rsidR="006D1E1D" w:rsidRPr="00174A4D">
        <w:t xml:space="preserve">) </w:t>
      </w:r>
      <w:r w:rsidRPr="00174A4D">
        <w:t>and the TGA</w:t>
      </w:r>
      <w:r w:rsidRPr="00DB11B7">
        <w:t xml:space="preserve"> collaboratively </w:t>
      </w:r>
      <w:r w:rsidRPr="00594BB6">
        <w:t xml:space="preserve">reviewed the </w:t>
      </w:r>
      <w:r w:rsidR="00BB0B78" w:rsidRPr="00174A4D">
        <w:t>submission</w:t>
      </w:r>
      <w:r w:rsidRPr="00174A4D">
        <w:t>. This evaluation process provided a framework for process alignment and management of evaluation issues in real-time across jurisdictions. Each regulator made independent decisions regarding approval (market authorisation) of the new medicine</w:t>
      </w:r>
      <w:r w:rsidRPr="00AC6E74">
        <w:t>.</w:t>
      </w:r>
    </w:p>
    <w:p w14:paraId="6BE0DAC0" w14:textId="77777777" w:rsidR="008E7846" w:rsidRPr="00AC6E74" w:rsidRDefault="00386150" w:rsidP="008E7846">
      <w:pPr>
        <w:pStyle w:val="Heading3"/>
      </w:pPr>
      <w:bookmarkStart w:id="24" w:name="_Toc136358056"/>
      <w:r w:rsidRPr="00AC6E74">
        <w:t>Regulatory s</w:t>
      </w:r>
      <w:r w:rsidR="008E7846" w:rsidRPr="00AC6E74">
        <w:t>tatus</w:t>
      </w:r>
      <w:bookmarkEnd w:id="18"/>
      <w:bookmarkEnd w:id="19"/>
      <w:bookmarkEnd w:id="24"/>
    </w:p>
    <w:p w14:paraId="2C34E97E" w14:textId="71F6560C" w:rsidR="00332715" w:rsidRPr="00AC6E74" w:rsidRDefault="00332715" w:rsidP="00332715">
      <w:bookmarkStart w:id="25" w:name="_Toc247691505"/>
      <w:bookmarkStart w:id="26" w:name="_Toc314842486"/>
      <w:r w:rsidRPr="00AC6E74">
        <w:t>This product is considered a new chemical</w:t>
      </w:r>
      <w:r w:rsidR="008408C3" w:rsidRPr="00AC6E74">
        <w:t xml:space="preserve"> </w:t>
      </w:r>
      <w:r w:rsidRPr="00AC6E74">
        <w:t>entity for Australian regulatory purposes.</w:t>
      </w:r>
    </w:p>
    <w:p w14:paraId="482B36A3" w14:textId="596AAA21" w:rsidR="00332715" w:rsidRPr="00AC6E74" w:rsidRDefault="00332715" w:rsidP="00332715">
      <w:r w:rsidRPr="00AC6E74">
        <w:t xml:space="preserve">This product received </w:t>
      </w:r>
      <w:hyperlink r:id="rId16" w:history="1">
        <w:r w:rsidRPr="00AC6E74">
          <w:rPr>
            <w:rStyle w:val="Hyperlink"/>
          </w:rPr>
          <w:t>orphan drug designation</w:t>
        </w:r>
      </w:hyperlink>
      <w:r w:rsidRPr="00AC6E74">
        <w:t xml:space="preserve"> on </w:t>
      </w:r>
      <w:r w:rsidR="0081145C" w:rsidRPr="00AC6E74">
        <w:t>10 November 2020</w:t>
      </w:r>
      <w:r w:rsidRPr="00AC6E74">
        <w:t xml:space="preserve"> for the following indication:</w:t>
      </w:r>
    </w:p>
    <w:p w14:paraId="63186391" w14:textId="1B8D2F2A" w:rsidR="0081145C" w:rsidRPr="00AC6E74" w:rsidRDefault="0081145C" w:rsidP="0081145C">
      <w:pPr>
        <w:ind w:left="720"/>
        <w:rPr>
          <w:i/>
          <w:iCs/>
        </w:rPr>
      </w:pPr>
      <w:r w:rsidRPr="00AC6E74">
        <w:rPr>
          <w:i/>
          <w:iCs/>
        </w:rPr>
        <w:t>for the treatment of KRAS G12C-mutated non-small cell lung cancer (NSCLC)</w:t>
      </w:r>
    </w:p>
    <w:p w14:paraId="4D7076A8" w14:textId="62A1255D" w:rsidR="00247AD2" w:rsidRPr="00AC6E74" w:rsidRDefault="00332715" w:rsidP="00332715">
      <w:r w:rsidRPr="00AC6E74">
        <w:t xml:space="preserve">At the time the TGA considered this </w:t>
      </w:r>
      <w:r w:rsidR="00BB0B78" w:rsidRPr="00AC6E74">
        <w:t>submission</w:t>
      </w:r>
      <w:r w:rsidRPr="00AC6E74">
        <w:t xml:space="preserve">, similar </w:t>
      </w:r>
      <w:r w:rsidR="00BB0B78" w:rsidRPr="00AC6E74">
        <w:t>submission</w:t>
      </w:r>
      <w:r w:rsidR="00247AD2" w:rsidRPr="00AC6E74">
        <w:t>s</w:t>
      </w:r>
      <w:r w:rsidRPr="00AC6E74">
        <w:t xml:space="preserve"> had been approved in </w:t>
      </w:r>
      <w:r w:rsidR="00247AD2" w:rsidRPr="00AC6E74">
        <w:t>Brazil on 2 March 2022, Canada on 10 September 2021, European Union on 6</w:t>
      </w:r>
      <w:r w:rsidR="00130DF3" w:rsidRPr="00AC6E74">
        <w:t> </w:t>
      </w:r>
      <w:r w:rsidR="00247AD2" w:rsidRPr="00AC6E74">
        <w:t>January</w:t>
      </w:r>
      <w:r w:rsidR="00130DF3" w:rsidRPr="00AC6E74">
        <w:t> </w:t>
      </w:r>
      <w:r w:rsidR="00247AD2" w:rsidRPr="00AC6E74">
        <w:t>2022, Switzerland on 16 December 2021, United Kingdom on 8</w:t>
      </w:r>
      <w:r w:rsidR="00486BC1" w:rsidRPr="00AC6E74">
        <w:t> </w:t>
      </w:r>
      <w:r w:rsidR="00247AD2" w:rsidRPr="00AC6E74">
        <w:t>September</w:t>
      </w:r>
      <w:r w:rsidR="00486BC1" w:rsidRPr="00AC6E74">
        <w:t> </w:t>
      </w:r>
      <w:r w:rsidR="00247AD2" w:rsidRPr="00AC6E74">
        <w:t>2021 and United States of America on 28 May 2021. S</w:t>
      </w:r>
      <w:r w:rsidRPr="00AC6E74">
        <w:t xml:space="preserve">imilar </w:t>
      </w:r>
      <w:r w:rsidR="00BB0B78" w:rsidRPr="00AC6E74">
        <w:t>submission</w:t>
      </w:r>
      <w:r w:rsidR="00247AD2" w:rsidRPr="00AC6E74">
        <w:t>s</w:t>
      </w:r>
      <w:r w:rsidRPr="00AC6E74">
        <w:t xml:space="preserve"> </w:t>
      </w:r>
      <w:r w:rsidR="00247AD2" w:rsidRPr="00AC6E74">
        <w:t>were</w:t>
      </w:r>
      <w:r w:rsidRPr="00AC6E74">
        <w:t xml:space="preserve"> under consideration in </w:t>
      </w:r>
      <w:r w:rsidR="00130DF3" w:rsidRPr="00AC6E74">
        <w:t>Israel</w:t>
      </w:r>
      <w:r w:rsidRPr="00AC6E74">
        <w:t xml:space="preserve"> (submitted on </w:t>
      </w:r>
      <w:r w:rsidR="00247AD2" w:rsidRPr="00AC6E74">
        <w:t>7 June 2021</w:t>
      </w:r>
      <w:r w:rsidR="00130DF3" w:rsidRPr="00AC6E74">
        <w:t xml:space="preserve">) and </w:t>
      </w:r>
      <w:r w:rsidR="00247AD2" w:rsidRPr="00AC6E74">
        <w:t xml:space="preserve">Singapore </w:t>
      </w:r>
      <w:r w:rsidR="00130DF3" w:rsidRPr="00AC6E74">
        <w:t xml:space="preserve">(submitted on </w:t>
      </w:r>
      <w:r w:rsidR="00247AD2" w:rsidRPr="00AC6E74">
        <w:t>10</w:t>
      </w:r>
      <w:r w:rsidR="00486BC1" w:rsidRPr="00AC6E74">
        <w:t> </w:t>
      </w:r>
      <w:r w:rsidR="00247AD2" w:rsidRPr="00AC6E74">
        <w:t>June</w:t>
      </w:r>
      <w:r w:rsidR="00486BC1" w:rsidRPr="00AC6E74">
        <w:t> </w:t>
      </w:r>
      <w:r w:rsidR="00247AD2" w:rsidRPr="00AC6E74">
        <w:t>2021</w:t>
      </w:r>
      <w:r w:rsidR="00130DF3" w:rsidRPr="00AC6E74">
        <w:t>).</w:t>
      </w:r>
    </w:p>
    <w:p w14:paraId="75C95C0D" w14:textId="77777777" w:rsidR="00332715" w:rsidRPr="00AC6E74" w:rsidRDefault="0072292E" w:rsidP="00332715">
      <w:r w:rsidRPr="00AC6E74">
        <w:t xml:space="preserve">The following table </w:t>
      </w:r>
      <w:r w:rsidR="00332715" w:rsidRPr="00AC6E74">
        <w:t xml:space="preserve">summarises these </w:t>
      </w:r>
      <w:r w:rsidR="00BB0B78" w:rsidRPr="00AC6E74">
        <w:t>submissions</w:t>
      </w:r>
      <w:r w:rsidR="00332715" w:rsidRPr="00AC6E74">
        <w:t xml:space="preserve"> and provides the indications where approved.</w:t>
      </w:r>
    </w:p>
    <w:p w14:paraId="48DD5BED" w14:textId="258084B0" w:rsidR="00324E45" w:rsidRPr="00AC6E74" w:rsidRDefault="00324E45" w:rsidP="00324E45">
      <w:pPr>
        <w:pStyle w:val="TableTitle"/>
      </w:pPr>
      <w:bookmarkStart w:id="27" w:name="_Ref99705479"/>
      <w:r w:rsidRPr="00AC6E74">
        <w:t xml:space="preserve">Table </w:t>
      </w:r>
      <w:fldSimple w:instr=" SEQ Table \* ARABIC ">
        <w:r w:rsidR="009B21DC">
          <w:rPr>
            <w:noProof/>
          </w:rPr>
          <w:t>1</w:t>
        </w:r>
      </w:fldSimple>
      <w:bookmarkEnd w:id="27"/>
      <w:r w:rsidRPr="00AC6E74">
        <w:t>: International regulatory status</w:t>
      </w:r>
    </w:p>
    <w:tbl>
      <w:tblPr>
        <w:tblStyle w:val="TableTGAblue"/>
        <w:tblW w:w="8642" w:type="dxa"/>
        <w:tblLayout w:type="fixed"/>
        <w:tblLook w:val="04A0" w:firstRow="1" w:lastRow="0" w:firstColumn="1" w:lastColumn="0" w:noHBand="0" w:noVBand="1"/>
      </w:tblPr>
      <w:tblGrid>
        <w:gridCol w:w="1413"/>
        <w:gridCol w:w="2126"/>
        <w:gridCol w:w="1985"/>
        <w:gridCol w:w="3118"/>
      </w:tblGrid>
      <w:tr w:rsidR="00DD217C" w:rsidRPr="00AC6E74" w14:paraId="294C1976" w14:textId="77777777" w:rsidTr="00F36E0D">
        <w:trPr>
          <w:cnfStyle w:val="100000000000" w:firstRow="1" w:lastRow="0" w:firstColumn="0" w:lastColumn="0" w:oddVBand="0" w:evenVBand="0" w:oddHBand="0"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tcPr>
          <w:p w14:paraId="6F1C8104" w14:textId="77777777" w:rsidR="00006FAB" w:rsidRPr="00AC6E74" w:rsidRDefault="00006FAB" w:rsidP="00006FAB">
            <w:pPr>
              <w:ind w:left="0" w:right="0"/>
            </w:pPr>
            <w:r w:rsidRPr="00AC6E74">
              <w:t>Region</w:t>
            </w:r>
          </w:p>
        </w:tc>
        <w:tc>
          <w:tcPr>
            <w:tcW w:w="2126" w:type="dxa"/>
            <w:tcBorders>
              <w:top w:val="single" w:sz="4" w:space="0" w:color="auto"/>
              <w:left w:val="single" w:sz="4" w:space="0" w:color="auto"/>
              <w:bottom w:val="single" w:sz="4" w:space="0" w:color="auto"/>
              <w:right w:val="single" w:sz="4" w:space="0" w:color="auto"/>
            </w:tcBorders>
          </w:tcPr>
          <w:p w14:paraId="338E6233" w14:textId="77777777" w:rsidR="00006FAB" w:rsidRPr="00AC6E74" w:rsidRDefault="00006FAB" w:rsidP="00006FAB">
            <w:pPr>
              <w:ind w:left="0" w:right="0"/>
            </w:pPr>
            <w:r w:rsidRPr="00AC6E74">
              <w:t>Submission date</w:t>
            </w:r>
          </w:p>
        </w:tc>
        <w:tc>
          <w:tcPr>
            <w:tcW w:w="1985" w:type="dxa"/>
            <w:tcBorders>
              <w:top w:val="single" w:sz="4" w:space="0" w:color="auto"/>
              <w:left w:val="single" w:sz="4" w:space="0" w:color="auto"/>
              <w:bottom w:val="single" w:sz="4" w:space="0" w:color="auto"/>
              <w:right w:val="single" w:sz="4" w:space="0" w:color="auto"/>
            </w:tcBorders>
          </w:tcPr>
          <w:p w14:paraId="785A2028" w14:textId="77777777" w:rsidR="00006FAB" w:rsidRPr="00AC6E74" w:rsidRDefault="00006FAB" w:rsidP="00006FAB">
            <w:pPr>
              <w:ind w:left="0" w:right="0"/>
            </w:pPr>
            <w:r w:rsidRPr="00AC6E74">
              <w:t>Status</w:t>
            </w:r>
          </w:p>
        </w:tc>
        <w:tc>
          <w:tcPr>
            <w:tcW w:w="3118" w:type="dxa"/>
            <w:tcBorders>
              <w:top w:val="single" w:sz="4" w:space="0" w:color="auto"/>
              <w:left w:val="single" w:sz="4" w:space="0" w:color="auto"/>
              <w:bottom w:val="single" w:sz="4" w:space="0" w:color="auto"/>
              <w:right w:val="single" w:sz="4" w:space="0" w:color="auto"/>
            </w:tcBorders>
          </w:tcPr>
          <w:p w14:paraId="3490925F" w14:textId="77777777" w:rsidR="00006FAB" w:rsidRPr="00AC6E74" w:rsidRDefault="00006FAB" w:rsidP="00006FAB">
            <w:pPr>
              <w:ind w:left="0" w:right="0"/>
            </w:pPr>
            <w:r w:rsidRPr="00AC6E74">
              <w:t>Approved indications</w:t>
            </w:r>
          </w:p>
        </w:tc>
      </w:tr>
      <w:tr w:rsidR="00006FAB" w:rsidRPr="00AC6E74" w14:paraId="5303F4EE" w14:textId="77777777" w:rsidTr="00F36E0D">
        <w:tc>
          <w:tcPr>
            <w:tcW w:w="1413" w:type="dxa"/>
            <w:tcBorders>
              <w:top w:val="single" w:sz="4" w:space="0" w:color="auto"/>
            </w:tcBorders>
          </w:tcPr>
          <w:p w14:paraId="67797A43" w14:textId="209D3999" w:rsidR="00006FAB" w:rsidRPr="00AC6E74" w:rsidRDefault="0081145C" w:rsidP="00F36E0D">
            <w:pPr>
              <w:ind w:left="0" w:right="0"/>
              <w:jc w:val="both"/>
            </w:pPr>
            <w:r w:rsidRPr="00AC6E74">
              <w:t>Brazil</w:t>
            </w:r>
          </w:p>
        </w:tc>
        <w:tc>
          <w:tcPr>
            <w:tcW w:w="2126" w:type="dxa"/>
            <w:tcBorders>
              <w:top w:val="single" w:sz="4" w:space="0" w:color="auto"/>
            </w:tcBorders>
          </w:tcPr>
          <w:p w14:paraId="3A545799" w14:textId="6EC687BB" w:rsidR="00006FAB" w:rsidRPr="00AC6E74" w:rsidRDefault="0081145C" w:rsidP="00006FAB">
            <w:pPr>
              <w:ind w:left="0" w:right="0"/>
            </w:pPr>
            <w:r w:rsidRPr="00AC6E74">
              <w:t>26</w:t>
            </w:r>
            <w:r w:rsidR="00486BC1" w:rsidRPr="00AC6E74">
              <w:t> </w:t>
            </w:r>
            <w:r w:rsidRPr="00AC6E74">
              <w:t>Jan</w:t>
            </w:r>
            <w:r w:rsidR="00DD217C" w:rsidRPr="00AC6E74">
              <w:t>uary</w:t>
            </w:r>
            <w:r w:rsidR="00486BC1" w:rsidRPr="00AC6E74">
              <w:t> </w:t>
            </w:r>
            <w:r w:rsidRPr="00AC6E74">
              <w:t>2021</w:t>
            </w:r>
          </w:p>
        </w:tc>
        <w:tc>
          <w:tcPr>
            <w:tcW w:w="1985" w:type="dxa"/>
            <w:tcBorders>
              <w:top w:val="single" w:sz="4" w:space="0" w:color="auto"/>
            </w:tcBorders>
          </w:tcPr>
          <w:p w14:paraId="50B15AB4" w14:textId="4EF8EFAA" w:rsidR="00006FAB" w:rsidRPr="00AC6E74" w:rsidRDefault="00006FAB" w:rsidP="00006FAB">
            <w:pPr>
              <w:ind w:left="0" w:right="0"/>
            </w:pPr>
            <w:r w:rsidRPr="00AC6E74">
              <w:t>Approved on</w:t>
            </w:r>
            <w:r w:rsidR="001C12C3">
              <w:t xml:space="preserve"> </w:t>
            </w:r>
            <w:r w:rsidR="0081145C" w:rsidRPr="00AC6E74">
              <w:t>2</w:t>
            </w:r>
            <w:r w:rsidR="00DD217C" w:rsidRPr="00AC6E74">
              <w:t> </w:t>
            </w:r>
            <w:r w:rsidR="0081145C" w:rsidRPr="00AC6E74">
              <w:t>Mar</w:t>
            </w:r>
            <w:r w:rsidR="00DD217C" w:rsidRPr="00AC6E74">
              <w:t>ch</w:t>
            </w:r>
            <w:r w:rsidR="001C12C3">
              <w:t> </w:t>
            </w:r>
            <w:r w:rsidR="0081145C" w:rsidRPr="00AC6E74">
              <w:t>2022</w:t>
            </w:r>
          </w:p>
        </w:tc>
        <w:tc>
          <w:tcPr>
            <w:tcW w:w="3118" w:type="dxa"/>
            <w:tcBorders>
              <w:top w:val="single" w:sz="4" w:space="0" w:color="auto"/>
            </w:tcBorders>
          </w:tcPr>
          <w:p w14:paraId="3EF1883A" w14:textId="1ADDA598" w:rsidR="00006FAB" w:rsidRPr="00AC6E74" w:rsidRDefault="00DD217C" w:rsidP="00DD217C">
            <w:pPr>
              <w:ind w:left="0"/>
              <w:rPr>
                <w:i/>
                <w:iCs/>
              </w:rPr>
            </w:pPr>
            <w:r w:rsidRPr="00AC6E74">
              <w:rPr>
                <w:i/>
                <w:iCs/>
              </w:rPr>
              <w:t>Lumakras</w:t>
            </w:r>
            <w:r w:rsidR="0081145C" w:rsidRPr="00AC6E74">
              <w:rPr>
                <w:i/>
                <w:iCs/>
              </w:rPr>
              <w:t xml:space="preserve"> is indicated for the treatment of patients with KRAS G12C-mutated locally advanced or</w:t>
            </w:r>
            <w:r w:rsidRPr="00AC6E74">
              <w:rPr>
                <w:i/>
                <w:iCs/>
              </w:rPr>
              <w:t xml:space="preserve"> </w:t>
            </w:r>
            <w:r w:rsidR="0081145C" w:rsidRPr="00AC6E74">
              <w:rPr>
                <w:i/>
                <w:iCs/>
              </w:rPr>
              <w:t>metastatic non-small cell lung cancer (NSCLC) who have received at least one prior systemic therapy.</w:t>
            </w:r>
          </w:p>
        </w:tc>
      </w:tr>
      <w:tr w:rsidR="0081145C" w:rsidRPr="00AC6E74" w14:paraId="098E921B" w14:textId="77777777" w:rsidTr="00F36E0D">
        <w:tc>
          <w:tcPr>
            <w:tcW w:w="1413" w:type="dxa"/>
            <w:tcBorders>
              <w:top w:val="single" w:sz="4" w:space="0" w:color="auto"/>
            </w:tcBorders>
          </w:tcPr>
          <w:p w14:paraId="4CC4E6FE" w14:textId="798CDEC7" w:rsidR="0081145C" w:rsidRPr="00AC6E74" w:rsidRDefault="0081145C" w:rsidP="0081145C">
            <w:pPr>
              <w:ind w:left="0"/>
            </w:pPr>
            <w:r w:rsidRPr="00AC6E74">
              <w:lastRenderedPageBreak/>
              <w:t>Canada</w:t>
            </w:r>
          </w:p>
        </w:tc>
        <w:tc>
          <w:tcPr>
            <w:tcW w:w="2126" w:type="dxa"/>
            <w:tcBorders>
              <w:top w:val="single" w:sz="4" w:space="0" w:color="auto"/>
            </w:tcBorders>
          </w:tcPr>
          <w:p w14:paraId="38DE8C0B" w14:textId="10B1E2C0" w:rsidR="0081145C" w:rsidRPr="00AC6E74" w:rsidRDefault="0081145C" w:rsidP="0081145C">
            <w:pPr>
              <w:ind w:left="0"/>
            </w:pPr>
            <w:r w:rsidRPr="00AC6E74">
              <w:t>14 Jan</w:t>
            </w:r>
            <w:r w:rsidR="00DD217C" w:rsidRPr="00AC6E74">
              <w:t>uary</w:t>
            </w:r>
            <w:r w:rsidRPr="00AC6E74">
              <w:t xml:space="preserve"> 2021</w:t>
            </w:r>
          </w:p>
        </w:tc>
        <w:tc>
          <w:tcPr>
            <w:tcW w:w="1985" w:type="dxa"/>
            <w:tcBorders>
              <w:top w:val="single" w:sz="4" w:space="0" w:color="auto"/>
            </w:tcBorders>
          </w:tcPr>
          <w:p w14:paraId="4CAF5FCE" w14:textId="19E63DB3" w:rsidR="0081145C" w:rsidRPr="00AC6E74" w:rsidRDefault="00DD217C" w:rsidP="0081145C">
            <w:pPr>
              <w:ind w:left="0"/>
            </w:pPr>
            <w:r w:rsidRPr="00AC6E74">
              <w:t xml:space="preserve">Approved on </w:t>
            </w:r>
            <w:r w:rsidR="0081145C" w:rsidRPr="00AC6E74">
              <w:t>10</w:t>
            </w:r>
            <w:r w:rsidRPr="00AC6E74">
              <w:t> September </w:t>
            </w:r>
            <w:r w:rsidR="0081145C" w:rsidRPr="00AC6E74">
              <w:t>2021</w:t>
            </w:r>
          </w:p>
        </w:tc>
        <w:tc>
          <w:tcPr>
            <w:tcW w:w="3118" w:type="dxa"/>
            <w:tcBorders>
              <w:top w:val="single" w:sz="4" w:space="0" w:color="auto"/>
            </w:tcBorders>
          </w:tcPr>
          <w:p w14:paraId="319C9550" w14:textId="4EB9AA86" w:rsidR="0081145C" w:rsidRPr="00AC6E74" w:rsidRDefault="00DD217C" w:rsidP="0081145C">
            <w:pPr>
              <w:ind w:left="0"/>
              <w:rPr>
                <w:i/>
                <w:iCs/>
              </w:rPr>
            </w:pPr>
            <w:r w:rsidRPr="00AC6E74">
              <w:rPr>
                <w:i/>
                <w:iCs/>
              </w:rPr>
              <w:t>Lumakras</w:t>
            </w:r>
            <w:r w:rsidR="0081145C" w:rsidRPr="00AC6E74">
              <w:rPr>
                <w:i/>
                <w:iCs/>
              </w:rPr>
              <w:t xml:space="preserve"> for the treatment of adult patients with Kirsten rat sarcoma viral oncogene homolog (KRAS) G12C-mutated locally advanced (not amenable to curative therapy) or metastatic non-small cell lung cancer (NSCLC) who have received at least one prior systemic therapy.</w:t>
            </w:r>
          </w:p>
          <w:p w14:paraId="7EFB4B8E" w14:textId="1077436B" w:rsidR="0081145C" w:rsidRPr="00AC6E74" w:rsidRDefault="0081145C" w:rsidP="0081145C">
            <w:pPr>
              <w:ind w:left="0"/>
              <w:rPr>
                <w:i/>
                <w:iCs/>
              </w:rPr>
            </w:pPr>
            <w:r w:rsidRPr="00AC6E74">
              <w:rPr>
                <w:i/>
                <w:iCs/>
              </w:rPr>
              <w:t xml:space="preserve">This indication is issued market authorization with conditions based on overall response rate (ORR) and duration of response (DOR) (see 14 </w:t>
            </w:r>
            <w:r w:rsidR="00DD217C" w:rsidRPr="00AC6E74">
              <w:rPr>
                <w:i/>
                <w:iCs/>
              </w:rPr>
              <w:t>Clinical Trials</w:t>
            </w:r>
            <w:r w:rsidRPr="00AC6E74">
              <w:rPr>
                <w:i/>
                <w:iCs/>
              </w:rPr>
              <w:t>). Continued approval for this indication may be contingent upon verification and description of clinical benefit in a confirmatory trial(s).</w:t>
            </w:r>
          </w:p>
        </w:tc>
      </w:tr>
      <w:tr w:rsidR="0081145C" w:rsidRPr="00AC6E74" w14:paraId="38B71572" w14:textId="77777777" w:rsidTr="00F36E0D">
        <w:tc>
          <w:tcPr>
            <w:tcW w:w="1413" w:type="dxa"/>
            <w:tcBorders>
              <w:top w:val="single" w:sz="4" w:space="0" w:color="auto"/>
            </w:tcBorders>
          </w:tcPr>
          <w:p w14:paraId="66D771A6" w14:textId="7494BDB6" w:rsidR="0081145C" w:rsidRPr="00AC6E74" w:rsidRDefault="0081145C" w:rsidP="00DD217C">
            <w:pPr>
              <w:ind w:left="0"/>
            </w:pPr>
            <w:r w:rsidRPr="00AC6E74">
              <w:t>European</w:t>
            </w:r>
            <w:r w:rsidR="00DD217C" w:rsidRPr="00AC6E74">
              <w:t xml:space="preserve"> </w:t>
            </w:r>
            <w:r w:rsidRPr="00AC6E74">
              <w:t>Union</w:t>
            </w:r>
          </w:p>
        </w:tc>
        <w:tc>
          <w:tcPr>
            <w:tcW w:w="2126" w:type="dxa"/>
            <w:tcBorders>
              <w:top w:val="single" w:sz="4" w:space="0" w:color="auto"/>
            </w:tcBorders>
          </w:tcPr>
          <w:p w14:paraId="722FDE25" w14:textId="1CC0CE80" w:rsidR="0081145C" w:rsidRPr="00AC6E74" w:rsidRDefault="0081145C" w:rsidP="00DD217C">
            <w:pPr>
              <w:ind w:left="0"/>
            </w:pPr>
            <w:r w:rsidRPr="00AC6E74">
              <w:t>18 Dec</w:t>
            </w:r>
            <w:r w:rsidR="00DD217C" w:rsidRPr="00AC6E74">
              <w:t>ember</w:t>
            </w:r>
            <w:r w:rsidRPr="00AC6E74">
              <w:t xml:space="preserve"> 2021</w:t>
            </w:r>
          </w:p>
        </w:tc>
        <w:tc>
          <w:tcPr>
            <w:tcW w:w="1985" w:type="dxa"/>
            <w:tcBorders>
              <w:top w:val="single" w:sz="4" w:space="0" w:color="auto"/>
            </w:tcBorders>
          </w:tcPr>
          <w:p w14:paraId="316A2069" w14:textId="2FD9AD8D" w:rsidR="0081145C" w:rsidRPr="00AC6E74" w:rsidRDefault="00DD217C" w:rsidP="00DD217C">
            <w:pPr>
              <w:ind w:left="0"/>
            </w:pPr>
            <w:r w:rsidRPr="00AC6E74">
              <w:t xml:space="preserve">Approved on </w:t>
            </w:r>
            <w:r w:rsidR="0081145C" w:rsidRPr="00AC6E74">
              <w:t>6</w:t>
            </w:r>
            <w:r w:rsidR="00174A4D">
              <w:t> </w:t>
            </w:r>
            <w:r w:rsidR="0081145C" w:rsidRPr="00AC6E74">
              <w:t>Jan</w:t>
            </w:r>
            <w:r w:rsidRPr="00AC6E74">
              <w:t>uary</w:t>
            </w:r>
            <w:r w:rsidR="0081145C" w:rsidRPr="00AC6E74">
              <w:t xml:space="preserve"> 2022</w:t>
            </w:r>
          </w:p>
        </w:tc>
        <w:tc>
          <w:tcPr>
            <w:tcW w:w="3118" w:type="dxa"/>
            <w:tcBorders>
              <w:top w:val="single" w:sz="4" w:space="0" w:color="auto"/>
            </w:tcBorders>
          </w:tcPr>
          <w:p w14:paraId="4F6A366F" w14:textId="1EAA96AC" w:rsidR="0081145C" w:rsidRPr="00AC6E74" w:rsidRDefault="00DD217C" w:rsidP="00DD217C">
            <w:pPr>
              <w:ind w:left="0"/>
              <w:rPr>
                <w:i/>
                <w:iCs/>
              </w:rPr>
            </w:pPr>
            <w:proofErr w:type="spellStart"/>
            <w:r w:rsidRPr="00AC6E74">
              <w:rPr>
                <w:i/>
                <w:iCs/>
              </w:rPr>
              <w:t>Lumykras</w:t>
            </w:r>
            <w:proofErr w:type="spellEnd"/>
            <w:r w:rsidRPr="00AC6E74">
              <w:rPr>
                <w:i/>
                <w:iCs/>
              </w:rPr>
              <w:t xml:space="preserve"> </w:t>
            </w:r>
            <w:r w:rsidR="0081145C" w:rsidRPr="00AC6E74">
              <w:rPr>
                <w:i/>
                <w:iCs/>
              </w:rPr>
              <w:t>as monotherapy is indicated for the treatment of adults with advanced non-small cell</w:t>
            </w:r>
            <w:r w:rsidRPr="00AC6E74">
              <w:rPr>
                <w:i/>
                <w:iCs/>
              </w:rPr>
              <w:t xml:space="preserve"> </w:t>
            </w:r>
            <w:r w:rsidR="0081145C" w:rsidRPr="00AC6E74">
              <w:rPr>
                <w:i/>
                <w:iCs/>
              </w:rPr>
              <w:t>lung cancer (NSCLC) with KRAS</w:t>
            </w:r>
            <w:r w:rsidR="00486BC1" w:rsidRPr="00AC6E74">
              <w:rPr>
                <w:i/>
                <w:iCs/>
              </w:rPr>
              <w:t> </w:t>
            </w:r>
            <w:r w:rsidR="0081145C" w:rsidRPr="00AC6E74">
              <w:rPr>
                <w:i/>
                <w:iCs/>
              </w:rPr>
              <w:t>G12C mutation and who have progressed after at least one prior</w:t>
            </w:r>
            <w:r w:rsidRPr="00AC6E74">
              <w:rPr>
                <w:i/>
                <w:iCs/>
              </w:rPr>
              <w:t xml:space="preserve"> </w:t>
            </w:r>
            <w:r w:rsidR="0081145C" w:rsidRPr="00AC6E74">
              <w:rPr>
                <w:i/>
                <w:iCs/>
              </w:rPr>
              <w:t>line of systemic therapy.</w:t>
            </w:r>
          </w:p>
        </w:tc>
      </w:tr>
      <w:tr w:rsidR="0081145C" w:rsidRPr="00AC6E74" w14:paraId="1A3DD575" w14:textId="77777777" w:rsidTr="00F36E0D">
        <w:tc>
          <w:tcPr>
            <w:tcW w:w="1413" w:type="dxa"/>
            <w:tcBorders>
              <w:top w:val="single" w:sz="4" w:space="0" w:color="auto"/>
            </w:tcBorders>
          </w:tcPr>
          <w:p w14:paraId="05B55C72" w14:textId="2DA04576" w:rsidR="0081145C" w:rsidRPr="00AC6E74" w:rsidRDefault="0081145C" w:rsidP="00DD217C">
            <w:pPr>
              <w:ind w:left="0"/>
            </w:pPr>
            <w:r w:rsidRPr="00AC6E74">
              <w:t>Israel</w:t>
            </w:r>
          </w:p>
        </w:tc>
        <w:tc>
          <w:tcPr>
            <w:tcW w:w="2126" w:type="dxa"/>
            <w:tcBorders>
              <w:top w:val="single" w:sz="4" w:space="0" w:color="auto"/>
            </w:tcBorders>
          </w:tcPr>
          <w:p w14:paraId="19A82F7F" w14:textId="29B4BF18" w:rsidR="0081145C" w:rsidRPr="00AC6E74" w:rsidRDefault="0081145C" w:rsidP="00DD217C">
            <w:pPr>
              <w:ind w:left="0"/>
            </w:pPr>
            <w:r w:rsidRPr="00AC6E74">
              <w:t>7 Jun</w:t>
            </w:r>
            <w:r w:rsidR="00DD217C" w:rsidRPr="00AC6E74">
              <w:t>e</w:t>
            </w:r>
            <w:r w:rsidRPr="00AC6E74">
              <w:t xml:space="preserve"> 2021</w:t>
            </w:r>
          </w:p>
        </w:tc>
        <w:tc>
          <w:tcPr>
            <w:tcW w:w="1985" w:type="dxa"/>
            <w:tcBorders>
              <w:top w:val="single" w:sz="4" w:space="0" w:color="auto"/>
            </w:tcBorders>
          </w:tcPr>
          <w:p w14:paraId="6432E9CF" w14:textId="0F4439AE" w:rsidR="00395A35" w:rsidRPr="00AC6E74" w:rsidRDefault="00174A4D" w:rsidP="00DD217C">
            <w:pPr>
              <w:ind w:left="0"/>
            </w:pPr>
            <w:r>
              <w:t>Under consideration</w:t>
            </w:r>
          </w:p>
        </w:tc>
        <w:tc>
          <w:tcPr>
            <w:tcW w:w="3118" w:type="dxa"/>
            <w:tcBorders>
              <w:top w:val="single" w:sz="4" w:space="0" w:color="auto"/>
            </w:tcBorders>
          </w:tcPr>
          <w:p w14:paraId="10409FC4" w14:textId="1B5E0ADB" w:rsidR="0081145C" w:rsidRPr="00AC6E74" w:rsidRDefault="00902671" w:rsidP="00DD217C">
            <w:pPr>
              <w:ind w:left="0"/>
              <w:rPr>
                <w:i/>
                <w:iCs/>
              </w:rPr>
            </w:pPr>
            <w:r w:rsidRPr="00DB11B7">
              <w:t>Under consideration</w:t>
            </w:r>
          </w:p>
        </w:tc>
      </w:tr>
      <w:tr w:rsidR="00006FAB" w:rsidRPr="00AC6E74" w14:paraId="048E0131" w14:textId="77777777" w:rsidTr="00F36E0D">
        <w:tc>
          <w:tcPr>
            <w:tcW w:w="1413" w:type="dxa"/>
          </w:tcPr>
          <w:p w14:paraId="59D842D3" w14:textId="043E8B5B" w:rsidR="00006FAB" w:rsidRPr="00AC6E74" w:rsidRDefault="0081145C" w:rsidP="00006FAB">
            <w:pPr>
              <w:ind w:left="0" w:right="0"/>
            </w:pPr>
            <w:r w:rsidRPr="00AC6E74">
              <w:t>Singapore</w:t>
            </w:r>
          </w:p>
        </w:tc>
        <w:tc>
          <w:tcPr>
            <w:tcW w:w="2126" w:type="dxa"/>
          </w:tcPr>
          <w:p w14:paraId="588875DD" w14:textId="24106C67" w:rsidR="00006FAB" w:rsidRPr="00AC6E74" w:rsidRDefault="0081145C" w:rsidP="00006FAB">
            <w:pPr>
              <w:ind w:left="0" w:right="0"/>
            </w:pPr>
            <w:r w:rsidRPr="00AC6E74">
              <w:t>10 Jun</w:t>
            </w:r>
            <w:r w:rsidR="00DD217C" w:rsidRPr="00AC6E74">
              <w:t>e</w:t>
            </w:r>
            <w:r w:rsidRPr="00AC6E74">
              <w:t xml:space="preserve"> 2021</w:t>
            </w:r>
          </w:p>
        </w:tc>
        <w:tc>
          <w:tcPr>
            <w:tcW w:w="1985" w:type="dxa"/>
          </w:tcPr>
          <w:p w14:paraId="061E77A1" w14:textId="1FF16EE3" w:rsidR="00395A35" w:rsidRPr="00AC6E74" w:rsidRDefault="00902671" w:rsidP="00006FAB">
            <w:pPr>
              <w:ind w:left="0" w:right="0"/>
            </w:pPr>
            <w:r w:rsidRPr="00902671">
              <w:t xml:space="preserve">Under consideration </w:t>
            </w:r>
          </w:p>
        </w:tc>
        <w:tc>
          <w:tcPr>
            <w:tcW w:w="3118" w:type="dxa"/>
          </w:tcPr>
          <w:p w14:paraId="59E014E2" w14:textId="77777777" w:rsidR="00006FAB" w:rsidRPr="00DB11B7" w:rsidRDefault="00006FAB" w:rsidP="00006FAB">
            <w:pPr>
              <w:ind w:left="0" w:right="0"/>
            </w:pPr>
            <w:r w:rsidRPr="00DB11B7">
              <w:t>Under consideration</w:t>
            </w:r>
          </w:p>
        </w:tc>
      </w:tr>
      <w:tr w:rsidR="0081145C" w:rsidRPr="00AC6E74" w14:paraId="56A67847" w14:textId="77777777" w:rsidTr="00F36E0D">
        <w:trPr>
          <w:cantSplit/>
        </w:trPr>
        <w:tc>
          <w:tcPr>
            <w:tcW w:w="1413" w:type="dxa"/>
          </w:tcPr>
          <w:p w14:paraId="525C38F4" w14:textId="0D55A2EF" w:rsidR="0081145C" w:rsidRPr="00AC6E74" w:rsidRDefault="0081145C" w:rsidP="00DD217C">
            <w:pPr>
              <w:ind w:left="0"/>
            </w:pPr>
            <w:r w:rsidRPr="00AC6E74">
              <w:lastRenderedPageBreak/>
              <w:t>Switzerland</w:t>
            </w:r>
          </w:p>
        </w:tc>
        <w:tc>
          <w:tcPr>
            <w:tcW w:w="2126" w:type="dxa"/>
          </w:tcPr>
          <w:p w14:paraId="3701B9B7" w14:textId="39664922" w:rsidR="0081145C" w:rsidRPr="00AC6E74" w:rsidRDefault="0081145C" w:rsidP="00DD217C">
            <w:pPr>
              <w:ind w:left="0"/>
            </w:pPr>
            <w:r w:rsidRPr="00AC6E74">
              <w:t>21 Apr</w:t>
            </w:r>
            <w:r w:rsidR="00DD217C" w:rsidRPr="00AC6E74">
              <w:t>il</w:t>
            </w:r>
            <w:r w:rsidRPr="00AC6E74">
              <w:t xml:space="preserve"> 2021</w:t>
            </w:r>
          </w:p>
        </w:tc>
        <w:tc>
          <w:tcPr>
            <w:tcW w:w="1985" w:type="dxa"/>
          </w:tcPr>
          <w:p w14:paraId="583E697C" w14:textId="0C37C2ED" w:rsidR="0081145C" w:rsidRPr="00AC6E74" w:rsidRDefault="00DD217C" w:rsidP="00DD217C">
            <w:pPr>
              <w:ind w:left="0"/>
            </w:pPr>
            <w:r w:rsidRPr="00AC6E74">
              <w:t xml:space="preserve">Approved on </w:t>
            </w:r>
            <w:r w:rsidR="0081145C" w:rsidRPr="00AC6E74">
              <w:t>16</w:t>
            </w:r>
            <w:r w:rsidR="00174A4D">
              <w:t> </w:t>
            </w:r>
            <w:r w:rsidR="0081145C" w:rsidRPr="00AC6E74">
              <w:t>Dec</w:t>
            </w:r>
            <w:r w:rsidRPr="00AC6E74">
              <w:t>ember</w:t>
            </w:r>
            <w:r w:rsidR="0081145C" w:rsidRPr="00AC6E74">
              <w:t xml:space="preserve"> 2021</w:t>
            </w:r>
          </w:p>
        </w:tc>
        <w:tc>
          <w:tcPr>
            <w:tcW w:w="3118" w:type="dxa"/>
          </w:tcPr>
          <w:p w14:paraId="26A1163C" w14:textId="419890D1" w:rsidR="0081145C" w:rsidRPr="00AC6E74" w:rsidRDefault="00DD217C" w:rsidP="00DD217C">
            <w:pPr>
              <w:ind w:left="0"/>
              <w:rPr>
                <w:i/>
                <w:iCs/>
              </w:rPr>
            </w:pPr>
            <w:proofErr w:type="spellStart"/>
            <w:r w:rsidRPr="00AC6E74">
              <w:rPr>
                <w:i/>
                <w:iCs/>
              </w:rPr>
              <w:t>Lumykras</w:t>
            </w:r>
            <w:proofErr w:type="spellEnd"/>
            <w:r w:rsidRPr="00AC6E74">
              <w:rPr>
                <w:i/>
                <w:iCs/>
              </w:rPr>
              <w:t xml:space="preserve"> </w:t>
            </w:r>
            <w:r w:rsidR="0081145C" w:rsidRPr="00AC6E74">
              <w:rPr>
                <w:i/>
                <w:iCs/>
              </w:rPr>
              <w:t>is indicated as monotherapy for the treatment of adult patients with KRAS</w:t>
            </w:r>
            <w:r w:rsidR="00486BC1" w:rsidRPr="00AC6E74">
              <w:rPr>
                <w:i/>
                <w:iCs/>
              </w:rPr>
              <w:t> </w:t>
            </w:r>
            <w:r w:rsidR="0081145C" w:rsidRPr="00AC6E74">
              <w:rPr>
                <w:i/>
                <w:iCs/>
              </w:rPr>
              <w:t>G12C</w:t>
            </w:r>
            <w:r w:rsidRPr="00AC6E74">
              <w:rPr>
                <w:i/>
                <w:iCs/>
              </w:rPr>
              <w:t xml:space="preserve"> </w:t>
            </w:r>
            <w:r w:rsidR="0081145C" w:rsidRPr="00AC6E74">
              <w:rPr>
                <w:i/>
                <w:iCs/>
              </w:rPr>
              <w:t>mutated</w:t>
            </w:r>
            <w:r w:rsidRPr="00AC6E74">
              <w:rPr>
                <w:i/>
                <w:iCs/>
              </w:rPr>
              <w:t xml:space="preserve"> </w:t>
            </w:r>
            <w:r w:rsidR="0081145C" w:rsidRPr="00AC6E74">
              <w:rPr>
                <w:i/>
                <w:iCs/>
              </w:rPr>
              <w:t>locally advanced or metastatic non-squamous non-small cell lung cancer (NSCLC) who have</w:t>
            </w:r>
            <w:r w:rsidRPr="00AC6E74">
              <w:rPr>
                <w:i/>
                <w:iCs/>
              </w:rPr>
              <w:t xml:space="preserve"> </w:t>
            </w:r>
            <w:r w:rsidR="0081145C" w:rsidRPr="00AC6E74">
              <w:rPr>
                <w:i/>
                <w:iCs/>
              </w:rPr>
              <w:t>experienced progression after prior treatment with platinum-based chemotherapy and/or anti</w:t>
            </w:r>
            <w:r w:rsidRPr="00AC6E74">
              <w:rPr>
                <w:i/>
                <w:iCs/>
              </w:rPr>
              <w:noBreakHyphen/>
            </w:r>
            <w:r w:rsidR="0081145C" w:rsidRPr="00AC6E74">
              <w:rPr>
                <w:i/>
                <w:iCs/>
              </w:rPr>
              <w:t>PD</w:t>
            </w:r>
            <w:r w:rsidRPr="00AC6E74">
              <w:rPr>
                <w:i/>
                <w:iCs/>
              </w:rPr>
              <w:noBreakHyphen/>
            </w:r>
            <w:r w:rsidR="0081145C" w:rsidRPr="00AC6E74">
              <w:rPr>
                <w:i/>
                <w:iCs/>
              </w:rPr>
              <w:t xml:space="preserve">1/PD-L1 immunotherapy (see </w:t>
            </w:r>
            <w:r w:rsidRPr="00AC6E74">
              <w:rPr>
                <w:i/>
                <w:iCs/>
              </w:rPr>
              <w:t>‘</w:t>
            </w:r>
            <w:r w:rsidR="0081145C" w:rsidRPr="00AC6E74">
              <w:rPr>
                <w:i/>
                <w:iCs/>
              </w:rPr>
              <w:t>Clinical efficacy</w:t>
            </w:r>
            <w:r w:rsidRPr="00AC6E74">
              <w:rPr>
                <w:i/>
                <w:iCs/>
              </w:rPr>
              <w:t>’</w:t>
            </w:r>
            <w:r w:rsidR="0081145C" w:rsidRPr="00AC6E74">
              <w:rPr>
                <w:i/>
                <w:iCs/>
              </w:rPr>
              <w:t>).</w:t>
            </w:r>
          </w:p>
          <w:p w14:paraId="6D61A93D" w14:textId="7FB4915A" w:rsidR="0081145C" w:rsidRPr="00AC6E74" w:rsidRDefault="0081145C" w:rsidP="0081145C">
            <w:pPr>
              <w:ind w:left="0"/>
              <w:rPr>
                <w:i/>
                <w:iCs/>
              </w:rPr>
            </w:pPr>
            <w:r w:rsidRPr="00AC6E74">
              <w:rPr>
                <w:i/>
                <w:iCs/>
              </w:rPr>
              <w:t xml:space="preserve">The efficacy and safety of </w:t>
            </w:r>
            <w:proofErr w:type="spellStart"/>
            <w:r w:rsidR="00DD217C" w:rsidRPr="00AC6E74">
              <w:rPr>
                <w:i/>
                <w:iCs/>
              </w:rPr>
              <w:t>Lumykras</w:t>
            </w:r>
            <w:proofErr w:type="spellEnd"/>
            <w:r w:rsidR="00DD217C" w:rsidRPr="00AC6E74">
              <w:rPr>
                <w:i/>
                <w:iCs/>
              </w:rPr>
              <w:t xml:space="preserve"> </w:t>
            </w:r>
            <w:r w:rsidRPr="00AC6E74">
              <w:rPr>
                <w:i/>
                <w:iCs/>
              </w:rPr>
              <w:t xml:space="preserve">has not been studied in patients with </w:t>
            </w:r>
            <w:proofErr w:type="gramStart"/>
            <w:r w:rsidRPr="00AC6E74">
              <w:rPr>
                <w:i/>
                <w:iCs/>
              </w:rPr>
              <w:t>other</w:t>
            </w:r>
            <w:proofErr w:type="gramEnd"/>
            <w:r w:rsidRPr="00AC6E74">
              <w:rPr>
                <w:i/>
                <w:iCs/>
              </w:rPr>
              <w:t xml:space="preserve"> oncogenic driver</w:t>
            </w:r>
          </w:p>
        </w:tc>
      </w:tr>
      <w:tr w:rsidR="0081145C" w:rsidRPr="00AC6E74" w14:paraId="768A187C" w14:textId="77777777" w:rsidTr="00F36E0D">
        <w:tc>
          <w:tcPr>
            <w:tcW w:w="1413" w:type="dxa"/>
          </w:tcPr>
          <w:p w14:paraId="5552EDC2" w14:textId="6200EC75" w:rsidR="0081145C" w:rsidRPr="00AC6E74" w:rsidRDefault="0081145C" w:rsidP="00DD217C">
            <w:pPr>
              <w:ind w:left="0"/>
            </w:pPr>
            <w:r w:rsidRPr="00AC6E74">
              <w:t>United</w:t>
            </w:r>
            <w:r w:rsidR="00DD217C" w:rsidRPr="00AC6E74">
              <w:t xml:space="preserve"> </w:t>
            </w:r>
            <w:r w:rsidRPr="00AC6E74">
              <w:t>Kingdom</w:t>
            </w:r>
          </w:p>
        </w:tc>
        <w:tc>
          <w:tcPr>
            <w:tcW w:w="2126" w:type="dxa"/>
          </w:tcPr>
          <w:p w14:paraId="6977FD4C" w14:textId="6269E746" w:rsidR="0081145C" w:rsidRPr="00AC6E74" w:rsidRDefault="0081145C" w:rsidP="00DD217C">
            <w:pPr>
              <w:ind w:left="0"/>
            </w:pPr>
            <w:r w:rsidRPr="00AC6E74">
              <w:t>15 Jan</w:t>
            </w:r>
            <w:r w:rsidR="00DD217C" w:rsidRPr="00AC6E74">
              <w:t>uary</w:t>
            </w:r>
            <w:r w:rsidRPr="00AC6E74">
              <w:t xml:space="preserve"> 2021</w:t>
            </w:r>
          </w:p>
        </w:tc>
        <w:tc>
          <w:tcPr>
            <w:tcW w:w="1985" w:type="dxa"/>
          </w:tcPr>
          <w:p w14:paraId="3B3D33F0" w14:textId="523DBB03" w:rsidR="0081145C" w:rsidRPr="00AC6E74" w:rsidRDefault="00DD217C" w:rsidP="00DD217C">
            <w:pPr>
              <w:ind w:left="0"/>
            </w:pPr>
            <w:r w:rsidRPr="00AC6E74">
              <w:t xml:space="preserve">Approved on </w:t>
            </w:r>
            <w:r w:rsidR="0081145C" w:rsidRPr="00AC6E74">
              <w:t>8</w:t>
            </w:r>
            <w:r w:rsidR="001D087C">
              <w:t> </w:t>
            </w:r>
            <w:r w:rsidRPr="00AC6E74">
              <w:t>September</w:t>
            </w:r>
            <w:r w:rsidR="0081145C" w:rsidRPr="00AC6E74">
              <w:t xml:space="preserve"> 2021</w:t>
            </w:r>
          </w:p>
        </w:tc>
        <w:tc>
          <w:tcPr>
            <w:tcW w:w="3118" w:type="dxa"/>
          </w:tcPr>
          <w:p w14:paraId="35FE442C" w14:textId="44B234D3" w:rsidR="0081145C" w:rsidRPr="00AC6E74" w:rsidRDefault="00DD217C" w:rsidP="00DD217C">
            <w:pPr>
              <w:ind w:left="0"/>
              <w:rPr>
                <w:i/>
                <w:iCs/>
              </w:rPr>
            </w:pPr>
            <w:proofErr w:type="spellStart"/>
            <w:r w:rsidRPr="00AC6E74">
              <w:rPr>
                <w:i/>
                <w:iCs/>
              </w:rPr>
              <w:t>Lumykras</w:t>
            </w:r>
            <w:proofErr w:type="spellEnd"/>
            <w:r w:rsidRPr="00AC6E74">
              <w:rPr>
                <w:i/>
                <w:iCs/>
              </w:rPr>
              <w:t xml:space="preserve"> </w:t>
            </w:r>
            <w:r w:rsidR="0081145C" w:rsidRPr="00AC6E74">
              <w:rPr>
                <w:i/>
                <w:iCs/>
              </w:rPr>
              <w:t>is indicated as monotherapy for the treatment of adult patients with KRAS</w:t>
            </w:r>
            <w:r w:rsidR="00344667" w:rsidRPr="00AC6E74">
              <w:rPr>
                <w:i/>
                <w:iCs/>
              </w:rPr>
              <w:t> </w:t>
            </w:r>
            <w:r w:rsidR="0081145C" w:rsidRPr="00AC6E74">
              <w:rPr>
                <w:i/>
                <w:iCs/>
              </w:rPr>
              <w:t>G12C</w:t>
            </w:r>
            <w:r w:rsidRPr="00AC6E74">
              <w:rPr>
                <w:i/>
                <w:iCs/>
              </w:rPr>
              <w:t xml:space="preserve"> </w:t>
            </w:r>
            <w:r w:rsidR="0081145C" w:rsidRPr="00AC6E74">
              <w:rPr>
                <w:i/>
                <w:iCs/>
              </w:rPr>
              <w:t>mutated locally advanced or metastatic non-small cell lung cancer (NSCLC), who have progressed</w:t>
            </w:r>
            <w:r w:rsidRPr="00AC6E74">
              <w:rPr>
                <w:i/>
                <w:iCs/>
              </w:rPr>
              <w:t xml:space="preserve"> </w:t>
            </w:r>
            <w:r w:rsidR="0081145C" w:rsidRPr="00AC6E74">
              <w:rPr>
                <w:i/>
                <w:iCs/>
              </w:rPr>
              <w:t>on, or are intolerant to, platinum-based chemotherapy and/or anti</w:t>
            </w:r>
            <w:r w:rsidRPr="00AC6E74">
              <w:rPr>
                <w:i/>
                <w:iCs/>
              </w:rPr>
              <w:noBreakHyphen/>
            </w:r>
            <w:r w:rsidR="0081145C" w:rsidRPr="00AC6E74">
              <w:rPr>
                <w:i/>
                <w:iCs/>
              </w:rPr>
              <w:t>PD</w:t>
            </w:r>
            <w:r w:rsidRPr="00AC6E74">
              <w:rPr>
                <w:i/>
                <w:iCs/>
              </w:rPr>
              <w:noBreakHyphen/>
            </w:r>
            <w:r w:rsidR="0081145C" w:rsidRPr="00AC6E74">
              <w:rPr>
                <w:i/>
                <w:iCs/>
              </w:rPr>
              <w:t>1/PD-L1 immunotherapy.</w:t>
            </w:r>
          </w:p>
        </w:tc>
      </w:tr>
      <w:tr w:rsidR="0081145C" w:rsidRPr="00AC6E74" w14:paraId="1F6B8858" w14:textId="77777777" w:rsidTr="00F36E0D">
        <w:tc>
          <w:tcPr>
            <w:tcW w:w="1413" w:type="dxa"/>
          </w:tcPr>
          <w:p w14:paraId="2B5F938A" w14:textId="0EDD308F" w:rsidR="0081145C" w:rsidRPr="00AC6E74" w:rsidRDefault="0081145C" w:rsidP="00DD217C">
            <w:pPr>
              <w:ind w:left="0"/>
            </w:pPr>
            <w:r w:rsidRPr="00AC6E74">
              <w:t>United</w:t>
            </w:r>
            <w:r w:rsidR="00DD217C" w:rsidRPr="00AC6E74">
              <w:t xml:space="preserve"> </w:t>
            </w:r>
            <w:r w:rsidRPr="00AC6E74">
              <w:t>States of</w:t>
            </w:r>
            <w:r w:rsidR="00DD217C" w:rsidRPr="00AC6E74">
              <w:t xml:space="preserve"> </w:t>
            </w:r>
            <w:r w:rsidRPr="00AC6E74">
              <w:t>America</w:t>
            </w:r>
          </w:p>
        </w:tc>
        <w:tc>
          <w:tcPr>
            <w:tcW w:w="2126" w:type="dxa"/>
          </w:tcPr>
          <w:p w14:paraId="0CABE0E4" w14:textId="3FE330B6" w:rsidR="0081145C" w:rsidRPr="00AC6E74" w:rsidRDefault="0081145C" w:rsidP="00DD217C">
            <w:pPr>
              <w:ind w:left="0"/>
            </w:pPr>
            <w:r w:rsidRPr="00AC6E74">
              <w:t>16 Dec</w:t>
            </w:r>
            <w:r w:rsidR="00DD217C" w:rsidRPr="00AC6E74">
              <w:t>ember</w:t>
            </w:r>
            <w:r w:rsidRPr="00AC6E74">
              <w:t xml:space="preserve"> 2020</w:t>
            </w:r>
          </w:p>
        </w:tc>
        <w:tc>
          <w:tcPr>
            <w:tcW w:w="1985" w:type="dxa"/>
          </w:tcPr>
          <w:p w14:paraId="38DF3071" w14:textId="253C55C8" w:rsidR="0081145C" w:rsidRPr="00AC6E74" w:rsidRDefault="00DD217C" w:rsidP="00DD217C">
            <w:pPr>
              <w:ind w:left="0"/>
            </w:pPr>
            <w:r w:rsidRPr="00AC6E74">
              <w:t xml:space="preserve">Approved on </w:t>
            </w:r>
            <w:r w:rsidR="0081145C" w:rsidRPr="00AC6E74">
              <w:t>28</w:t>
            </w:r>
            <w:r w:rsidR="001D087C">
              <w:t> </w:t>
            </w:r>
            <w:r w:rsidR="0081145C" w:rsidRPr="00AC6E74">
              <w:t>May 2021</w:t>
            </w:r>
          </w:p>
        </w:tc>
        <w:tc>
          <w:tcPr>
            <w:tcW w:w="3118" w:type="dxa"/>
          </w:tcPr>
          <w:p w14:paraId="15333484" w14:textId="61603431" w:rsidR="0081145C" w:rsidRPr="00AC6E74" w:rsidRDefault="00DD217C" w:rsidP="00DD217C">
            <w:pPr>
              <w:ind w:left="0"/>
              <w:rPr>
                <w:i/>
                <w:iCs/>
              </w:rPr>
            </w:pPr>
            <w:r w:rsidRPr="00AC6E74">
              <w:rPr>
                <w:i/>
                <w:iCs/>
              </w:rPr>
              <w:t>Lumakras</w:t>
            </w:r>
            <w:r w:rsidR="0081145C" w:rsidRPr="00AC6E74">
              <w:rPr>
                <w:i/>
                <w:iCs/>
              </w:rPr>
              <w:t xml:space="preserve"> is indicated for the treatment of adult patients with KRAS</w:t>
            </w:r>
            <w:r w:rsidR="00344667" w:rsidRPr="00AC6E74">
              <w:rPr>
                <w:i/>
                <w:iCs/>
              </w:rPr>
              <w:t> </w:t>
            </w:r>
            <w:r w:rsidR="0081145C" w:rsidRPr="00AC6E74">
              <w:rPr>
                <w:i/>
                <w:iCs/>
              </w:rPr>
              <w:t>G12C mutated locally</w:t>
            </w:r>
            <w:r w:rsidRPr="00AC6E74">
              <w:rPr>
                <w:i/>
                <w:iCs/>
              </w:rPr>
              <w:t xml:space="preserve"> </w:t>
            </w:r>
            <w:r w:rsidR="0081145C" w:rsidRPr="00AC6E74">
              <w:rPr>
                <w:i/>
                <w:iCs/>
              </w:rPr>
              <w:t>advanced or metastatic non</w:t>
            </w:r>
            <w:r w:rsidR="00486BC1" w:rsidRPr="00AC6E74">
              <w:rPr>
                <w:i/>
                <w:iCs/>
              </w:rPr>
              <w:noBreakHyphen/>
            </w:r>
            <w:r w:rsidR="0081145C" w:rsidRPr="00AC6E74">
              <w:rPr>
                <w:i/>
                <w:iCs/>
              </w:rPr>
              <w:t>small cell lung cancer (NSCLC), as determined by an FDA approved test</w:t>
            </w:r>
            <w:r w:rsidRPr="00AC6E74">
              <w:rPr>
                <w:i/>
                <w:iCs/>
              </w:rPr>
              <w:t xml:space="preserve"> (</w:t>
            </w:r>
            <w:r w:rsidR="0081145C" w:rsidRPr="00AC6E74">
              <w:rPr>
                <w:i/>
                <w:iCs/>
              </w:rPr>
              <w:t>see Dosage and Administration (2.1)</w:t>
            </w:r>
            <w:r w:rsidRPr="00AC6E74">
              <w:rPr>
                <w:i/>
                <w:iCs/>
              </w:rPr>
              <w:t>)</w:t>
            </w:r>
            <w:r w:rsidR="0081145C" w:rsidRPr="00AC6E74">
              <w:rPr>
                <w:i/>
                <w:iCs/>
              </w:rPr>
              <w:t>, who have received at least one prior systemic therapy.</w:t>
            </w:r>
          </w:p>
          <w:p w14:paraId="65523FEE" w14:textId="1B0232CD" w:rsidR="0081145C" w:rsidRPr="00AC6E74" w:rsidRDefault="0081145C" w:rsidP="00DD217C">
            <w:pPr>
              <w:ind w:left="0"/>
              <w:rPr>
                <w:i/>
                <w:iCs/>
              </w:rPr>
            </w:pPr>
            <w:r w:rsidRPr="00AC6E74">
              <w:rPr>
                <w:i/>
                <w:iCs/>
              </w:rPr>
              <w:t>This indication is approved under accelerated approval based on overall response rate (ORR) and</w:t>
            </w:r>
            <w:r w:rsidR="00DD217C" w:rsidRPr="00AC6E74">
              <w:rPr>
                <w:i/>
                <w:iCs/>
              </w:rPr>
              <w:t xml:space="preserve"> </w:t>
            </w:r>
            <w:r w:rsidRPr="00AC6E74">
              <w:rPr>
                <w:i/>
                <w:iCs/>
              </w:rPr>
              <w:t xml:space="preserve">duration of response (DOR) </w:t>
            </w:r>
            <w:r w:rsidR="00DD217C" w:rsidRPr="00AC6E74">
              <w:rPr>
                <w:i/>
                <w:iCs/>
              </w:rPr>
              <w:t>(</w:t>
            </w:r>
            <w:r w:rsidRPr="00AC6E74">
              <w:rPr>
                <w:i/>
                <w:iCs/>
              </w:rPr>
              <w:t>see Clinical Studies (14)</w:t>
            </w:r>
            <w:r w:rsidR="00DD217C" w:rsidRPr="00AC6E74">
              <w:rPr>
                <w:i/>
                <w:iCs/>
              </w:rPr>
              <w:t>)</w:t>
            </w:r>
            <w:r w:rsidRPr="00AC6E74">
              <w:rPr>
                <w:i/>
                <w:iCs/>
              </w:rPr>
              <w:t xml:space="preserve">. Continued approval for this indication </w:t>
            </w:r>
            <w:r w:rsidRPr="00AC6E74">
              <w:rPr>
                <w:i/>
                <w:iCs/>
              </w:rPr>
              <w:lastRenderedPageBreak/>
              <w:t>may be</w:t>
            </w:r>
            <w:r w:rsidR="00DD217C" w:rsidRPr="00AC6E74">
              <w:rPr>
                <w:i/>
                <w:iCs/>
              </w:rPr>
              <w:t xml:space="preserve"> </w:t>
            </w:r>
            <w:r w:rsidRPr="00AC6E74">
              <w:rPr>
                <w:i/>
                <w:iCs/>
              </w:rPr>
              <w:t>contingent upon verification and description of clinical benefit in a confirmatory trial(s).</w:t>
            </w:r>
          </w:p>
        </w:tc>
      </w:tr>
    </w:tbl>
    <w:p w14:paraId="56D0552B" w14:textId="77777777" w:rsidR="008E7846" w:rsidRPr="00AC6E74" w:rsidRDefault="008E7846" w:rsidP="00940A89">
      <w:pPr>
        <w:pStyle w:val="Heading3"/>
      </w:pPr>
      <w:bookmarkStart w:id="28" w:name="_Toc136358057"/>
      <w:r w:rsidRPr="00AC6E74">
        <w:lastRenderedPageBreak/>
        <w:t>Product Information</w:t>
      </w:r>
      <w:bookmarkEnd w:id="25"/>
      <w:bookmarkEnd w:id="26"/>
      <w:bookmarkEnd w:id="28"/>
    </w:p>
    <w:p w14:paraId="11603E72" w14:textId="4E6F1832" w:rsidR="00332715" w:rsidRPr="00AC6E74" w:rsidRDefault="00332715" w:rsidP="00332715">
      <w:bookmarkStart w:id="29" w:name="_Toc504480011"/>
      <w:bookmarkStart w:id="30" w:name="_Toc247691506"/>
      <w:bookmarkStart w:id="31" w:name="_Toc314842487"/>
      <w:r w:rsidRPr="00AC6E74">
        <w:t xml:space="preserve">The Product Information (PI) approved with the submission which is described in this AusPAR can be found as Attachment 1. For the most recent PI, please refer to the TGA </w:t>
      </w:r>
      <w:hyperlink r:id="rId17" w:history="1">
        <w:r w:rsidRPr="00AC6E74">
          <w:rPr>
            <w:rStyle w:val="Hyperlink"/>
          </w:rPr>
          <w:t>PI/CMI search facility</w:t>
        </w:r>
        <w:r w:rsidRPr="00AC6E74">
          <w:rPr>
            <w:rStyle w:val="Hyperlink"/>
            <w:color w:val="auto"/>
            <w:u w:val="none"/>
          </w:rPr>
          <w:t>.</w:t>
        </w:r>
      </w:hyperlink>
    </w:p>
    <w:p w14:paraId="5737D948" w14:textId="570CE38D" w:rsidR="00500337" w:rsidRDefault="00500337" w:rsidP="00500337">
      <w:pPr>
        <w:pStyle w:val="Heading2"/>
      </w:pPr>
      <w:bookmarkStart w:id="32" w:name="_Toc136358058"/>
      <w:r w:rsidRPr="00AC6E74">
        <w:t>Registration timeline</w:t>
      </w:r>
      <w:bookmarkEnd w:id="29"/>
      <w:bookmarkEnd w:id="32"/>
    </w:p>
    <w:p w14:paraId="248278CF" w14:textId="17002237" w:rsidR="001D087C" w:rsidRPr="00594BB6" w:rsidRDefault="001D087C" w:rsidP="00DB11B7">
      <w:pPr>
        <w:rPr>
          <w:szCs w:val="20"/>
        </w:rPr>
      </w:pPr>
      <w:r>
        <w:t xml:space="preserve">This submission was evaluated under the TGA’s </w:t>
      </w:r>
      <w:hyperlink r:id="rId18" w:history="1">
        <w:r w:rsidRPr="00DB11B7">
          <w:rPr>
            <w:rStyle w:val="Hyperlink"/>
          </w:rPr>
          <w:t>provisional review pathway</w:t>
        </w:r>
      </w:hyperlink>
      <w:r>
        <w:rPr>
          <w:rStyle w:val="Hyperlink"/>
          <w:i/>
          <w:szCs w:val="20"/>
        </w:rPr>
        <w:t>.</w:t>
      </w:r>
    </w:p>
    <w:p w14:paraId="14977A92" w14:textId="77777777" w:rsidR="0074163C" w:rsidRPr="00AC6E74" w:rsidRDefault="0074163C" w:rsidP="0074163C">
      <w:r w:rsidRPr="00AC6E74">
        <w:t xml:space="preserve">The following table captures the key steps and dates for this </w:t>
      </w:r>
      <w:r w:rsidR="00804D99" w:rsidRPr="00AC6E74">
        <w:t>submission</w:t>
      </w:r>
      <w:r w:rsidRPr="00AC6E74">
        <w:t>.</w:t>
      </w:r>
    </w:p>
    <w:p w14:paraId="31824D14" w14:textId="511E352E" w:rsidR="0074163C" w:rsidRPr="00AC6E74" w:rsidRDefault="0074163C" w:rsidP="00DB11B7">
      <w:pPr>
        <w:pStyle w:val="TableTitle"/>
        <w:rPr>
          <w:szCs w:val="20"/>
        </w:rPr>
      </w:pPr>
      <w:r w:rsidRPr="00AC6E74">
        <w:t xml:space="preserve">Table </w:t>
      </w:r>
      <w:fldSimple w:instr=" SEQ Table \* ARABIC ">
        <w:r w:rsidR="009B21DC">
          <w:rPr>
            <w:noProof/>
          </w:rPr>
          <w:t>2</w:t>
        </w:r>
      </w:fldSimple>
      <w:r w:rsidRPr="00AC6E74">
        <w:t xml:space="preserve">: Timeline for Submission </w:t>
      </w:r>
      <w:r w:rsidR="00486BC1" w:rsidRPr="00AC6E74">
        <w:t>PM-2021-00026-1-4</w:t>
      </w:r>
    </w:p>
    <w:tbl>
      <w:tblPr>
        <w:tblStyle w:val="TableTGAblue"/>
        <w:tblW w:w="0" w:type="auto"/>
        <w:tblLook w:val="04A0" w:firstRow="1" w:lastRow="0" w:firstColumn="1" w:lastColumn="0" w:noHBand="0" w:noVBand="1"/>
      </w:tblPr>
      <w:tblGrid>
        <w:gridCol w:w="5665"/>
        <w:gridCol w:w="2829"/>
      </w:tblGrid>
      <w:tr w:rsidR="0074163C" w:rsidRPr="00AC6E74" w14:paraId="15D5B6A8" w14:textId="77777777" w:rsidTr="00F36E0D">
        <w:trPr>
          <w:cnfStyle w:val="100000000000" w:firstRow="1" w:lastRow="0" w:firstColumn="0" w:lastColumn="0" w:oddVBand="0" w:evenVBand="0" w:oddHBand="0" w:evenHBand="0" w:firstRowFirstColumn="0" w:firstRowLastColumn="0" w:lastRowFirstColumn="0" w:lastRowLastColumn="0"/>
        </w:trPr>
        <w:tc>
          <w:tcPr>
            <w:tcW w:w="5665" w:type="dxa"/>
            <w:tcBorders>
              <w:top w:val="single" w:sz="4" w:space="0" w:color="auto"/>
              <w:left w:val="single" w:sz="4" w:space="0" w:color="auto"/>
              <w:bottom w:val="single" w:sz="4" w:space="0" w:color="auto"/>
              <w:right w:val="single" w:sz="4" w:space="0" w:color="auto"/>
            </w:tcBorders>
          </w:tcPr>
          <w:p w14:paraId="6ED3B6FA" w14:textId="77777777" w:rsidR="0074163C" w:rsidRPr="00AC6E74" w:rsidRDefault="0074163C" w:rsidP="009E5A87">
            <w:r w:rsidRPr="00AC6E74">
              <w:t>Description</w:t>
            </w:r>
          </w:p>
        </w:tc>
        <w:tc>
          <w:tcPr>
            <w:tcW w:w="2829" w:type="dxa"/>
            <w:tcBorders>
              <w:top w:val="single" w:sz="4" w:space="0" w:color="auto"/>
              <w:left w:val="single" w:sz="4" w:space="0" w:color="auto"/>
              <w:bottom w:val="single" w:sz="4" w:space="0" w:color="auto"/>
              <w:right w:val="single" w:sz="4" w:space="0" w:color="auto"/>
            </w:tcBorders>
          </w:tcPr>
          <w:p w14:paraId="4B1F964C" w14:textId="77777777" w:rsidR="0074163C" w:rsidRPr="00AC6E74" w:rsidRDefault="0074163C" w:rsidP="009E5A87">
            <w:r w:rsidRPr="00AC6E74">
              <w:t>Date</w:t>
            </w:r>
          </w:p>
        </w:tc>
      </w:tr>
      <w:tr w:rsidR="0074163C" w:rsidRPr="00AC6E74" w14:paraId="4E80AFDE" w14:textId="77777777" w:rsidTr="00F36E0D">
        <w:tc>
          <w:tcPr>
            <w:tcW w:w="5665" w:type="dxa"/>
            <w:tcBorders>
              <w:top w:val="single" w:sz="4" w:space="0" w:color="auto"/>
            </w:tcBorders>
          </w:tcPr>
          <w:p w14:paraId="42CD04BA" w14:textId="5E750D72" w:rsidR="0074163C" w:rsidRPr="00AC6E74" w:rsidRDefault="0074163C" w:rsidP="009E5A87">
            <w:pPr>
              <w:pStyle w:val="Instructions"/>
              <w:rPr>
                <w:iCs/>
                <w:color w:val="000000" w:themeColor="text1"/>
              </w:rPr>
            </w:pPr>
            <w:r w:rsidRPr="00AC6E74">
              <w:rPr>
                <w:i w:val="0"/>
                <w:iCs/>
                <w:color w:val="000000" w:themeColor="text1"/>
              </w:rPr>
              <w:t>Designation (Orphan</w:t>
            </w:r>
            <w:r w:rsidR="000B30AE" w:rsidRPr="00AC6E74">
              <w:rPr>
                <w:i w:val="0"/>
                <w:iCs/>
                <w:color w:val="000000" w:themeColor="text1"/>
              </w:rPr>
              <w:t>)</w:t>
            </w:r>
          </w:p>
        </w:tc>
        <w:tc>
          <w:tcPr>
            <w:tcW w:w="2829" w:type="dxa"/>
            <w:tcBorders>
              <w:top w:val="single" w:sz="4" w:space="0" w:color="auto"/>
            </w:tcBorders>
          </w:tcPr>
          <w:p w14:paraId="4E3B282A" w14:textId="034F3377" w:rsidR="0074163C" w:rsidRPr="00AC6E74" w:rsidRDefault="00486BC1" w:rsidP="009E5A87">
            <w:r w:rsidRPr="00AC6E74">
              <w:t>10 November 2020</w:t>
            </w:r>
          </w:p>
        </w:tc>
      </w:tr>
      <w:tr w:rsidR="0074163C" w:rsidRPr="00AC6E74" w14:paraId="378EBC97" w14:textId="77777777" w:rsidTr="00F36E0D">
        <w:tc>
          <w:tcPr>
            <w:tcW w:w="5665" w:type="dxa"/>
            <w:tcBorders>
              <w:top w:val="single" w:sz="4" w:space="0" w:color="auto"/>
            </w:tcBorders>
          </w:tcPr>
          <w:p w14:paraId="39E7C4F8" w14:textId="078BB76D" w:rsidR="0074163C" w:rsidRPr="00AC6E74" w:rsidRDefault="0074163C" w:rsidP="009E5A87">
            <w:pPr>
              <w:pStyle w:val="Instructions"/>
              <w:rPr>
                <w:iCs/>
                <w:color w:val="000000" w:themeColor="text1"/>
              </w:rPr>
            </w:pPr>
            <w:r w:rsidRPr="00AC6E74">
              <w:rPr>
                <w:i w:val="0"/>
                <w:iCs/>
                <w:color w:val="000000" w:themeColor="text1"/>
              </w:rPr>
              <w:t>Determination (Provisional)</w:t>
            </w:r>
          </w:p>
        </w:tc>
        <w:tc>
          <w:tcPr>
            <w:tcW w:w="2829" w:type="dxa"/>
            <w:tcBorders>
              <w:top w:val="single" w:sz="4" w:space="0" w:color="auto"/>
            </w:tcBorders>
          </w:tcPr>
          <w:p w14:paraId="0B7C3876" w14:textId="6615B5D0" w:rsidR="0074163C" w:rsidRPr="00AC6E74" w:rsidRDefault="00486BC1" w:rsidP="009E5A87">
            <w:r w:rsidRPr="00AC6E74">
              <w:t>7 January 202</w:t>
            </w:r>
            <w:r w:rsidR="0051034D" w:rsidRPr="00AC6E74">
              <w:t>1</w:t>
            </w:r>
          </w:p>
        </w:tc>
      </w:tr>
      <w:tr w:rsidR="0074163C" w:rsidRPr="00AC6E74" w14:paraId="0705057B" w14:textId="77777777" w:rsidTr="00F36E0D">
        <w:tc>
          <w:tcPr>
            <w:tcW w:w="5665" w:type="dxa"/>
          </w:tcPr>
          <w:p w14:paraId="79E5CFC2" w14:textId="77777777" w:rsidR="0074163C" w:rsidRPr="00AC6E74" w:rsidRDefault="0074163C" w:rsidP="009E5A87">
            <w:r w:rsidRPr="00AC6E74">
              <w:t>Submission dossier accepted and first round evaluation commenced</w:t>
            </w:r>
          </w:p>
        </w:tc>
        <w:tc>
          <w:tcPr>
            <w:tcW w:w="2829" w:type="dxa"/>
          </w:tcPr>
          <w:p w14:paraId="00603CB1" w14:textId="47423071" w:rsidR="0074163C" w:rsidRPr="00AC6E74" w:rsidRDefault="000B30AE" w:rsidP="009E5A87">
            <w:r w:rsidRPr="00AC6E74">
              <w:t>1 March 2021</w:t>
            </w:r>
          </w:p>
        </w:tc>
      </w:tr>
      <w:tr w:rsidR="0074163C" w:rsidRPr="00AC6E74" w14:paraId="71C51AD5" w14:textId="77777777" w:rsidTr="00F36E0D">
        <w:tc>
          <w:tcPr>
            <w:tcW w:w="5665" w:type="dxa"/>
          </w:tcPr>
          <w:p w14:paraId="66AFF57B" w14:textId="77777777" w:rsidR="0074163C" w:rsidRPr="00AC6E74" w:rsidRDefault="0074163C" w:rsidP="009E5A87">
            <w:r w:rsidRPr="00AC6E74">
              <w:t>First round evaluation completed</w:t>
            </w:r>
          </w:p>
        </w:tc>
        <w:tc>
          <w:tcPr>
            <w:tcW w:w="2829" w:type="dxa"/>
          </w:tcPr>
          <w:p w14:paraId="076967F0" w14:textId="34347DA2" w:rsidR="0074163C" w:rsidRPr="00AC6E74" w:rsidRDefault="000B30AE" w:rsidP="009E5A87">
            <w:r w:rsidRPr="00AC6E74">
              <w:t>30 July 2021</w:t>
            </w:r>
          </w:p>
        </w:tc>
      </w:tr>
      <w:tr w:rsidR="0074163C" w:rsidRPr="00AC6E74" w14:paraId="3EA5F5C8" w14:textId="77777777" w:rsidTr="00F36E0D">
        <w:tc>
          <w:tcPr>
            <w:tcW w:w="5665" w:type="dxa"/>
          </w:tcPr>
          <w:p w14:paraId="31A34382" w14:textId="77777777" w:rsidR="0074163C" w:rsidRPr="00AC6E74" w:rsidRDefault="0074163C" w:rsidP="009E5A87">
            <w:r w:rsidRPr="00AC6E74">
              <w:t>Sponsor provides responses on questions raised in first round evaluation</w:t>
            </w:r>
          </w:p>
        </w:tc>
        <w:tc>
          <w:tcPr>
            <w:tcW w:w="2829" w:type="dxa"/>
          </w:tcPr>
          <w:p w14:paraId="5F619BE1" w14:textId="66332ADE" w:rsidR="0074163C" w:rsidRPr="00AC6E74" w:rsidRDefault="000B30AE" w:rsidP="009E5A87">
            <w:r w:rsidRPr="00AC6E74">
              <w:t>31 August 2021</w:t>
            </w:r>
          </w:p>
        </w:tc>
      </w:tr>
      <w:tr w:rsidR="0074163C" w:rsidRPr="00AC6E74" w14:paraId="5636E7DF" w14:textId="77777777" w:rsidTr="00F36E0D">
        <w:tc>
          <w:tcPr>
            <w:tcW w:w="5665" w:type="dxa"/>
          </w:tcPr>
          <w:p w14:paraId="7FD2DAD6" w14:textId="77777777" w:rsidR="0074163C" w:rsidRPr="00AC6E74" w:rsidRDefault="0074163C" w:rsidP="009E5A87">
            <w:r w:rsidRPr="00AC6E74">
              <w:t>Second round evaluation completed</w:t>
            </w:r>
          </w:p>
        </w:tc>
        <w:tc>
          <w:tcPr>
            <w:tcW w:w="2829" w:type="dxa"/>
          </w:tcPr>
          <w:p w14:paraId="57223422" w14:textId="20661D12" w:rsidR="0074163C" w:rsidRPr="00AC6E74" w:rsidRDefault="000B30AE" w:rsidP="009E5A87">
            <w:r w:rsidRPr="00AC6E74">
              <w:t>13 December 2021</w:t>
            </w:r>
          </w:p>
        </w:tc>
      </w:tr>
      <w:tr w:rsidR="0074163C" w:rsidRPr="00AC6E74" w14:paraId="3D52A269" w14:textId="77777777" w:rsidTr="00F36E0D">
        <w:tc>
          <w:tcPr>
            <w:tcW w:w="5665" w:type="dxa"/>
          </w:tcPr>
          <w:p w14:paraId="136A48F4" w14:textId="30A8B486" w:rsidR="0074163C" w:rsidRPr="00AC6E74" w:rsidRDefault="0074163C" w:rsidP="009E5A87">
            <w:r w:rsidRPr="00AC6E74">
              <w:t>Delegate’s Overall benefit-risk assessment and request for Advisory Committee advice</w:t>
            </w:r>
          </w:p>
        </w:tc>
        <w:tc>
          <w:tcPr>
            <w:tcW w:w="2829" w:type="dxa"/>
          </w:tcPr>
          <w:p w14:paraId="072781D2" w14:textId="77777777" w:rsidR="0074163C" w:rsidRPr="00AC6E74" w:rsidRDefault="000B30AE" w:rsidP="009E5A87">
            <w:r w:rsidRPr="00AC6E74">
              <w:t>3 November 2021</w:t>
            </w:r>
          </w:p>
          <w:p w14:paraId="6F7D848A" w14:textId="57A70D80" w:rsidR="000B30AE" w:rsidRPr="00AC6E74" w:rsidRDefault="000B30AE" w:rsidP="009E5A87">
            <w:r w:rsidRPr="00AC6E74">
              <w:t>10 January 2022</w:t>
            </w:r>
          </w:p>
        </w:tc>
      </w:tr>
      <w:tr w:rsidR="0074163C" w:rsidRPr="00AC6E74" w14:paraId="6FCBE77B" w14:textId="77777777" w:rsidTr="00F36E0D">
        <w:tc>
          <w:tcPr>
            <w:tcW w:w="5665" w:type="dxa"/>
          </w:tcPr>
          <w:p w14:paraId="262D6EC9" w14:textId="77777777" w:rsidR="0074163C" w:rsidRPr="00AC6E74" w:rsidRDefault="0074163C" w:rsidP="009E5A87">
            <w:r w:rsidRPr="00AC6E74">
              <w:t>Sponsor’s pre-Advisory Committee response</w:t>
            </w:r>
          </w:p>
        </w:tc>
        <w:tc>
          <w:tcPr>
            <w:tcW w:w="2829" w:type="dxa"/>
          </w:tcPr>
          <w:p w14:paraId="4768E6BD" w14:textId="77777777" w:rsidR="0074163C" w:rsidRPr="00AC6E74" w:rsidRDefault="000B30AE" w:rsidP="009E5A87">
            <w:r w:rsidRPr="00AC6E74">
              <w:t>16 November 2021</w:t>
            </w:r>
          </w:p>
          <w:p w14:paraId="37FFEA4A" w14:textId="55B69BF5" w:rsidR="000B30AE" w:rsidRPr="00AC6E74" w:rsidRDefault="000B30AE" w:rsidP="009E5A87">
            <w:r w:rsidRPr="00AC6E74">
              <w:t>24 January 2022</w:t>
            </w:r>
          </w:p>
        </w:tc>
      </w:tr>
      <w:tr w:rsidR="0074163C" w:rsidRPr="00AC6E74" w14:paraId="268D82E0" w14:textId="77777777" w:rsidTr="00F36E0D">
        <w:tc>
          <w:tcPr>
            <w:tcW w:w="5665" w:type="dxa"/>
          </w:tcPr>
          <w:p w14:paraId="7C7C4846" w14:textId="77777777" w:rsidR="0074163C" w:rsidRPr="00AC6E74" w:rsidRDefault="0074163C" w:rsidP="009E5A87">
            <w:r w:rsidRPr="00AC6E74">
              <w:t>Advisory Committee meeting</w:t>
            </w:r>
          </w:p>
        </w:tc>
        <w:tc>
          <w:tcPr>
            <w:tcW w:w="2829" w:type="dxa"/>
          </w:tcPr>
          <w:p w14:paraId="46EDA987" w14:textId="76203C4E" w:rsidR="000B30AE" w:rsidRPr="00AC6E74" w:rsidRDefault="000B30AE">
            <w:r w:rsidRPr="00AC6E74">
              <w:t>2 and 3 December 2021</w:t>
            </w:r>
          </w:p>
        </w:tc>
      </w:tr>
      <w:tr w:rsidR="003D0DD6" w:rsidRPr="00AC6E74" w14:paraId="6150A721" w14:textId="77777777" w:rsidTr="00F36E0D">
        <w:tc>
          <w:tcPr>
            <w:tcW w:w="5665" w:type="dxa"/>
          </w:tcPr>
          <w:p w14:paraId="36031909" w14:textId="1AEF288A" w:rsidR="003D0DD6" w:rsidRPr="00AC6E74" w:rsidRDefault="003D0DD6" w:rsidP="009E5A87">
            <w:r>
              <w:t>Additional Advisory Committee meeting</w:t>
            </w:r>
          </w:p>
        </w:tc>
        <w:tc>
          <w:tcPr>
            <w:tcW w:w="2829" w:type="dxa"/>
          </w:tcPr>
          <w:p w14:paraId="2FE4384D" w14:textId="653499EF" w:rsidR="003D0DD6" w:rsidRPr="00AC6E74" w:rsidRDefault="003D0DD6" w:rsidP="009E5A87">
            <w:r w:rsidRPr="00AC6E74">
              <w:t>3 and 4 February 2022</w:t>
            </w:r>
          </w:p>
        </w:tc>
      </w:tr>
      <w:tr w:rsidR="0074163C" w:rsidRPr="00AC6E74" w14:paraId="3734C559" w14:textId="77777777" w:rsidTr="00F36E0D">
        <w:tc>
          <w:tcPr>
            <w:tcW w:w="5665" w:type="dxa"/>
          </w:tcPr>
          <w:p w14:paraId="1DE29542" w14:textId="77777777" w:rsidR="0074163C" w:rsidRPr="00AC6E74" w:rsidRDefault="0074163C" w:rsidP="009E5A87">
            <w:r w:rsidRPr="00AC6E74">
              <w:t>Registration decision (Outcome)</w:t>
            </w:r>
          </w:p>
        </w:tc>
        <w:tc>
          <w:tcPr>
            <w:tcW w:w="2829" w:type="dxa"/>
          </w:tcPr>
          <w:p w14:paraId="1884BC34" w14:textId="45ABAB3A" w:rsidR="0074163C" w:rsidRPr="00AC6E74" w:rsidRDefault="000B30AE" w:rsidP="009E5A87">
            <w:r w:rsidRPr="00AC6E74">
              <w:t>28 March 2022</w:t>
            </w:r>
          </w:p>
        </w:tc>
      </w:tr>
      <w:tr w:rsidR="0074163C" w:rsidRPr="00AC6E74" w14:paraId="7ECFA1FF" w14:textId="77777777" w:rsidTr="00F36E0D">
        <w:tc>
          <w:tcPr>
            <w:tcW w:w="5665" w:type="dxa"/>
          </w:tcPr>
          <w:p w14:paraId="7E83B27B" w14:textId="77777777" w:rsidR="0074163C" w:rsidRPr="00AC6E74" w:rsidRDefault="0074163C" w:rsidP="009E5A87">
            <w:r w:rsidRPr="00AC6E74">
              <w:t>Completion of administrative activities and registration on the ARTG</w:t>
            </w:r>
          </w:p>
        </w:tc>
        <w:tc>
          <w:tcPr>
            <w:tcW w:w="2829" w:type="dxa"/>
          </w:tcPr>
          <w:p w14:paraId="1D632002" w14:textId="4E4302D5" w:rsidR="0074163C" w:rsidRPr="00AC6E74" w:rsidRDefault="000B30AE" w:rsidP="009E5A87">
            <w:r w:rsidRPr="00AC6E74">
              <w:t>30 March 2022</w:t>
            </w:r>
          </w:p>
        </w:tc>
      </w:tr>
      <w:tr w:rsidR="0074163C" w:rsidRPr="00AC6E74" w14:paraId="4F6D414C" w14:textId="77777777" w:rsidTr="00F36E0D">
        <w:tc>
          <w:tcPr>
            <w:tcW w:w="5665" w:type="dxa"/>
          </w:tcPr>
          <w:p w14:paraId="7E86B975" w14:textId="77777777" w:rsidR="0074163C" w:rsidRPr="00AC6E74" w:rsidRDefault="0074163C" w:rsidP="009E5A87">
            <w:r w:rsidRPr="00AC6E74">
              <w:lastRenderedPageBreak/>
              <w:t>Number of working days from submission dossier acceptance to registration decision*</w:t>
            </w:r>
          </w:p>
        </w:tc>
        <w:tc>
          <w:tcPr>
            <w:tcW w:w="2829" w:type="dxa"/>
          </w:tcPr>
          <w:p w14:paraId="1185A73B" w14:textId="0EBDDB8D" w:rsidR="0074163C" w:rsidRPr="00AC6E74" w:rsidRDefault="000B30AE" w:rsidP="009E5A87">
            <w:r w:rsidRPr="00AC6E74">
              <w:t>244</w:t>
            </w:r>
          </w:p>
        </w:tc>
      </w:tr>
    </w:tbl>
    <w:p w14:paraId="2D6EE9A9" w14:textId="77777777" w:rsidR="0074163C" w:rsidRPr="00AC6E74" w:rsidRDefault="0074163C" w:rsidP="0074163C">
      <w:pPr>
        <w:pStyle w:val="TableDescription"/>
      </w:pPr>
      <w:r w:rsidRPr="00AC6E74">
        <w:t xml:space="preserve">*Statutory timeframe for standard </w:t>
      </w:r>
      <w:r w:rsidR="00BB0B78" w:rsidRPr="00AC6E74">
        <w:t>submission</w:t>
      </w:r>
      <w:r w:rsidRPr="00AC6E74">
        <w:t>s is 255 working days</w:t>
      </w:r>
    </w:p>
    <w:p w14:paraId="7578BF45" w14:textId="77777777" w:rsidR="008E7846" w:rsidRPr="00AC6E74" w:rsidRDefault="00006FAB" w:rsidP="008E7846">
      <w:pPr>
        <w:pStyle w:val="Heading2"/>
      </w:pPr>
      <w:bookmarkStart w:id="33" w:name="_Toc196046504"/>
      <w:bookmarkStart w:id="34" w:name="_Toc247691527"/>
      <w:bookmarkStart w:id="35" w:name="_Toc314842510"/>
      <w:bookmarkStart w:id="36" w:name="_Toc136358059"/>
      <w:bookmarkStart w:id="37" w:name="_Toc163441390"/>
      <w:bookmarkEnd w:id="30"/>
      <w:bookmarkEnd w:id="31"/>
      <w:bookmarkEnd w:id="3"/>
      <w:r w:rsidRPr="00AC6E74">
        <w:t xml:space="preserve">Submission overview </w:t>
      </w:r>
      <w:r w:rsidR="008E7846" w:rsidRPr="00AC6E74">
        <w:t>and risk/benefit assessment</w:t>
      </w:r>
      <w:bookmarkEnd w:id="33"/>
      <w:bookmarkEnd w:id="34"/>
      <w:bookmarkEnd w:id="35"/>
      <w:bookmarkEnd w:id="36"/>
    </w:p>
    <w:p w14:paraId="344EAD28" w14:textId="77777777" w:rsidR="005A79F5" w:rsidRPr="00AC6E74" w:rsidRDefault="005A79F5" w:rsidP="0074163C">
      <w:pPr>
        <w:pStyle w:val="Instructions"/>
        <w:rPr>
          <w:i w:val="0"/>
          <w:color w:val="auto"/>
        </w:rPr>
      </w:pPr>
      <w:bookmarkStart w:id="38" w:name="_Toc247691528"/>
      <w:bookmarkStart w:id="39" w:name="_Toc314842511"/>
      <w:r w:rsidRPr="00AC6E74">
        <w:rPr>
          <w:i w:val="0"/>
          <w:color w:val="auto"/>
        </w:rPr>
        <w:t>A summary of the TGA’s assessment for this submission is provided below.</w:t>
      </w:r>
    </w:p>
    <w:p w14:paraId="77825B2E" w14:textId="1D6249F1" w:rsidR="0074163C" w:rsidRPr="00AC6E74" w:rsidRDefault="0074163C" w:rsidP="0074163C">
      <w:r w:rsidRPr="00AC6E74">
        <w:t>This section is a TGA summary of wording used in TGA’s evaluation report, which discussed numerous aspects of overseas evaluation reports and included some information that was commercial-in-confidence.</w:t>
      </w:r>
    </w:p>
    <w:p w14:paraId="7ECAF4F0" w14:textId="054A7570" w:rsidR="000B30AE" w:rsidRPr="00AC6E74" w:rsidRDefault="000B30AE" w:rsidP="000B30AE">
      <w:r w:rsidRPr="00AC6E74">
        <w:t>Relevant guidelines or guidance documents referred to by the Delegate are listed below:</w:t>
      </w:r>
    </w:p>
    <w:p w14:paraId="50E088CE" w14:textId="0EEB0433" w:rsidR="007E1660" w:rsidRPr="00AC6E74" w:rsidRDefault="007E1660" w:rsidP="00E234BB">
      <w:pPr>
        <w:pStyle w:val="ListBullet"/>
      </w:pPr>
      <w:r w:rsidRPr="00AC6E74">
        <w:t xml:space="preserve">European Medicines Agency (EMA), Committee for Medicinal Products for Human Use (CHMP), </w:t>
      </w:r>
      <w:hyperlink r:id="rId19" w:history="1">
        <w:r w:rsidRPr="001D087C">
          <w:rPr>
            <w:rStyle w:val="Hyperlink"/>
          </w:rPr>
          <w:t>ICH Guideline S9 on Nonclinical Evaluation for Anticancer Pharmaceuticals</w:t>
        </w:r>
      </w:hyperlink>
      <w:r w:rsidRPr="00AC6E74">
        <w:t>, EMA/CHMP/ICH/646107/2008, May 2010</w:t>
      </w:r>
      <w:r w:rsidR="00594BB6">
        <w:t xml:space="preserve"> (TGA-adopted guideline).</w:t>
      </w:r>
    </w:p>
    <w:p w14:paraId="5D535F39" w14:textId="690CCDE0" w:rsidR="007E1660" w:rsidRPr="00AC6E74" w:rsidRDefault="007E1660" w:rsidP="00272684">
      <w:pPr>
        <w:pStyle w:val="ListBullet"/>
      </w:pPr>
      <w:r w:rsidRPr="00AC6E74">
        <w:t>European Medicines Evaluation Agency (EMEA), Committee for Proprietary Medicinal Products (CPMP</w:t>
      </w:r>
      <w:hyperlink r:id="rId20" w:history="1">
        <w:r w:rsidRPr="001D087C">
          <w:rPr>
            <w:rStyle w:val="Hyperlink"/>
          </w:rPr>
          <w:t>), ICH Topic Q 3 A (R2) Impurities in new Drug Substances, Note for Guidance on Impurities Testing: Impurities in New Drug Substances</w:t>
        </w:r>
      </w:hyperlink>
      <w:r w:rsidRPr="00AC6E74">
        <w:t>, CPMP/ICH/2737/99, October 2006</w:t>
      </w:r>
      <w:r w:rsidR="00594BB6">
        <w:t xml:space="preserve"> (TGA-adopted guideline).</w:t>
      </w:r>
    </w:p>
    <w:p w14:paraId="0DFF4DAB" w14:textId="2B42F0CE" w:rsidR="00272684" w:rsidRPr="00AC6E74" w:rsidRDefault="00272684" w:rsidP="00272684">
      <w:pPr>
        <w:pStyle w:val="ListBullet"/>
      </w:pPr>
      <w:r w:rsidRPr="00AC6E74">
        <w:t xml:space="preserve">United States Food and Drug Administration (FDA), </w:t>
      </w:r>
      <w:hyperlink r:id="rId21" w:history="1">
        <w:r w:rsidRPr="00594BB6">
          <w:rPr>
            <w:rStyle w:val="Hyperlink"/>
          </w:rPr>
          <w:t>Guidance for Industry, Clinical Trial Endpoints for the Approval of Cancer Drugs and Biologics</w:t>
        </w:r>
      </w:hyperlink>
      <w:r w:rsidRPr="00AC6E74">
        <w:t>, December 2018.</w:t>
      </w:r>
    </w:p>
    <w:p w14:paraId="2F4F659D" w14:textId="421CCDED" w:rsidR="000B30AE" w:rsidRPr="00AC6E74" w:rsidRDefault="0051034D" w:rsidP="000B30AE">
      <w:pPr>
        <w:pStyle w:val="ListBullet"/>
      </w:pPr>
      <w:r w:rsidRPr="00AC6E74">
        <w:t xml:space="preserve">United States Food and Drug </w:t>
      </w:r>
      <w:r w:rsidR="008C12AD" w:rsidRPr="00AC6E74">
        <w:t>Administration</w:t>
      </w:r>
      <w:r w:rsidRPr="00AC6E74">
        <w:t xml:space="preserve">, </w:t>
      </w:r>
      <w:hyperlink r:id="rId22" w:history="1">
        <w:r w:rsidRPr="00594BB6">
          <w:rPr>
            <w:rStyle w:val="Hyperlink"/>
          </w:rPr>
          <w:t>G</w:t>
        </w:r>
        <w:r w:rsidR="000B30AE" w:rsidRPr="00594BB6">
          <w:rPr>
            <w:rStyle w:val="Hyperlink"/>
          </w:rPr>
          <w:t>uidance for Industry</w:t>
        </w:r>
        <w:r w:rsidRPr="00594BB6">
          <w:rPr>
            <w:rStyle w:val="Hyperlink"/>
          </w:rPr>
          <w:t xml:space="preserve">, </w:t>
        </w:r>
        <w:r w:rsidR="000B30AE" w:rsidRPr="00594BB6">
          <w:rPr>
            <w:rStyle w:val="Hyperlink"/>
          </w:rPr>
          <w:t xml:space="preserve">Pharmacokinetics in Patients with Impaired Hepatic Function: Study Design, Data Analysis, and Impact on Dosing and </w:t>
        </w:r>
        <w:proofErr w:type="spellStart"/>
        <w:r w:rsidR="000B30AE" w:rsidRPr="00594BB6">
          <w:rPr>
            <w:rStyle w:val="Hyperlink"/>
          </w:rPr>
          <w:t>Labeling</w:t>
        </w:r>
        <w:proofErr w:type="spellEnd"/>
        <w:r w:rsidRPr="00594BB6">
          <w:rPr>
            <w:rStyle w:val="Hyperlink"/>
          </w:rPr>
          <w:t>,</w:t>
        </w:r>
      </w:hyperlink>
      <w:r w:rsidRPr="00AC6E74">
        <w:t xml:space="preserve"> May 2003.</w:t>
      </w:r>
    </w:p>
    <w:p w14:paraId="5A21F324" w14:textId="6614D4B0" w:rsidR="000B30AE" w:rsidRPr="00AC6E74" w:rsidRDefault="0051034D" w:rsidP="000B30AE">
      <w:pPr>
        <w:pStyle w:val="ListBullet"/>
      </w:pPr>
      <w:r w:rsidRPr="00AC6E74">
        <w:t xml:space="preserve">United States Food and Drug administration, </w:t>
      </w:r>
      <w:hyperlink r:id="rId23" w:anchor=":~:text=A%20related%20final%20January%202020FDA%20guidance%20for%20industry,from%20those%20assessments%20to%20inform%20clinical%20DDI%20studies." w:history="1">
        <w:r w:rsidR="000B30AE" w:rsidRPr="00594BB6">
          <w:rPr>
            <w:rStyle w:val="Hyperlink"/>
          </w:rPr>
          <w:t>Guidance for Industry</w:t>
        </w:r>
        <w:r w:rsidR="00896726" w:rsidRPr="00594BB6">
          <w:rPr>
            <w:rStyle w:val="Hyperlink"/>
          </w:rPr>
          <w:t xml:space="preserve">, </w:t>
        </w:r>
        <w:r w:rsidR="000B30AE" w:rsidRPr="00594BB6">
          <w:rPr>
            <w:rStyle w:val="Hyperlink"/>
          </w:rPr>
          <w:t xml:space="preserve">Clinical Drug Interaction Studies </w:t>
        </w:r>
        <w:r w:rsidRPr="00594BB6">
          <w:rPr>
            <w:rStyle w:val="Hyperlink"/>
          </w:rPr>
          <w:t>-</w:t>
        </w:r>
        <w:r w:rsidR="000B30AE" w:rsidRPr="00594BB6">
          <w:rPr>
            <w:rStyle w:val="Hyperlink"/>
          </w:rPr>
          <w:t xml:space="preserve"> Cytochrome P450 Enzyme and Transporter-Mediated Drug-Drug Interactions</w:t>
        </w:r>
      </w:hyperlink>
      <w:r w:rsidRPr="00AC6E74">
        <w:t>, January 2020.</w:t>
      </w:r>
    </w:p>
    <w:p w14:paraId="52F5DABA" w14:textId="77777777" w:rsidR="008E7846" w:rsidRPr="00AC6E74" w:rsidRDefault="008E7846" w:rsidP="008E7846">
      <w:pPr>
        <w:pStyle w:val="Heading3"/>
      </w:pPr>
      <w:bookmarkStart w:id="40" w:name="_Toc136358060"/>
      <w:r w:rsidRPr="00AC6E74">
        <w:t>Quality</w:t>
      </w:r>
      <w:bookmarkEnd w:id="38"/>
      <w:bookmarkEnd w:id="39"/>
      <w:bookmarkEnd w:id="40"/>
    </w:p>
    <w:p w14:paraId="26B01838" w14:textId="652A17E7" w:rsidR="0074163C" w:rsidRPr="00AC6E74" w:rsidRDefault="0074163C" w:rsidP="002810C0">
      <w:r w:rsidRPr="00AC6E74">
        <w:t>A full quality evaluation was conducted at the time this product received initial registration.</w:t>
      </w:r>
    </w:p>
    <w:p w14:paraId="1552E536" w14:textId="460B065E" w:rsidR="003E2322" w:rsidRPr="00AC6E74" w:rsidRDefault="003E2322" w:rsidP="003E2322">
      <w:r w:rsidRPr="00AC6E74">
        <w:t xml:space="preserve">Sotorasib contains a chiral centre in the (S)-configuration and an </w:t>
      </w:r>
      <w:proofErr w:type="spellStart"/>
      <w:r w:rsidRPr="00AC6E74">
        <w:t>atropisomeric</w:t>
      </w:r>
      <w:proofErr w:type="spellEnd"/>
      <w:r w:rsidRPr="00AC6E74">
        <w:t xml:space="preserve"> axis in the (M) configuration. The </w:t>
      </w:r>
      <w:r w:rsidR="00DB11B7">
        <w:t xml:space="preserve">chemical </w:t>
      </w:r>
      <w:r w:rsidRPr="00AC6E74">
        <w:t xml:space="preserve">structure of </w:t>
      </w:r>
      <w:proofErr w:type="spellStart"/>
      <w:r w:rsidRPr="00AC6E74">
        <w:t>sotorasib</w:t>
      </w:r>
      <w:proofErr w:type="spellEnd"/>
      <w:r w:rsidRPr="00AC6E74">
        <w:t xml:space="preserve"> is show in </w:t>
      </w:r>
      <w:r w:rsidRPr="00AC6E74">
        <w:fldChar w:fldCharType="begin"/>
      </w:r>
      <w:r w:rsidRPr="00AC6E74">
        <w:instrText xml:space="preserve"> REF _Ref129793434 \h </w:instrText>
      </w:r>
      <w:r w:rsidR="00987863" w:rsidRPr="00AC6E74">
        <w:instrText xml:space="preserve"> \* MERGEFORMAT </w:instrText>
      </w:r>
      <w:r w:rsidRPr="00AC6E74">
        <w:fldChar w:fldCharType="separate"/>
      </w:r>
      <w:r w:rsidR="009B21DC" w:rsidRPr="00AC6E74">
        <w:t xml:space="preserve">Figure </w:t>
      </w:r>
      <w:r w:rsidR="009B21DC">
        <w:rPr>
          <w:noProof/>
        </w:rPr>
        <w:t>1</w:t>
      </w:r>
      <w:r w:rsidRPr="00AC6E74">
        <w:fldChar w:fldCharType="end"/>
      </w:r>
      <w:r w:rsidRPr="00AC6E74">
        <w:t xml:space="preserve"> below. The stereochemistry is adequately controlled in the drug substance specification.</w:t>
      </w:r>
    </w:p>
    <w:p w14:paraId="17E77084" w14:textId="68F91BB7" w:rsidR="00896726" w:rsidRPr="00AC6E74" w:rsidRDefault="00896726" w:rsidP="00BA55EE">
      <w:pPr>
        <w:pStyle w:val="FigureTitle"/>
      </w:pPr>
      <w:bookmarkStart w:id="41" w:name="_Ref129793434"/>
      <w:r w:rsidRPr="00AC6E74">
        <w:t xml:space="preserve">Figure </w:t>
      </w:r>
      <w:fldSimple w:instr=" SEQ Figure \* ARABIC ">
        <w:r w:rsidR="009B21DC">
          <w:rPr>
            <w:noProof/>
          </w:rPr>
          <w:t>1</w:t>
        </w:r>
      </w:fldSimple>
      <w:bookmarkEnd w:id="41"/>
      <w:r w:rsidR="003E2322" w:rsidRPr="00AC6E74">
        <w:t xml:space="preserve">: Chemical structure of </w:t>
      </w:r>
      <w:proofErr w:type="spellStart"/>
      <w:r w:rsidR="003E2322" w:rsidRPr="00AC6E74">
        <w:t>sotorasib</w:t>
      </w:r>
      <w:proofErr w:type="spellEnd"/>
    </w:p>
    <w:p w14:paraId="61C7D765" w14:textId="67DE854D" w:rsidR="002810C0" w:rsidRPr="00AC6E74" w:rsidRDefault="002810C0" w:rsidP="00BA55EE">
      <w:r w:rsidRPr="00AC6E74">
        <w:rPr>
          <w:noProof/>
          <w:lang w:val="en-GB" w:eastAsia="en-GB"/>
        </w:rPr>
        <w:drawing>
          <wp:inline distT="0" distB="0" distL="0" distR="0" wp14:anchorId="717C29C7" wp14:editId="245FD263">
            <wp:extent cx="1437005" cy="1360805"/>
            <wp:effectExtent l="0" t="0" r="0" b="0"/>
            <wp:docPr id="1" name="Picture 1" descr="Figure 1: Chemical structure of sotora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hemical structure of sotorasi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7005" cy="1360805"/>
                    </a:xfrm>
                    <a:prstGeom prst="rect">
                      <a:avLst/>
                    </a:prstGeom>
                    <a:noFill/>
                    <a:ln>
                      <a:noFill/>
                    </a:ln>
                  </pic:spPr>
                </pic:pic>
              </a:graphicData>
            </a:graphic>
          </wp:inline>
        </w:drawing>
      </w:r>
    </w:p>
    <w:p w14:paraId="7D19597D" w14:textId="24B13C8B" w:rsidR="003E2322" w:rsidRPr="00AC6E74" w:rsidRDefault="005E0838" w:rsidP="003E2322">
      <w:r w:rsidRPr="00AC6E74">
        <w:lastRenderedPageBreak/>
        <w:t xml:space="preserve">Sotorasib is manufactured as a white to light brown powder. </w:t>
      </w:r>
      <w:r w:rsidR="003E2322" w:rsidRPr="00AC6E74">
        <w:t>The drug substance specification is adequate to control the quality of the drug substance. All impurity limits are acceptable. The drug substance specification is milled, and the specification includes control of particle size. The particle size limits are based on the particle size distribution of the drug substance batches used to manufacture the batches used in the clinical studies.</w:t>
      </w:r>
    </w:p>
    <w:p w14:paraId="0C856AE2" w14:textId="0EFCD9D6" w:rsidR="002810C0" w:rsidRPr="00AC6E74" w:rsidRDefault="002810C0" w:rsidP="002810C0">
      <w:r w:rsidRPr="00AC6E74">
        <w:t xml:space="preserve">Stress studies showed that </w:t>
      </w:r>
      <w:proofErr w:type="spellStart"/>
      <w:r w:rsidRPr="00AC6E74">
        <w:t>sotorasib</w:t>
      </w:r>
      <w:proofErr w:type="spellEnd"/>
      <w:r w:rsidRPr="00AC6E74">
        <w:t xml:space="preserve"> is sensitive to light.</w:t>
      </w:r>
      <w:r w:rsidR="002A2318" w:rsidRPr="00AC6E74">
        <w:t xml:space="preserve"> </w:t>
      </w:r>
      <w:r w:rsidRPr="00AC6E74">
        <w:t>The stability data supports a retest period of 24 months when stored below 30°C.</w:t>
      </w:r>
    </w:p>
    <w:p w14:paraId="532B3738" w14:textId="53F41390" w:rsidR="002810C0" w:rsidRPr="00AC6E74" w:rsidRDefault="002810C0" w:rsidP="002810C0">
      <w:r w:rsidRPr="00AC6E74">
        <w:t>The drug product is a</w:t>
      </w:r>
      <w:r w:rsidR="005E0838" w:rsidRPr="00AC6E74">
        <w:t xml:space="preserve">n </w:t>
      </w:r>
      <w:r w:rsidRPr="00AC6E74">
        <w:t>immediate</w:t>
      </w:r>
      <w:r w:rsidR="003E2322" w:rsidRPr="00AC6E74">
        <w:t xml:space="preserve"> </w:t>
      </w:r>
      <w:r w:rsidRPr="00AC6E74">
        <w:t>release</w:t>
      </w:r>
      <w:r w:rsidR="005E0838" w:rsidRPr="00AC6E74">
        <w:t>,</w:t>
      </w:r>
      <w:r w:rsidRPr="00AC6E74">
        <w:t xml:space="preserve"> yellow, oblong, film</w:t>
      </w:r>
      <w:r w:rsidR="003E2322" w:rsidRPr="00AC6E74">
        <w:t xml:space="preserve"> </w:t>
      </w:r>
      <w:r w:rsidRPr="00AC6E74">
        <w:t xml:space="preserve">coated tablet debossed with </w:t>
      </w:r>
      <w:r w:rsidR="003E2322" w:rsidRPr="00AC6E74">
        <w:t>‘</w:t>
      </w:r>
      <w:r w:rsidRPr="00AC6E74">
        <w:t>AMG</w:t>
      </w:r>
      <w:r w:rsidR="003E2322" w:rsidRPr="00AC6E74">
        <w:t>’</w:t>
      </w:r>
      <w:r w:rsidRPr="00AC6E74">
        <w:t xml:space="preserve"> on one side and </w:t>
      </w:r>
      <w:r w:rsidR="003E2322" w:rsidRPr="00AC6E74">
        <w:t>‘</w:t>
      </w:r>
      <w:r w:rsidRPr="00AC6E74">
        <w:t>120</w:t>
      </w:r>
      <w:r w:rsidR="003E2322" w:rsidRPr="00AC6E74">
        <w:t>’</w:t>
      </w:r>
      <w:r w:rsidRPr="00AC6E74">
        <w:t xml:space="preserve"> on the opposite side</w:t>
      </w:r>
      <w:r w:rsidR="005E0838" w:rsidRPr="00AC6E74">
        <w:t>. The drug product is a conventionally formulated and manufactured and th</w:t>
      </w:r>
      <w:r w:rsidRPr="00AC6E74">
        <w:t>e manufacturing process is sufficiently controlled.</w:t>
      </w:r>
      <w:r w:rsidR="005E0838" w:rsidRPr="00AC6E74">
        <w:t xml:space="preserve"> </w:t>
      </w:r>
      <w:r w:rsidRPr="00AC6E74">
        <w:t>The drug product specification adequately controls the quality of the tablets.</w:t>
      </w:r>
    </w:p>
    <w:p w14:paraId="3BF23895" w14:textId="65B42383" w:rsidR="002810C0" w:rsidRPr="00AC6E74" w:rsidRDefault="002810C0" w:rsidP="002810C0">
      <w:r w:rsidRPr="00AC6E74">
        <w:t xml:space="preserve">In-use stability data showed that the </w:t>
      </w:r>
      <w:proofErr w:type="spellStart"/>
      <w:r w:rsidRPr="00AC6E74">
        <w:t>sotorasib</w:t>
      </w:r>
      <w:proofErr w:type="spellEnd"/>
      <w:r w:rsidRPr="00AC6E74">
        <w:t xml:space="preserve"> was sufficiently stable when the tablets were dispersed in water for administration to patients that have difficulties swallowing.</w:t>
      </w:r>
      <w:r w:rsidR="002A2318" w:rsidRPr="00AC6E74">
        <w:t xml:space="preserve"> </w:t>
      </w:r>
      <w:r w:rsidRPr="00AC6E74">
        <w:t>Photo-stability studies showed that the film</w:t>
      </w:r>
      <w:r w:rsidR="005E0838" w:rsidRPr="00AC6E74">
        <w:t xml:space="preserve"> </w:t>
      </w:r>
      <w:r w:rsidRPr="00AC6E74">
        <w:t>coated tablets were not light-sensitive. Long</w:t>
      </w:r>
      <w:r w:rsidR="005E0838" w:rsidRPr="00AC6E74">
        <w:noBreakHyphen/>
      </w:r>
      <w:r w:rsidRPr="00AC6E74">
        <w:t>term and accelerated stability data supported a shelf-life of 24 months when stored below 30°C when packaged in aluminium/</w:t>
      </w:r>
      <w:r w:rsidR="005E0838" w:rsidRPr="00AC6E74">
        <w:t xml:space="preserve">polyvinyl chloride </w:t>
      </w:r>
      <w:r w:rsidRPr="00AC6E74">
        <w:t>blister strips and in aluminium/</w:t>
      </w:r>
      <w:proofErr w:type="spellStart"/>
      <w:r w:rsidRPr="00AC6E74">
        <w:t>Aclar</w:t>
      </w:r>
      <w:proofErr w:type="spellEnd"/>
      <w:r w:rsidRPr="00AC6E74">
        <w:t xml:space="preserve"> blister strips.</w:t>
      </w:r>
    </w:p>
    <w:p w14:paraId="0F29B1DD" w14:textId="42BD2704" w:rsidR="002810C0" w:rsidRPr="00AC6E74" w:rsidRDefault="00594BB6" w:rsidP="002810C0">
      <w:r>
        <w:t>Following the TGA’s evaluation of quality and pharmaceutical chemistry, a</w:t>
      </w:r>
      <w:r w:rsidR="002810C0" w:rsidRPr="00AC6E74">
        <w:t xml:space="preserve">pproval for registration of the proposed product is recommended from a </w:t>
      </w:r>
      <w:r w:rsidR="005E0838" w:rsidRPr="00AC6E74">
        <w:t>quality</w:t>
      </w:r>
      <w:r w:rsidR="002810C0" w:rsidRPr="00AC6E74">
        <w:t xml:space="preserve"> perspective.</w:t>
      </w:r>
    </w:p>
    <w:p w14:paraId="4C9DE4B9" w14:textId="77777777" w:rsidR="008E7846" w:rsidRPr="00AC6E74" w:rsidRDefault="008E7846" w:rsidP="008E7846">
      <w:pPr>
        <w:pStyle w:val="Heading3"/>
      </w:pPr>
      <w:bookmarkStart w:id="42" w:name="_Toc314842512"/>
      <w:bookmarkStart w:id="43" w:name="_Toc136358061"/>
      <w:r w:rsidRPr="00AC6E74">
        <w:t>Nonclinical</w:t>
      </w:r>
      <w:bookmarkEnd w:id="42"/>
      <w:bookmarkEnd w:id="43"/>
    </w:p>
    <w:p w14:paraId="210C9303" w14:textId="2464414A" w:rsidR="005E0838" w:rsidRPr="00AC6E74" w:rsidRDefault="005E0838" w:rsidP="005E0838">
      <w:r w:rsidRPr="00AC6E74">
        <w:t xml:space="preserve">The pharmacology studies support the use of </w:t>
      </w:r>
      <w:proofErr w:type="spellStart"/>
      <w:r w:rsidRPr="00AC6E74">
        <w:t>sotorasib</w:t>
      </w:r>
      <w:proofErr w:type="spellEnd"/>
      <w:r w:rsidRPr="00AC6E74">
        <w:t xml:space="preserve"> for the proposed indication.</w:t>
      </w:r>
    </w:p>
    <w:p w14:paraId="7A708B3D" w14:textId="77777777" w:rsidR="005E0838" w:rsidRPr="00AC6E74" w:rsidRDefault="005E0838" w:rsidP="005E0838">
      <w:r w:rsidRPr="00AC6E74">
        <w:t xml:space="preserve">Secondary pharmacodynamics and safety pharmacology studies with </w:t>
      </w:r>
      <w:proofErr w:type="spellStart"/>
      <w:r w:rsidRPr="00AC6E74">
        <w:t>sotorasib</w:t>
      </w:r>
      <w:proofErr w:type="spellEnd"/>
      <w:r w:rsidRPr="00AC6E74">
        <w:t xml:space="preserve"> did not raise safety concerns.</w:t>
      </w:r>
    </w:p>
    <w:p w14:paraId="4A9AA95B" w14:textId="2B0F7ADB" w:rsidR="005E0838" w:rsidRPr="00AC6E74" w:rsidRDefault="005E0838" w:rsidP="005E0838">
      <w:r w:rsidRPr="00AC6E74">
        <w:t xml:space="preserve">Sotorasib is a substrate of </w:t>
      </w:r>
      <w:r w:rsidR="004408D3" w:rsidRPr="00AC6E74">
        <w:t>P-glycoprotein</w:t>
      </w:r>
      <w:r w:rsidRPr="00AC6E74">
        <w:t xml:space="preserve">, </w:t>
      </w:r>
      <w:r w:rsidR="00594BB6">
        <w:t xml:space="preserve">and </w:t>
      </w:r>
      <w:r w:rsidRPr="00AC6E74">
        <w:t xml:space="preserve">induces </w:t>
      </w:r>
      <w:r w:rsidR="00594BB6">
        <w:t xml:space="preserve">the following </w:t>
      </w:r>
      <w:r w:rsidR="00B24245" w:rsidRPr="00AC6E74">
        <w:t>cytochrome P450 (</w:t>
      </w:r>
      <w:r w:rsidRPr="00AC6E74">
        <w:t>CYP</w:t>
      </w:r>
      <w:r w:rsidR="00B24245" w:rsidRPr="00AC6E74">
        <w:t>)</w:t>
      </w:r>
      <w:r w:rsidR="00594BB6">
        <w:t xml:space="preserve"> isozymes:</w:t>
      </w:r>
      <w:r w:rsidR="00B24245" w:rsidRPr="00AC6E74">
        <w:rPr>
          <w:rStyle w:val="FootnoteReference"/>
        </w:rPr>
        <w:footnoteReference w:id="6"/>
      </w:r>
      <w:r w:rsidR="00594BB6">
        <w:t xml:space="preserve"> CYP</w:t>
      </w:r>
      <w:r w:rsidRPr="00AC6E74">
        <w:t>3A, CYP2B6, CYP2C8, CYP2C9 and CYP2C19</w:t>
      </w:r>
      <w:r w:rsidR="00594BB6">
        <w:t>;</w:t>
      </w:r>
      <w:r w:rsidRPr="00AC6E74">
        <w:t xml:space="preserve"> and inhibits </w:t>
      </w:r>
      <w:r w:rsidR="00594BB6">
        <w:t xml:space="preserve">isozymes </w:t>
      </w:r>
      <w:r w:rsidRPr="00AC6E74">
        <w:t>CYP3A, CYP2C</w:t>
      </w:r>
      <w:r w:rsidR="00594BB6">
        <w:t>8, and</w:t>
      </w:r>
      <w:r w:rsidRPr="00AC6E74">
        <w:t xml:space="preserve"> CYP2D6</w:t>
      </w:r>
      <w:r w:rsidR="00594BB6">
        <w:t>; and inhibits</w:t>
      </w:r>
      <w:r w:rsidRPr="00AC6E74">
        <w:t xml:space="preserve"> intestinal uptake transporters P</w:t>
      </w:r>
      <w:r w:rsidR="0024729F" w:rsidRPr="00AC6E74">
        <w:noBreakHyphen/>
      </w:r>
      <w:r w:rsidR="004408D3" w:rsidRPr="00AC6E74">
        <w:t>glycoprotein</w:t>
      </w:r>
      <w:r w:rsidR="006F2C4E" w:rsidRPr="00AC6E74">
        <w:t xml:space="preserve">, </w:t>
      </w:r>
      <w:r w:rsidR="004408D3" w:rsidRPr="00AC6E74">
        <w:t>breast cancer resistance protein (</w:t>
      </w:r>
      <w:r w:rsidRPr="00AC6E74">
        <w:t>BCRP</w:t>
      </w:r>
      <w:r w:rsidR="004408D3" w:rsidRPr="00AC6E74">
        <w:t>)</w:t>
      </w:r>
      <w:r w:rsidRPr="00AC6E74">
        <w:t xml:space="preserve">, hepatic uptake transporters </w:t>
      </w:r>
      <w:r w:rsidR="004278C0" w:rsidRPr="00AC6E74">
        <w:t>organic anion transporting polypeptide (</w:t>
      </w:r>
      <w:r w:rsidRPr="00AC6E74">
        <w:t>OATP</w:t>
      </w:r>
      <w:r w:rsidR="004278C0" w:rsidRPr="00AC6E74">
        <w:t>)</w:t>
      </w:r>
      <w:r w:rsidRPr="00AC6E74">
        <w:t xml:space="preserve">1B1, OATP1B3 and </w:t>
      </w:r>
      <w:r w:rsidR="004278C0" w:rsidRPr="00AC6E74">
        <w:t>organic cation transporter (</w:t>
      </w:r>
      <w:r w:rsidRPr="00AC6E74">
        <w:t>OCT</w:t>
      </w:r>
      <w:r w:rsidR="004278C0" w:rsidRPr="00AC6E74">
        <w:t>)</w:t>
      </w:r>
      <w:r w:rsidRPr="00AC6E74">
        <w:t xml:space="preserve">1, as well as renal transporters </w:t>
      </w:r>
      <w:r w:rsidR="004278C0" w:rsidRPr="00AC6E74">
        <w:t>multidrug and toxin extrusion protein (</w:t>
      </w:r>
      <w:r w:rsidRPr="00AC6E74">
        <w:t>MATE</w:t>
      </w:r>
      <w:r w:rsidR="004278C0" w:rsidRPr="00AC6E74">
        <w:t>)</w:t>
      </w:r>
      <w:r w:rsidRPr="00AC6E74">
        <w:t xml:space="preserve">1, MATE2-K and OAT3 </w:t>
      </w:r>
      <w:r w:rsidR="006F2C4E" w:rsidRPr="00AC6E74">
        <w:rPr>
          <w:i/>
          <w:iCs/>
        </w:rPr>
        <w:t>in vitro</w:t>
      </w:r>
      <w:r w:rsidRPr="00AC6E74">
        <w:t xml:space="preserve">. Interactions with substrates of these enzymes and transporters may occur </w:t>
      </w:r>
      <w:r w:rsidRPr="00AC6E74">
        <w:rPr>
          <w:i/>
          <w:iCs/>
        </w:rPr>
        <w:t>in vivo</w:t>
      </w:r>
      <w:r w:rsidRPr="00AC6E74">
        <w:t>.</w:t>
      </w:r>
    </w:p>
    <w:p w14:paraId="2A5FEE30" w14:textId="77777777" w:rsidR="005E0838" w:rsidRPr="00AC6E74" w:rsidRDefault="005E0838" w:rsidP="005E0838">
      <w:r w:rsidRPr="00AC6E74">
        <w:t>The combined animal safety studies revealed the following findings of potential clinical relevance (at low exposure multiples):</w:t>
      </w:r>
    </w:p>
    <w:p w14:paraId="3D417104" w14:textId="77777777" w:rsidR="005E0838" w:rsidRPr="00AC6E74" w:rsidRDefault="005E0838" w:rsidP="004408D3">
      <w:pPr>
        <w:pStyle w:val="ListBullet"/>
      </w:pPr>
      <w:r w:rsidRPr="00AC6E74">
        <w:t>hepatotoxicity</w:t>
      </w:r>
    </w:p>
    <w:p w14:paraId="12998E88" w14:textId="77777777" w:rsidR="005E0838" w:rsidRPr="00AC6E74" w:rsidRDefault="005E0838" w:rsidP="004408D3">
      <w:pPr>
        <w:pStyle w:val="ListBullet"/>
      </w:pPr>
      <w:r w:rsidRPr="00AC6E74">
        <w:t>renal toxicity</w:t>
      </w:r>
    </w:p>
    <w:p w14:paraId="27FDB659" w14:textId="06B6628E" w:rsidR="005E0838" w:rsidRPr="00AC6E74" w:rsidRDefault="005E0838" w:rsidP="004408D3">
      <w:pPr>
        <w:pStyle w:val="ListBullet"/>
      </w:pPr>
      <w:r w:rsidRPr="00AC6E74">
        <w:t>embryofetal toxicity (without teratogenicity)</w:t>
      </w:r>
    </w:p>
    <w:p w14:paraId="4B493DFC" w14:textId="59B806A4" w:rsidR="005E0838" w:rsidRPr="00AC6E74" w:rsidRDefault="005E0838" w:rsidP="005E0838">
      <w:r w:rsidRPr="00AC6E74">
        <w:lastRenderedPageBreak/>
        <w:t xml:space="preserve">The effect of </w:t>
      </w:r>
      <w:proofErr w:type="spellStart"/>
      <w:r w:rsidRPr="00AC6E74">
        <w:t>sotorasib</w:t>
      </w:r>
      <w:proofErr w:type="spellEnd"/>
      <w:r w:rsidRPr="00AC6E74">
        <w:t xml:space="preserve"> on the liver </w:t>
      </w:r>
      <w:proofErr w:type="gramStart"/>
      <w:r w:rsidRPr="00AC6E74">
        <w:t>is considered to be</w:t>
      </w:r>
      <w:proofErr w:type="gramEnd"/>
      <w:r w:rsidRPr="00AC6E74">
        <w:t xml:space="preserve"> of concern in humans as it occurred at very low systemic exposure in dogs.</w:t>
      </w:r>
    </w:p>
    <w:p w14:paraId="53DBDB97" w14:textId="3D203278" w:rsidR="005E0838" w:rsidRPr="00AC6E74" w:rsidRDefault="005E0838" w:rsidP="005E0838">
      <w:r w:rsidRPr="00AC6E74">
        <w:t xml:space="preserve">The effect of </w:t>
      </w:r>
      <w:proofErr w:type="spellStart"/>
      <w:r w:rsidRPr="00AC6E74">
        <w:t>sotorasib</w:t>
      </w:r>
      <w:proofErr w:type="spellEnd"/>
      <w:r w:rsidRPr="00AC6E74">
        <w:t xml:space="preserve"> on kidneys seems to be explained by a disproportionate increase in </w:t>
      </w:r>
      <w:proofErr w:type="spellStart"/>
      <w:r w:rsidRPr="00AC6E74">
        <w:t>mercapturate</w:t>
      </w:r>
      <w:proofErr w:type="spellEnd"/>
      <w:r w:rsidRPr="00AC6E74">
        <w:t xml:space="preserve"> pathway metabolites (</w:t>
      </w:r>
      <w:r w:rsidR="00594BB6">
        <w:t xml:space="preserve">metabolites </w:t>
      </w:r>
      <w:r w:rsidRPr="00AC6E74">
        <w:t>M10 and M20) in renal tissue in rats. However, the effects were observed at very low relative exposures, so their clinical significance cannot be ruled out.</w:t>
      </w:r>
    </w:p>
    <w:p w14:paraId="3484110A" w14:textId="77777777" w:rsidR="005E0838" w:rsidRPr="00AC6E74" w:rsidRDefault="005E0838" w:rsidP="005E0838">
      <w:r w:rsidRPr="00AC6E74">
        <w:t>Sotorasib is not expected to be mutagenic or carcinogenic.</w:t>
      </w:r>
    </w:p>
    <w:p w14:paraId="498E76A9" w14:textId="56132661" w:rsidR="005E0838" w:rsidRPr="00AC6E74" w:rsidRDefault="005E0838" w:rsidP="005E0838">
      <w:r w:rsidRPr="00AC6E74">
        <w:t>The Pregnancy Category B3</w:t>
      </w:r>
      <w:r w:rsidR="00870F86" w:rsidRPr="00AC6E74">
        <w:t>;</w:t>
      </w:r>
      <w:r w:rsidR="00870F86" w:rsidRPr="00AC6E74">
        <w:rPr>
          <w:rStyle w:val="FootnoteReference"/>
        </w:rPr>
        <w:footnoteReference w:id="7"/>
      </w:r>
      <w:r w:rsidRPr="00AC6E74">
        <w:t xml:space="preserve"> is considered appropriate for </w:t>
      </w:r>
      <w:proofErr w:type="spellStart"/>
      <w:r w:rsidRPr="00AC6E74">
        <w:t>sotorasib</w:t>
      </w:r>
      <w:proofErr w:type="spellEnd"/>
      <w:r w:rsidRPr="00AC6E74">
        <w:t>.</w:t>
      </w:r>
    </w:p>
    <w:p w14:paraId="796B1CEA" w14:textId="1AD2A2F4" w:rsidR="005E0838" w:rsidRPr="00AC6E74" w:rsidRDefault="005E0838" w:rsidP="005E0838">
      <w:r w:rsidRPr="00AC6E74">
        <w:t>The proposed limit</w:t>
      </w:r>
      <w:r w:rsidR="00F173E7" w:rsidRPr="00AC6E74">
        <w:t>s</w:t>
      </w:r>
      <w:r w:rsidRPr="00AC6E74">
        <w:t xml:space="preserve"> for several impurities in the drug substance and drug product have not been adequately qualified by submitted toxicity data.</w:t>
      </w:r>
    </w:p>
    <w:p w14:paraId="4036C921" w14:textId="0BE8FF6D" w:rsidR="005E0838" w:rsidRPr="00AC6E74" w:rsidRDefault="005E0838" w:rsidP="00F173E7">
      <w:r w:rsidRPr="00594BB6">
        <w:t xml:space="preserve">There are no objections on nonclinical grounds to the proposed registration of Lumakras for the proposed indication provided the </w:t>
      </w:r>
      <w:proofErr w:type="spellStart"/>
      <w:r w:rsidRPr="00594BB6">
        <w:t>clastogenicity</w:t>
      </w:r>
      <w:proofErr w:type="spellEnd"/>
      <w:r w:rsidRPr="00594BB6">
        <w:t xml:space="preserve"> of </w:t>
      </w:r>
      <w:r w:rsidRPr="00DB11B7">
        <w:t xml:space="preserve">impurities </w:t>
      </w:r>
      <w:r w:rsidR="008E44B8" w:rsidRPr="00DB11B7">
        <w:t xml:space="preserve">[Information redacted] </w:t>
      </w:r>
      <w:r w:rsidRPr="00DB11B7">
        <w:t>will be studied post-approval.</w:t>
      </w:r>
    </w:p>
    <w:p w14:paraId="78532F17" w14:textId="77777777" w:rsidR="008E7846" w:rsidRPr="00AC6E74" w:rsidRDefault="008E7846" w:rsidP="008E7846">
      <w:pPr>
        <w:pStyle w:val="Heading3"/>
      </w:pPr>
      <w:bookmarkStart w:id="44" w:name="_Toc247691530"/>
      <w:bookmarkStart w:id="45" w:name="_Toc314842513"/>
      <w:bookmarkStart w:id="46" w:name="_Toc136358062"/>
      <w:r w:rsidRPr="00AC6E74">
        <w:t>Clinical</w:t>
      </w:r>
      <w:bookmarkEnd w:id="44"/>
      <w:bookmarkEnd w:id="45"/>
      <w:bookmarkEnd w:id="46"/>
    </w:p>
    <w:p w14:paraId="53CE5EEC" w14:textId="77777777" w:rsidR="0074163C" w:rsidRPr="00AC6E74" w:rsidRDefault="0074163C" w:rsidP="0074163C">
      <w:pPr>
        <w:pStyle w:val="Heading4"/>
      </w:pPr>
      <w:bookmarkStart w:id="47" w:name="_Toc98931928"/>
      <w:r w:rsidRPr="00AC6E74">
        <w:t>Summary of clinical studies</w:t>
      </w:r>
      <w:bookmarkEnd w:id="47"/>
    </w:p>
    <w:p w14:paraId="2F1C5D0D" w14:textId="77777777" w:rsidR="0074163C" w:rsidRPr="00AC6E74" w:rsidRDefault="0074163C" w:rsidP="0074163C">
      <w:r w:rsidRPr="00AC6E74">
        <w:t>The clinical dossier consisted of</w:t>
      </w:r>
      <w:r w:rsidR="00EB36D6" w:rsidRPr="00AC6E74">
        <w:t>:</w:t>
      </w:r>
    </w:p>
    <w:p w14:paraId="6E2A82FA" w14:textId="615EFB02" w:rsidR="0074163C" w:rsidRPr="00AC6E74" w:rsidRDefault="00594BB6" w:rsidP="0074163C">
      <w:pPr>
        <w:pStyle w:val="ListBullet"/>
      </w:pPr>
      <w:r>
        <w:t>Eleven</w:t>
      </w:r>
      <w:r w:rsidRPr="00AC6E74">
        <w:t xml:space="preserve"> </w:t>
      </w:r>
      <w:r w:rsidR="0074163C" w:rsidRPr="00AC6E74">
        <w:t>Phase I studies</w:t>
      </w:r>
      <w:r w:rsidR="00F173E7" w:rsidRPr="00AC6E74">
        <w:t xml:space="preserve">: </w:t>
      </w:r>
      <w:r w:rsidR="00EE231F" w:rsidRPr="00AC6E74">
        <w:t xml:space="preserve">Studies </w:t>
      </w:r>
      <w:r w:rsidR="00F173E7" w:rsidRPr="00AC6E74">
        <w:t>20190316, 20190500, 20190321, 20190315, 20190317, 20190318, 20190319, 20190320, 20200199, 20190135</w:t>
      </w:r>
      <w:r w:rsidR="00EE231F" w:rsidRPr="00AC6E74">
        <w:t xml:space="preserve"> and</w:t>
      </w:r>
      <w:r w:rsidR="00F173E7" w:rsidRPr="00AC6E74">
        <w:t xml:space="preserve"> </w:t>
      </w:r>
      <w:proofErr w:type="gramStart"/>
      <w:r w:rsidR="00F173E7" w:rsidRPr="00AC6E74">
        <w:t>20190147</w:t>
      </w:r>
      <w:r w:rsidR="00EE231F" w:rsidRPr="00AC6E74">
        <w:t>;</w:t>
      </w:r>
      <w:proofErr w:type="gramEnd"/>
    </w:p>
    <w:p w14:paraId="4241ADE0" w14:textId="0FFACBEC" w:rsidR="00F173E7" w:rsidRPr="00AC6E74" w:rsidRDefault="00F173E7" w:rsidP="0074163C">
      <w:pPr>
        <w:pStyle w:val="ListBullet"/>
      </w:pPr>
      <w:r w:rsidRPr="00AC6E74">
        <w:t xml:space="preserve">One Phase I/II study: </w:t>
      </w:r>
      <w:r w:rsidR="00EE231F" w:rsidRPr="00AC6E74">
        <w:t xml:space="preserve">Study </w:t>
      </w:r>
      <w:r w:rsidRPr="00AC6E74">
        <w:t>20170543</w:t>
      </w:r>
      <w:r w:rsidR="006343C2" w:rsidRPr="00AC6E74">
        <w:t xml:space="preserve"> (also known as the </w:t>
      </w:r>
      <w:r w:rsidR="00A13739" w:rsidRPr="00AC6E74">
        <w:t>CODEBREAK</w:t>
      </w:r>
      <w:r w:rsidR="006343C2" w:rsidRPr="00AC6E74">
        <w:t xml:space="preserve"> 100 trial):</w:t>
      </w:r>
    </w:p>
    <w:p w14:paraId="0B4A4DB9" w14:textId="169A4D2B" w:rsidR="00EE231F" w:rsidRPr="00AC6E74" w:rsidRDefault="00EE231F" w:rsidP="00EE231F">
      <w:pPr>
        <w:pStyle w:val="ListBullet"/>
        <w:numPr>
          <w:ilvl w:val="0"/>
          <w:numId w:val="0"/>
        </w:numPr>
        <w:ind w:left="360"/>
      </w:pPr>
      <w:r w:rsidRPr="00AC6E74">
        <w:t xml:space="preserve">The primary efficacy data </w:t>
      </w:r>
      <w:r w:rsidR="003C4181">
        <w:t xml:space="preserve">that are </w:t>
      </w:r>
      <w:r w:rsidRPr="00AC6E74">
        <w:t>considered in this submission are based on the results from subjects with previously</w:t>
      </w:r>
      <w:r w:rsidR="00344667" w:rsidRPr="00AC6E74">
        <w:t xml:space="preserve"> </w:t>
      </w:r>
      <w:r w:rsidRPr="00AC6E74">
        <w:t xml:space="preserve">treated </w:t>
      </w:r>
      <w:r w:rsidRPr="00AC6E74">
        <w:rPr>
          <w:i/>
          <w:iCs/>
        </w:rPr>
        <w:t>KRAS G12C</w:t>
      </w:r>
      <w:r w:rsidRPr="00AC6E74">
        <w:t>-mutated advanced NSCLC enrolled in the pivotal Phase II portion of this</w:t>
      </w:r>
      <w:r w:rsidR="006343C2" w:rsidRPr="00AC6E74">
        <w:t xml:space="preserve"> ongoing</w:t>
      </w:r>
      <w:r w:rsidRPr="00AC6E74">
        <w:t xml:space="preserve"> </w:t>
      </w:r>
      <w:proofErr w:type="gramStart"/>
      <w:r w:rsidRPr="00AC6E74">
        <w:t>study</w:t>
      </w:r>
      <w:r w:rsidR="006343C2" w:rsidRPr="00AC6E74">
        <w:t>;</w:t>
      </w:r>
      <w:proofErr w:type="gramEnd"/>
    </w:p>
    <w:p w14:paraId="28956AA1" w14:textId="417DC167" w:rsidR="00F173E7" w:rsidRPr="00AC6E74" w:rsidRDefault="00EE231F" w:rsidP="0074163C">
      <w:pPr>
        <w:pStyle w:val="ListBullet"/>
      </w:pPr>
      <w:r w:rsidRPr="00AC6E74">
        <w:t xml:space="preserve">One Phase </w:t>
      </w:r>
      <w:r w:rsidR="00F173E7" w:rsidRPr="00AC6E74">
        <w:t>III</w:t>
      </w:r>
      <w:r w:rsidRPr="00AC6E74">
        <w:t xml:space="preserve"> study</w:t>
      </w:r>
      <w:r w:rsidR="00F173E7" w:rsidRPr="00AC6E74">
        <w:t xml:space="preserve">: </w:t>
      </w:r>
      <w:r w:rsidRPr="00AC6E74">
        <w:t xml:space="preserve">Study </w:t>
      </w:r>
      <w:r w:rsidR="00F173E7" w:rsidRPr="00AC6E74">
        <w:t>20190009</w:t>
      </w:r>
      <w:r w:rsidRPr="00AC6E74">
        <w:t>.</w:t>
      </w:r>
    </w:p>
    <w:p w14:paraId="10715C98" w14:textId="265DE39D" w:rsidR="008E7EFF" w:rsidRPr="00AC6E74" w:rsidRDefault="005C156F" w:rsidP="008E7EFF">
      <w:r w:rsidRPr="00AC6E74">
        <w:t xml:space="preserve">The clinical studies relevant to the evaluation of the efficacy and safety of </w:t>
      </w:r>
      <w:proofErr w:type="spellStart"/>
      <w:r w:rsidRPr="00AC6E74">
        <w:t>sotorasib</w:t>
      </w:r>
      <w:proofErr w:type="spellEnd"/>
      <w:r w:rsidRPr="00AC6E74">
        <w:t xml:space="preserve"> in the proposed population</w:t>
      </w:r>
      <w:r w:rsidR="003C4181">
        <w:t xml:space="preserve"> set out in the proposed indication for this submission</w:t>
      </w:r>
      <w:r w:rsidRPr="00AC6E74">
        <w:t xml:space="preserve"> are as detailed in </w:t>
      </w:r>
      <w:r w:rsidR="008E7EFF" w:rsidRPr="00AC6E74">
        <w:t xml:space="preserve">in </w:t>
      </w:r>
      <w:r w:rsidR="008E7EFF" w:rsidRPr="00AC6E74">
        <w:fldChar w:fldCharType="begin"/>
      </w:r>
      <w:r w:rsidR="008E7EFF" w:rsidRPr="00AC6E74">
        <w:instrText xml:space="preserve"> REF _Ref129849836 \h  \* MERGEFORMAT </w:instrText>
      </w:r>
      <w:r w:rsidR="008E7EFF" w:rsidRPr="00AC6E74">
        <w:fldChar w:fldCharType="separate"/>
      </w:r>
      <w:r w:rsidR="009B21DC" w:rsidRPr="00AC6E74">
        <w:t xml:space="preserve">Table </w:t>
      </w:r>
      <w:r w:rsidR="009B21DC">
        <w:t>3</w:t>
      </w:r>
      <w:r w:rsidR="008E7EFF" w:rsidRPr="00AC6E74">
        <w:fldChar w:fldCharType="end"/>
      </w:r>
      <w:r w:rsidR="008E7EFF" w:rsidRPr="00AC6E74">
        <w:t xml:space="preserve"> below.</w:t>
      </w:r>
    </w:p>
    <w:p w14:paraId="2C17E3B2" w14:textId="7FBF62D4" w:rsidR="008E7EFF" w:rsidRPr="00AC6E74" w:rsidRDefault="008E7EFF" w:rsidP="00BA55EE">
      <w:pPr>
        <w:pStyle w:val="TableTitle"/>
      </w:pPr>
      <w:bookmarkStart w:id="48" w:name="_Ref129849836"/>
      <w:r w:rsidRPr="00AC6E74">
        <w:lastRenderedPageBreak/>
        <w:t xml:space="preserve">Table </w:t>
      </w:r>
      <w:fldSimple w:instr=" SEQ Table \* ARABIC ">
        <w:r w:rsidR="009B21DC">
          <w:rPr>
            <w:noProof/>
          </w:rPr>
          <w:t>3</w:t>
        </w:r>
      </w:fldSimple>
      <w:bookmarkEnd w:id="48"/>
      <w:r w:rsidRPr="00AC6E74">
        <w:t xml:space="preserve">: </w:t>
      </w:r>
      <w:r w:rsidR="004E2EA4" w:rsidRPr="00AC6E74">
        <w:t xml:space="preserve">All </w:t>
      </w:r>
      <w:r w:rsidR="006B4CAE" w:rsidRPr="00AC6E74">
        <w:t>c</w:t>
      </w:r>
      <w:r w:rsidR="004E2EA4" w:rsidRPr="00AC6E74">
        <w:t xml:space="preserve">linical </w:t>
      </w:r>
      <w:r w:rsidR="006B4CAE" w:rsidRPr="00AC6E74">
        <w:t>studies included in this submission</w:t>
      </w:r>
    </w:p>
    <w:p w14:paraId="3CD6D1E1" w14:textId="13D05412" w:rsidR="00D31F39" w:rsidRPr="00AC6E74" w:rsidRDefault="004E2EA4" w:rsidP="00D31F39">
      <w:r w:rsidRPr="00AC6E74">
        <w:rPr>
          <w:noProof/>
          <w:lang w:val="en-GB" w:eastAsia="en-GB"/>
        </w:rPr>
        <w:drawing>
          <wp:inline distT="0" distB="0" distL="0" distR="0" wp14:anchorId="1DF0ADF0" wp14:editId="621586C7">
            <wp:extent cx="5399405" cy="7228205"/>
            <wp:effectExtent l="0" t="0" r="0" b="0"/>
            <wp:docPr id="26" name="Picture 26" descr="Table 3: All clinical studies included in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3: All clinical studies included in this submiss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7228205"/>
                    </a:xfrm>
                    <a:prstGeom prst="rect">
                      <a:avLst/>
                    </a:prstGeom>
                    <a:noFill/>
                    <a:ln>
                      <a:noFill/>
                    </a:ln>
                  </pic:spPr>
                </pic:pic>
              </a:graphicData>
            </a:graphic>
          </wp:inline>
        </w:drawing>
      </w:r>
    </w:p>
    <w:p w14:paraId="3000CBA5" w14:textId="3B123A11" w:rsidR="00D31F39" w:rsidRPr="00AC6E74" w:rsidRDefault="004E2EA4" w:rsidP="00BA55EE">
      <w:pPr>
        <w:pStyle w:val="TableTitle"/>
      </w:pPr>
      <w:r w:rsidRPr="00AC6E74">
        <w:lastRenderedPageBreak/>
        <w:fldChar w:fldCharType="begin"/>
      </w:r>
      <w:r w:rsidRPr="00AC6E74">
        <w:instrText xml:space="preserve"> REF _Ref129849836 \h  \* MERGEFORMAT </w:instrText>
      </w:r>
      <w:r w:rsidRPr="00AC6E74">
        <w:fldChar w:fldCharType="separate"/>
      </w:r>
      <w:r w:rsidR="009B21DC" w:rsidRPr="00AC6E74">
        <w:t xml:space="preserve">Table </w:t>
      </w:r>
      <w:r w:rsidR="009B21DC">
        <w:t>3</w:t>
      </w:r>
      <w:r w:rsidRPr="00AC6E74">
        <w:fldChar w:fldCharType="end"/>
      </w:r>
      <w:r w:rsidRPr="00AC6E74">
        <w:t xml:space="preserve"> </w:t>
      </w:r>
      <w:r w:rsidR="003C4181">
        <w:t>(</w:t>
      </w:r>
      <w:r w:rsidRPr="00AC6E74">
        <w:t>continued</w:t>
      </w:r>
      <w:r w:rsidR="003C4181">
        <w:t>)</w:t>
      </w:r>
      <w:r w:rsidRPr="00AC6E74">
        <w:t xml:space="preserve">: All </w:t>
      </w:r>
      <w:r w:rsidR="001C12C3">
        <w:t>c</w:t>
      </w:r>
      <w:r w:rsidRPr="00AC6E74">
        <w:t xml:space="preserve">linical </w:t>
      </w:r>
      <w:r w:rsidR="001C12C3">
        <w:t>s</w:t>
      </w:r>
      <w:r w:rsidRPr="00AC6E74">
        <w:t>tudies included in this submission</w:t>
      </w:r>
    </w:p>
    <w:p w14:paraId="1D5D78B0" w14:textId="02C74A4A" w:rsidR="004E2EA4" w:rsidRPr="00AC6E74" w:rsidRDefault="004E2EA4" w:rsidP="00BA55EE">
      <w:r w:rsidRPr="00AC6E74">
        <w:rPr>
          <w:noProof/>
          <w:lang w:val="en-GB" w:eastAsia="en-GB"/>
        </w:rPr>
        <w:drawing>
          <wp:inline distT="0" distB="0" distL="0" distR="0" wp14:anchorId="12B51560" wp14:editId="28CF7AF4">
            <wp:extent cx="5028551" cy="6893780"/>
            <wp:effectExtent l="0" t="0" r="1270" b="2540"/>
            <wp:docPr id="28" name="Picture 28" descr="Table 3 (continued): All clinical studies included in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3 (continued): All clinical studies included in this submiss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1820" cy="6925680"/>
                    </a:xfrm>
                    <a:prstGeom prst="rect">
                      <a:avLst/>
                    </a:prstGeom>
                    <a:noFill/>
                    <a:ln>
                      <a:noFill/>
                    </a:ln>
                  </pic:spPr>
                </pic:pic>
              </a:graphicData>
            </a:graphic>
          </wp:inline>
        </w:drawing>
      </w:r>
    </w:p>
    <w:p w14:paraId="1AEA12E2" w14:textId="43673051" w:rsidR="004E2EA4" w:rsidRPr="00DB11B7" w:rsidRDefault="004E2EA4" w:rsidP="00DB11B7">
      <w:pPr>
        <w:pStyle w:val="TableDescription"/>
      </w:pPr>
      <w:r w:rsidRPr="00DB11B7">
        <w:t>Abbreviations:</w:t>
      </w:r>
      <w:r w:rsidR="006B4CAE" w:rsidRPr="00DB11B7">
        <w:t xml:space="preserve"> </w:t>
      </w:r>
      <w:r w:rsidRPr="00DB11B7">
        <w:t>BID = twice daily; BMI = body mass index; CRC = colorectal cancer; DLT = dose</w:t>
      </w:r>
      <w:r w:rsidR="006B4CAE" w:rsidRPr="00DB11B7">
        <w:t xml:space="preserve"> </w:t>
      </w:r>
      <w:r w:rsidRPr="00DB11B7">
        <w:t xml:space="preserve">limiting toxicity; FOLFIRI = 180 mg/m2 irinotecan and 400 mg/m2 racemic leucovorin by </w:t>
      </w:r>
      <w:r w:rsidR="006B4CAE" w:rsidRPr="00DB11B7">
        <w:t xml:space="preserve">intravenous </w:t>
      </w:r>
      <w:r w:rsidRPr="00DB11B7">
        <w:t>infusion over 90</w:t>
      </w:r>
      <w:r w:rsidR="006B4CAE" w:rsidRPr="00DB11B7">
        <w:t> </w:t>
      </w:r>
      <w:r w:rsidRPr="00DB11B7">
        <w:t xml:space="preserve">minutes on </w:t>
      </w:r>
      <w:r w:rsidR="00DE6B64" w:rsidRPr="00DB11B7">
        <w:t>D</w:t>
      </w:r>
      <w:r w:rsidRPr="00DB11B7">
        <w:t xml:space="preserve">ay 1 and </w:t>
      </w:r>
      <w:r w:rsidR="00DE6B64" w:rsidRPr="00DB11B7">
        <w:t xml:space="preserve">5-fluorouracil </w:t>
      </w:r>
      <w:r w:rsidRPr="00DB11B7">
        <w:t xml:space="preserve">400 mg/m2 </w:t>
      </w:r>
      <w:r w:rsidR="006B4CAE" w:rsidRPr="00DB11B7">
        <w:t xml:space="preserve">intravenous </w:t>
      </w:r>
      <w:r w:rsidRPr="00DB11B7">
        <w:t xml:space="preserve">bolus on </w:t>
      </w:r>
      <w:r w:rsidR="006B4CAE" w:rsidRPr="00DB11B7">
        <w:t>D</w:t>
      </w:r>
      <w:r w:rsidRPr="00DB11B7">
        <w:t xml:space="preserve">ay 1, followed by </w:t>
      </w:r>
      <w:r w:rsidR="00DE6B64" w:rsidRPr="00DB11B7">
        <w:t>5</w:t>
      </w:r>
      <w:r w:rsidR="00DE6B64" w:rsidRPr="00DB11B7">
        <w:noBreakHyphen/>
        <w:t xml:space="preserve">fluorouracil </w:t>
      </w:r>
      <w:r w:rsidRPr="00DB11B7">
        <w:t>2400</w:t>
      </w:r>
      <w:r w:rsidR="006B4CAE" w:rsidRPr="00DB11B7">
        <w:t> </w:t>
      </w:r>
      <w:r w:rsidRPr="00DB11B7">
        <w:t xml:space="preserve">mg/m2 continuous infusion administered over </w:t>
      </w:r>
      <w:r w:rsidR="006B4CAE" w:rsidRPr="00DB11B7">
        <w:t>D</w:t>
      </w:r>
      <w:r w:rsidRPr="00DB11B7">
        <w:t>ays 1 and 2; KRAS = Kirsten rat sarcoma viral oncogene homolog; IV</w:t>
      </w:r>
      <w:r w:rsidR="003C4181" w:rsidRPr="00DB11B7">
        <w:t> </w:t>
      </w:r>
      <w:r w:rsidRPr="00DB11B7">
        <w:t>=</w:t>
      </w:r>
      <w:r w:rsidR="003C4181" w:rsidRPr="00DB11B7">
        <w:t> </w:t>
      </w:r>
      <w:r w:rsidRPr="00DB11B7">
        <w:t>intravenous; NSCLC = non-small cell lung cancer; PA = primary analysis; PD = pharmacodynamics; PK</w:t>
      </w:r>
      <w:r w:rsidR="003C4181" w:rsidRPr="00DB11B7">
        <w:t> </w:t>
      </w:r>
      <w:r w:rsidRPr="00DB11B7">
        <w:t>=</w:t>
      </w:r>
      <w:r w:rsidR="003C4181" w:rsidRPr="00DB11B7">
        <w:t> </w:t>
      </w:r>
      <w:r w:rsidRPr="00DB11B7">
        <w:t>pharmacokinetics; PO = administered orally; PRO = patient</w:t>
      </w:r>
      <w:r w:rsidR="00A4069E" w:rsidRPr="00DB11B7">
        <w:t xml:space="preserve"> </w:t>
      </w:r>
      <w:r w:rsidRPr="00DB11B7">
        <w:t>reported outcome; QD = once daily; Q2W</w:t>
      </w:r>
      <w:r w:rsidR="003C4181" w:rsidRPr="00DB11B7">
        <w:t> </w:t>
      </w:r>
      <w:r w:rsidRPr="00DB11B7">
        <w:t>=</w:t>
      </w:r>
      <w:r w:rsidR="003C4181" w:rsidRPr="00DB11B7">
        <w:t> </w:t>
      </w:r>
      <w:r w:rsidRPr="00DB11B7">
        <w:t>every 2 weeks; Q3W = every 3 weeks; RECIST = response evaluation criteria in solid tumours</w:t>
      </w:r>
      <w:r w:rsidR="006B4CAE" w:rsidRPr="00DB11B7">
        <w:t>.</w:t>
      </w:r>
    </w:p>
    <w:p w14:paraId="4C38AA68" w14:textId="33B8727E" w:rsidR="00DB11B7" w:rsidRPr="00DB11B7" w:rsidRDefault="004E2EA4" w:rsidP="00DB11B7">
      <w:pPr>
        <w:pStyle w:val="TableDescription"/>
      </w:pPr>
      <w:r w:rsidRPr="00DB11B7">
        <w:t>a Status at the time of the marketing application</w:t>
      </w:r>
      <w:r w:rsidR="00DB11B7" w:rsidRPr="00DB11B7">
        <w:t>.</w:t>
      </w:r>
    </w:p>
    <w:p w14:paraId="47F64AC2" w14:textId="1ABFD41A" w:rsidR="00D31F39" w:rsidRPr="00DB11B7" w:rsidRDefault="004E2EA4" w:rsidP="00DB11B7">
      <w:pPr>
        <w:pStyle w:val="TableDescription"/>
      </w:pPr>
      <w:r w:rsidRPr="00DB11B7">
        <w:t>b Treatment with investigational product continues until disease progression, intolerance of treatment, initiation of another anticancer therapy, withdrawal of consent, or death.</w:t>
      </w:r>
    </w:p>
    <w:p w14:paraId="69795743" w14:textId="6DC057A2" w:rsidR="00E04ABD" w:rsidRPr="00AC6E74" w:rsidRDefault="00E04ABD" w:rsidP="002A2318">
      <w:pPr>
        <w:pStyle w:val="Heading4"/>
      </w:pPr>
      <w:r w:rsidRPr="00AC6E74">
        <w:lastRenderedPageBreak/>
        <w:t>Pharmacology</w:t>
      </w:r>
    </w:p>
    <w:p w14:paraId="6F1592F5" w14:textId="460D10B5" w:rsidR="00E04ABD" w:rsidRPr="00AC6E74" w:rsidRDefault="00E04ABD" w:rsidP="002A2318">
      <w:r w:rsidRPr="00AC6E74">
        <w:t xml:space="preserve">Studies on relative bioavailability between </w:t>
      </w:r>
      <w:proofErr w:type="spellStart"/>
      <w:r w:rsidRPr="00AC6E74">
        <w:t>sotorasib</w:t>
      </w:r>
      <w:proofErr w:type="spellEnd"/>
      <w:r w:rsidRPr="00AC6E74">
        <w:t xml:space="preserve"> tablet versus </w:t>
      </w:r>
      <w:proofErr w:type="spellStart"/>
      <w:r w:rsidRPr="00AC6E74">
        <w:t>sotorasib</w:t>
      </w:r>
      <w:proofErr w:type="spellEnd"/>
      <w:r w:rsidRPr="00AC6E74">
        <w:t xml:space="preserve"> tablet pre</w:t>
      </w:r>
      <w:r w:rsidR="006343C2" w:rsidRPr="00AC6E74">
        <w:noBreakHyphen/>
      </w:r>
      <w:r w:rsidRPr="00AC6E74">
        <w:t xml:space="preserve">dispersed in water, food-effect, mass balance, </w:t>
      </w:r>
      <w:bookmarkStart w:id="49" w:name="_Hlk129799169"/>
      <w:r w:rsidRPr="00AC6E74">
        <w:t>drug-drug interactions</w:t>
      </w:r>
      <w:bookmarkEnd w:id="49"/>
      <w:r w:rsidRPr="00AC6E74">
        <w:t>, and QT interval</w:t>
      </w:r>
      <w:r w:rsidR="00870F86" w:rsidRPr="00AC6E74">
        <w:t>;</w:t>
      </w:r>
      <w:bookmarkStart w:id="50" w:name="_Ref135910331"/>
      <w:r w:rsidR="00870F86" w:rsidRPr="00AC6E74">
        <w:rPr>
          <w:rStyle w:val="FootnoteReference"/>
        </w:rPr>
        <w:footnoteReference w:id="8"/>
      </w:r>
      <w:bookmarkEnd w:id="50"/>
      <w:r w:rsidRPr="00AC6E74">
        <w:t xml:space="preserve"> prolongation potential were evaluated.</w:t>
      </w:r>
      <w:r w:rsidR="002A2318" w:rsidRPr="00AC6E74">
        <w:t xml:space="preserve"> </w:t>
      </w:r>
      <w:r w:rsidRPr="00AC6E74">
        <w:t>Analysis of data from clinical studies relating to population pharmacokinetics (</w:t>
      </w:r>
      <w:proofErr w:type="spellStart"/>
      <w:r w:rsidRPr="00AC6E74">
        <w:t>PopPK</w:t>
      </w:r>
      <w:proofErr w:type="spellEnd"/>
      <w:r w:rsidRPr="00AC6E74">
        <w:t>), exposure</w:t>
      </w:r>
      <w:r w:rsidR="00EA0344" w:rsidRPr="00AC6E74">
        <w:t xml:space="preserve"> </w:t>
      </w:r>
      <w:r w:rsidRPr="00AC6E74">
        <w:t>response for efficacy and safety, and physiological</w:t>
      </w:r>
      <w:r w:rsidR="003C4181">
        <w:t>-</w:t>
      </w:r>
      <w:r w:rsidRPr="00AC6E74">
        <w:t xml:space="preserve">based </w:t>
      </w:r>
      <w:r w:rsidR="0046797A" w:rsidRPr="00AC6E74">
        <w:t>pharmacokinetics (</w:t>
      </w:r>
      <w:r w:rsidRPr="00AC6E74">
        <w:t>PK</w:t>
      </w:r>
      <w:r w:rsidR="0046797A" w:rsidRPr="00AC6E74">
        <w:t>)</w:t>
      </w:r>
      <w:r w:rsidRPr="00AC6E74">
        <w:t xml:space="preserve"> </w:t>
      </w:r>
      <w:r w:rsidR="0046797A" w:rsidRPr="00AC6E74">
        <w:t>were</w:t>
      </w:r>
      <w:r w:rsidRPr="00AC6E74">
        <w:t xml:space="preserve"> </w:t>
      </w:r>
      <w:r w:rsidR="0046797A" w:rsidRPr="00AC6E74">
        <w:t xml:space="preserve">also </w:t>
      </w:r>
      <w:r w:rsidRPr="00AC6E74">
        <w:t>performed.</w:t>
      </w:r>
    </w:p>
    <w:p w14:paraId="6E899146" w14:textId="2CB9648E" w:rsidR="00E04ABD" w:rsidRPr="00AC6E74" w:rsidRDefault="00E04ABD" w:rsidP="002A2318">
      <w:pPr>
        <w:pStyle w:val="Heading5"/>
      </w:pPr>
      <w:r w:rsidRPr="00AC6E74">
        <w:t>Summary of clinical pharmacology assessment</w:t>
      </w:r>
    </w:p>
    <w:p w14:paraId="76379298" w14:textId="0A2B4ED3" w:rsidR="00E04ABD" w:rsidRPr="00AC6E74" w:rsidRDefault="00E04ABD" w:rsidP="002A2318">
      <w:r w:rsidRPr="00AC6E74">
        <w:t xml:space="preserve">The proposed </w:t>
      </w:r>
      <w:proofErr w:type="spellStart"/>
      <w:r w:rsidRPr="00AC6E74">
        <w:t>sotorasib</w:t>
      </w:r>
      <w:proofErr w:type="spellEnd"/>
      <w:r w:rsidRPr="00AC6E74">
        <w:t xml:space="preserve"> dosage is 960</w:t>
      </w:r>
      <w:r w:rsidR="006343C2" w:rsidRPr="00AC6E74">
        <w:t> </w:t>
      </w:r>
      <w:r w:rsidRPr="00AC6E74">
        <w:t>mg taken orally once daily with or without food.</w:t>
      </w:r>
      <w:r w:rsidR="006343C2" w:rsidRPr="00AC6E74">
        <w:t xml:space="preserve"> </w:t>
      </w:r>
      <w:r w:rsidRPr="00AC6E74">
        <w:t xml:space="preserve">Based on </w:t>
      </w:r>
      <w:r w:rsidR="006343C2" w:rsidRPr="00AC6E74">
        <w:t xml:space="preserve">the </w:t>
      </w:r>
      <w:r w:rsidRPr="00AC6E74">
        <w:t xml:space="preserve">PK data, </w:t>
      </w:r>
      <w:proofErr w:type="spellStart"/>
      <w:r w:rsidRPr="00AC6E74">
        <w:t>sotorasib</w:t>
      </w:r>
      <w:proofErr w:type="spellEnd"/>
      <w:r w:rsidRPr="00AC6E74">
        <w:t xml:space="preserve"> exhibited saturable absorption over the dose range of 180</w:t>
      </w:r>
      <w:r w:rsidR="006343C2" w:rsidRPr="00AC6E74">
        <w:t> </w:t>
      </w:r>
      <w:r w:rsidRPr="00AC6E74">
        <w:t>to</w:t>
      </w:r>
      <w:r w:rsidR="006343C2" w:rsidRPr="00AC6E74">
        <w:t> </w:t>
      </w:r>
      <w:r w:rsidRPr="00AC6E74">
        <w:t>960</w:t>
      </w:r>
      <w:r w:rsidR="006343C2" w:rsidRPr="00AC6E74">
        <w:t> </w:t>
      </w:r>
      <w:r w:rsidRPr="00AC6E74">
        <w:t>mg with similar systemic exposure (</w:t>
      </w:r>
      <w:r w:rsidR="00566CF6" w:rsidRPr="00AC6E74">
        <w:t>that is,</w:t>
      </w:r>
      <w:r w:rsidR="006343C2" w:rsidRPr="00AC6E74">
        <w:t xml:space="preserve"> </w:t>
      </w:r>
      <w:r w:rsidR="0046797A" w:rsidRPr="00AC6E74">
        <w:t xml:space="preserve">area under the concentration-time curve from time 0 to 24 hour </w:t>
      </w:r>
      <w:r w:rsidRPr="00AC6E74">
        <w:t xml:space="preserve">and </w:t>
      </w:r>
      <w:r w:rsidR="0046797A" w:rsidRPr="00AC6E74">
        <w:t>maximum observed drug concentration (</w:t>
      </w:r>
      <w:r w:rsidRPr="00AC6E74">
        <w:t>C</w:t>
      </w:r>
      <w:r w:rsidRPr="00AC6E74">
        <w:rPr>
          <w:vertAlign w:val="subscript"/>
        </w:rPr>
        <w:t>max</w:t>
      </w:r>
      <w:r w:rsidRPr="00AC6E74">
        <w:t>) across doses at steady</w:t>
      </w:r>
      <w:r w:rsidR="006343C2" w:rsidRPr="00AC6E74">
        <w:t xml:space="preserve"> </w:t>
      </w:r>
      <w:r w:rsidRPr="00AC6E74">
        <w:t>state.</w:t>
      </w:r>
    </w:p>
    <w:p w14:paraId="29603D12" w14:textId="2AB4677A" w:rsidR="006343C2" w:rsidRPr="00AC6E74" w:rsidRDefault="006343C2" w:rsidP="00943251">
      <w:pPr>
        <w:pStyle w:val="TableTitle"/>
      </w:pPr>
      <w:r w:rsidRPr="00AC6E74">
        <w:t xml:space="preserve">Table </w:t>
      </w:r>
      <w:fldSimple w:instr=" SEQ Table \* ARABIC ">
        <w:r w:rsidR="009B21DC">
          <w:rPr>
            <w:noProof/>
          </w:rPr>
          <w:t>4</w:t>
        </w:r>
      </w:fldSimple>
      <w:r w:rsidRPr="00AC6E74">
        <w:t>:</w:t>
      </w:r>
      <w:r w:rsidR="00943251" w:rsidRPr="00AC6E74">
        <w:t xml:space="preserve"> Study 20170543 (CODEBREAK 100 trial)</w:t>
      </w:r>
      <w:r w:rsidRPr="00AC6E74">
        <w:t xml:space="preserve"> </w:t>
      </w:r>
      <w:r w:rsidR="00943251" w:rsidRPr="00AC6E74">
        <w:t xml:space="preserve">Phase I Part 1A </w:t>
      </w:r>
      <w:r w:rsidR="00CC4C23" w:rsidRPr="00AC6E74">
        <w:t xml:space="preserve">Sotorasib </w:t>
      </w:r>
      <w:r w:rsidR="00943251" w:rsidRPr="00AC6E74">
        <w:t xml:space="preserve">steady state pharmacokinetic parameter estimates following oral administration of </w:t>
      </w:r>
      <w:r w:rsidR="00CC4C23" w:rsidRPr="00AC6E74">
        <w:t xml:space="preserve">180, 360, 720, or 960 mg </w:t>
      </w:r>
      <w:proofErr w:type="spellStart"/>
      <w:r w:rsidR="00633755" w:rsidRPr="00AC6E74">
        <w:t>s</w:t>
      </w:r>
      <w:r w:rsidR="00CC4C23" w:rsidRPr="00AC6E74">
        <w:t>otorasib</w:t>
      </w:r>
      <w:proofErr w:type="spellEnd"/>
      <w:r w:rsidR="00E80F46" w:rsidRPr="00AC6E74">
        <w:t xml:space="preserve"> </w:t>
      </w:r>
      <w:r w:rsidR="00943251" w:rsidRPr="00AC6E74">
        <w:t>once daily</w:t>
      </w:r>
      <w:r w:rsidR="00CC4C23" w:rsidRPr="00AC6E74">
        <w:t xml:space="preserve"> </w:t>
      </w:r>
      <w:r w:rsidR="00633755" w:rsidRPr="00AC6E74">
        <w:t>(Day 8, fasted)</w:t>
      </w:r>
    </w:p>
    <w:p w14:paraId="7E905900" w14:textId="0C321FDF" w:rsidR="00CC4C23" w:rsidRPr="00AC6E74" w:rsidRDefault="00CC4C23" w:rsidP="00943251">
      <w:r w:rsidRPr="00AC6E74">
        <w:rPr>
          <w:noProof/>
          <w:lang w:val="en-GB" w:eastAsia="en-GB"/>
        </w:rPr>
        <w:drawing>
          <wp:inline distT="0" distB="0" distL="0" distR="0" wp14:anchorId="79FD66F4" wp14:editId="12DDA4AD">
            <wp:extent cx="5400040" cy="1737360"/>
            <wp:effectExtent l="0" t="0" r="0" b="0"/>
            <wp:docPr id="29" name="Picture 29" descr="Table 4: Study 20170543 (CODEBREAK 100 trial) Phase I Part 1A Sotorasib steady state pharmacokinetic parameter estimates following oral administration of 180, 360, 720, or 960 mg sotorasib once daily (Day 8, fa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4: Study 20170543 (CODEBREAK 100 trial) Phase I Part 1A Sotorasib steady state pharmacokinetic parameter estimates following oral administration of 180, 360, 720, or 960 mg sotorasib once daily (Day 8, fasted)"/>
                    <pic:cNvPicPr/>
                  </pic:nvPicPr>
                  <pic:blipFill>
                    <a:blip r:embed="rId27"/>
                    <a:stretch>
                      <a:fillRect/>
                    </a:stretch>
                  </pic:blipFill>
                  <pic:spPr>
                    <a:xfrm>
                      <a:off x="0" y="0"/>
                      <a:ext cx="5400040" cy="1737360"/>
                    </a:xfrm>
                    <a:prstGeom prst="rect">
                      <a:avLst/>
                    </a:prstGeom>
                  </pic:spPr>
                </pic:pic>
              </a:graphicData>
            </a:graphic>
          </wp:inline>
        </w:drawing>
      </w:r>
    </w:p>
    <w:p w14:paraId="76017487" w14:textId="16173D53" w:rsidR="00D8257F" w:rsidRPr="00AC6E74" w:rsidRDefault="00943251" w:rsidP="00DE6B64">
      <w:pPr>
        <w:pStyle w:val="TableDescription"/>
      </w:pPr>
      <w:r w:rsidRPr="00AC6E74">
        <w:t xml:space="preserve">Abbreviations: </w:t>
      </w:r>
      <w:r w:rsidR="00D8257F" w:rsidRPr="00AC6E74">
        <w:t>AUC</w:t>
      </w:r>
      <w:r w:rsidR="00D8257F" w:rsidRPr="00AC6E74">
        <w:rPr>
          <w:vertAlign w:val="subscript"/>
        </w:rPr>
        <w:t>0-24h</w:t>
      </w:r>
      <w:r w:rsidR="00D8257F" w:rsidRPr="00AC6E74">
        <w:t xml:space="preserve"> = area under the concentration-time curve from time 0 to 24 hour post</w:t>
      </w:r>
      <w:r w:rsidR="00DE6B64" w:rsidRPr="00AC6E74">
        <w:t>-</w:t>
      </w:r>
      <w:r w:rsidR="00D8257F" w:rsidRPr="00AC6E74">
        <w:t>dose; C</w:t>
      </w:r>
      <w:r w:rsidR="00D8257F" w:rsidRPr="00AC6E74">
        <w:rPr>
          <w:vertAlign w:val="subscript"/>
        </w:rPr>
        <w:t>max</w:t>
      </w:r>
      <w:r w:rsidR="00D8257F" w:rsidRPr="00AC6E74">
        <w:t xml:space="preserve"> </w:t>
      </w:r>
      <w:r w:rsidR="00CC4C23" w:rsidRPr="00AC6E74">
        <w:t>=</w:t>
      </w:r>
      <w:r w:rsidR="00D8257F" w:rsidRPr="00AC6E74">
        <w:t xml:space="preserve"> maximum</w:t>
      </w:r>
      <w:r w:rsidR="00CC4C23" w:rsidRPr="00AC6E74">
        <w:t xml:space="preserve"> </w:t>
      </w:r>
      <w:r w:rsidR="00D8257F" w:rsidRPr="00AC6E74">
        <w:t xml:space="preserve">observed drug concentration; </w:t>
      </w:r>
      <w:r w:rsidR="00DE6B64" w:rsidRPr="00AC6E74">
        <w:t xml:space="preserve">N = </w:t>
      </w:r>
      <w:r w:rsidR="0049641B" w:rsidRPr="00AC6E74">
        <w:t xml:space="preserve">total </w:t>
      </w:r>
      <w:r w:rsidR="00DE6B64" w:rsidRPr="00AC6E74">
        <w:t xml:space="preserve">number of subjects; PK = pharmacokinetic; </w:t>
      </w:r>
      <w:proofErr w:type="spellStart"/>
      <w:r w:rsidR="00D8257F" w:rsidRPr="00AC6E74">
        <w:t>t</w:t>
      </w:r>
      <w:r w:rsidR="00D8257F" w:rsidRPr="00AC6E74">
        <w:rPr>
          <w:vertAlign w:val="subscript"/>
        </w:rPr>
        <w:t>max</w:t>
      </w:r>
      <w:proofErr w:type="spellEnd"/>
      <w:r w:rsidR="00D8257F" w:rsidRPr="00AC6E74">
        <w:t xml:space="preserve"> </w:t>
      </w:r>
      <w:r w:rsidR="00CC4C23" w:rsidRPr="00AC6E74">
        <w:t>=</w:t>
      </w:r>
      <w:r w:rsidR="00D8257F" w:rsidRPr="00AC6E74">
        <w:t xml:space="preserve"> time to reach C</w:t>
      </w:r>
      <w:r w:rsidR="00D8257F" w:rsidRPr="00AC6E74">
        <w:rPr>
          <w:vertAlign w:val="subscript"/>
        </w:rPr>
        <w:t>max</w:t>
      </w:r>
      <w:r w:rsidR="00D8257F" w:rsidRPr="00AC6E74">
        <w:t>; t</w:t>
      </w:r>
      <w:r w:rsidR="00D8257F" w:rsidRPr="00AC6E74">
        <w:rPr>
          <w:vertAlign w:val="subscript"/>
        </w:rPr>
        <w:t>1/</w:t>
      </w:r>
      <w:proofErr w:type="gramStart"/>
      <w:r w:rsidR="00D8257F" w:rsidRPr="00AC6E74">
        <w:rPr>
          <w:vertAlign w:val="subscript"/>
        </w:rPr>
        <w:t>2,z</w:t>
      </w:r>
      <w:proofErr w:type="gramEnd"/>
      <w:r w:rsidR="00D8257F" w:rsidRPr="00AC6E74">
        <w:t xml:space="preserve"> </w:t>
      </w:r>
      <w:r w:rsidR="00CC4C23" w:rsidRPr="00AC6E74">
        <w:t>=</w:t>
      </w:r>
      <w:r w:rsidR="00D8257F" w:rsidRPr="00AC6E74">
        <w:t xml:space="preserve"> terminal half-life</w:t>
      </w:r>
      <w:r w:rsidR="00CC4C23" w:rsidRPr="00AC6E74">
        <w:t>.</w:t>
      </w:r>
    </w:p>
    <w:p w14:paraId="30E0568E" w14:textId="558F4A2D" w:rsidR="00D8257F" w:rsidRPr="00AC6E74" w:rsidRDefault="00D8257F" w:rsidP="00DE6B64">
      <w:pPr>
        <w:pStyle w:val="TableDescription"/>
      </w:pPr>
      <w:r w:rsidRPr="00AC6E74">
        <w:t xml:space="preserve">Data presented as </w:t>
      </w:r>
      <w:r w:rsidR="00CC4C23" w:rsidRPr="00AC6E74">
        <w:t xml:space="preserve">geometric mean (mean, </w:t>
      </w:r>
      <w:r w:rsidR="00DE6B64" w:rsidRPr="00AC6E74">
        <w:t>coefficient of variation</w:t>
      </w:r>
      <w:r w:rsidR="00037374" w:rsidRPr="00AC6E74">
        <w:t xml:space="preserve"> </w:t>
      </w:r>
      <w:r w:rsidR="00CC4C23" w:rsidRPr="00AC6E74">
        <w:t xml:space="preserve">%) for all </w:t>
      </w:r>
      <w:r w:rsidR="00DE6B64" w:rsidRPr="00AC6E74">
        <w:t xml:space="preserve">pharmacokinetic </w:t>
      </w:r>
      <w:r w:rsidR="00CC4C23" w:rsidRPr="00AC6E74">
        <w:t xml:space="preserve">parameters except for </w:t>
      </w:r>
      <w:proofErr w:type="spellStart"/>
      <w:r w:rsidR="00037374" w:rsidRPr="00AC6E74">
        <w:t>t</w:t>
      </w:r>
      <w:r w:rsidR="00037374" w:rsidRPr="00AC6E74">
        <w:rPr>
          <w:vertAlign w:val="subscript"/>
        </w:rPr>
        <w:t>max</w:t>
      </w:r>
      <w:proofErr w:type="spellEnd"/>
      <w:r w:rsidR="00CC4C23" w:rsidRPr="00AC6E74">
        <w:t xml:space="preserve">, and </w:t>
      </w:r>
      <w:r w:rsidR="00037374" w:rsidRPr="00AC6E74">
        <w:t>t</w:t>
      </w:r>
      <w:r w:rsidR="00037374" w:rsidRPr="00AC6E74">
        <w:rPr>
          <w:vertAlign w:val="subscript"/>
        </w:rPr>
        <w:t>1/</w:t>
      </w:r>
      <w:proofErr w:type="gramStart"/>
      <w:r w:rsidR="00037374" w:rsidRPr="00AC6E74">
        <w:rPr>
          <w:vertAlign w:val="subscript"/>
        </w:rPr>
        <w:t>2,z</w:t>
      </w:r>
      <w:proofErr w:type="gramEnd"/>
      <w:r w:rsidR="00037374" w:rsidRPr="00AC6E74">
        <w:t xml:space="preserve"> </w:t>
      </w:r>
      <w:r w:rsidR="00CC4C23" w:rsidRPr="00AC6E74">
        <w:t>which is presented as median (range) and mean (</w:t>
      </w:r>
      <w:r w:rsidR="00037374" w:rsidRPr="00AC6E74">
        <w:t>standard deviation</w:t>
      </w:r>
      <w:r w:rsidR="00CC4C23" w:rsidRPr="00AC6E74">
        <w:t>), respectively.</w:t>
      </w:r>
    </w:p>
    <w:p w14:paraId="09361EA9" w14:textId="64F555D8" w:rsidR="00952451" w:rsidRPr="00AC6E74" w:rsidRDefault="00952451" w:rsidP="00DE6B64">
      <w:pPr>
        <w:pStyle w:val="TableDescription"/>
      </w:pPr>
      <w:r w:rsidRPr="00AC6E74">
        <w:t xml:space="preserve">Source: data extracted from </w:t>
      </w:r>
      <w:r w:rsidR="00026646" w:rsidRPr="00AC6E74">
        <w:t>the United States Food and Drug Administration Multi-Discipline Review and Evaluation for Lumakras (</w:t>
      </w:r>
      <w:proofErr w:type="spellStart"/>
      <w:r w:rsidR="00026646" w:rsidRPr="00AC6E74">
        <w:t>sotorasib</w:t>
      </w:r>
      <w:proofErr w:type="spellEnd"/>
      <w:r w:rsidR="00026646" w:rsidRPr="00AC6E74">
        <w:t>).</w:t>
      </w:r>
      <w:bookmarkStart w:id="51" w:name="_Ref129869188"/>
      <w:r w:rsidR="00026646" w:rsidRPr="00AC6E74">
        <w:rPr>
          <w:rStyle w:val="FootnoteReference"/>
        </w:rPr>
        <w:footnoteReference w:id="9"/>
      </w:r>
      <w:bookmarkEnd w:id="51"/>
    </w:p>
    <w:p w14:paraId="0D8807D7" w14:textId="5ECE9895" w:rsidR="00E04ABD" w:rsidRPr="00AC6E74" w:rsidRDefault="00E04ABD" w:rsidP="002A2318">
      <w:r w:rsidRPr="00AC6E74">
        <w:t xml:space="preserve">Sotorasib also showed </w:t>
      </w:r>
      <w:bookmarkStart w:id="52" w:name="_Hlk129799616"/>
      <w:r w:rsidRPr="00AC6E74">
        <w:t>time</w:t>
      </w:r>
      <w:r w:rsidR="006343C2" w:rsidRPr="00AC6E74">
        <w:t xml:space="preserve"> </w:t>
      </w:r>
      <w:r w:rsidRPr="00AC6E74">
        <w:t xml:space="preserve">dependent PK </w:t>
      </w:r>
      <w:bookmarkEnd w:id="52"/>
      <w:r w:rsidRPr="00AC6E74">
        <w:t xml:space="preserve">with a mean </w:t>
      </w:r>
      <w:bookmarkStart w:id="53" w:name="_Hlk129799641"/>
      <w:r w:rsidRPr="00AC6E74">
        <w:t>accumulation ratio</w:t>
      </w:r>
      <w:bookmarkEnd w:id="53"/>
      <w:r w:rsidRPr="00AC6E74">
        <w:t xml:space="preserve"> of 0.56 (</w:t>
      </w:r>
      <w:r w:rsidR="00037374" w:rsidRPr="00AC6E74">
        <w:t>coefficient of variation</w:t>
      </w:r>
      <w:r w:rsidRPr="00AC6E74">
        <w:t>: 59%) after repeat doses.</w:t>
      </w:r>
    </w:p>
    <w:p w14:paraId="36A18DCF" w14:textId="2B39B508" w:rsidR="00E04ABD" w:rsidRPr="00AC6E74" w:rsidRDefault="00E04ABD" w:rsidP="002A2318">
      <w:r w:rsidRPr="00AC6E74">
        <w:t xml:space="preserve">No clear </w:t>
      </w:r>
      <w:bookmarkStart w:id="54" w:name="_Hlk129799654"/>
      <w:r w:rsidRPr="00AC6E74">
        <w:t xml:space="preserve">dose-response </w:t>
      </w:r>
      <w:bookmarkEnd w:id="54"/>
      <w:r w:rsidRPr="00AC6E74">
        <w:t xml:space="preserve">trend was observed for </w:t>
      </w:r>
      <w:r w:rsidR="007F4EEA" w:rsidRPr="00AC6E74">
        <w:t>objective response rate</w:t>
      </w:r>
      <w:r w:rsidRPr="00AC6E74">
        <w:t xml:space="preserve"> among the tested doses from 180</w:t>
      </w:r>
      <w:r w:rsidR="006343C2" w:rsidRPr="00AC6E74">
        <w:t> </w:t>
      </w:r>
      <w:r w:rsidRPr="00AC6E74">
        <w:t>to</w:t>
      </w:r>
      <w:r w:rsidR="006343C2" w:rsidRPr="00AC6E74">
        <w:t> </w:t>
      </w:r>
      <w:r w:rsidRPr="00AC6E74">
        <w:t>960</w:t>
      </w:r>
      <w:r w:rsidR="006343C2" w:rsidRPr="00AC6E74">
        <w:t> </w:t>
      </w:r>
      <w:r w:rsidRPr="00AC6E74">
        <w:t>mg</w:t>
      </w:r>
      <w:r w:rsidR="006343C2" w:rsidRPr="00AC6E74">
        <w:t>.</w:t>
      </w:r>
    </w:p>
    <w:p w14:paraId="100D53A0" w14:textId="4554A0E7" w:rsidR="00E20EFF" w:rsidRPr="00AC6E74" w:rsidRDefault="006343C2" w:rsidP="00943251">
      <w:pPr>
        <w:pStyle w:val="TableTitle"/>
      </w:pPr>
      <w:r w:rsidRPr="00AC6E74">
        <w:lastRenderedPageBreak/>
        <w:t xml:space="preserve">Table </w:t>
      </w:r>
      <w:fldSimple w:instr=" SEQ Table \* ARABIC ">
        <w:r w:rsidR="009B21DC">
          <w:rPr>
            <w:noProof/>
          </w:rPr>
          <w:t>5</w:t>
        </w:r>
      </w:fldSimple>
      <w:r w:rsidRPr="00AC6E74">
        <w:t xml:space="preserve">: </w:t>
      </w:r>
      <w:r w:rsidR="00633755" w:rsidRPr="00AC6E74">
        <w:t>Study 20170543 (CODEBREAK 100 trial) O</w:t>
      </w:r>
      <w:r w:rsidR="007F4EEA" w:rsidRPr="00AC6E74">
        <w:t xml:space="preserve">bjective response </w:t>
      </w:r>
      <w:r w:rsidR="00633755" w:rsidRPr="00AC6E74">
        <w:t xml:space="preserve">rate following oral administration </w:t>
      </w:r>
      <w:r w:rsidR="00E20EFF" w:rsidRPr="00AC6E74">
        <w:t xml:space="preserve">of 180, 360, 720, or 960 mg </w:t>
      </w:r>
      <w:proofErr w:type="spellStart"/>
      <w:r w:rsidR="00633755" w:rsidRPr="00AC6E74">
        <w:t>s</w:t>
      </w:r>
      <w:r w:rsidR="00E20EFF" w:rsidRPr="00AC6E74">
        <w:t>otorasib</w:t>
      </w:r>
      <w:proofErr w:type="spellEnd"/>
      <w:r w:rsidR="00E20EFF" w:rsidRPr="00AC6E74">
        <w:t xml:space="preserve"> </w:t>
      </w:r>
      <w:r w:rsidR="00633755" w:rsidRPr="00AC6E74">
        <w:t xml:space="preserve">once daily </w:t>
      </w:r>
      <w:r w:rsidR="00E20EFF" w:rsidRPr="00AC6E74">
        <w:t>(fasted)</w:t>
      </w:r>
    </w:p>
    <w:p w14:paraId="6ECA1BB5" w14:textId="0DB11CA6" w:rsidR="00E04ABD" w:rsidRPr="00AC6E74" w:rsidRDefault="00026646" w:rsidP="00943251">
      <w:r w:rsidRPr="00AC6E74">
        <w:rPr>
          <w:noProof/>
          <w:lang w:val="en-GB" w:eastAsia="en-GB"/>
        </w:rPr>
        <w:drawing>
          <wp:inline distT="0" distB="0" distL="0" distR="0" wp14:anchorId="74418550" wp14:editId="6B3DBBCA">
            <wp:extent cx="5400040" cy="1244600"/>
            <wp:effectExtent l="0" t="0" r="0" b="0"/>
            <wp:docPr id="31" name="Picture 31" descr="Table 5: Study 20170543 (CODEBREAK 100 trial) Objective response rate following oral administration of 180, 360, 720, or 960 mg sotorasib once daily (fa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5: Study 20170543 (CODEBREAK 100 trial) Objective response rate following oral administration of 180, 360, 720, or 960 mg sotorasib once daily (fasted)"/>
                    <pic:cNvPicPr/>
                  </pic:nvPicPr>
                  <pic:blipFill>
                    <a:blip r:embed="rId28"/>
                    <a:stretch>
                      <a:fillRect/>
                    </a:stretch>
                  </pic:blipFill>
                  <pic:spPr>
                    <a:xfrm>
                      <a:off x="0" y="0"/>
                      <a:ext cx="5400040" cy="1244600"/>
                    </a:xfrm>
                    <a:prstGeom prst="rect">
                      <a:avLst/>
                    </a:prstGeom>
                  </pic:spPr>
                </pic:pic>
              </a:graphicData>
            </a:graphic>
          </wp:inline>
        </w:drawing>
      </w:r>
    </w:p>
    <w:p w14:paraId="23156AAC" w14:textId="00FF1604" w:rsidR="00037374" w:rsidRPr="00AC6E74" w:rsidRDefault="00037374" w:rsidP="003E45F5">
      <w:pPr>
        <w:pStyle w:val="TableDescription"/>
      </w:pPr>
      <w:r w:rsidRPr="00AC6E74">
        <w:t xml:space="preserve">Abbreviations: </w:t>
      </w:r>
      <w:r w:rsidR="003E45F5" w:rsidRPr="00AC6E74">
        <w:t xml:space="preserve">CI = confidence interval; N = </w:t>
      </w:r>
      <w:r w:rsidR="0049641B" w:rsidRPr="00AC6E74">
        <w:t xml:space="preserve">total </w:t>
      </w:r>
      <w:r w:rsidR="003E45F5" w:rsidRPr="00AC6E74">
        <w:t>number of subjects; n = number of subjects in subgroup; NSCLC = non-small cell lung cancer; ORR = objective response rate;</w:t>
      </w:r>
      <w:r w:rsidR="005879B7">
        <w:t xml:space="preserve"> </w:t>
      </w:r>
      <w:r w:rsidRPr="00AC6E74">
        <w:t>QD = once daily</w:t>
      </w:r>
      <w:r w:rsidR="003E45F5" w:rsidRPr="00AC6E74">
        <w:t>.</w:t>
      </w:r>
    </w:p>
    <w:p w14:paraId="5EA4BD62" w14:textId="5189B4CD" w:rsidR="00026646" w:rsidRPr="00AC6E74" w:rsidRDefault="00026646" w:rsidP="003E45F5">
      <w:pPr>
        <w:pStyle w:val="TableDescription"/>
      </w:pPr>
      <w:r w:rsidRPr="00AC6E74">
        <w:t>Source: data extracted from the United States Food and Drug Administration Multi-Discipline Review and Evaluation for Lumakras (</w:t>
      </w:r>
      <w:proofErr w:type="spellStart"/>
      <w:r w:rsidRPr="00AC6E74">
        <w:t>sotorasib</w:t>
      </w:r>
      <w:proofErr w:type="spellEnd"/>
      <w:r w:rsidRPr="00AC6E74">
        <w:t>).</w:t>
      </w:r>
      <w:r w:rsidR="003D610A" w:rsidRPr="00AC6E74">
        <w:rPr>
          <w:vertAlign w:val="superscript"/>
        </w:rPr>
        <w:fldChar w:fldCharType="begin"/>
      </w:r>
      <w:r w:rsidR="003D610A" w:rsidRPr="00AC6E74">
        <w:rPr>
          <w:vertAlign w:val="superscript"/>
        </w:rPr>
        <w:instrText xml:space="preserve"> NOTEREF _Ref129869188 \h  \* MERGEFORMAT </w:instrText>
      </w:r>
      <w:r w:rsidR="003D610A" w:rsidRPr="00AC6E74">
        <w:rPr>
          <w:vertAlign w:val="superscript"/>
        </w:rPr>
      </w:r>
      <w:r w:rsidR="003D610A" w:rsidRPr="00AC6E74">
        <w:rPr>
          <w:vertAlign w:val="superscript"/>
        </w:rPr>
        <w:fldChar w:fldCharType="separate"/>
      </w:r>
      <w:r w:rsidR="009B21DC">
        <w:rPr>
          <w:vertAlign w:val="superscript"/>
        </w:rPr>
        <w:t>9</w:t>
      </w:r>
      <w:r w:rsidR="003D610A" w:rsidRPr="00AC6E74">
        <w:rPr>
          <w:vertAlign w:val="superscript"/>
        </w:rPr>
        <w:fldChar w:fldCharType="end"/>
      </w:r>
    </w:p>
    <w:p w14:paraId="43311371" w14:textId="26400B4F" w:rsidR="00E04ABD" w:rsidRPr="00AC6E74" w:rsidRDefault="00E04ABD" w:rsidP="002A2318">
      <w:r w:rsidRPr="00AC6E74">
        <w:t xml:space="preserve">Despite limited sample sizes, the </w:t>
      </w:r>
      <w:r w:rsidR="007F4EEA" w:rsidRPr="00AC6E74">
        <w:t>objective response rate</w:t>
      </w:r>
      <w:r w:rsidRPr="00AC6E74">
        <w:t xml:space="preserve"> data suggests that lower dose levels may provide acceptable anti-tumour activity for the proposed indication.</w:t>
      </w:r>
      <w:r w:rsidR="002A2318" w:rsidRPr="00AC6E74">
        <w:t xml:space="preserve"> </w:t>
      </w:r>
      <w:r w:rsidRPr="00AC6E74">
        <w:t xml:space="preserve">The incidence of gastrointestinal related </w:t>
      </w:r>
      <w:r w:rsidR="00171934" w:rsidRPr="00AC6E74">
        <w:t>adverse events (</w:t>
      </w:r>
      <w:r w:rsidRPr="00AC6E74">
        <w:t>AEs</w:t>
      </w:r>
      <w:r w:rsidR="00171934" w:rsidRPr="00AC6E74">
        <w:t>)</w:t>
      </w:r>
      <w:r w:rsidRPr="00AC6E74">
        <w:t xml:space="preserve"> may be alleviated by administering a lower dose.</w:t>
      </w:r>
      <w:r w:rsidR="002A2318" w:rsidRPr="00AC6E74">
        <w:t xml:space="preserve"> </w:t>
      </w:r>
      <w:r w:rsidRPr="00AC6E74">
        <w:t>The pill burden (8 tablets at a time) for patients with the 960</w:t>
      </w:r>
      <w:r w:rsidR="000348AE" w:rsidRPr="00AC6E74">
        <w:t> </w:t>
      </w:r>
      <w:r w:rsidRPr="00AC6E74">
        <w:t>mg dose would also be reduced by taking a lower dose.</w:t>
      </w:r>
    </w:p>
    <w:p w14:paraId="4CC3BD9A" w14:textId="77777777" w:rsidR="00E04ABD" w:rsidRPr="00AC6E74" w:rsidRDefault="00E04ABD" w:rsidP="002A2318">
      <w:r w:rsidRPr="00AC6E74">
        <w:t>In Study 20170543, the following were observed in patients with NSCLC:</w:t>
      </w:r>
    </w:p>
    <w:p w14:paraId="0C4D97D6" w14:textId="216059E3" w:rsidR="00E04ABD" w:rsidRPr="00AC6E74" w:rsidRDefault="00E04ABD" w:rsidP="002A2318">
      <w:pPr>
        <w:pStyle w:val="ListBullet"/>
      </w:pPr>
      <w:bookmarkStart w:id="55" w:name="_Hlk129799734"/>
      <w:r w:rsidRPr="00AC6E74">
        <w:t xml:space="preserve">median time to peak plasma concentration </w:t>
      </w:r>
      <w:r w:rsidR="000348AE" w:rsidRPr="00AC6E74">
        <w:t>of</w:t>
      </w:r>
      <w:r w:rsidRPr="00AC6E74">
        <w:t xml:space="preserve"> </w:t>
      </w:r>
      <w:r w:rsidR="00D33FDC" w:rsidRPr="00AC6E74">
        <w:t>1</w:t>
      </w:r>
      <w:r w:rsidRPr="00AC6E74">
        <w:t xml:space="preserve"> hr</w:t>
      </w:r>
    </w:p>
    <w:p w14:paraId="17C6ACE2" w14:textId="3E7DB0F3" w:rsidR="00E04ABD" w:rsidRPr="00AC6E74" w:rsidRDefault="00E04ABD" w:rsidP="002A2318">
      <w:pPr>
        <w:pStyle w:val="ListBullet"/>
      </w:pPr>
      <w:r w:rsidRPr="00AC6E74">
        <w:t>mean steady</w:t>
      </w:r>
      <w:r w:rsidR="00D33FDC" w:rsidRPr="00AC6E74">
        <w:t xml:space="preserve"> </w:t>
      </w:r>
      <w:r w:rsidRPr="00AC6E74">
        <w:t xml:space="preserve">state apparent clearance </w:t>
      </w:r>
      <w:r w:rsidR="000348AE" w:rsidRPr="00AC6E74">
        <w:t>of</w:t>
      </w:r>
      <w:r w:rsidRPr="00AC6E74">
        <w:t xml:space="preserve"> 32.5 L/</w:t>
      </w:r>
      <w:r w:rsidR="000348AE" w:rsidRPr="00AC6E74">
        <w:t>hr</w:t>
      </w:r>
    </w:p>
    <w:p w14:paraId="3BE32029" w14:textId="2D1A77ED" w:rsidR="00E04ABD" w:rsidRPr="00AC6E74" w:rsidRDefault="00E04ABD" w:rsidP="002A2318">
      <w:pPr>
        <w:pStyle w:val="ListBullet"/>
      </w:pPr>
      <w:r w:rsidRPr="00AC6E74">
        <w:t>steady</w:t>
      </w:r>
      <w:r w:rsidR="00D33FDC" w:rsidRPr="00AC6E74">
        <w:t xml:space="preserve"> </w:t>
      </w:r>
      <w:r w:rsidRPr="00AC6E74">
        <w:t xml:space="preserve">state apparent volume of distribution </w:t>
      </w:r>
      <w:r w:rsidR="000348AE" w:rsidRPr="00AC6E74">
        <w:t>of</w:t>
      </w:r>
      <w:r w:rsidRPr="00AC6E74">
        <w:t xml:space="preserve"> 367 L</w:t>
      </w:r>
    </w:p>
    <w:p w14:paraId="1355985E" w14:textId="27F627FE" w:rsidR="00E04ABD" w:rsidRPr="00AC6E74" w:rsidRDefault="00E04ABD" w:rsidP="002A2318">
      <w:pPr>
        <w:pStyle w:val="ListBullet"/>
      </w:pPr>
      <w:r w:rsidRPr="00AC6E74">
        <w:t xml:space="preserve">mean terminal half-life of 5.19 </w:t>
      </w:r>
      <w:r w:rsidR="000348AE" w:rsidRPr="00AC6E74">
        <w:t>hrs</w:t>
      </w:r>
    </w:p>
    <w:bookmarkEnd w:id="55"/>
    <w:p w14:paraId="55C30EF6" w14:textId="291D98D0" w:rsidR="00E04ABD" w:rsidRPr="00AC6E74" w:rsidRDefault="00E04ABD" w:rsidP="002A2318">
      <w:r w:rsidRPr="00AC6E74">
        <w:rPr>
          <w:i/>
          <w:iCs/>
        </w:rPr>
        <w:t>In vitro</w:t>
      </w:r>
      <w:r w:rsidRPr="00AC6E74">
        <w:t xml:space="preserve"> unbound fraction of </w:t>
      </w:r>
      <w:proofErr w:type="spellStart"/>
      <w:r w:rsidRPr="00AC6E74">
        <w:t>sotorasib</w:t>
      </w:r>
      <w:proofErr w:type="spellEnd"/>
      <w:r w:rsidRPr="00AC6E74">
        <w:t xml:space="preserve"> to human plasma protein was 0.086 to 0.15 at concentrations of 0.25 to 25</w:t>
      </w:r>
      <w:r w:rsidR="000348AE" w:rsidRPr="00AC6E74">
        <w:t> </w:t>
      </w:r>
      <w:r w:rsidRPr="00AC6E74">
        <w:t>µM.</w:t>
      </w:r>
    </w:p>
    <w:p w14:paraId="3721D1C7" w14:textId="6B77835B" w:rsidR="00E04ABD" w:rsidRPr="00AC6E74" w:rsidRDefault="00E04ABD" w:rsidP="002A2318">
      <w:r w:rsidRPr="00AC6E74">
        <w:t xml:space="preserve">Primary routine of excretion was in the faeces accounting for a mean of 74.4% of the administered </w:t>
      </w:r>
      <w:proofErr w:type="spellStart"/>
      <w:r w:rsidRPr="00AC6E74">
        <w:t>sotorasib</w:t>
      </w:r>
      <w:proofErr w:type="spellEnd"/>
      <w:r w:rsidRPr="00AC6E74">
        <w:t>, with urine accounting for a mean of 5.81%.</w:t>
      </w:r>
      <w:r w:rsidR="002A2318" w:rsidRPr="00AC6E74">
        <w:t xml:space="preserve"> </w:t>
      </w:r>
      <w:r w:rsidRPr="00AC6E74">
        <w:t xml:space="preserve">On average, 1.47% of the </w:t>
      </w:r>
      <w:proofErr w:type="spellStart"/>
      <w:r w:rsidRPr="00AC6E74">
        <w:t>sotorasib</w:t>
      </w:r>
      <w:proofErr w:type="spellEnd"/>
      <w:r w:rsidRPr="00AC6E74">
        <w:t xml:space="preserve"> was excreted unchanged in the urine, with a </w:t>
      </w:r>
      <w:bookmarkStart w:id="56" w:name="_Hlk129799799"/>
      <w:r w:rsidRPr="00AC6E74">
        <w:t xml:space="preserve">geometric mean </w:t>
      </w:r>
      <w:bookmarkEnd w:id="56"/>
      <w:r w:rsidRPr="00AC6E74">
        <w:t xml:space="preserve">calculated </w:t>
      </w:r>
      <w:bookmarkStart w:id="57" w:name="_Hlk129799808"/>
      <w:r w:rsidRPr="00AC6E74">
        <w:t xml:space="preserve">renal clearance </w:t>
      </w:r>
      <w:bookmarkEnd w:id="57"/>
      <w:r w:rsidRPr="00AC6E74">
        <w:t>of 0.41</w:t>
      </w:r>
      <w:r w:rsidR="00D33FDC" w:rsidRPr="00AC6E74">
        <w:t xml:space="preserve"> </w:t>
      </w:r>
      <w:r w:rsidRPr="00AC6E74">
        <w:t>L/hr.</w:t>
      </w:r>
      <w:r w:rsidR="002A2318" w:rsidRPr="00AC6E74">
        <w:t xml:space="preserve"> </w:t>
      </w:r>
      <w:r w:rsidRPr="00AC6E74">
        <w:t xml:space="preserve">Faecal excretion is the primary route of elimination, with </w:t>
      </w:r>
      <w:proofErr w:type="spellStart"/>
      <w:r w:rsidRPr="00AC6E74">
        <w:t>sotorasib</w:t>
      </w:r>
      <w:proofErr w:type="spellEnd"/>
      <w:r w:rsidRPr="00AC6E74">
        <w:t xml:space="preserve"> being the predominant and only component identified in faeces</w:t>
      </w:r>
      <w:r w:rsidR="002A2318" w:rsidRPr="00AC6E74">
        <w:t xml:space="preserve"> </w:t>
      </w:r>
      <w:r w:rsidRPr="00AC6E74">
        <w:t>(53% of the radioactive dose administered).</w:t>
      </w:r>
      <w:r w:rsidR="002A2318" w:rsidRPr="00AC6E74">
        <w:t xml:space="preserve"> </w:t>
      </w:r>
      <w:r w:rsidRPr="00AC6E74">
        <w:t xml:space="preserve">In urine, </w:t>
      </w:r>
      <w:r w:rsidR="000348AE" w:rsidRPr="00AC6E74">
        <w:t xml:space="preserve">metabolite </w:t>
      </w:r>
      <w:r w:rsidRPr="00AC6E74">
        <w:t xml:space="preserve">M10 and </w:t>
      </w:r>
      <w:proofErr w:type="spellStart"/>
      <w:r w:rsidRPr="00AC6E74">
        <w:t>sotorasib</w:t>
      </w:r>
      <w:proofErr w:type="spellEnd"/>
      <w:r w:rsidRPr="00AC6E74">
        <w:t xml:space="preserve"> were identified as two of the major components, neither constituting </w:t>
      </w:r>
      <w:r w:rsidR="000348AE" w:rsidRPr="00AC6E74">
        <w:t xml:space="preserve">more than </w:t>
      </w:r>
      <w:r w:rsidRPr="00AC6E74">
        <w:t>5% of the dose administered.</w:t>
      </w:r>
    </w:p>
    <w:p w14:paraId="2779940A" w14:textId="362F4704" w:rsidR="00E04ABD" w:rsidRPr="00AC6E74" w:rsidRDefault="00E04ABD" w:rsidP="002A2318">
      <w:r w:rsidRPr="00AC6E74">
        <w:t xml:space="preserve">Based on healthy subjects, </w:t>
      </w:r>
      <w:r w:rsidR="004278C0" w:rsidRPr="00AC6E74">
        <w:t>area under the concentration-time curve</w:t>
      </w:r>
      <w:r w:rsidRPr="00AC6E74">
        <w:t xml:space="preserve"> increased 1.38-fold and </w:t>
      </w:r>
      <w:proofErr w:type="spellStart"/>
      <w:r w:rsidRPr="00AC6E74">
        <w:t>T</w:t>
      </w:r>
      <w:r w:rsidRPr="00AC6E74">
        <w:rPr>
          <w:vertAlign w:val="subscript"/>
        </w:rPr>
        <w:t>max</w:t>
      </w:r>
      <w:proofErr w:type="spellEnd"/>
      <w:r w:rsidRPr="00AC6E74">
        <w:t xml:space="preserve"> </w:t>
      </w:r>
      <w:r w:rsidR="00B00281" w:rsidRPr="00AC6E74">
        <w:t xml:space="preserve">(time after administration of a drug when the maximum plasma concentration is reached) </w:t>
      </w:r>
      <w:r w:rsidRPr="00AC6E74">
        <w:t>was delayed by 1.25</w:t>
      </w:r>
      <w:r w:rsidR="000348AE" w:rsidRPr="00AC6E74">
        <w:t> </w:t>
      </w:r>
      <w:r w:rsidRPr="00AC6E74">
        <w:t>hours when 360</w:t>
      </w:r>
      <w:r w:rsidR="000348AE" w:rsidRPr="00AC6E74">
        <w:t> </w:t>
      </w:r>
      <w:r w:rsidRPr="00AC6E74">
        <w:t xml:space="preserve">mg </w:t>
      </w:r>
      <w:proofErr w:type="spellStart"/>
      <w:r w:rsidRPr="00AC6E74">
        <w:t>sotorasib</w:t>
      </w:r>
      <w:proofErr w:type="spellEnd"/>
      <w:r w:rsidRPr="00AC6E74">
        <w:t xml:space="preserve"> was administered with a high fat meal compared with administration in the fasted state.</w:t>
      </w:r>
      <w:r w:rsidR="002A2318" w:rsidRPr="00AC6E74">
        <w:t xml:space="preserve"> </w:t>
      </w:r>
      <w:r w:rsidRPr="00AC6E74">
        <w:t>C</w:t>
      </w:r>
      <w:r w:rsidRPr="00AC6E74">
        <w:rPr>
          <w:vertAlign w:val="subscript"/>
        </w:rPr>
        <w:t>max</w:t>
      </w:r>
      <w:r w:rsidRPr="00AC6E74">
        <w:t xml:space="preserve"> was similar in fasted and fed conditions.</w:t>
      </w:r>
    </w:p>
    <w:p w14:paraId="7A6BF431" w14:textId="77DB8220" w:rsidR="007055BA" w:rsidRDefault="006343C2" w:rsidP="007055BA">
      <w:r w:rsidRPr="00AC6E74">
        <w:t>Drug-drug interaction</w:t>
      </w:r>
      <w:r w:rsidR="00E04ABD" w:rsidRPr="00AC6E74">
        <w:t xml:space="preserve"> studies performed are summarised in </w:t>
      </w:r>
      <w:r w:rsidR="001925D2" w:rsidRPr="00AC6E74">
        <w:fldChar w:fldCharType="begin"/>
      </w:r>
      <w:r w:rsidR="001925D2" w:rsidRPr="00AC6E74">
        <w:instrText xml:space="preserve"> REF _Ref129848504 \h </w:instrText>
      </w:r>
      <w:r w:rsidR="00987863" w:rsidRPr="00AC6E74">
        <w:instrText xml:space="preserve"> \* MERGEFORMAT </w:instrText>
      </w:r>
      <w:r w:rsidR="001925D2" w:rsidRPr="00AC6E74">
        <w:fldChar w:fldCharType="separate"/>
      </w:r>
      <w:r w:rsidR="009B21DC" w:rsidRPr="00AC6E74">
        <w:t xml:space="preserve">Table </w:t>
      </w:r>
      <w:r w:rsidR="009B21DC">
        <w:rPr>
          <w:noProof/>
        </w:rPr>
        <w:t>6</w:t>
      </w:r>
      <w:r w:rsidR="001925D2" w:rsidRPr="00AC6E74">
        <w:fldChar w:fldCharType="end"/>
      </w:r>
      <w:r w:rsidR="001925D2" w:rsidRPr="00AC6E74">
        <w:t xml:space="preserve"> below.</w:t>
      </w:r>
    </w:p>
    <w:p w14:paraId="3B600744" w14:textId="386CB8ED" w:rsidR="003C4181" w:rsidRPr="00AC6E74" w:rsidRDefault="003C4181" w:rsidP="00DB11B7">
      <w:pPr>
        <w:spacing w:before="0" w:after="200" w:line="0" w:lineRule="auto"/>
      </w:pPr>
      <w:r>
        <w:br w:type="page"/>
      </w:r>
    </w:p>
    <w:p w14:paraId="514506FA" w14:textId="5354D432" w:rsidR="001925D2" w:rsidRPr="00AC6E74" w:rsidRDefault="001925D2" w:rsidP="00943251">
      <w:pPr>
        <w:pStyle w:val="TableTitle"/>
      </w:pPr>
      <w:bookmarkStart w:id="58" w:name="_Ref129848504"/>
      <w:r w:rsidRPr="00AC6E74">
        <w:lastRenderedPageBreak/>
        <w:t xml:space="preserve">Table </w:t>
      </w:r>
      <w:fldSimple w:instr=" SEQ Table \* ARABIC ">
        <w:r w:rsidR="009B21DC">
          <w:rPr>
            <w:noProof/>
          </w:rPr>
          <w:t>6</w:t>
        </w:r>
      </w:fldSimple>
      <w:bookmarkEnd w:id="58"/>
      <w:r w:rsidRPr="00AC6E74">
        <w:t xml:space="preserve">: Summary of </w:t>
      </w:r>
      <w:r w:rsidR="00633755" w:rsidRPr="00AC6E74">
        <w:t>drug-drug interaction studies</w:t>
      </w:r>
    </w:p>
    <w:tbl>
      <w:tblPr>
        <w:tblStyle w:val="TableGrid"/>
        <w:tblW w:w="8500" w:type="dxa"/>
        <w:tblLook w:val="04A0" w:firstRow="1" w:lastRow="0" w:firstColumn="1" w:lastColumn="0" w:noHBand="0" w:noVBand="1"/>
      </w:tblPr>
      <w:tblGrid>
        <w:gridCol w:w="1336"/>
        <w:gridCol w:w="1701"/>
        <w:gridCol w:w="5463"/>
      </w:tblGrid>
      <w:tr w:rsidR="001925D2" w:rsidRPr="00AC6E74" w14:paraId="6BE134DC" w14:textId="77777777" w:rsidTr="00F36E0D">
        <w:trPr>
          <w:tblHeader/>
        </w:trPr>
        <w:tc>
          <w:tcPr>
            <w:tcW w:w="1336" w:type="dxa"/>
          </w:tcPr>
          <w:p w14:paraId="6029949D" w14:textId="77777777" w:rsidR="001925D2" w:rsidRPr="00AC6E74" w:rsidRDefault="001925D2" w:rsidP="00F36E0D">
            <w:r w:rsidRPr="00AC6E74">
              <w:t>Study</w:t>
            </w:r>
          </w:p>
          <w:p w14:paraId="3637252D" w14:textId="77777777" w:rsidR="001925D2" w:rsidRPr="00AC6E74" w:rsidRDefault="001925D2" w:rsidP="00F36E0D">
            <w:r w:rsidRPr="00AC6E74">
              <w:t>Number</w:t>
            </w:r>
          </w:p>
        </w:tc>
        <w:tc>
          <w:tcPr>
            <w:tcW w:w="1701" w:type="dxa"/>
          </w:tcPr>
          <w:p w14:paraId="7C99F687" w14:textId="77777777" w:rsidR="001925D2" w:rsidRPr="00AC6E74" w:rsidRDefault="001925D2" w:rsidP="00F36E0D">
            <w:r w:rsidRPr="00AC6E74">
              <w:t>Evaluation</w:t>
            </w:r>
          </w:p>
        </w:tc>
        <w:tc>
          <w:tcPr>
            <w:tcW w:w="5463" w:type="dxa"/>
          </w:tcPr>
          <w:p w14:paraId="39938850" w14:textId="77777777" w:rsidR="001925D2" w:rsidRPr="00AC6E74" w:rsidRDefault="001925D2" w:rsidP="00F36E0D">
            <w:r w:rsidRPr="00AC6E74">
              <w:t>Results</w:t>
            </w:r>
          </w:p>
        </w:tc>
      </w:tr>
      <w:tr w:rsidR="001925D2" w:rsidRPr="00AC6E74" w14:paraId="53B6DED7" w14:textId="77777777" w:rsidTr="001C12C3">
        <w:tc>
          <w:tcPr>
            <w:tcW w:w="1336" w:type="dxa"/>
          </w:tcPr>
          <w:p w14:paraId="39B5C6EC" w14:textId="77777777" w:rsidR="001925D2" w:rsidRPr="00AC6E74" w:rsidRDefault="001925D2" w:rsidP="00F36E0D">
            <w:r w:rsidRPr="00AC6E74">
              <w:t>20190315</w:t>
            </w:r>
          </w:p>
        </w:tc>
        <w:tc>
          <w:tcPr>
            <w:tcW w:w="1701" w:type="dxa"/>
          </w:tcPr>
          <w:p w14:paraId="0D9D0DE6" w14:textId="77777777" w:rsidR="001925D2" w:rsidRPr="00AC6E74" w:rsidRDefault="001925D2" w:rsidP="00F36E0D">
            <w:r w:rsidRPr="00AC6E74">
              <w:t>Digoxin DDI (P-</w:t>
            </w:r>
            <w:proofErr w:type="spellStart"/>
            <w:r w:rsidRPr="00AC6E74">
              <w:t>gp</w:t>
            </w:r>
            <w:proofErr w:type="spellEnd"/>
            <w:r w:rsidRPr="00AC6E74">
              <w:t xml:space="preserve"> substrate)</w:t>
            </w:r>
          </w:p>
        </w:tc>
        <w:tc>
          <w:tcPr>
            <w:tcW w:w="5463" w:type="dxa"/>
          </w:tcPr>
          <w:p w14:paraId="5D2AF2F1" w14:textId="68E5BCC9" w:rsidR="001925D2" w:rsidRPr="00AC6E74" w:rsidRDefault="001925D2" w:rsidP="00F36E0D">
            <w:r w:rsidRPr="00AC6E74">
              <w:t>Sotorasib as perpetrator: Geometric least squares mean ratio (test/reference) of digoxin AUC</w:t>
            </w:r>
            <w:r w:rsidRPr="00AC6E74">
              <w:rPr>
                <w:vertAlign w:val="subscript"/>
              </w:rPr>
              <w:t>inf</w:t>
            </w:r>
            <w:r w:rsidRPr="00AC6E74">
              <w:t xml:space="preserve"> and C</w:t>
            </w:r>
            <w:r w:rsidRPr="00AC6E74">
              <w:rPr>
                <w:vertAlign w:val="subscript"/>
              </w:rPr>
              <w:t>max</w:t>
            </w:r>
            <w:r w:rsidRPr="00AC6E74">
              <w:t xml:space="preserve"> were 1.214 and 1.914, respectively, when comparing digoxin </w:t>
            </w:r>
            <w:proofErr w:type="spellStart"/>
            <w:r w:rsidRPr="00AC6E74">
              <w:t>coadministered</w:t>
            </w:r>
            <w:proofErr w:type="spellEnd"/>
            <w:r w:rsidRPr="00AC6E74">
              <w:t xml:space="preserve"> with </w:t>
            </w:r>
            <w:proofErr w:type="spellStart"/>
            <w:r w:rsidRPr="00AC6E74">
              <w:t>sotorasib</w:t>
            </w:r>
            <w:proofErr w:type="spellEnd"/>
            <w:r w:rsidRPr="00AC6E74">
              <w:t xml:space="preserve"> (test) and digoxin administered alone (reference).</w:t>
            </w:r>
          </w:p>
        </w:tc>
      </w:tr>
      <w:tr w:rsidR="001925D2" w:rsidRPr="00AC6E74" w14:paraId="23932BC4" w14:textId="77777777" w:rsidTr="001C12C3">
        <w:tc>
          <w:tcPr>
            <w:tcW w:w="1336" w:type="dxa"/>
          </w:tcPr>
          <w:p w14:paraId="298FCF66" w14:textId="77777777" w:rsidR="001925D2" w:rsidRPr="00AC6E74" w:rsidRDefault="001925D2" w:rsidP="00F36E0D">
            <w:r w:rsidRPr="00AC6E74">
              <w:t>20190317</w:t>
            </w:r>
          </w:p>
        </w:tc>
        <w:tc>
          <w:tcPr>
            <w:tcW w:w="1701" w:type="dxa"/>
          </w:tcPr>
          <w:p w14:paraId="0D14481C" w14:textId="77777777" w:rsidR="001925D2" w:rsidRPr="00AC6E74" w:rsidRDefault="001925D2" w:rsidP="00F36E0D">
            <w:r w:rsidRPr="00AC6E74">
              <w:t>Metformin DDI (MATE1 and MATE2-K substrate)</w:t>
            </w:r>
          </w:p>
        </w:tc>
        <w:tc>
          <w:tcPr>
            <w:tcW w:w="5463" w:type="dxa"/>
          </w:tcPr>
          <w:p w14:paraId="5E1F1BA8" w14:textId="06F71A61" w:rsidR="001925D2" w:rsidRPr="00AC6E74" w:rsidRDefault="001925D2" w:rsidP="00F36E0D">
            <w:r w:rsidRPr="00AC6E74">
              <w:t xml:space="preserve">Sotorasib as perpetrator: Geometric least squares mean ratio (test/reference) of metformin </w:t>
            </w:r>
            <w:r w:rsidR="003E45F5" w:rsidRPr="00AC6E74">
              <w:t>AUC</w:t>
            </w:r>
            <w:r w:rsidR="003E45F5" w:rsidRPr="00AC6E74">
              <w:rPr>
                <w:vertAlign w:val="subscript"/>
              </w:rPr>
              <w:t>inf</w:t>
            </w:r>
            <w:r w:rsidRPr="00AC6E74">
              <w:t xml:space="preserve"> and </w:t>
            </w:r>
            <w:r w:rsidR="003E45F5" w:rsidRPr="00AC6E74">
              <w:t>C</w:t>
            </w:r>
            <w:r w:rsidR="003E45F5" w:rsidRPr="00AC6E74">
              <w:rPr>
                <w:vertAlign w:val="subscript"/>
              </w:rPr>
              <w:t>max</w:t>
            </w:r>
            <w:r w:rsidRPr="00AC6E74">
              <w:t xml:space="preserve"> were 0.985 and 0.996, respectively, when comparing metformin </w:t>
            </w:r>
            <w:proofErr w:type="spellStart"/>
            <w:r w:rsidRPr="00AC6E74">
              <w:t>coadministered</w:t>
            </w:r>
            <w:proofErr w:type="spellEnd"/>
            <w:r w:rsidRPr="00AC6E74">
              <w:t xml:space="preserve"> with </w:t>
            </w:r>
            <w:proofErr w:type="spellStart"/>
            <w:r w:rsidRPr="00AC6E74">
              <w:t>sotorasib</w:t>
            </w:r>
            <w:proofErr w:type="spellEnd"/>
            <w:r w:rsidRPr="00AC6E74">
              <w:t xml:space="preserve"> (test) and metformin administered alone (reference).</w:t>
            </w:r>
          </w:p>
          <w:p w14:paraId="6A74F2CA" w14:textId="4D83391F" w:rsidR="001925D2" w:rsidRPr="00AC6E74" w:rsidRDefault="001925D2" w:rsidP="00F36E0D">
            <w:r w:rsidRPr="00AC6E74">
              <w:t xml:space="preserve">Sotorasib as victim: Geometric least squares mean ratio (test/reference) of </w:t>
            </w:r>
            <w:proofErr w:type="spellStart"/>
            <w:r w:rsidRPr="00AC6E74">
              <w:t>sotorasib</w:t>
            </w:r>
            <w:proofErr w:type="spellEnd"/>
            <w:r w:rsidRPr="00AC6E74">
              <w:t xml:space="preserve"> </w:t>
            </w:r>
            <w:r w:rsidR="003E45F5" w:rsidRPr="00AC6E74">
              <w:t>AUC</w:t>
            </w:r>
            <w:r w:rsidR="003E45F5" w:rsidRPr="00AC6E74">
              <w:rPr>
                <w:vertAlign w:val="subscript"/>
              </w:rPr>
              <w:t>inf</w:t>
            </w:r>
            <w:r w:rsidRPr="00AC6E74">
              <w:t xml:space="preserve"> and </w:t>
            </w:r>
            <w:proofErr w:type="spellStart"/>
            <w:r w:rsidR="003E45F5" w:rsidRPr="00AC6E74">
              <w:t>C</w:t>
            </w:r>
            <w:r w:rsidR="003E45F5" w:rsidRPr="00AC6E74">
              <w:rPr>
                <w:vertAlign w:val="subscript"/>
              </w:rPr>
              <w:t>max</w:t>
            </w:r>
            <w:proofErr w:type="spellEnd"/>
            <w:r w:rsidRPr="00AC6E74">
              <w:t xml:space="preserve"> were 0.910 and 0.812, respectively, when comparing </w:t>
            </w:r>
            <w:proofErr w:type="spellStart"/>
            <w:r w:rsidRPr="00AC6E74">
              <w:t>sotorasib</w:t>
            </w:r>
            <w:proofErr w:type="spellEnd"/>
            <w:r w:rsidRPr="00AC6E74">
              <w:t xml:space="preserve"> </w:t>
            </w:r>
            <w:proofErr w:type="spellStart"/>
            <w:r w:rsidRPr="00AC6E74">
              <w:t>coadministered</w:t>
            </w:r>
            <w:proofErr w:type="spellEnd"/>
            <w:r w:rsidRPr="00AC6E74">
              <w:t xml:space="preserve"> with metformin (test) and </w:t>
            </w:r>
            <w:proofErr w:type="spellStart"/>
            <w:r w:rsidRPr="00AC6E74">
              <w:t>sotorasib</w:t>
            </w:r>
            <w:proofErr w:type="spellEnd"/>
            <w:r w:rsidRPr="00AC6E74">
              <w:t xml:space="preserve"> administered alone (reference).</w:t>
            </w:r>
          </w:p>
        </w:tc>
      </w:tr>
      <w:tr w:rsidR="001925D2" w:rsidRPr="00AC6E74" w14:paraId="5F589A57" w14:textId="77777777" w:rsidTr="001C12C3">
        <w:tc>
          <w:tcPr>
            <w:tcW w:w="1336" w:type="dxa"/>
          </w:tcPr>
          <w:p w14:paraId="6002C5C2" w14:textId="77777777" w:rsidR="001925D2" w:rsidRPr="00AC6E74" w:rsidRDefault="001925D2" w:rsidP="00F36E0D">
            <w:r w:rsidRPr="00AC6E74">
              <w:t>20190318</w:t>
            </w:r>
          </w:p>
        </w:tc>
        <w:tc>
          <w:tcPr>
            <w:tcW w:w="1701" w:type="dxa"/>
          </w:tcPr>
          <w:p w14:paraId="65698F39" w14:textId="77777777" w:rsidR="001925D2" w:rsidRPr="00AC6E74" w:rsidRDefault="001925D2" w:rsidP="00F36E0D">
            <w:r w:rsidRPr="00AC6E74">
              <w:t>Itraconazole DDI (CYP3A4 and P-</w:t>
            </w:r>
            <w:proofErr w:type="spellStart"/>
            <w:r w:rsidRPr="00AC6E74">
              <w:t>gp</w:t>
            </w:r>
            <w:proofErr w:type="spellEnd"/>
            <w:r w:rsidRPr="00AC6E74">
              <w:t xml:space="preserve"> Inhibitor)</w:t>
            </w:r>
          </w:p>
        </w:tc>
        <w:tc>
          <w:tcPr>
            <w:tcW w:w="5463" w:type="dxa"/>
          </w:tcPr>
          <w:p w14:paraId="1DA85F31" w14:textId="5079178D" w:rsidR="001925D2" w:rsidRPr="00AC6E74" w:rsidRDefault="001925D2" w:rsidP="00F36E0D">
            <w:r w:rsidRPr="00AC6E74">
              <w:t xml:space="preserve">Sotorasib as victim: Geometric least squares mean ratio (test/reference) of </w:t>
            </w:r>
            <w:proofErr w:type="spellStart"/>
            <w:r w:rsidRPr="00AC6E74">
              <w:t>sotorasib</w:t>
            </w:r>
            <w:proofErr w:type="spellEnd"/>
            <w:r w:rsidRPr="00AC6E74">
              <w:t xml:space="preserve"> </w:t>
            </w:r>
            <w:r w:rsidR="003E45F5" w:rsidRPr="00AC6E74">
              <w:t>AUC</w:t>
            </w:r>
            <w:r w:rsidR="003E45F5" w:rsidRPr="00AC6E74">
              <w:rPr>
                <w:vertAlign w:val="subscript"/>
              </w:rPr>
              <w:t>inf</w:t>
            </w:r>
            <w:r w:rsidRPr="00AC6E74">
              <w:t xml:space="preserve"> and </w:t>
            </w:r>
            <w:proofErr w:type="spellStart"/>
            <w:r w:rsidR="003E45F5" w:rsidRPr="00AC6E74">
              <w:t>C</w:t>
            </w:r>
            <w:r w:rsidR="003E45F5" w:rsidRPr="00AC6E74">
              <w:rPr>
                <w:vertAlign w:val="subscript"/>
              </w:rPr>
              <w:t>max</w:t>
            </w:r>
            <w:proofErr w:type="spellEnd"/>
            <w:r w:rsidRPr="00AC6E74">
              <w:t xml:space="preserve"> were 1.261 and 1.040, respectively, when comparing </w:t>
            </w:r>
            <w:proofErr w:type="spellStart"/>
            <w:r w:rsidRPr="00AC6E74">
              <w:t>sotorasib</w:t>
            </w:r>
            <w:proofErr w:type="spellEnd"/>
            <w:r w:rsidRPr="00AC6E74">
              <w:t xml:space="preserve"> </w:t>
            </w:r>
            <w:proofErr w:type="spellStart"/>
            <w:r w:rsidRPr="00AC6E74">
              <w:t>coadministered</w:t>
            </w:r>
            <w:proofErr w:type="spellEnd"/>
            <w:r w:rsidRPr="00AC6E74">
              <w:t xml:space="preserve"> with itraconazole (test) and </w:t>
            </w:r>
            <w:proofErr w:type="spellStart"/>
            <w:r w:rsidRPr="00AC6E74">
              <w:t>sotorasib</w:t>
            </w:r>
            <w:proofErr w:type="spellEnd"/>
            <w:r w:rsidRPr="00AC6E74">
              <w:t xml:space="preserve"> administered alone (reference).</w:t>
            </w:r>
          </w:p>
        </w:tc>
      </w:tr>
      <w:tr w:rsidR="001925D2" w:rsidRPr="00AC6E74" w14:paraId="58667A25" w14:textId="77777777" w:rsidTr="001C12C3">
        <w:tc>
          <w:tcPr>
            <w:tcW w:w="1336" w:type="dxa"/>
          </w:tcPr>
          <w:p w14:paraId="6525D6A4" w14:textId="77777777" w:rsidR="001925D2" w:rsidRPr="00AC6E74" w:rsidRDefault="001925D2" w:rsidP="00F36E0D">
            <w:r w:rsidRPr="00AC6E74">
              <w:t>20190319</w:t>
            </w:r>
          </w:p>
        </w:tc>
        <w:tc>
          <w:tcPr>
            <w:tcW w:w="1701" w:type="dxa"/>
          </w:tcPr>
          <w:p w14:paraId="77A84603" w14:textId="77777777" w:rsidR="001925D2" w:rsidRPr="00AC6E74" w:rsidRDefault="001925D2" w:rsidP="00F36E0D">
            <w:proofErr w:type="spellStart"/>
            <w:r w:rsidRPr="00AC6E74">
              <w:t>Rifampin</w:t>
            </w:r>
            <w:proofErr w:type="spellEnd"/>
            <w:r w:rsidRPr="00AC6E74">
              <w:t xml:space="preserve"> DDI (OATP inhibitor and CYP3A4 inducer)</w:t>
            </w:r>
          </w:p>
        </w:tc>
        <w:tc>
          <w:tcPr>
            <w:tcW w:w="5463" w:type="dxa"/>
          </w:tcPr>
          <w:p w14:paraId="0D92EBA3" w14:textId="568C2858" w:rsidR="001925D2" w:rsidRPr="00AC6E74" w:rsidRDefault="001925D2" w:rsidP="00F36E0D">
            <w:r w:rsidRPr="00AC6E74">
              <w:t xml:space="preserve">Sotorasib as victim: Geometric least squares mean ratio (test/reference) of </w:t>
            </w:r>
            <w:proofErr w:type="spellStart"/>
            <w:r w:rsidRPr="00AC6E74">
              <w:t>sotorasib</w:t>
            </w:r>
            <w:proofErr w:type="spellEnd"/>
            <w:r w:rsidRPr="00AC6E74">
              <w:t xml:space="preserve"> </w:t>
            </w:r>
            <w:r w:rsidR="003E45F5" w:rsidRPr="00AC6E74">
              <w:t>AUC</w:t>
            </w:r>
            <w:r w:rsidR="003E45F5" w:rsidRPr="00AC6E74">
              <w:rPr>
                <w:vertAlign w:val="subscript"/>
              </w:rPr>
              <w:t>inf</w:t>
            </w:r>
            <w:r w:rsidRPr="00AC6E74">
              <w:t xml:space="preserve"> and </w:t>
            </w:r>
            <w:proofErr w:type="spellStart"/>
            <w:r w:rsidR="003E45F5" w:rsidRPr="00AC6E74">
              <w:t>C</w:t>
            </w:r>
            <w:r w:rsidR="003E45F5" w:rsidRPr="00AC6E74">
              <w:rPr>
                <w:vertAlign w:val="subscript"/>
              </w:rPr>
              <w:t>max</w:t>
            </w:r>
            <w:proofErr w:type="spellEnd"/>
            <w:r w:rsidRPr="00AC6E74">
              <w:t xml:space="preserve"> were 0.766 and 0.840, respectively, when comparing </w:t>
            </w:r>
            <w:proofErr w:type="spellStart"/>
            <w:r w:rsidRPr="00AC6E74">
              <w:t>sotorasib</w:t>
            </w:r>
            <w:proofErr w:type="spellEnd"/>
            <w:r w:rsidRPr="00AC6E74">
              <w:t xml:space="preserve"> </w:t>
            </w:r>
            <w:proofErr w:type="spellStart"/>
            <w:r w:rsidRPr="00AC6E74">
              <w:t>coadministered</w:t>
            </w:r>
            <w:proofErr w:type="spellEnd"/>
            <w:r w:rsidRPr="00AC6E74">
              <w:t xml:space="preserve"> with single-dose </w:t>
            </w:r>
            <w:proofErr w:type="spellStart"/>
            <w:r w:rsidRPr="00AC6E74">
              <w:t>rifampin</w:t>
            </w:r>
            <w:proofErr w:type="spellEnd"/>
            <w:r w:rsidRPr="00AC6E74">
              <w:t xml:space="preserve"> (test) and </w:t>
            </w:r>
            <w:proofErr w:type="spellStart"/>
            <w:r w:rsidRPr="00AC6E74">
              <w:t>sotorasib</w:t>
            </w:r>
            <w:proofErr w:type="spellEnd"/>
            <w:r w:rsidRPr="00AC6E74">
              <w:t xml:space="preserve"> administered as tablets (reference). Geometric least squares mean ratio (test/reference) of </w:t>
            </w:r>
            <w:proofErr w:type="spellStart"/>
            <w:r w:rsidRPr="00AC6E74">
              <w:t>sotorasib</w:t>
            </w:r>
            <w:proofErr w:type="spellEnd"/>
            <w:r w:rsidRPr="00AC6E74">
              <w:t xml:space="preserve"> </w:t>
            </w:r>
            <w:r w:rsidR="003E45F5" w:rsidRPr="00AC6E74">
              <w:t>AUC</w:t>
            </w:r>
            <w:r w:rsidR="003E45F5" w:rsidRPr="00AC6E74">
              <w:rPr>
                <w:vertAlign w:val="subscript"/>
              </w:rPr>
              <w:t>inf</w:t>
            </w:r>
            <w:r w:rsidRPr="00AC6E74">
              <w:t xml:space="preserve"> and </w:t>
            </w:r>
            <w:proofErr w:type="spellStart"/>
            <w:r w:rsidR="003E45F5" w:rsidRPr="00AC6E74">
              <w:t>C</w:t>
            </w:r>
            <w:r w:rsidR="003E45F5" w:rsidRPr="00AC6E74">
              <w:rPr>
                <w:vertAlign w:val="subscript"/>
              </w:rPr>
              <w:t>max</w:t>
            </w:r>
            <w:proofErr w:type="spellEnd"/>
            <w:r w:rsidRPr="00AC6E74">
              <w:t xml:space="preserve"> were 0.487 and 0.647, respectively, when comparing </w:t>
            </w:r>
            <w:proofErr w:type="spellStart"/>
            <w:r w:rsidRPr="00AC6E74">
              <w:t>sotorasib</w:t>
            </w:r>
            <w:proofErr w:type="spellEnd"/>
            <w:r w:rsidRPr="00AC6E74">
              <w:t xml:space="preserve"> </w:t>
            </w:r>
            <w:proofErr w:type="spellStart"/>
            <w:r w:rsidRPr="00AC6E74">
              <w:t>coadministered</w:t>
            </w:r>
            <w:proofErr w:type="spellEnd"/>
            <w:r w:rsidRPr="00AC6E74">
              <w:t xml:space="preserve"> with multiple daily dosing of </w:t>
            </w:r>
            <w:proofErr w:type="spellStart"/>
            <w:r w:rsidRPr="00AC6E74">
              <w:t>rifampin</w:t>
            </w:r>
            <w:proofErr w:type="spellEnd"/>
            <w:r w:rsidRPr="00AC6E74">
              <w:t xml:space="preserve"> (test) and </w:t>
            </w:r>
            <w:proofErr w:type="spellStart"/>
            <w:r w:rsidRPr="00AC6E74">
              <w:t>sotorasib</w:t>
            </w:r>
            <w:proofErr w:type="spellEnd"/>
            <w:r w:rsidRPr="00AC6E74">
              <w:t xml:space="preserve"> administered alone (reference).</w:t>
            </w:r>
          </w:p>
        </w:tc>
      </w:tr>
      <w:tr w:rsidR="001925D2" w:rsidRPr="00AC6E74" w14:paraId="058763C5" w14:textId="77777777" w:rsidTr="001C12C3">
        <w:tc>
          <w:tcPr>
            <w:tcW w:w="1336" w:type="dxa"/>
          </w:tcPr>
          <w:p w14:paraId="6E68C48A" w14:textId="77777777" w:rsidR="001925D2" w:rsidRPr="00AC6E74" w:rsidRDefault="001925D2" w:rsidP="00F36E0D">
            <w:r w:rsidRPr="00AC6E74">
              <w:t>20190320</w:t>
            </w:r>
          </w:p>
        </w:tc>
        <w:tc>
          <w:tcPr>
            <w:tcW w:w="1701" w:type="dxa"/>
          </w:tcPr>
          <w:p w14:paraId="4448DFF0" w14:textId="77777777" w:rsidR="001925D2" w:rsidRPr="00AC6E74" w:rsidRDefault="001925D2" w:rsidP="00F36E0D">
            <w:r w:rsidRPr="00AC6E74">
              <w:t>Omeprazole PPI</w:t>
            </w:r>
          </w:p>
        </w:tc>
        <w:tc>
          <w:tcPr>
            <w:tcW w:w="5463" w:type="dxa"/>
          </w:tcPr>
          <w:p w14:paraId="3AC3D321" w14:textId="1A0E3B65" w:rsidR="001925D2" w:rsidRPr="00AC6E74" w:rsidRDefault="001925D2" w:rsidP="00F36E0D">
            <w:r w:rsidRPr="00AC6E74">
              <w:t xml:space="preserve">Sotorasib as victim: Geometric least squares mean ratio (test/reference) of </w:t>
            </w:r>
            <w:proofErr w:type="spellStart"/>
            <w:r w:rsidRPr="00AC6E74">
              <w:t>sotorasib</w:t>
            </w:r>
            <w:proofErr w:type="spellEnd"/>
            <w:r w:rsidRPr="00AC6E74">
              <w:t xml:space="preserve"> </w:t>
            </w:r>
            <w:r w:rsidR="003E45F5" w:rsidRPr="00AC6E74">
              <w:t>AUC</w:t>
            </w:r>
            <w:r w:rsidR="003E45F5" w:rsidRPr="00AC6E74">
              <w:rPr>
                <w:vertAlign w:val="subscript"/>
              </w:rPr>
              <w:t>inf</w:t>
            </w:r>
            <w:r w:rsidRPr="00AC6E74">
              <w:t xml:space="preserve"> and </w:t>
            </w:r>
            <w:proofErr w:type="spellStart"/>
            <w:r w:rsidR="003E45F5" w:rsidRPr="00AC6E74">
              <w:t>C</w:t>
            </w:r>
            <w:r w:rsidR="003E45F5" w:rsidRPr="00AC6E74">
              <w:rPr>
                <w:vertAlign w:val="subscript"/>
              </w:rPr>
              <w:t>max</w:t>
            </w:r>
            <w:proofErr w:type="spellEnd"/>
            <w:r w:rsidRPr="00AC6E74">
              <w:t xml:space="preserve"> were 0.582 and 0.431, respectively, when comparing </w:t>
            </w:r>
            <w:proofErr w:type="spellStart"/>
            <w:r w:rsidRPr="00AC6E74">
              <w:t>sotorasib</w:t>
            </w:r>
            <w:proofErr w:type="spellEnd"/>
            <w:r w:rsidRPr="00AC6E74">
              <w:t xml:space="preserve"> administered with omeprazole in the fasted condition (test) and </w:t>
            </w:r>
            <w:proofErr w:type="spellStart"/>
            <w:r w:rsidRPr="00AC6E74">
              <w:t>sotorasib</w:t>
            </w:r>
            <w:proofErr w:type="spellEnd"/>
            <w:r w:rsidRPr="00AC6E74">
              <w:t xml:space="preserve"> administered alone in the fasted condition (reference).</w:t>
            </w:r>
          </w:p>
        </w:tc>
      </w:tr>
      <w:tr w:rsidR="001925D2" w:rsidRPr="00AC6E74" w14:paraId="1353409C" w14:textId="77777777" w:rsidTr="001C12C3">
        <w:tc>
          <w:tcPr>
            <w:tcW w:w="1336" w:type="dxa"/>
          </w:tcPr>
          <w:p w14:paraId="360B3AAF" w14:textId="77777777" w:rsidR="001925D2" w:rsidRPr="00AC6E74" w:rsidRDefault="001925D2" w:rsidP="00F36E0D">
            <w:r w:rsidRPr="00AC6E74">
              <w:t>20200199</w:t>
            </w:r>
          </w:p>
        </w:tc>
        <w:tc>
          <w:tcPr>
            <w:tcW w:w="1701" w:type="dxa"/>
          </w:tcPr>
          <w:p w14:paraId="67D7154D" w14:textId="77777777" w:rsidR="001925D2" w:rsidRPr="00AC6E74" w:rsidRDefault="001925D2" w:rsidP="00F36E0D">
            <w:r w:rsidRPr="00AC6E74">
              <w:t>Famotidine or omeprazole in fed state (DDI)</w:t>
            </w:r>
          </w:p>
        </w:tc>
        <w:tc>
          <w:tcPr>
            <w:tcW w:w="5463" w:type="dxa"/>
          </w:tcPr>
          <w:p w14:paraId="415920FC" w14:textId="6E94C35B" w:rsidR="001925D2" w:rsidRPr="00AC6E74" w:rsidRDefault="001925D2" w:rsidP="00F36E0D">
            <w:r w:rsidRPr="00AC6E74">
              <w:t xml:space="preserve">Sotorasib as victim: Geometric least-square mean ratios of </w:t>
            </w:r>
            <w:proofErr w:type="spellStart"/>
            <w:r w:rsidRPr="00AC6E74">
              <w:t>sotorasib</w:t>
            </w:r>
            <w:proofErr w:type="spellEnd"/>
            <w:r w:rsidRPr="00AC6E74">
              <w:t xml:space="preserve"> </w:t>
            </w:r>
            <w:r w:rsidR="003E45F5" w:rsidRPr="00AC6E74">
              <w:t>AUC</w:t>
            </w:r>
            <w:r w:rsidR="003E45F5" w:rsidRPr="00AC6E74">
              <w:rPr>
                <w:vertAlign w:val="subscript"/>
              </w:rPr>
              <w:t>inf</w:t>
            </w:r>
            <w:r w:rsidRPr="00AC6E74">
              <w:t xml:space="preserve"> and </w:t>
            </w:r>
            <w:proofErr w:type="spellStart"/>
            <w:r w:rsidR="003E45F5" w:rsidRPr="00AC6E74">
              <w:t>C</w:t>
            </w:r>
            <w:r w:rsidR="003E45F5" w:rsidRPr="00AC6E74">
              <w:rPr>
                <w:vertAlign w:val="subscript"/>
              </w:rPr>
              <w:t>max</w:t>
            </w:r>
            <w:proofErr w:type="spellEnd"/>
            <w:r w:rsidRPr="00AC6E74">
              <w:t xml:space="preserve"> were 0.622 and 0.654, respectively when comparing </w:t>
            </w:r>
            <w:proofErr w:type="spellStart"/>
            <w:r w:rsidRPr="00AC6E74">
              <w:t>sotorasib</w:t>
            </w:r>
            <w:proofErr w:type="spellEnd"/>
            <w:r w:rsidRPr="00AC6E74">
              <w:t xml:space="preserve"> </w:t>
            </w:r>
            <w:proofErr w:type="spellStart"/>
            <w:r w:rsidRPr="00AC6E74">
              <w:t>coadministered</w:t>
            </w:r>
            <w:proofErr w:type="spellEnd"/>
            <w:r w:rsidRPr="00AC6E74">
              <w:t xml:space="preserve"> with famotidine (test) and </w:t>
            </w:r>
            <w:proofErr w:type="spellStart"/>
            <w:r w:rsidRPr="00AC6E74">
              <w:t>sotorasib</w:t>
            </w:r>
            <w:proofErr w:type="spellEnd"/>
            <w:r w:rsidRPr="00AC6E74">
              <w:t xml:space="preserve"> alone (reference) in fed conditions. Geometric least-square mean ratios of </w:t>
            </w:r>
            <w:proofErr w:type="spellStart"/>
            <w:r w:rsidRPr="00AC6E74">
              <w:t>sotorasib</w:t>
            </w:r>
            <w:proofErr w:type="spellEnd"/>
            <w:r w:rsidRPr="00AC6E74">
              <w:t xml:space="preserve"> </w:t>
            </w:r>
            <w:r w:rsidR="003E45F5" w:rsidRPr="00AC6E74">
              <w:t>AUC</w:t>
            </w:r>
            <w:r w:rsidR="003E45F5" w:rsidRPr="00AC6E74">
              <w:rPr>
                <w:vertAlign w:val="subscript"/>
              </w:rPr>
              <w:t>inf</w:t>
            </w:r>
            <w:r w:rsidRPr="00AC6E74">
              <w:t xml:space="preserve"> and </w:t>
            </w:r>
            <w:proofErr w:type="spellStart"/>
            <w:r w:rsidR="003E45F5" w:rsidRPr="00AC6E74">
              <w:t>C</w:t>
            </w:r>
            <w:r w:rsidR="003E45F5" w:rsidRPr="00AC6E74">
              <w:rPr>
                <w:vertAlign w:val="subscript"/>
              </w:rPr>
              <w:t>max</w:t>
            </w:r>
            <w:proofErr w:type="spellEnd"/>
            <w:r w:rsidRPr="00AC6E74">
              <w:t xml:space="preserve"> were 0.430 and 0.349, respectively when comparing </w:t>
            </w:r>
            <w:proofErr w:type="spellStart"/>
            <w:r w:rsidRPr="00AC6E74">
              <w:t>sotorasib</w:t>
            </w:r>
            <w:proofErr w:type="spellEnd"/>
            <w:r w:rsidRPr="00AC6E74">
              <w:t xml:space="preserve"> </w:t>
            </w:r>
            <w:proofErr w:type="spellStart"/>
            <w:r w:rsidRPr="00AC6E74">
              <w:t>coadministered</w:t>
            </w:r>
            <w:proofErr w:type="spellEnd"/>
            <w:r w:rsidRPr="00AC6E74">
              <w:t xml:space="preserve"> with omeprazole (test) and </w:t>
            </w:r>
            <w:proofErr w:type="spellStart"/>
            <w:r w:rsidRPr="00AC6E74">
              <w:t>sotorasib</w:t>
            </w:r>
            <w:proofErr w:type="spellEnd"/>
            <w:r w:rsidRPr="00AC6E74">
              <w:t xml:space="preserve"> alone (reference) in fed conditions.</w:t>
            </w:r>
          </w:p>
        </w:tc>
      </w:tr>
      <w:tr w:rsidR="001925D2" w:rsidRPr="00AC6E74" w14:paraId="27E06E64" w14:textId="77777777" w:rsidTr="001C12C3">
        <w:tc>
          <w:tcPr>
            <w:tcW w:w="1336" w:type="dxa"/>
          </w:tcPr>
          <w:p w14:paraId="7BE26B13" w14:textId="77777777" w:rsidR="001925D2" w:rsidRPr="00AC6E74" w:rsidRDefault="001925D2" w:rsidP="00F36E0D">
            <w:r w:rsidRPr="00AC6E74">
              <w:lastRenderedPageBreak/>
              <w:t xml:space="preserve">20170543 </w:t>
            </w:r>
            <w:proofErr w:type="spellStart"/>
            <w:r w:rsidRPr="00AC6E74">
              <w:t>Substudy</w:t>
            </w:r>
            <w:proofErr w:type="spellEnd"/>
          </w:p>
        </w:tc>
        <w:tc>
          <w:tcPr>
            <w:tcW w:w="1701" w:type="dxa"/>
          </w:tcPr>
          <w:p w14:paraId="38329FE7" w14:textId="77777777" w:rsidR="001925D2" w:rsidRPr="00AC6E74" w:rsidRDefault="001925D2" w:rsidP="00F36E0D">
            <w:r w:rsidRPr="00AC6E74">
              <w:t>Midazolam DDI (CYP 3A4 substrate)</w:t>
            </w:r>
          </w:p>
        </w:tc>
        <w:tc>
          <w:tcPr>
            <w:tcW w:w="5463" w:type="dxa"/>
          </w:tcPr>
          <w:p w14:paraId="092D3F42" w14:textId="08A97179" w:rsidR="001925D2" w:rsidRPr="00AC6E74" w:rsidRDefault="001925D2" w:rsidP="00F36E0D">
            <w:r w:rsidRPr="00AC6E74">
              <w:t xml:space="preserve">Sotorasib as inhibitor/inducer of CYP3A4: Geometric least squares mean ratio (test/reference) of </w:t>
            </w:r>
            <w:proofErr w:type="spellStart"/>
            <w:r w:rsidRPr="00AC6E74">
              <w:t>sotorasib</w:t>
            </w:r>
            <w:proofErr w:type="spellEnd"/>
            <w:r w:rsidRPr="00AC6E74">
              <w:t xml:space="preserve"> </w:t>
            </w:r>
            <w:r w:rsidR="003E45F5" w:rsidRPr="00AC6E74">
              <w:t>AUC</w:t>
            </w:r>
            <w:r w:rsidR="003E45F5" w:rsidRPr="00AC6E74">
              <w:rPr>
                <w:vertAlign w:val="subscript"/>
              </w:rPr>
              <w:t>inf</w:t>
            </w:r>
            <w:r w:rsidRPr="00AC6E74">
              <w:t xml:space="preserve"> and </w:t>
            </w:r>
            <w:proofErr w:type="spellStart"/>
            <w:r w:rsidR="003E45F5" w:rsidRPr="00AC6E74">
              <w:t>C</w:t>
            </w:r>
            <w:r w:rsidR="003E45F5" w:rsidRPr="00AC6E74">
              <w:rPr>
                <w:vertAlign w:val="subscript"/>
              </w:rPr>
              <w:t>max</w:t>
            </w:r>
            <w:proofErr w:type="spellEnd"/>
            <w:r w:rsidRPr="00AC6E74">
              <w:t xml:space="preserve"> were 0.47 and 0.52, respectively, when comparing midazolam </w:t>
            </w:r>
            <w:proofErr w:type="spellStart"/>
            <w:r w:rsidRPr="00AC6E74">
              <w:t>coadministered</w:t>
            </w:r>
            <w:proofErr w:type="spellEnd"/>
            <w:r w:rsidRPr="00AC6E74">
              <w:t xml:space="preserve"> with </w:t>
            </w:r>
            <w:proofErr w:type="spellStart"/>
            <w:r w:rsidRPr="00AC6E74">
              <w:t>sotorasib</w:t>
            </w:r>
            <w:proofErr w:type="spellEnd"/>
            <w:r w:rsidRPr="00AC6E74">
              <w:t xml:space="preserve"> (test) and midazolam administered alone (reference).</w:t>
            </w:r>
          </w:p>
        </w:tc>
      </w:tr>
    </w:tbl>
    <w:p w14:paraId="67F7BAA2" w14:textId="008CB1BD" w:rsidR="001925D2" w:rsidRPr="00AC6E74" w:rsidRDefault="001925D2" w:rsidP="00943251">
      <w:pPr>
        <w:pStyle w:val="TableDescription"/>
      </w:pPr>
      <w:r w:rsidRPr="00AC6E74">
        <w:t xml:space="preserve">Abbreviations: </w:t>
      </w:r>
      <w:r w:rsidR="003E45F5" w:rsidRPr="00AC6E74">
        <w:t>AUC</w:t>
      </w:r>
      <w:r w:rsidR="003E45F5" w:rsidRPr="00AC6E74">
        <w:rPr>
          <w:vertAlign w:val="subscript"/>
        </w:rPr>
        <w:t>inf</w:t>
      </w:r>
      <w:r w:rsidRPr="00AC6E74">
        <w:t xml:space="preserve"> = area under the plasma concentration-time curve</w:t>
      </w:r>
      <w:r w:rsidR="003E45F5" w:rsidRPr="00AC6E74">
        <w:t xml:space="preserve"> from time zero to infinity</w:t>
      </w:r>
      <w:r w:rsidRPr="00AC6E74">
        <w:t xml:space="preserve">; </w:t>
      </w:r>
      <w:r w:rsidR="003E45F5" w:rsidRPr="00AC6E74">
        <w:t>C</w:t>
      </w:r>
      <w:r w:rsidR="003E45F5" w:rsidRPr="00AC6E74">
        <w:rPr>
          <w:vertAlign w:val="subscript"/>
        </w:rPr>
        <w:t>max</w:t>
      </w:r>
      <w:r w:rsidRPr="00AC6E74">
        <w:t xml:space="preserve"> = maximum plasma concentration; CYP3A4 = cytochrome P450 3A; DDI = drug-drug interaction; MATE = multidrug and toxin extrusion</w:t>
      </w:r>
      <w:r w:rsidR="003E45F5" w:rsidRPr="00AC6E74">
        <w:t xml:space="preserve"> protein</w:t>
      </w:r>
      <w:r w:rsidRPr="00AC6E74">
        <w:t>; OATP = organic anion transporter; P-</w:t>
      </w:r>
      <w:proofErr w:type="spellStart"/>
      <w:r w:rsidRPr="00AC6E74">
        <w:t>gp</w:t>
      </w:r>
      <w:proofErr w:type="spellEnd"/>
      <w:r w:rsidRPr="00AC6E74">
        <w:t xml:space="preserve"> = P-glycoprotein; PPI = proton pump inhibitor</w:t>
      </w:r>
      <w:r w:rsidR="003E45F5" w:rsidRPr="00AC6E74">
        <w:t>.</w:t>
      </w:r>
    </w:p>
    <w:p w14:paraId="3A05C201" w14:textId="6AF1FFB6" w:rsidR="00E04ABD" w:rsidRPr="00AC6E74" w:rsidRDefault="00E04ABD" w:rsidP="002A2318">
      <w:r w:rsidRPr="00AC6E74">
        <w:t>At the dosing regimen of 960</w:t>
      </w:r>
      <w:r w:rsidR="000348AE" w:rsidRPr="00AC6E74">
        <w:t xml:space="preserve"> </w:t>
      </w:r>
      <w:r w:rsidRPr="00AC6E74">
        <w:t xml:space="preserve">mg daily, no large mean increase in the </w:t>
      </w:r>
      <w:r w:rsidR="00B00281" w:rsidRPr="00AC6E74">
        <w:t>corrected QT interval;</w:t>
      </w:r>
      <w:r w:rsidR="00B00281" w:rsidRPr="00AC6E74">
        <w:rPr>
          <w:rStyle w:val="FootnoteReference"/>
        </w:rPr>
        <w:footnoteReference w:id="10"/>
      </w:r>
      <w:r w:rsidRPr="00AC6E74">
        <w:t xml:space="preserve"> (</w:t>
      </w:r>
      <w:r w:rsidR="001925D2" w:rsidRPr="00AC6E74">
        <w:t xml:space="preserve">greater than </w:t>
      </w:r>
      <w:r w:rsidRPr="00AC6E74">
        <w:t>20</w:t>
      </w:r>
      <w:r w:rsidR="001925D2" w:rsidRPr="00AC6E74">
        <w:t> </w:t>
      </w:r>
      <w:r w:rsidRPr="00AC6E74">
        <w:t>msec) was observed.</w:t>
      </w:r>
    </w:p>
    <w:p w14:paraId="09F07B8E" w14:textId="77777777" w:rsidR="00E04ABD" w:rsidRPr="00AC6E74" w:rsidRDefault="00E04ABD" w:rsidP="002A2318">
      <w:r w:rsidRPr="00AC6E74">
        <w:t>In terms of therapeutic individualisation:</w:t>
      </w:r>
    </w:p>
    <w:p w14:paraId="69C0AC3B" w14:textId="07916573" w:rsidR="00E04ABD" w:rsidRPr="00AC6E74" w:rsidRDefault="001925D2" w:rsidP="002A2318">
      <w:pPr>
        <w:pStyle w:val="ListBullet"/>
      </w:pPr>
      <w:r w:rsidRPr="00AC6E74">
        <w:t>N</w:t>
      </w:r>
      <w:r w:rsidR="00E04ABD" w:rsidRPr="00AC6E74">
        <w:t xml:space="preserve">o dose adjustment of </w:t>
      </w:r>
      <w:proofErr w:type="spellStart"/>
      <w:r w:rsidR="00E04ABD" w:rsidRPr="00AC6E74">
        <w:t>sotorasib</w:t>
      </w:r>
      <w:proofErr w:type="spellEnd"/>
      <w:r w:rsidR="00E04ABD" w:rsidRPr="00AC6E74">
        <w:t xml:space="preserve"> is required based on demographic factors as no clinically significant differences in PK of </w:t>
      </w:r>
      <w:proofErr w:type="spellStart"/>
      <w:r w:rsidR="00E04ABD" w:rsidRPr="00AC6E74">
        <w:t>sotorasib</w:t>
      </w:r>
      <w:proofErr w:type="spellEnd"/>
      <w:r w:rsidR="00E04ABD" w:rsidRPr="00AC6E74">
        <w:t xml:space="preserve"> were observed based on these intrinsic factors (</w:t>
      </w:r>
      <w:r w:rsidR="00566CF6" w:rsidRPr="00AC6E74">
        <w:t>for example,</w:t>
      </w:r>
      <w:r w:rsidR="00E04ABD" w:rsidRPr="00AC6E74">
        <w:t xml:space="preserve"> weight, age, sex, race)</w:t>
      </w:r>
      <w:r w:rsidRPr="00AC6E74">
        <w:t>.</w:t>
      </w:r>
    </w:p>
    <w:p w14:paraId="1F9C55BC" w14:textId="76BE3172" w:rsidR="00E04ABD" w:rsidRPr="00AC6E74" w:rsidRDefault="001925D2" w:rsidP="002A2318">
      <w:pPr>
        <w:pStyle w:val="ListBullet"/>
      </w:pPr>
      <w:r w:rsidRPr="00AC6E74">
        <w:t xml:space="preserve">Sotorasib </w:t>
      </w:r>
      <w:r w:rsidR="00E04ABD" w:rsidRPr="00AC6E74">
        <w:t>can be administered without regard to food.</w:t>
      </w:r>
      <w:r w:rsidR="002A2318" w:rsidRPr="00AC6E74">
        <w:t xml:space="preserve"> </w:t>
      </w:r>
      <w:r w:rsidR="00E04ABD" w:rsidRPr="00AC6E74">
        <w:t xml:space="preserve">The </w:t>
      </w:r>
      <w:proofErr w:type="spellStart"/>
      <w:r w:rsidR="00E04ABD" w:rsidRPr="00AC6E74">
        <w:t>sotorasib</w:t>
      </w:r>
      <w:proofErr w:type="spellEnd"/>
      <w:r w:rsidR="00E04ABD" w:rsidRPr="00AC6E74">
        <w:t xml:space="preserve"> systemic exposure were not significantly impacted when administered a high</w:t>
      </w:r>
      <w:r w:rsidR="001D420C" w:rsidRPr="00AC6E74">
        <w:t xml:space="preserve"> </w:t>
      </w:r>
      <w:r w:rsidR="00E04ABD" w:rsidRPr="00AC6E74">
        <w:t>fat, high</w:t>
      </w:r>
      <w:r w:rsidR="001D420C" w:rsidRPr="00AC6E74">
        <w:t xml:space="preserve"> </w:t>
      </w:r>
      <w:r w:rsidR="00E04ABD" w:rsidRPr="00AC6E74">
        <w:t>calorie meal; no meaningful differences were observed in safety data between patients taking 960</w:t>
      </w:r>
      <w:r w:rsidR="000348AE" w:rsidRPr="00AC6E74">
        <w:t xml:space="preserve"> </w:t>
      </w:r>
      <w:r w:rsidR="00E04ABD" w:rsidRPr="00AC6E74">
        <w:t>mg dose under fasted conditions versus fed conditions</w:t>
      </w:r>
      <w:r w:rsidRPr="00AC6E74">
        <w:t>.</w:t>
      </w:r>
    </w:p>
    <w:p w14:paraId="4B91E244" w14:textId="5472F22E" w:rsidR="00E04ABD" w:rsidRPr="00AC6E74" w:rsidRDefault="001925D2" w:rsidP="002A2318">
      <w:pPr>
        <w:pStyle w:val="ListBullet"/>
      </w:pPr>
      <w:r w:rsidRPr="00AC6E74">
        <w:t xml:space="preserve">No </w:t>
      </w:r>
      <w:r w:rsidR="00E04ABD" w:rsidRPr="00AC6E74">
        <w:t xml:space="preserve">dose adjustment of </w:t>
      </w:r>
      <w:proofErr w:type="spellStart"/>
      <w:r w:rsidR="00E04ABD" w:rsidRPr="00AC6E74">
        <w:t>sotorasib</w:t>
      </w:r>
      <w:proofErr w:type="spellEnd"/>
      <w:r w:rsidR="00E04ABD" w:rsidRPr="00AC6E74">
        <w:t xml:space="preserve"> is required for patients with mild and moderate renal impairment considering that renal elimination is a minor elimination pathway for </w:t>
      </w:r>
      <w:proofErr w:type="spellStart"/>
      <w:r w:rsidR="00E04ABD" w:rsidRPr="00AC6E74">
        <w:t>sotorasib</w:t>
      </w:r>
      <w:proofErr w:type="spellEnd"/>
      <w:r w:rsidR="00E04ABD" w:rsidRPr="00AC6E74">
        <w:t xml:space="preserve"> and that no clinically meaningful difference in PK of </w:t>
      </w:r>
      <w:proofErr w:type="spellStart"/>
      <w:r w:rsidR="00E04ABD" w:rsidRPr="00AC6E74">
        <w:t>sotorasib</w:t>
      </w:r>
      <w:proofErr w:type="spellEnd"/>
      <w:r w:rsidR="00E04ABD" w:rsidRPr="00AC6E74">
        <w:t xml:space="preserve"> was seen in patients with mild and moderate renal impairment compared to those with normal renal function based on </w:t>
      </w:r>
      <w:proofErr w:type="spellStart"/>
      <w:r w:rsidR="00E04ABD" w:rsidRPr="00AC6E74">
        <w:t>PopPK</w:t>
      </w:r>
      <w:proofErr w:type="spellEnd"/>
      <w:r w:rsidR="00E04ABD" w:rsidRPr="00AC6E74">
        <w:t xml:space="preserve"> analysis</w:t>
      </w:r>
      <w:r w:rsidRPr="00AC6E74">
        <w:t>.</w:t>
      </w:r>
    </w:p>
    <w:p w14:paraId="36A223CB" w14:textId="1A4085D1" w:rsidR="00E04ABD" w:rsidRPr="00AC6E74" w:rsidRDefault="001925D2" w:rsidP="002A2318">
      <w:pPr>
        <w:pStyle w:val="ListBullet"/>
      </w:pPr>
      <w:r w:rsidRPr="00AC6E74">
        <w:t xml:space="preserve">No </w:t>
      </w:r>
      <w:r w:rsidR="00E04ABD" w:rsidRPr="00AC6E74">
        <w:t xml:space="preserve">dose adjustment of </w:t>
      </w:r>
      <w:proofErr w:type="spellStart"/>
      <w:r w:rsidR="00E04ABD" w:rsidRPr="00AC6E74">
        <w:t>sotorasib</w:t>
      </w:r>
      <w:proofErr w:type="spellEnd"/>
      <w:r w:rsidR="00E04ABD" w:rsidRPr="00AC6E74">
        <w:t xml:space="preserve"> is required for patients with mild hepatic impairment based on the </w:t>
      </w:r>
      <w:proofErr w:type="spellStart"/>
      <w:r w:rsidR="00E04ABD" w:rsidRPr="00AC6E74">
        <w:t>PopPK</w:t>
      </w:r>
      <w:proofErr w:type="spellEnd"/>
      <w:r w:rsidR="00E04ABD" w:rsidRPr="00AC6E74">
        <w:t xml:space="preserve"> analysis. As the </w:t>
      </w:r>
      <w:proofErr w:type="spellStart"/>
      <w:r w:rsidR="00E04ABD" w:rsidRPr="00AC6E74">
        <w:t>PopPK</w:t>
      </w:r>
      <w:proofErr w:type="spellEnd"/>
      <w:r w:rsidR="00E04ABD" w:rsidRPr="00AC6E74">
        <w:t xml:space="preserve"> analysis included only 3 patients with moderate hepatic impairment, further evaluation in subjects with moderate and severe hepatic impairment is required to inform dosage</w:t>
      </w:r>
      <w:r w:rsidRPr="00AC6E74">
        <w:t>.</w:t>
      </w:r>
    </w:p>
    <w:p w14:paraId="0543FB77" w14:textId="07955179" w:rsidR="00E04ABD" w:rsidRPr="00AC6E74" w:rsidRDefault="001925D2" w:rsidP="002A2318">
      <w:pPr>
        <w:pStyle w:val="ListBullet"/>
      </w:pPr>
      <w:r w:rsidRPr="00AC6E74">
        <w:t xml:space="preserve">No </w:t>
      </w:r>
      <w:r w:rsidR="00E04ABD" w:rsidRPr="00AC6E74">
        <w:t xml:space="preserve">dose adjustment of </w:t>
      </w:r>
      <w:proofErr w:type="spellStart"/>
      <w:r w:rsidR="00E04ABD" w:rsidRPr="00AC6E74">
        <w:t>sotorasib</w:t>
      </w:r>
      <w:proofErr w:type="spellEnd"/>
      <w:r w:rsidR="00E04ABD" w:rsidRPr="00AC6E74">
        <w:t xml:space="preserve"> is required when </w:t>
      </w:r>
      <w:proofErr w:type="spellStart"/>
      <w:r w:rsidR="00E04ABD" w:rsidRPr="00AC6E74">
        <w:t>sotorasib</w:t>
      </w:r>
      <w:proofErr w:type="spellEnd"/>
      <w:r w:rsidR="00E04ABD" w:rsidRPr="00AC6E74">
        <w:t xml:space="preserve"> is co-administered with strong CYP3A inhibitors, </w:t>
      </w:r>
      <w:r w:rsidR="004408D3" w:rsidRPr="00AC6E74">
        <w:t>P-glycoprotein</w:t>
      </w:r>
      <w:r w:rsidR="00E04ABD" w:rsidRPr="00AC6E74">
        <w:t xml:space="preserve"> inhibitors and OATA1B1</w:t>
      </w:r>
      <w:r w:rsidR="00B00281" w:rsidRPr="00AC6E74">
        <w:t xml:space="preserve"> or OATA</w:t>
      </w:r>
      <w:r w:rsidR="00E04ABD" w:rsidRPr="00AC6E74">
        <w:t>1B3 inhibitors.</w:t>
      </w:r>
    </w:p>
    <w:p w14:paraId="1C12BA1B" w14:textId="189D105D" w:rsidR="00E04ABD" w:rsidRPr="00AC6E74" w:rsidRDefault="00E04ABD" w:rsidP="002A2318">
      <w:pPr>
        <w:pStyle w:val="Heading5"/>
      </w:pPr>
      <w:r w:rsidRPr="00AC6E74">
        <w:t>Key findings</w:t>
      </w:r>
    </w:p>
    <w:p w14:paraId="157A684A" w14:textId="49784332" w:rsidR="00E04ABD" w:rsidRPr="00AC6E74" w:rsidRDefault="00E04ABD" w:rsidP="002A2318">
      <w:pPr>
        <w:pStyle w:val="ListBullet"/>
      </w:pPr>
      <w:r w:rsidRPr="00AC6E74">
        <w:t xml:space="preserve">The proposed </w:t>
      </w:r>
      <w:proofErr w:type="spellStart"/>
      <w:r w:rsidRPr="00AC6E74">
        <w:t>sotorasib</w:t>
      </w:r>
      <w:proofErr w:type="spellEnd"/>
      <w:r w:rsidRPr="00AC6E74">
        <w:t xml:space="preserve"> dosing regimen (96</w:t>
      </w:r>
      <w:r w:rsidR="000348AE" w:rsidRPr="00AC6E74">
        <w:t>0 mg</w:t>
      </w:r>
      <w:r w:rsidRPr="00AC6E74">
        <w:t xml:space="preserve"> daily) has demonstrated acceptable efficacy and safety, however, in the clinical pharmacology evaluation, it was identified that this dose has not been optimised from PK and efficacy</w:t>
      </w:r>
      <w:r w:rsidR="001D420C" w:rsidRPr="00AC6E74">
        <w:t xml:space="preserve"> or </w:t>
      </w:r>
      <w:r w:rsidRPr="00AC6E74">
        <w:t>safety perspectives.</w:t>
      </w:r>
      <w:r w:rsidR="002A2318" w:rsidRPr="00AC6E74">
        <w:t xml:space="preserve"> </w:t>
      </w:r>
      <w:r w:rsidRPr="00AC6E74">
        <w:t>Sotorasib showed saturable absorption with similar systemic exposures at steady state across all dose levels ranging from 18</w:t>
      </w:r>
      <w:r w:rsidR="000348AE" w:rsidRPr="00AC6E74">
        <w:t>0 mg</w:t>
      </w:r>
      <w:r w:rsidRPr="00AC6E74">
        <w:t xml:space="preserve"> to 96</w:t>
      </w:r>
      <w:r w:rsidR="000348AE" w:rsidRPr="00AC6E74">
        <w:t>0 mg</w:t>
      </w:r>
      <w:r w:rsidRPr="00AC6E74">
        <w:t>.</w:t>
      </w:r>
      <w:r w:rsidR="002A2318" w:rsidRPr="00AC6E74">
        <w:t xml:space="preserve"> </w:t>
      </w:r>
      <w:r w:rsidRPr="00AC6E74">
        <w:t>Clinical response was observed at lower doses, and no clear trend observed in the dose</w:t>
      </w:r>
      <w:r w:rsidR="001D420C" w:rsidRPr="00AC6E74">
        <w:t xml:space="preserve"> </w:t>
      </w:r>
      <w:r w:rsidRPr="00AC6E74">
        <w:t xml:space="preserve">response relationship for </w:t>
      </w:r>
      <w:r w:rsidR="007F4EEA" w:rsidRPr="00AC6E74">
        <w:t>objective response rate</w:t>
      </w:r>
      <w:r w:rsidRPr="00AC6E74">
        <w:t xml:space="preserve"> among the studies doses.</w:t>
      </w:r>
    </w:p>
    <w:p w14:paraId="13FFA77E" w14:textId="6406DD13" w:rsidR="00E04ABD" w:rsidRPr="00AC6E74" w:rsidRDefault="00E04ABD" w:rsidP="002A2318">
      <w:pPr>
        <w:pStyle w:val="ListBullet"/>
      </w:pPr>
      <w:r w:rsidRPr="00AC6E74">
        <w:t xml:space="preserve">Co-administration of </w:t>
      </w:r>
      <w:proofErr w:type="spellStart"/>
      <w:r w:rsidRPr="00AC6E74">
        <w:t>sotorasib</w:t>
      </w:r>
      <w:proofErr w:type="spellEnd"/>
      <w:r w:rsidRPr="00AC6E74">
        <w:t xml:space="preserve"> with strong CYP3A inducers and gastric acid</w:t>
      </w:r>
      <w:r w:rsidR="001D420C" w:rsidRPr="00AC6E74">
        <w:t xml:space="preserve"> </w:t>
      </w:r>
      <w:r w:rsidRPr="00AC6E74">
        <w:t xml:space="preserve">reducing agents (proton pump inhibitors and H2 receptor antagonists) should be avoided, </w:t>
      </w:r>
      <w:r w:rsidRPr="00AC6E74">
        <w:lastRenderedPageBreak/>
        <w:t xml:space="preserve">based on </w:t>
      </w:r>
      <w:r w:rsidR="006343C2" w:rsidRPr="00AC6E74">
        <w:t>drug-drug interaction</w:t>
      </w:r>
      <w:r w:rsidRPr="00AC6E74">
        <w:t xml:space="preserve"> studies showing significant decreases in </w:t>
      </w:r>
      <w:proofErr w:type="spellStart"/>
      <w:r w:rsidRPr="00AC6E74">
        <w:t>sotorasib</w:t>
      </w:r>
      <w:proofErr w:type="spellEnd"/>
      <w:r w:rsidRPr="00AC6E74">
        <w:t xml:space="preserve"> exposures and its unknown consequent impact on efficacy.</w:t>
      </w:r>
    </w:p>
    <w:p w14:paraId="51C940A0" w14:textId="748329C4" w:rsidR="00E04ABD" w:rsidRPr="00AC6E74" w:rsidRDefault="00E04ABD" w:rsidP="002A2318">
      <w:pPr>
        <w:pStyle w:val="Heading5"/>
      </w:pPr>
      <w:r w:rsidRPr="00AC6E74">
        <w:t xml:space="preserve">Recommendations </w:t>
      </w:r>
      <w:r w:rsidR="001D420C" w:rsidRPr="00AC6E74">
        <w:t>and o</w:t>
      </w:r>
      <w:r w:rsidRPr="00AC6E74">
        <w:t xml:space="preserve">utstanding </w:t>
      </w:r>
      <w:r w:rsidR="001D420C" w:rsidRPr="00AC6E74">
        <w:t>i</w:t>
      </w:r>
      <w:r w:rsidRPr="00AC6E74">
        <w:t>ssues</w:t>
      </w:r>
    </w:p>
    <w:p w14:paraId="30C10847" w14:textId="77777777" w:rsidR="00E04ABD" w:rsidRPr="00AC6E74" w:rsidRDefault="00E04ABD" w:rsidP="002A2318">
      <w:r w:rsidRPr="00AC6E74">
        <w:t>Sotorasib was considered approvable from a clinical pharmacology perspective, providing the following clinical pharmacology studies are conducted as post-marketing requirements:</w:t>
      </w:r>
    </w:p>
    <w:p w14:paraId="78675093" w14:textId="14478350" w:rsidR="00E04ABD" w:rsidRPr="00AC6E74" w:rsidRDefault="00E04ABD" w:rsidP="002A2318">
      <w:pPr>
        <w:pStyle w:val="ListBullet"/>
      </w:pPr>
      <w:r w:rsidRPr="00AC6E74">
        <w:t xml:space="preserve">Dose optimisation study to investigate a lower </w:t>
      </w:r>
      <w:proofErr w:type="spellStart"/>
      <w:r w:rsidRPr="00AC6E74">
        <w:t>sotorasib</w:t>
      </w:r>
      <w:proofErr w:type="spellEnd"/>
      <w:r w:rsidRPr="00AC6E74">
        <w:t xml:space="preserve"> dosage that may provide comparable efficacy with improved safety (especially local </w:t>
      </w:r>
      <w:r w:rsidR="00E20EFF" w:rsidRPr="00AC6E74">
        <w:t xml:space="preserve">gastrointestinal </w:t>
      </w:r>
      <w:r w:rsidRPr="00AC6E74">
        <w:t>tolerability) as compared to 96</w:t>
      </w:r>
      <w:r w:rsidR="000348AE" w:rsidRPr="00AC6E74">
        <w:t>0 mg</w:t>
      </w:r>
      <w:r w:rsidRPr="00AC6E74">
        <w:t xml:space="preserve"> dose</w:t>
      </w:r>
      <w:r w:rsidR="001D420C" w:rsidRPr="00AC6E74">
        <w:t>.</w:t>
      </w:r>
    </w:p>
    <w:p w14:paraId="2E8B0DDE" w14:textId="27F86A41" w:rsidR="00E04ABD" w:rsidRPr="00AC6E74" w:rsidRDefault="00E04ABD" w:rsidP="002A2318">
      <w:pPr>
        <w:pStyle w:val="ListBullet"/>
      </w:pPr>
      <w:r w:rsidRPr="00AC6E74">
        <w:t>Hepatic impairment study (in subjects with moderate to severe hepatic impairment) to inform dosage recommendations in this specific population.</w:t>
      </w:r>
    </w:p>
    <w:p w14:paraId="279FB7DF" w14:textId="00110CF2" w:rsidR="00E04ABD" w:rsidRPr="00AC6E74" w:rsidRDefault="00E04ABD" w:rsidP="002A2318">
      <w:pPr>
        <w:pStyle w:val="ListBullet"/>
      </w:pPr>
      <w:r w:rsidRPr="00AC6E74">
        <w:t xml:space="preserve">Clinical </w:t>
      </w:r>
      <w:r w:rsidR="006343C2" w:rsidRPr="00AC6E74">
        <w:t>drug-drug interaction</w:t>
      </w:r>
      <w:r w:rsidRPr="00AC6E74">
        <w:t xml:space="preserve"> study with BCRP substrates to inform the appropriate dosing strategies for the co-administration of </w:t>
      </w:r>
      <w:proofErr w:type="spellStart"/>
      <w:r w:rsidRPr="00AC6E74">
        <w:t>sotorasib</w:t>
      </w:r>
      <w:proofErr w:type="spellEnd"/>
      <w:r w:rsidRPr="00AC6E74">
        <w:t xml:space="preserve"> with BCRP substrates</w:t>
      </w:r>
      <w:r w:rsidR="001D420C" w:rsidRPr="00AC6E74">
        <w:t>.</w:t>
      </w:r>
    </w:p>
    <w:p w14:paraId="639C7928" w14:textId="77777777" w:rsidR="00E04ABD" w:rsidRPr="00AC6E74" w:rsidRDefault="00E04ABD" w:rsidP="002A2318">
      <w:pPr>
        <w:pStyle w:val="Heading4"/>
      </w:pPr>
      <w:r w:rsidRPr="00AC6E74">
        <w:t>Efficacy</w:t>
      </w:r>
    </w:p>
    <w:p w14:paraId="5B98CC95" w14:textId="741C5B32" w:rsidR="001D420C" w:rsidRPr="00AC6E74" w:rsidRDefault="001D420C" w:rsidP="001D420C">
      <w:pPr>
        <w:pStyle w:val="Heading5"/>
      </w:pPr>
      <w:r w:rsidRPr="00AC6E74">
        <w:t>Study 20170543 (CODEBREAK 100 trial)</w:t>
      </w:r>
    </w:p>
    <w:p w14:paraId="6FF96E44" w14:textId="50DCD6C8" w:rsidR="001D420C" w:rsidRPr="00AC6E74" w:rsidRDefault="00E04ABD" w:rsidP="002A2318">
      <w:r w:rsidRPr="00AC6E74">
        <w:t>The pivotal study supporting efficacy and safety for the proposed indication is Study</w:t>
      </w:r>
      <w:r w:rsidR="001D420C" w:rsidRPr="00AC6E74">
        <w:t> </w:t>
      </w:r>
      <w:r w:rsidRPr="00AC6E74">
        <w:t>20170543</w:t>
      </w:r>
      <w:r w:rsidR="00A13739" w:rsidRPr="00AC6E74">
        <w:t xml:space="preserve"> (</w:t>
      </w:r>
      <w:r w:rsidR="001D420C" w:rsidRPr="00AC6E74">
        <w:t xml:space="preserve">the </w:t>
      </w:r>
      <w:r w:rsidR="00EE2DEE" w:rsidRPr="00AC6E74">
        <w:t>CODEBREAK</w:t>
      </w:r>
      <w:r w:rsidRPr="00AC6E74">
        <w:t xml:space="preserve"> 100</w:t>
      </w:r>
      <w:r w:rsidR="001D420C" w:rsidRPr="00AC6E74">
        <w:t xml:space="preserve"> trial</w:t>
      </w:r>
      <w:r w:rsidR="00A13739" w:rsidRPr="00AC6E74">
        <w:t>)</w:t>
      </w:r>
      <w:r w:rsidR="001D420C" w:rsidRPr="00AC6E74">
        <w:t xml:space="preserve">. </w:t>
      </w:r>
      <w:r w:rsidR="000D32B9" w:rsidRPr="00AC6E74">
        <w:t xml:space="preserve">It is a Phase I/II open label, single group study evaluating </w:t>
      </w:r>
      <w:proofErr w:type="spellStart"/>
      <w:r w:rsidR="000D32B9" w:rsidRPr="00AC6E74">
        <w:t>sotorasib</w:t>
      </w:r>
      <w:proofErr w:type="spellEnd"/>
      <w:r w:rsidR="000D32B9" w:rsidRPr="00AC6E74">
        <w:t xml:space="preserve"> in the treatment of subjects with </w:t>
      </w:r>
      <w:r w:rsidR="000D32B9" w:rsidRPr="00AC6E74">
        <w:rPr>
          <w:i/>
          <w:iCs/>
        </w:rPr>
        <w:t>KRAS</w:t>
      </w:r>
      <w:r w:rsidR="003E7696" w:rsidRPr="00AC6E74">
        <w:rPr>
          <w:i/>
          <w:iCs/>
        </w:rPr>
        <w:t> </w:t>
      </w:r>
      <w:r w:rsidR="000D32B9" w:rsidRPr="00AC6E74">
        <w:rPr>
          <w:i/>
          <w:iCs/>
        </w:rPr>
        <w:t>G12C</w:t>
      </w:r>
      <w:r w:rsidR="003E7696" w:rsidRPr="00AC6E74">
        <w:noBreakHyphen/>
      </w:r>
      <w:r w:rsidR="000D32B9" w:rsidRPr="00AC6E74">
        <w:t xml:space="preserve">mutated solid tumours. The study </w:t>
      </w:r>
      <w:r w:rsidR="001D420C" w:rsidRPr="00AC6E74">
        <w:t xml:space="preserve">is </w:t>
      </w:r>
      <w:r w:rsidRPr="00AC6E74">
        <w:t xml:space="preserve">ongoing in North America, South America, Australia, </w:t>
      </w:r>
      <w:proofErr w:type="gramStart"/>
      <w:r w:rsidRPr="00AC6E74">
        <w:t>Europe</w:t>
      </w:r>
      <w:proofErr w:type="gramEnd"/>
      <w:r w:rsidRPr="00AC6E74">
        <w:t xml:space="preserve"> and Asia.</w:t>
      </w:r>
    </w:p>
    <w:p w14:paraId="04E0E37A" w14:textId="325C2710" w:rsidR="00E04ABD" w:rsidRPr="00AC6E74" w:rsidRDefault="00E04ABD" w:rsidP="002A2318">
      <w:r w:rsidRPr="00AC6E74">
        <w:t xml:space="preserve">The primary evidence for efficacy is based on data for subjects with previously treated </w:t>
      </w:r>
      <w:r w:rsidR="000C30B5" w:rsidRPr="00AC6E74">
        <w:rPr>
          <w:i/>
          <w:iCs/>
        </w:rPr>
        <w:t>KRAS</w:t>
      </w:r>
      <w:r w:rsidR="008408C3" w:rsidRPr="00AC6E74">
        <w:rPr>
          <w:i/>
          <w:iCs/>
        </w:rPr>
        <w:t xml:space="preserve"> </w:t>
      </w:r>
      <w:r w:rsidR="000C30B5" w:rsidRPr="00AC6E74">
        <w:rPr>
          <w:i/>
          <w:iCs/>
        </w:rPr>
        <w:t>G12C</w:t>
      </w:r>
      <w:r w:rsidRPr="00AC6E74">
        <w:t xml:space="preserve">-mutated advanced NSCLC who received </w:t>
      </w:r>
      <w:proofErr w:type="spellStart"/>
      <w:r w:rsidRPr="00AC6E74">
        <w:t>sotorasib</w:t>
      </w:r>
      <w:proofErr w:type="spellEnd"/>
      <w:r w:rsidRPr="00AC6E74">
        <w:t xml:space="preserve"> monotherapy in the pivotal </w:t>
      </w:r>
      <w:r w:rsidR="000C30B5" w:rsidRPr="00AC6E74">
        <w:t>Phase II</w:t>
      </w:r>
      <w:r w:rsidRPr="00AC6E74">
        <w:t xml:space="preserve"> portion of the Study</w:t>
      </w:r>
      <w:r w:rsidR="001D420C" w:rsidRPr="00AC6E74">
        <w:t> </w:t>
      </w:r>
      <w:r w:rsidRPr="00AC6E74">
        <w:t xml:space="preserve">20170543 </w:t>
      </w:r>
      <w:r w:rsidR="008E7EFF" w:rsidRPr="00AC6E74">
        <w:t xml:space="preserve">(Phase II </w:t>
      </w:r>
      <w:r w:rsidRPr="00AC6E74">
        <w:t>NSCLC group</w:t>
      </w:r>
      <w:r w:rsidR="008E7EFF" w:rsidRPr="00AC6E74">
        <w:t>)</w:t>
      </w:r>
      <w:r w:rsidRPr="00AC6E74">
        <w:t>.</w:t>
      </w:r>
    </w:p>
    <w:p w14:paraId="42838108" w14:textId="13ED8B08" w:rsidR="00E04ABD" w:rsidRPr="00AC6E74" w:rsidRDefault="00E04ABD" w:rsidP="002A2318">
      <w:r w:rsidRPr="00AC6E74">
        <w:t xml:space="preserve">Data from the </w:t>
      </w:r>
      <w:r w:rsidR="000C30B5" w:rsidRPr="00AC6E74">
        <w:t>Phase I</w:t>
      </w:r>
      <w:r w:rsidRPr="00AC6E74">
        <w:t xml:space="preserve"> portion of the study for previously treated and treatment </w:t>
      </w:r>
      <w:r w:rsidR="001D420C" w:rsidRPr="00AC6E74">
        <w:t>naive</w:t>
      </w:r>
      <w:r w:rsidRPr="00AC6E74">
        <w:t xml:space="preserve"> subjects with </w:t>
      </w:r>
      <w:r w:rsidR="000C30B5" w:rsidRPr="00AC6E74">
        <w:rPr>
          <w:i/>
          <w:iCs/>
        </w:rPr>
        <w:t>KRAS</w:t>
      </w:r>
      <w:r w:rsidR="008408C3" w:rsidRPr="00AC6E74">
        <w:rPr>
          <w:i/>
          <w:iCs/>
        </w:rPr>
        <w:t xml:space="preserve"> </w:t>
      </w:r>
      <w:r w:rsidR="000C30B5" w:rsidRPr="00AC6E74">
        <w:rPr>
          <w:i/>
          <w:iCs/>
        </w:rPr>
        <w:t>G12C</w:t>
      </w:r>
      <w:r w:rsidRPr="00AC6E74">
        <w:t xml:space="preserve">-mutated advanced NSCLC who received </w:t>
      </w:r>
      <w:proofErr w:type="spellStart"/>
      <w:r w:rsidRPr="00AC6E74">
        <w:t>sotorasib</w:t>
      </w:r>
      <w:proofErr w:type="spellEnd"/>
      <w:r w:rsidRPr="00AC6E74">
        <w:t xml:space="preserve"> monotherapy (</w:t>
      </w:r>
      <w:r w:rsidR="000C30B5" w:rsidRPr="00AC6E74">
        <w:t>Phase I</w:t>
      </w:r>
      <w:r w:rsidRPr="00AC6E74">
        <w:t xml:space="preserve"> NSCLC group and </w:t>
      </w:r>
      <w:r w:rsidR="000C30B5" w:rsidRPr="00AC6E74">
        <w:t>Phase I</w:t>
      </w:r>
      <w:r w:rsidRPr="00AC6E74">
        <w:t xml:space="preserve"> NSCLC 1L group respectively) are supportive.</w:t>
      </w:r>
    </w:p>
    <w:p w14:paraId="1540E246" w14:textId="7289AD70" w:rsidR="00E04ABD" w:rsidRPr="00AC6E74" w:rsidRDefault="00E04ABD" w:rsidP="002A2318">
      <w:r w:rsidRPr="00AC6E74">
        <w:t xml:space="preserve">Other relevant supportive clinical studies are as summarised in </w:t>
      </w:r>
      <w:r w:rsidR="004E2EA4" w:rsidRPr="00AC6E74">
        <w:fldChar w:fldCharType="begin"/>
      </w:r>
      <w:r w:rsidR="004E2EA4" w:rsidRPr="00AC6E74">
        <w:instrText xml:space="preserve"> REF _Ref129849836 \h </w:instrText>
      </w:r>
      <w:r w:rsidR="00987863" w:rsidRPr="00AC6E74">
        <w:instrText xml:space="preserve"> \* MERGEFORMAT </w:instrText>
      </w:r>
      <w:r w:rsidR="004E2EA4" w:rsidRPr="00AC6E74">
        <w:fldChar w:fldCharType="separate"/>
      </w:r>
      <w:r w:rsidR="009B21DC" w:rsidRPr="00AC6E74">
        <w:t xml:space="preserve">Table </w:t>
      </w:r>
      <w:r w:rsidR="009B21DC">
        <w:rPr>
          <w:noProof/>
        </w:rPr>
        <w:t>3</w:t>
      </w:r>
      <w:r w:rsidR="004E2EA4" w:rsidRPr="00AC6E74">
        <w:fldChar w:fldCharType="end"/>
      </w:r>
      <w:r w:rsidR="004E2EA4" w:rsidRPr="00AC6E74">
        <w:t xml:space="preserve"> above.</w:t>
      </w:r>
    </w:p>
    <w:p w14:paraId="1BB4F35B" w14:textId="335136A5" w:rsidR="00E04ABD" w:rsidRPr="00AC6E74" w:rsidRDefault="006A0D0B" w:rsidP="002A2318">
      <w:pPr>
        <w:pStyle w:val="Heading6"/>
      </w:pPr>
      <w:r w:rsidRPr="00AC6E74">
        <w:t>Study</w:t>
      </w:r>
      <w:r w:rsidR="00E04ABD" w:rsidRPr="00AC6E74">
        <w:t xml:space="preserve"> design</w:t>
      </w:r>
    </w:p>
    <w:p w14:paraId="66250474" w14:textId="0B07AEDD" w:rsidR="00E20EFF" w:rsidRPr="00AC6E74" w:rsidRDefault="00E04ABD" w:rsidP="002A2318">
      <w:r w:rsidRPr="00AC6E74">
        <w:t xml:space="preserve">The study design is summarised in the </w:t>
      </w:r>
      <w:r w:rsidR="00E20EFF" w:rsidRPr="00AC6E74">
        <w:fldChar w:fldCharType="begin"/>
      </w:r>
      <w:r w:rsidR="00E20EFF" w:rsidRPr="00AC6E74">
        <w:instrText xml:space="preserve"> REF _Ref129858017 \h </w:instrText>
      </w:r>
      <w:r w:rsidR="00987863" w:rsidRPr="00AC6E74">
        <w:instrText xml:space="preserve"> \* MERGEFORMAT </w:instrText>
      </w:r>
      <w:r w:rsidR="00E20EFF" w:rsidRPr="00AC6E74">
        <w:fldChar w:fldCharType="separate"/>
      </w:r>
      <w:r w:rsidR="009B21DC" w:rsidRPr="00AC6E74">
        <w:t xml:space="preserve">Figure </w:t>
      </w:r>
      <w:r w:rsidR="009B21DC">
        <w:rPr>
          <w:noProof/>
        </w:rPr>
        <w:t>2</w:t>
      </w:r>
      <w:r w:rsidR="00E20EFF" w:rsidRPr="00AC6E74">
        <w:fldChar w:fldCharType="end"/>
      </w:r>
      <w:r w:rsidR="00E20EFF" w:rsidRPr="00AC6E74">
        <w:t xml:space="preserve"> and </w:t>
      </w:r>
      <w:r w:rsidR="00E20EFF" w:rsidRPr="00AC6E74">
        <w:fldChar w:fldCharType="begin"/>
      </w:r>
      <w:r w:rsidR="00E20EFF" w:rsidRPr="00AC6E74">
        <w:instrText xml:space="preserve"> REF _Ref129858081 \h </w:instrText>
      </w:r>
      <w:r w:rsidR="00987863" w:rsidRPr="00AC6E74">
        <w:instrText xml:space="preserve"> \* MERGEFORMAT </w:instrText>
      </w:r>
      <w:r w:rsidR="00E20EFF" w:rsidRPr="00AC6E74">
        <w:fldChar w:fldCharType="separate"/>
      </w:r>
      <w:r w:rsidR="009B21DC" w:rsidRPr="00AC6E74">
        <w:t xml:space="preserve">Figure </w:t>
      </w:r>
      <w:r w:rsidR="009B21DC">
        <w:rPr>
          <w:noProof/>
        </w:rPr>
        <w:t>3</w:t>
      </w:r>
      <w:r w:rsidR="00E20EFF" w:rsidRPr="00AC6E74">
        <w:fldChar w:fldCharType="end"/>
      </w:r>
      <w:r w:rsidR="00E20EFF" w:rsidRPr="00AC6E74">
        <w:t xml:space="preserve"> below.</w:t>
      </w:r>
    </w:p>
    <w:p w14:paraId="124FC839" w14:textId="6A806D83" w:rsidR="00E20EFF" w:rsidRPr="00AC6E74" w:rsidRDefault="00E20EFF" w:rsidP="00943251">
      <w:pPr>
        <w:pStyle w:val="FigureTitle"/>
      </w:pPr>
      <w:bookmarkStart w:id="59" w:name="_Ref129858017"/>
      <w:bookmarkStart w:id="60" w:name="_Hlk130553449"/>
      <w:r w:rsidRPr="00AC6E74">
        <w:lastRenderedPageBreak/>
        <w:t xml:space="preserve">Figure </w:t>
      </w:r>
      <w:fldSimple w:instr=" SEQ Figure \* ARABIC ">
        <w:r w:rsidR="009B21DC">
          <w:rPr>
            <w:noProof/>
          </w:rPr>
          <w:t>2</w:t>
        </w:r>
      </w:fldSimple>
      <w:bookmarkEnd w:id="59"/>
      <w:r w:rsidRPr="00AC6E74">
        <w:t>:</w:t>
      </w:r>
      <w:r w:rsidR="00D215BE" w:rsidRPr="00AC6E74">
        <w:t xml:space="preserve"> </w:t>
      </w:r>
      <w:r w:rsidR="00633755" w:rsidRPr="00AC6E74">
        <w:t xml:space="preserve">Study 20170543 (CODEBREAK 100 trial) </w:t>
      </w:r>
      <w:r w:rsidR="00D215BE" w:rsidRPr="00AC6E74">
        <w:t xml:space="preserve">Phase </w:t>
      </w:r>
      <w:r w:rsidR="00633755" w:rsidRPr="00AC6E74">
        <w:t>I</w:t>
      </w:r>
      <w:r w:rsidR="00D215BE" w:rsidRPr="00AC6E74">
        <w:t xml:space="preserve"> </w:t>
      </w:r>
      <w:r w:rsidR="001C12C3">
        <w:t>study s</w:t>
      </w:r>
      <w:r w:rsidR="00D215BE" w:rsidRPr="00AC6E74">
        <w:t xml:space="preserve">chema </w:t>
      </w:r>
      <w:r w:rsidR="00633755" w:rsidRPr="00AC6E74">
        <w:t xml:space="preserve">on </w:t>
      </w:r>
      <w:r w:rsidR="00D215BE" w:rsidRPr="00AC6E74">
        <w:t>Part</w:t>
      </w:r>
      <w:r w:rsidR="001C12C3">
        <w:t> </w:t>
      </w:r>
      <w:r w:rsidR="00D215BE" w:rsidRPr="00AC6E74">
        <w:t xml:space="preserve">1 </w:t>
      </w:r>
      <w:r w:rsidR="009E39C8">
        <w:t>(</w:t>
      </w:r>
      <w:r w:rsidR="00633755" w:rsidRPr="00AC6E74">
        <w:t>dose exploration</w:t>
      </w:r>
      <w:r w:rsidR="009E39C8">
        <w:t>)</w:t>
      </w:r>
      <w:r w:rsidR="00633755" w:rsidRPr="00AC6E74">
        <w:t xml:space="preserve"> an</w:t>
      </w:r>
      <w:r w:rsidR="00D215BE" w:rsidRPr="00AC6E74">
        <w:t xml:space="preserve">d Part 2 </w:t>
      </w:r>
      <w:r w:rsidR="009E39C8">
        <w:t>(</w:t>
      </w:r>
      <w:r w:rsidR="00633755" w:rsidRPr="00AC6E74">
        <w:t>dose expansion</w:t>
      </w:r>
      <w:r w:rsidR="009E39C8">
        <w:t>)</w:t>
      </w:r>
    </w:p>
    <w:bookmarkEnd w:id="60"/>
    <w:p w14:paraId="31F8CD9C" w14:textId="75464416" w:rsidR="00D215BE" w:rsidRPr="00AC6E74" w:rsidRDefault="00D215BE" w:rsidP="00943251">
      <w:r w:rsidRPr="00AC6E74">
        <w:rPr>
          <w:noProof/>
          <w:lang w:val="en-GB" w:eastAsia="en-GB"/>
        </w:rPr>
        <w:drawing>
          <wp:inline distT="0" distB="0" distL="0" distR="0" wp14:anchorId="3F9EC137" wp14:editId="7E31CE51">
            <wp:extent cx="5400040" cy="3136900"/>
            <wp:effectExtent l="0" t="0" r="0" b="6350"/>
            <wp:docPr id="5" name="Picture 5" descr="Figure 2: Study 20170543 (CODEBREAK 100 trial) Phase I study schema on Part 1 (dose exploration) and Part 2 (dose expansion)&#10;&#10;Study 20170543 is an ongoing, Phase I/II, single group, open label study evaluating the safety, tolerability, pharmacokinetics, pharmacodynamics, and efficacy of sotorasib in subjects with KRAS p.G12C mutated non-small cell lung cancer, colorectal cancer, and other advanced solid tumours. Subjects continue sotorasib treatment until disease progression (or beyond if prespecified protocol criteria were met) or until discontinuation of treatment due to protocol defined reasons including subject request, adverse event, intolerance to sotorasib treatment, noncompliance, or requirement for alternative treatment.&#10;&#10;Phase I Part 1 Dose exploration:&#10;• Part 1a evaluated the safety, tolerability, and pharmacokinetic and pharmacodynamic parameters to determine the maximum tolerated dose of repeated, once daily dosing for sotorasib monotherapy in subjects with KRAS p.G12C mutated advanced solid tumours using a Bayesian logistics regression model design.&#10;• Part 1b evaluated the safety, tolerability, and pharmacokinetic and pharmacodynamic parameters of 480 mg twice daily dosing with food for sotorasib monotherapy in subjects with KRAS p.G12C mutated advanced solid tumours.&#10;• Part 1c evaluated the safety, tolerability, and pharmacokinetic parameters of sotorasib once daily in combination with pembrolizumab in subjects with KRAS p.G12C mutated advanced non-small cell lung cancer.&#10;• Part 1d evaluated the safety, tolerability, and pharmacokinetic and pharmacodynamic parameters of 960 mg once daily dosing for sotorasib monotherapy when administered with food in subjects with KRAS p.G12C mutated advanced solid tumours.&#10;&#10;Phase I Part 2 Dose expansion:&#10;The phase 1, dose-expansion part of the study (Part 2) was to open when the maximum tolerated dose and/or a recommended Phase II dose had been determined in Part 1. The dose limiting toxicity evaluation period was 21 days.&#10;• Part 2a: subjects with KRAS p.G12C mutated advanced solid tumours administered 960 mg sotorasib monotherapy once daily.&#10;• Part 2b: subjects with KRAS p.G12C mutated advanced solid tumours administered 480 mg sotorasib monotherapy twice daily with food.&#10;• Part 2c: subjects with KRAS p.G12C mutated advanced non-small cell lung cancer administered up to 960 mg sotorasib once daily in combination with pembrolizumab.&#10;• Part 2d: subjects with KRAS p.G12C mutated advanced solid tumours administered 960 mg sotorasib monotherapy once daily with food.&#10;• Part 2e: evaluated safety, tolerability, preliminary efficacy, and pharmacokinetic and pharmacodynamic parameters of 960 mg once daily dosing for sotorasib monotherapy in subjects with previously untreated KRAS p.G12C mutated advanced non-small cell lung cancer. In addition, approximately 4 to 6 subjects enrolled in Part 2e could participate in a drug-drug interaction substudy of sotorasib with midaz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Study 20170543 (CODEBREAK 100 trial) Phase I study schema on Part 1 (dose exploration) and Part 2 (dose expansion)&#10;&#10;Study 20170543 is an ongoing, Phase I/II, single group, open label study evaluating the safety, tolerability, pharmacokinetics, pharmacodynamics, and efficacy of sotorasib in subjects with KRAS p.G12C mutated non-small cell lung cancer, colorectal cancer, and other advanced solid tumours. Subjects continue sotorasib treatment until disease progression (or beyond if prespecified protocol criteria were met) or until discontinuation of treatment due to protocol defined reasons including subject request, adverse event, intolerance to sotorasib treatment, noncompliance, or requirement for alternative treatment.&#10;&#10;Phase I Part 1 Dose exploration:&#10;• Part 1a evaluated the safety, tolerability, and pharmacokinetic and pharmacodynamic parameters to determine the maximum tolerated dose of repeated, once daily dosing for sotorasib monotherapy in subjects with KRAS p.G12C mutated advanced solid tumours using a Bayesian logistics regression model design.&#10;• Part 1b evaluated the safety, tolerability, and pharmacokinetic and pharmacodynamic parameters of 480 mg twice daily dosing with food for sotorasib monotherapy in subjects with KRAS p.G12C mutated advanced solid tumours.&#10;• Part 1c evaluated the safety, tolerability, and pharmacokinetic parameters of sotorasib once daily in combination with pembrolizumab in subjects with KRAS p.G12C mutated advanced non-small cell lung cancer.&#10;• Part 1d evaluated the safety, tolerability, and pharmacokinetic and pharmacodynamic parameters of 960 mg once daily dosing for sotorasib monotherapy when administered with food in subjects with KRAS p.G12C mutated advanced solid tumours.&#10;&#10;Phase I Part 2 Dose expansion:&#10;The phase 1, dose-expansion part of the study (Part 2) was to open when the maximum tolerated dose and/or a recommended Phase II dose had been determined in Part 1. The dose limiting toxicity evaluation period was 21 days.&#10;• Part 2a: subjects with KRAS p.G12C mutated advanced solid tumours administered 960 mg sotorasib monotherapy once daily.&#10;• Part 2b: subjects with KRAS p.G12C mutated advanced solid tumours administered 480 mg sotorasib monotherapy twice daily with food.&#10;• Part 2c: subjects with KRAS p.G12C mutated advanced non-small cell lung cancer administered up to 960 mg sotorasib once daily in combination with pembrolizumab.&#10;• Part 2d: subjects with KRAS p.G12C mutated advanced solid tumours administered 960 mg sotorasib monotherapy once daily with food.&#10;• Part 2e: evaluated safety, tolerability, preliminary efficacy, and pharmacokinetic and pharmacodynamic parameters of 960 mg once daily dosing for sotorasib monotherapy in subjects with previously untreated KRAS p.G12C mutated advanced non-small cell lung cancer. In addition, approximately 4 to 6 subjects enrolled in Part 2e could participate in a drug-drug interaction substudy of sotorasib with midazolam."/>
                    <pic:cNvPicPr/>
                  </pic:nvPicPr>
                  <pic:blipFill>
                    <a:blip r:embed="rId29"/>
                    <a:stretch>
                      <a:fillRect/>
                    </a:stretch>
                  </pic:blipFill>
                  <pic:spPr>
                    <a:xfrm>
                      <a:off x="0" y="0"/>
                      <a:ext cx="5400040" cy="3136900"/>
                    </a:xfrm>
                    <a:prstGeom prst="rect">
                      <a:avLst/>
                    </a:prstGeom>
                  </pic:spPr>
                </pic:pic>
              </a:graphicData>
            </a:graphic>
          </wp:inline>
        </w:drawing>
      </w:r>
    </w:p>
    <w:p w14:paraId="1DA1B572" w14:textId="76247B67" w:rsidR="00D215BE" w:rsidRPr="00AC6E74" w:rsidRDefault="00D215BE" w:rsidP="003E45F5">
      <w:pPr>
        <w:pStyle w:val="FigureDescription"/>
      </w:pPr>
      <w:r w:rsidRPr="00AC6E74">
        <w:t xml:space="preserve">Abbreviations: BID = </w:t>
      </w:r>
      <w:bookmarkStart w:id="61" w:name="_Hlk130553225"/>
      <w:r w:rsidRPr="00AC6E74">
        <w:t>twice daily</w:t>
      </w:r>
      <w:bookmarkEnd w:id="61"/>
      <w:r w:rsidRPr="00AC6E74">
        <w:t xml:space="preserve">; DLT = </w:t>
      </w:r>
      <w:bookmarkStart w:id="62" w:name="_Hlk130553147"/>
      <w:r w:rsidRPr="00AC6E74">
        <w:t>dose</w:t>
      </w:r>
      <w:r w:rsidR="0020205B" w:rsidRPr="00AC6E74">
        <w:t xml:space="preserve"> </w:t>
      </w:r>
      <w:r w:rsidRPr="00AC6E74">
        <w:t>limiting toxicity</w:t>
      </w:r>
      <w:bookmarkEnd w:id="62"/>
      <w:r w:rsidRPr="00AC6E74">
        <w:t xml:space="preserve">; DLRT = </w:t>
      </w:r>
      <w:r w:rsidR="0020205B" w:rsidRPr="00AC6E74">
        <w:t>dose level review team</w:t>
      </w:r>
      <w:r w:rsidRPr="00AC6E74">
        <w:t xml:space="preserve">; IP = investigational product; MTD = </w:t>
      </w:r>
      <w:bookmarkStart w:id="63" w:name="_Hlk130553314"/>
      <w:r w:rsidRPr="00AC6E74">
        <w:t>maximum tolerated dose</w:t>
      </w:r>
      <w:bookmarkEnd w:id="63"/>
      <w:r w:rsidRPr="00AC6E74">
        <w:t xml:space="preserve">; </w:t>
      </w:r>
      <w:r w:rsidR="0017154E" w:rsidRPr="00AC6E74">
        <w:t xml:space="preserve">n = number of subjects in subgroup; </w:t>
      </w:r>
      <w:r w:rsidRPr="00AC6E74">
        <w:t xml:space="preserve">NSCLC = non-small cell lung cancer; Q = every; QD = once daily; RP2D = recommended </w:t>
      </w:r>
      <w:r w:rsidR="00BA0E87" w:rsidRPr="00AC6E74">
        <w:t>Phase II</w:t>
      </w:r>
      <w:r w:rsidRPr="00AC6E74">
        <w:t xml:space="preserve"> dose; </w:t>
      </w:r>
      <w:proofErr w:type="spellStart"/>
      <w:r w:rsidRPr="00AC6E74">
        <w:t>wk</w:t>
      </w:r>
      <w:proofErr w:type="spellEnd"/>
      <w:r w:rsidRPr="00AC6E74">
        <w:t xml:space="preserve"> = weeks.</w:t>
      </w:r>
    </w:p>
    <w:p w14:paraId="7224DD2E" w14:textId="2006AC2D" w:rsidR="00E20EFF" w:rsidRPr="00AC6E74" w:rsidRDefault="00E20EFF" w:rsidP="00943251">
      <w:pPr>
        <w:pStyle w:val="FigureTitle"/>
      </w:pPr>
      <w:bookmarkStart w:id="64" w:name="_Ref129858081"/>
      <w:r w:rsidRPr="00AC6E74">
        <w:t xml:space="preserve">Figure </w:t>
      </w:r>
      <w:fldSimple w:instr=" SEQ Figure \* ARABIC ">
        <w:r w:rsidR="009B21DC">
          <w:rPr>
            <w:noProof/>
          </w:rPr>
          <w:t>3</w:t>
        </w:r>
      </w:fldSimple>
      <w:bookmarkEnd w:id="64"/>
      <w:r w:rsidR="00444AF5" w:rsidRPr="00AC6E74">
        <w:t xml:space="preserve">: </w:t>
      </w:r>
      <w:r w:rsidR="00633755" w:rsidRPr="00AC6E74">
        <w:t xml:space="preserve">Study 20170543 (CODEBREAK 100 trial) </w:t>
      </w:r>
      <w:r w:rsidR="00444AF5" w:rsidRPr="00AC6E74">
        <w:t xml:space="preserve">Transition </w:t>
      </w:r>
      <w:r w:rsidR="00633755" w:rsidRPr="00AC6E74">
        <w:t>f</w:t>
      </w:r>
      <w:r w:rsidR="00444AF5" w:rsidRPr="00AC6E74">
        <w:t xml:space="preserve">rom Phase </w:t>
      </w:r>
      <w:r w:rsidR="00633755" w:rsidRPr="00AC6E74">
        <w:t>I</w:t>
      </w:r>
      <w:r w:rsidR="00444AF5" w:rsidRPr="00AC6E74">
        <w:t xml:space="preserve"> to Phase</w:t>
      </w:r>
      <w:r w:rsidR="00633755" w:rsidRPr="00AC6E74">
        <w:t> II</w:t>
      </w:r>
      <w:r w:rsidR="00444AF5" w:rsidRPr="00AC6E74">
        <w:t xml:space="preserve"> </w:t>
      </w:r>
      <w:r w:rsidR="00633755" w:rsidRPr="00AC6E74">
        <w:t>study schema</w:t>
      </w:r>
    </w:p>
    <w:p w14:paraId="18C6CA61" w14:textId="69CBE94D" w:rsidR="00444AF5" w:rsidRPr="00AC6E74" w:rsidRDefault="00444AF5" w:rsidP="00943251">
      <w:pPr>
        <w:rPr>
          <w:noProof/>
        </w:rPr>
      </w:pPr>
      <w:r w:rsidRPr="00AC6E74">
        <w:rPr>
          <w:noProof/>
          <w:lang w:val="en-GB" w:eastAsia="en-GB"/>
        </w:rPr>
        <w:drawing>
          <wp:inline distT="0" distB="0" distL="0" distR="0" wp14:anchorId="4EC22D60" wp14:editId="07942ED0">
            <wp:extent cx="5356876" cy="3474720"/>
            <wp:effectExtent l="0" t="0" r="0" b="0"/>
            <wp:docPr id="10" name="Picture 10" descr="Figure 3: Study 20170543 (CODEBREAK 100 trial) Transition from Phase I to Phase II study schema&#10;&#10;The Phase I portion of the study was conducted in 2 parts: Part I dose exploration and Part II dose expansion. Upon completing the dose exploration part of the study and depending on data obtained, dose expansion might proceed with groups consisting of subjects with KRAS p.G12C mutant solid tumours.&#10;&#10;After a minimum of 20 subjects have been enrolled to the initial estimated monotherapy recommended Phase II dose, and have completed the 21 day dose limiting toxicity period. The dose level review team reviewed all available safety, laboratory, pharmacokinetic, and efficacy data. Dose level review team made a recommendation as to whether to proceed to the Phase II monotherapy part of the study.&#10;&#10;Phase 2 is a multicentre, non-randomised, open label study to evaluate efficacy and safety and tolerability of sotorasib as monotherapy in subjects with KRAS p.G12C mutant advanced solid tumours. Administration of sotorasib may continue until subject has disease progression, or end of study.&#10;&#10;The safety follow up visit occurred approximately 30 (+7) days after the end of treatment in Phase II and Phase II.&#10;&#10;During the long term follow up period  data was collected on the subjects’ health condition, disease status, and subsequent anticancer treatment every 12 weeks for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Study 20170543 (CODEBREAK 100 trial) Transition from Phase I to Phase II study schema&#10;&#10;The Phase I portion of the study was conducted in 2 parts: Part I dose exploration and Part II dose expansion. Upon completing the dose exploration part of the study and depending on data obtained, dose expansion might proceed with groups consisting of subjects with KRAS p.G12C mutant solid tumours.&#10;&#10;After a minimum of 20 subjects have been enrolled to the initial estimated monotherapy recommended Phase II dose, and have completed the 21 day dose limiting toxicity period. The dose level review team reviewed all available safety, laboratory, pharmacokinetic, and efficacy data. Dose level review team made a recommendation as to whether to proceed to the Phase II monotherapy part of the study.&#10;&#10;Phase 2 is a multicentre, non-randomised, open label study to evaluate efficacy and safety and tolerability of sotorasib as monotherapy in subjects with KRAS p.G12C mutant advanced solid tumours. Administration of sotorasib may continue until subject has disease progression, or end of study.&#10;&#10;The safety follow up visit occurred approximately 30 (+7) days after the end of treatment in Phase II and Phase II.&#10;&#10;During the long term follow up period  data was collected on the subjects’ health condition, disease status, and subsequent anticancer treatment every 12 weeks for 3 years."/>
                    <pic:cNvPicPr/>
                  </pic:nvPicPr>
                  <pic:blipFill rotWithShape="1">
                    <a:blip r:embed="rId30"/>
                    <a:srcRect b="7065"/>
                    <a:stretch/>
                  </pic:blipFill>
                  <pic:spPr bwMode="auto">
                    <a:xfrm>
                      <a:off x="0" y="0"/>
                      <a:ext cx="5369928" cy="3483186"/>
                    </a:xfrm>
                    <a:prstGeom prst="rect">
                      <a:avLst/>
                    </a:prstGeom>
                    <a:ln>
                      <a:noFill/>
                    </a:ln>
                    <a:extLst>
                      <a:ext uri="{53640926-AAD7-44D8-BBD7-CCE9431645EC}">
                        <a14:shadowObscured xmlns:a14="http://schemas.microsoft.com/office/drawing/2010/main"/>
                      </a:ext>
                    </a:extLst>
                  </pic:spPr>
                </pic:pic>
              </a:graphicData>
            </a:graphic>
          </wp:inline>
        </w:drawing>
      </w:r>
    </w:p>
    <w:p w14:paraId="57A25E9B" w14:textId="1F05EEE1" w:rsidR="0017154E" w:rsidRPr="00AC6E74" w:rsidRDefault="0017154E" w:rsidP="0017154E">
      <w:pPr>
        <w:pStyle w:val="FigureDescription"/>
      </w:pPr>
      <w:r w:rsidRPr="00AC6E74">
        <w:t>Abbreviations: EOS = end of study; EOT = end of treatment; DLRT = dose level review team; MTD = maximum tolerated dose; n = number of subjects in subgroup; OS = overall survival; RP2D = recommended Phase II dose.</w:t>
      </w:r>
    </w:p>
    <w:p w14:paraId="37CD3080" w14:textId="38C9B081" w:rsidR="00444AF5" w:rsidRPr="00AC6E74" w:rsidRDefault="00444AF5" w:rsidP="0017154E">
      <w:pPr>
        <w:pStyle w:val="FigureDescription"/>
      </w:pPr>
      <w:r w:rsidRPr="00AC6E74">
        <w:t>Repeated oral daily dosing with 21 days cycles.</w:t>
      </w:r>
    </w:p>
    <w:p w14:paraId="22C02C3C" w14:textId="1C0D36BE" w:rsidR="00444AF5" w:rsidRPr="00AC6E74" w:rsidRDefault="009E39C8" w:rsidP="0017154E">
      <w:pPr>
        <w:pStyle w:val="FigureDescription"/>
      </w:pPr>
      <w:r>
        <w:lastRenderedPageBreak/>
        <w:t>There were no scheduled treatment interruptions.</w:t>
      </w:r>
    </w:p>
    <w:p w14:paraId="6A6CE942" w14:textId="28263AE4" w:rsidR="000D32B9" w:rsidRPr="00AC6E74" w:rsidRDefault="000D32B9" w:rsidP="000D32B9">
      <w:pPr>
        <w:pStyle w:val="Heading6"/>
      </w:pPr>
      <w:r w:rsidRPr="00AC6E74">
        <w:t>Primary and secondary objectives</w:t>
      </w:r>
    </w:p>
    <w:p w14:paraId="294D0DE8" w14:textId="297DE3C8" w:rsidR="00E04ABD" w:rsidRPr="00AC6E74" w:rsidRDefault="000D32B9" w:rsidP="000D32B9">
      <w:r w:rsidRPr="00AC6E74">
        <w:t>The p</w:t>
      </w:r>
      <w:r w:rsidR="00E04ABD" w:rsidRPr="00AC6E74">
        <w:t xml:space="preserve">rimary objectives of </w:t>
      </w:r>
      <w:r w:rsidRPr="00AC6E74">
        <w:t xml:space="preserve">the </w:t>
      </w:r>
      <w:r w:rsidR="000C30B5" w:rsidRPr="00AC6E74">
        <w:t>Phase I</w:t>
      </w:r>
      <w:r w:rsidR="00E04ABD" w:rsidRPr="00AC6E74">
        <w:t xml:space="preserve"> </w:t>
      </w:r>
      <w:r w:rsidR="00A326AA">
        <w:t xml:space="preserve">study period (Parts 1 and 2) </w:t>
      </w:r>
      <w:r w:rsidRPr="00AC6E74">
        <w:t xml:space="preserve">are </w:t>
      </w:r>
      <w:r w:rsidR="00E04ABD" w:rsidRPr="00AC6E74">
        <w:t xml:space="preserve">to evaluate safety and tolerability of </w:t>
      </w:r>
      <w:proofErr w:type="spellStart"/>
      <w:r w:rsidR="00E04ABD" w:rsidRPr="00AC6E74">
        <w:t>sotorasib</w:t>
      </w:r>
      <w:proofErr w:type="spellEnd"/>
      <w:r w:rsidRPr="00AC6E74">
        <w:t xml:space="preserve">; and </w:t>
      </w:r>
      <w:r w:rsidR="00E04ABD" w:rsidRPr="00AC6E74">
        <w:t xml:space="preserve">to estimate the </w:t>
      </w:r>
      <w:r w:rsidRPr="00AC6E74">
        <w:t xml:space="preserve">maximum tolerated dose </w:t>
      </w:r>
      <w:r w:rsidR="00E04ABD" w:rsidRPr="00AC6E74">
        <w:t xml:space="preserve">or </w:t>
      </w:r>
      <w:r w:rsidRPr="00AC6E74">
        <w:t xml:space="preserve">the recommended Phase II dose </w:t>
      </w:r>
      <w:r w:rsidR="00E04ABD" w:rsidRPr="00AC6E74">
        <w:t xml:space="preserve">of </w:t>
      </w:r>
      <w:proofErr w:type="spellStart"/>
      <w:r w:rsidR="00E04ABD" w:rsidRPr="00AC6E74">
        <w:t>sotorasib</w:t>
      </w:r>
      <w:proofErr w:type="spellEnd"/>
      <w:r w:rsidR="00E04ABD" w:rsidRPr="00AC6E74">
        <w:t xml:space="preserve"> in adult patients with </w:t>
      </w:r>
      <w:r w:rsidR="000C30B5" w:rsidRPr="00AC6E74">
        <w:rPr>
          <w:i/>
          <w:iCs/>
        </w:rPr>
        <w:t>KRAS</w:t>
      </w:r>
      <w:r w:rsidR="008408C3" w:rsidRPr="00AC6E74">
        <w:rPr>
          <w:i/>
          <w:iCs/>
        </w:rPr>
        <w:t xml:space="preserve"> </w:t>
      </w:r>
      <w:r w:rsidR="000C30B5" w:rsidRPr="00AC6E74">
        <w:rPr>
          <w:i/>
          <w:iCs/>
        </w:rPr>
        <w:t>G12C</w:t>
      </w:r>
      <w:r w:rsidR="00E04ABD" w:rsidRPr="00AC6E74">
        <w:t>-mutated advanced solid tumours.</w:t>
      </w:r>
    </w:p>
    <w:p w14:paraId="0C609AAD" w14:textId="34CFCFC0" w:rsidR="00E04ABD" w:rsidRPr="00AC6E74" w:rsidRDefault="000D32B9" w:rsidP="000D32B9">
      <w:r w:rsidRPr="00AC6E74">
        <w:t>The p</w:t>
      </w:r>
      <w:r w:rsidR="00E04ABD" w:rsidRPr="00AC6E74">
        <w:t xml:space="preserve">rimary objective of </w:t>
      </w:r>
      <w:r w:rsidRPr="00AC6E74">
        <w:t xml:space="preserve">the </w:t>
      </w:r>
      <w:r w:rsidR="000C30B5" w:rsidRPr="00AC6E74">
        <w:t>Phase II</w:t>
      </w:r>
      <w:r w:rsidR="00E04ABD" w:rsidRPr="00AC6E74">
        <w:t xml:space="preserve"> </w:t>
      </w:r>
      <w:r w:rsidR="00A326AA">
        <w:t>study period</w:t>
      </w:r>
      <w:r w:rsidR="00A326AA" w:rsidRPr="00AC6E74">
        <w:t xml:space="preserve"> </w:t>
      </w:r>
      <w:r w:rsidRPr="00AC6E74">
        <w:t>is t</w:t>
      </w:r>
      <w:r w:rsidR="00E04ABD" w:rsidRPr="00AC6E74">
        <w:t xml:space="preserve">o evaluate the </w:t>
      </w:r>
      <w:r w:rsidR="007F4EEA" w:rsidRPr="00AC6E74">
        <w:t>objective response rate</w:t>
      </w:r>
      <w:r w:rsidR="00E04ABD" w:rsidRPr="00AC6E74">
        <w:t xml:space="preserve"> for </w:t>
      </w:r>
      <w:proofErr w:type="spellStart"/>
      <w:r w:rsidR="00E04ABD" w:rsidRPr="00AC6E74">
        <w:t>sotorasib</w:t>
      </w:r>
      <w:proofErr w:type="spellEnd"/>
      <w:r w:rsidR="00E04ABD" w:rsidRPr="00AC6E74">
        <w:t xml:space="preserve"> as monotherapy in patients with </w:t>
      </w:r>
      <w:r w:rsidR="000C30B5" w:rsidRPr="00AC6E74">
        <w:rPr>
          <w:i/>
          <w:iCs/>
        </w:rPr>
        <w:t>KRAS</w:t>
      </w:r>
      <w:r w:rsidR="008408C3" w:rsidRPr="00AC6E74">
        <w:rPr>
          <w:i/>
          <w:iCs/>
        </w:rPr>
        <w:t xml:space="preserve"> </w:t>
      </w:r>
      <w:r w:rsidR="000C30B5" w:rsidRPr="00AC6E74">
        <w:rPr>
          <w:i/>
          <w:iCs/>
        </w:rPr>
        <w:t>G12C</w:t>
      </w:r>
      <w:r w:rsidR="00E04ABD" w:rsidRPr="00AC6E74">
        <w:t>-mutated advanced solid tumours</w:t>
      </w:r>
    </w:p>
    <w:p w14:paraId="711A8BA7" w14:textId="7B31D884" w:rsidR="00E04ABD" w:rsidRPr="00AC6E74" w:rsidRDefault="000D32B9" w:rsidP="000D32B9">
      <w:pPr>
        <w:pStyle w:val="ListBullet"/>
        <w:numPr>
          <w:ilvl w:val="0"/>
          <w:numId w:val="0"/>
        </w:numPr>
        <w:ind w:left="360" w:hanging="360"/>
      </w:pPr>
      <w:r w:rsidRPr="00AC6E74">
        <w:t>The s</w:t>
      </w:r>
      <w:r w:rsidR="00E04ABD" w:rsidRPr="00AC6E74">
        <w:t xml:space="preserve">econdary objectives for both </w:t>
      </w:r>
      <w:r w:rsidR="00A326AA">
        <w:t>Phase I and II periods of the study</w:t>
      </w:r>
      <w:r w:rsidR="00A326AA" w:rsidRPr="00AC6E74">
        <w:t xml:space="preserve"> </w:t>
      </w:r>
      <w:r w:rsidRPr="00AC6E74">
        <w:t>are</w:t>
      </w:r>
      <w:r w:rsidR="00A326AA">
        <w:t xml:space="preserve"> as follows</w:t>
      </w:r>
      <w:r w:rsidR="00E04ABD" w:rsidRPr="00AC6E74">
        <w:t>:</w:t>
      </w:r>
    </w:p>
    <w:p w14:paraId="226C7756" w14:textId="01AC05DA" w:rsidR="00E04ABD" w:rsidRPr="00AC6E74" w:rsidRDefault="000C30B5" w:rsidP="000D32B9">
      <w:pPr>
        <w:pStyle w:val="ListBullet"/>
      </w:pPr>
      <w:r w:rsidRPr="00AC6E74">
        <w:t>duration of response</w:t>
      </w:r>
    </w:p>
    <w:p w14:paraId="362AE6D9" w14:textId="43DF91A2" w:rsidR="00E04ABD" w:rsidRPr="00AC6E74" w:rsidRDefault="00F809D5" w:rsidP="000D32B9">
      <w:pPr>
        <w:pStyle w:val="ListBullet"/>
      </w:pPr>
      <w:r w:rsidRPr="00AC6E74">
        <w:t>disease control rate</w:t>
      </w:r>
    </w:p>
    <w:p w14:paraId="26E6ED0C" w14:textId="2FF1A39D" w:rsidR="00E04ABD" w:rsidRPr="00AC6E74" w:rsidRDefault="000D32B9" w:rsidP="000D32B9">
      <w:pPr>
        <w:pStyle w:val="ListBullet"/>
      </w:pPr>
      <w:r w:rsidRPr="00AC6E74">
        <w:t>time to response</w:t>
      </w:r>
    </w:p>
    <w:p w14:paraId="0420B383" w14:textId="5966DC6C" w:rsidR="00E04ABD" w:rsidRPr="00AC6E74" w:rsidRDefault="000D32B9" w:rsidP="000D32B9">
      <w:pPr>
        <w:pStyle w:val="ListBullet"/>
      </w:pPr>
      <w:r w:rsidRPr="00AC6E74">
        <w:t>progression free survival</w:t>
      </w:r>
    </w:p>
    <w:p w14:paraId="31A33941" w14:textId="45B52F92" w:rsidR="000D32B9" w:rsidRPr="00AC6E74" w:rsidRDefault="000D32B9" w:rsidP="000D32B9">
      <w:pPr>
        <w:pStyle w:val="ListBullet"/>
      </w:pPr>
      <w:r w:rsidRPr="00AC6E74">
        <w:t>overall survival</w:t>
      </w:r>
    </w:p>
    <w:p w14:paraId="33D7CBF9" w14:textId="2C7FD7E1" w:rsidR="00E04ABD" w:rsidRPr="00AC6E74" w:rsidRDefault="000D32B9" w:rsidP="000D32B9">
      <w:pPr>
        <w:pStyle w:val="ListBullet"/>
      </w:pPr>
      <w:r w:rsidRPr="00AC6E74">
        <w:t>s</w:t>
      </w:r>
      <w:r w:rsidR="00E04ABD" w:rsidRPr="00AC6E74">
        <w:t>afety</w:t>
      </w:r>
    </w:p>
    <w:p w14:paraId="78B8F009" w14:textId="546F3FFA" w:rsidR="00E04ABD" w:rsidRPr="00AC6E74" w:rsidRDefault="000D32B9" w:rsidP="000D32B9">
      <w:pPr>
        <w:pStyle w:val="ListBullet"/>
      </w:pPr>
      <w:r w:rsidRPr="00AC6E74">
        <w:t>pharmacokinetics</w:t>
      </w:r>
    </w:p>
    <w:p w14:paraId="4AF63DD9" w14:textId="4A2733B1" w:rsidR="00082781" w:rsidRPr="00AC6E74" w:rsidRDefault="00082781" w:rsidP="00082781">
      <w:pPr>
        <w:pStyle w:val="Heading6"/>
      </w:pPr>
      <w:r w:rsidRPr="00AC6E74">
        <w:t>Inclusion and exclusion criteria</w:t>
      </w:r>
    </w:p>
    <w:p w14:paraId="69DD8EA4" w14:textId="5209D36D" w:rsidR="00E04ABD" w:rsidRPr="00AC6E74" w:rsidRDefault="000C30B5" w:rsidP="00082781">
      <w:r w:rsidRPr="00AC6E74">
        <w:t>Phase I</w:t>
      </w:r>
      <w:r w:rsidR="00E04ABD" w:rsidRPr="00AC6E74">
        <w:t xml:space="preserve"> </w:t>
      </w:r>
      <w:proofErr w:type="spellStart"/>
      <w:r w:rsidR="00E04ABD" w:rsidRPr="00AC6E74">
        <w:t>sotorasib</w:t>
      </w:r>
      <w:proofErr w:type="spellEnd"/>
      <w:r w:rsidR="00E04ABD" w:rsidRPr="00AC6E74">
        <w:t xml:space="preserve"> dosing is shown in </w:t>
      </w:r>
      <w:r w:rsidR="00082781" w:rsidRPr="00AC6E74">
        <w:fldChar w:fldCharType="begin"/>
      </w:r>
      <w:r w:rsidR="00082781" w:rsidRPr="00AC6E74">
        <w:instrText xml:space="preserve"> REF _Ref129858017 \h </w:instrText>
      </w:r>
      <w:r w:rsidR="00987863" w:rsidRPr="00AC6E74">
        <w:instrText xml:space="preserve"> \* MERGEFORMAT </w:instrText>
      </w:r>
      <w:r w:rsidR="00082781" w:rsidRPr="00AC6E74">
        <w:fldChar w:fldCharType="separate"/>
      </w:r>
      <w:r w:rsidR="009B21DC" w:rsidRPr="00AC6E74">
        <w:t xml:space="preserve">Figure </w:t>
      </w:r>
      <w:r w:rsidR="009B21DC">
        <w:rPr>
          <w:noProof/>
        </w:rPr>
        <w:t>2</w:t>
      </w:r>
      <w:r w:rsidR="00082781" w:rsidRPr="00AC6E74">
        <w:fldChar w:fldCharType="end"/>
      </w:r>
      <w:r w:rsidR="00E04ABD" w:rsidRPr="00AC6E74">
        <w:t xml:space="preserve"> above.</w:t>
      </w:r>
      <w:r w:rsidR="002A2318" w:rsidRPr="00AC6E74">
        <w:t xml:space="preserve"> </w:t>
      </w:r>
      <w:r w:rsidR="00E04ABD" w:rsidRPr="00AC6E74">
        <w:t xml:space="preserve">Subjects in </w:t>
      </w:r>
      <w:r w:rsidRPr="00AC6E74">
        <w:t>Phase II</w:t>
      </w:r>
      <w:r w:rsidR="00E04ABD" w:rsidRPr="00AC6E74">
        <w:t xml:space="preserve"> were treated with </w:t>
      </w:r>
      <w:proofErr w:type="spellStart"/>
      <w:r w:rsidR="00E04ABD" w:rsidRPr="00AC6E74">
        <w:t>sotorasib</w:t>
      </w:r>
      <w:proofErr w:type="spellEnd"/>
      <w:r w:rsidR="00E04ABD" w:rsidRPr="00AC6E74">
        <w:t xml:space="preserve"> monotherapy at 96</w:t>
      </w:r>
      <w:r w:rsidR="000348AE" w:rsidRPr="00AC6E74">
        <w:t>0 mg</w:t>
      </w:r>
      <w:r w:rsidR="00E04ABD" w:rsidRPr="00AC6E74">
        <w:t xml:space="preserve"> daily as per </w:t>
      </w:r>
      <w:r w:rsidR="00082781" w:rsidRPr="00AC6E74">
        <w:t>recommended Phase II dose</w:t>
      </w:r>
      <w:r w:rsidR="00E04ABD" w:rsidRPr="00AC6E74">
        <w:t xml:space="preserve">, and continued </w:t>
      </w:r>
      <w:proofErr w:type="spellStart"/>
      <w:r w:rsidR="00E04ABD" w:rsidRPr="00AC6E74">
        <w:t>sotorasib</w:t>
      </w:r>
      <w:proofErr w:type="spellEnd"/>
      <w:r w:rsidR="00E04ABD" w:rsidRPr="00AC6E74">
        <w:t xml:space="preserve"> until disease progression, treatment intolerance, withdrawal of consent, death or other protocol defined reasons.</w:t>
      </w:r>
      <w:r w:rsidR="002A2318" w:rsidRPr="00AC6E74">
        <w:t xml:space="preserve"> </w:t>
      </w:r>
      <w:r w:rsidR="00E04ABD" w:rsidRPr="00AC6E74">
        <w:t>Primary analysis was to occur at approximately 8.5</w:t>
      </w:r>
      <w:r w:rsidR="00082781" w:rsidRPr="00AC6E74">
        <w:t> </w:t>
      </w:r>
      <w:r w:rsidR="00E04ABD" w:rsidRPr="00AC6E74">
        <w:t xml:space="preserve">months after 105 subjects with NSCLC or 60 with </w:t>
      </w:r>
      <w:r w:rsidR="00082781" w:rsidRPr="00AC6E74">
        <w:t>colorectal cancer</w:t>
      </w:r>
      <w:r w:rsidR="00E04ABD" w:rsidRPr="00AC6E74">
        <w:t xml:space="preserve"> had enrolled in </w:t>
      </w:r>
      <w:r w:rsidRPr="00AC6E74">
        <w:t>Phase</w:t>
      </w:r>
      <w:r w:rsidR="00082781" w:rsidRPr="00AC6E74">
        <w:t> </w:t>
      </w:r>
      <w:r w:rsidRPr="00AC6E74">
        <w:t>II</w:t>
      </w:r>
      <w:r w:rsidR="00E04ABD" w:rsidRPr="00AC6E74">
        <w:t xml:space="preserve"> </w:t>
      </w:r>
      <w:r w:rsidR="00A326AA">
        <w:t>period</w:t>
      </w:r>
      <w:r w:rsidR="00A326AA" w:rsidRPr="00AC6E74">
        <w:t xml:space="preserve"> </w:t>
      </w:r>
      <w:r w:rsidR="00E04ABD" w:rsidRPr="00AC6E74">
        <w:t>of the study.</w:t>
      </w:r>
    </w:p>
    <w:p w14:paraId="3F4B1A17" w14:textId="72C61169" w:rsidR="00782132" w:rsidRPr="00AC6E74" w:rsidRDefault="00A326AA" w:rsidP="00782132">
      <w:r>
        <w:t>K</w:t>
      </w:r>
      <w:r w:rsidR="00782132" w:rsidRPr="00AC6E74">
        <w:t>ey inclusion criteria are</w:t>
      </w:r>
      <w:r>
        <w:t xml:space="preserve"> as follows:</w:t>
      </w:r>
    </w:p>
    <w:p w14:paraId="60A90E8F" w14:textId="77777777" w:rsidR="00782132" w:rsidRPr="00AC6E74" w:rsidRDefault="00E04ABD" w:rsidP="00782132">
      <w:pPr>
        <w:pStyle w:val="ListBullet"/>
      </w:pPr>
      <w:r w:rsidRPr="00AC6E74">
        <w:t xml:space="preserve">adults with </w:t>
      </w:r>
      <w:r w:rsidR="000C30B5" w:rsidRPr="00AC6E74">
        <w:rPr>
          <w:i/>
          <w:iCs/>
        </w:rPr>
        <w:t>KRAS</w:t>
      </w:r>
      <w:r w:rsidR="008408C3" w:rsidRPr="00AC6E74">
        <w:rPr>
          <w:i/>
          <w:iCs/>
        </w:rPr>
        <w:t xml:space="preserve"> </w:t>
      </w:r>
      <w:r w:rsidR="000C30B5" w:rsidRPr="00AC6E74">
        <w:rPr>
          <w:i/>
          <w:iCs/>
        </w:rPr>
        <w:t>G12C</w:t>
      </w:r>
      <w:r w:rsidRPr="00AC6E74">
        <w:t>-mutated advanced NSCLC, colorectal cancer, or other solid tumours that were previously documented (</w:t>
      </w:r>
      <w:r w:rsidR="000C30B5" w:rsidRPr="00AC6E74">
        <w:t>Phase I</w:t>
      </w:r>
      <w:r w:rsidRPr="00AC6E74">
        <w:t xml:space="preserve">) or identified prospectively using local assessments and confirmed with central laboratory testing for the mutation before enrolment in </w:t>
      </w:r>
      <w:r w:rsidR="000C30B5" w:rsidRPr="00AC6E74">
        <w:t>Phase II</w:t>
      </w:r>
      <w:r w:rsidRPr="00AC6E74">
        <w:t xml:space="preserve"> portion of the </w:t>
      </w:r>
      <w:proofErr w:type="gramStart"/>
      <w:r w:rsidRPr="00AC6E74">
        <w:t>study</w:t>
      </w:r>
      <w:r w:rsidR="00782132" w:rsidRPr="00AC6E74">
        <w:t>;</w:t>
      </w:r>
      <w:proofErr w:type="gramEnd"/>
    </w:p>
    <w:p w14:paraId="73B60FB4" w14:textId="25E8D20F" w:rsidR="00E04ABD" w:rsidRPr="00AC6E74" w:rsidRDefault="00782132" w:rsidP="00782132">
      <w:pPr>
        <w:pStyle w:val="ListBullet"/>
      </w:pPr>
      <w:r w:rsidRPr="00AC6E74">
        <w:t>s</w:t>
      </w:r>
      <w:r w:rsidR="00E04ABD" w:rsidRPr="00AC6E74">
        <w:t>ubjects must have received prior therapy (</w:t>
      </w:r>
      <w:r w:rsidR="000C30B5" w:rsidRPr="00AC6E74">
        <w:t>Phase I</w:t>
      </w:r>
      <w:r w:rsidR="00E04ABD" w:rsidRPr="00AC6E74">
        <w:t>, except for the previously untreated metastatic NSCLC cohort), or progressed after receiving prior therapy (</w:t>
      </w:r>
      <w:r w:rsidR="000C30B5" w:rsidRPr="00AC6E74">
        <w:t>Phase II</w:t>
      </w:r>
      <w:proofErr w:type="gramStart"/>
      <w:r w:rsidR="00E04ABD" w:rsidRPr="00AC6E74">
        <w:t>)</w:t>
      </w:r>
      <w:r w:rsidRPr="00AC6E74">
        <w:t>;</w:t>
      </w:r>
      <w:proofErr w:type="gramEnd"/>
    </w:p>
    <w:p w14:paraId="045B155A" w14:textId="3F719C3E" w:rsidR="009C4914" w:rsidRPr="00AC6E74" w:rsidRDefault="00A326AA" w:rsidP="009C4914">
      <w:pPr>
        <w:pStyle w:val="ListBullet"/>
      </w:pPr>
      <w:r>
        <w:t xml:space="preserve">subjects have an </w:t>
      </w:r>
      <w:r w:rsidR="00B00281" w:rsidRPr="00AC6E74">
        <w:t>Eastern Cooperative Oncology Group (</w:t>
      </w:r>
      <w:r w:rsidR="00E04ABD" w:rsidRPr="00AC6E74">
        <w:t>ECOG</w:t>
      </w:r>
      <w:r w:rsidR="00B00281" w:rsidRPr="00AC6E74">
        <w:t>)</w:t>
      </w:r>
      <w:r w:rsidR="00E04ABD" w:rsidRPr="00AC6E74">
        <w:t xml:space="preserve"> performance status</w:t>
      </w:r>
      <w:r w:rsidR="00B00281" w:rsidRPr="00AC6E74">
        <w:t>;</w:t>
      </w:r>
      <w:bookmarkStart w:id="65" w:name="_Ref135910555"/>
      <w:r w:rsidR="00B00281" w:rsidRPr="00AC6E74">
        <w:rPr>
          <w:rStyle w:val="FootnoteReference"/>
        </w:rPr>
        <w:footnoteReference w:id="11"/>
      </w:r>
      <w:bookmarkEnd w:id="65"/>
      <w:r w:rsidR="00E04ABD" w:rsidRPr="00AC6E74">
        <w:t xml:space="preserve"> </w:t>
      </w:r>
      <w:r>
        <w:t xml:space="preserve">of </w:t>
      </w:r>
      <w:r w:rsidR="00E04ABD" w:rsidRPr="00AC6E74">
        <w:t>0</w:t>
      </w:r>
      <w:r>
        <w:t xml:space="preserve"> or </w:t>
      </w:r>
      <w:r w:rsidR="00E04ABD" w:rsidRPr="00AC6E74">
        <w:t xml:space="preserve">1; </w:t>
      </w:r>
      <w:r w:rsidR="00A12AEA" w:rsidRPr="00AC6E74">
        <w:t>and</w:t>
      </w:r>
    </w:p>
    <w:p w14:paraId="2A855C56" w14:textId="5CA4242E" w:rsidR="00E04ABD" w:rsidRPr="00AC6E74" w:rsidRDefault="00A326AA" w:rsidP="009C4914">
      <w:pPr>
        <w:pStyle w:val="ListBullet"/>
      </w:pPr>
      <w:r>
        <w:lastRenderedPageBreak/>
        <w:t xml:space="preserve">subjects have </w:t>
      </w:r>
      <w:r w:rsidR="00E04ABD" w:rsidRPr="00AC6E74">
        <w:t xml:space="preserve">measurable disease per </w:t>
      </w:r>
      <w:r w:rsidR="00B00281" w:rsidRPr="00AC6E74">
        <w:t xml:space="preserve">Response Evaluation Criteria </w:t>
      </w:r>
      <w:proofErr w:type="gramStart"/>
      <w:r w:rsidR="00B00281" w:rsidRPr="00AC6E74">
        <w:t>In</w:t>
      </w:r>
      <w:proofErr w:type="gramEnd"/>
      <w:r w:rsidR="00B00281" w:rsidRPr="00AC6E74">
        <w:t xml:space="preserve"> Solid Tumours (</w:t>
      </w:r>
      <w:r w:rsidR="00E04ABD" w:rsidRPr="00AC6E74">
        <w:t>RECIST</w:t>
      </w:r>
      <w:r w:rsidR="00B00281" w:rsidRPr="00AC6E74">
        <w:t>);</w:t>
      </w:r>
      <w:r w:rsidR="00B00281" w:rsidRPr="00AC6E74">
        <w:rPr>
          <w:rStyle w:val="FootnoteReference"/>
        </w:rPr>
        <w:footnoteReference w:id="12"/>
      </w:r>
      <w:r w:rsidR="00E04ABD" w:rsidRPr="00AC6E74">
        <w:t xml:space="preserve"> v</w:t>
      </w:r>
      <w:r w:rsidR="00B00281" w:rsidRPr="00AC6E74">
        <w:t>ersion </w:t>
      </w:r>
      <w:r w:rsidR="00E04ABD" w:rsidRPr="00AC6E74">
        <w:t>1.1</w:t>
      </w:r>
      <w:r w:rsidR="00082781" w:rsidRPr="00AC6E74">
        <w:t>.</w:t>
      </w:r>
    </w:p>
    <w:p w14:paraId="19FDC062" w14:textId="2103872C" w:rsidR="009C4914" w:rsidRPr="00AC6E74" w:rsidRDefault="00E04ABD" w:rsidP="005C6FC9">
      <w:r w:rsidRPr="00AC6E74">
        <w:t>Key exclusion criteria</w:t>
      </w:r>
      <w:r w:rsidR="009C4914" w:rsidRPr="00AC6E74">
        <w:t xml:space="preserve"> </w:t>
      </w:r>
      <w:r w:rsidR="00782132" w:rsidRPr="00AC6E74">
        <w:t>are</w:t>
      </w:r>
      <w:r w:rsidR="009C4914" w:rsidRPr="00AC6E74">
        <w:t>:</w:t>
      </w:r>
    </w:p>
    <w:p w14:paraId="255C59D5" w14:textId="4718FB2E" w:rsidR="009C4914" w:rsidRPr="00AC6E74" w:rsidRDefault="00A326AA" w:rsidP="009C4914">
      <w:pPr>
        <w:pStyle w:val="ListBullet"/>
      </w:pPr>
      <w:r>
        <w:t xml:space="preserve">subjects with </w:t>
      </w:r>
      <w:r w:rsidR="00E04ABD" w:rsidRPr="00AC6E74">
        <w:t xml:space="preserve">active untreated brain </w:t>
      </w:r>
      <w:proofErr w:type="gramStart"/>
      <w:r w:rsidR="00E04ABD" w:rsidRPr="00AC6E74">
        <w:t>metastases</w:t>
      </w:r>
      <w:r w:rsidR="009C4914" w:rsidRPr="00AC6E74">
        <w:t>;</w:t>
      </w:r>
      <w:proofErr w:type="gramEnd"/>
    </w:p>
    <w:p w14:paraId="1A8372C2" w14:textId="0B9DDB0A" w:rsidR="009C4914" w:rsidRPr="00AC6E74" w:rsidRDefault="00A326AA" w:rsidP="009C4914">
      <w:pPr>
        <w:pStyle w:val="ListBullet"/>
      </w:pPr>
      <w:r>
        <w:t xml:space="preserve">who have received </w:t>
      </w:r>
      <w:r w:rsidR="009C4914" w:rsidRPr="00AC6E74">
        <w:t xml:space="preserve">more than </w:t>
      </w:r>
      <w:r w:rsidR="00E04ABD" w:rsidRPr="00AC6E74">
        <w:t xml:space="preserve">3 previous lines of therapy; </w:t>
      </w:r>
      <w:proofErr w:type="gramStart"/>
      <w:r w:rsidR="009C4914" w:rsidRPr="00AC6E74">
        <w:t>and</w:t>
      </w:r>
      <w:proofErr w:type="gramEnd"/>
    </w:p>
    <w:p w14:paraId="5934111A" w14:textId="1D3FAFB6" w:rsidR="00E04ABD" w:rsidRPr="00AC6E74" w:rsidRDefault="00A326AA" w:rsidP="009C4914">
      <w:pPr>
        <w:pStyle w:val="ListBullet"/>
      </w:pPr>
      <w:r>
        <w:t xml:space="preserve">had </w:t>
      </w:r>
      <w:r w:rsidR="00E04ABD" w:rsidRPr="00AC6E74">
        <w:t xml:space="preserve">previous treatment with a direct </w:t>
      </w:r>
      <w:r w:rsidR="00EB463D" w:rsidRPr="00AC6E74">
        <w:t>KRAS G12C</w:t>
      </w:r>
      <w:r w:rsidR="00E04ABD" w:rsidRPr="00AC6E74">
        <w:t xml:space="preserve"> inhibitor</w:t>
      </w:r>
      <w:r w:rsidR="009C4914" w:rsidRPr="00AC6E74">
        <w:t>.</w:t>
      </w:r>
    </w:p>
    <w:p w14:paraId="19C3F25A" w14:textId="77777777" w:rsidR="00E04ABD" w:rsidRPr="00AC6E74" w:rsidRDefault="00E04ABD" w:rsidP="005C6FC9">
      <w:pPr>
        <w:pStyle w:val="Heading6"/>
      </w:pPr>
      <w:r w:rsidRPr="00AC6E74">
        <w:t>Study endpoints</w:t>
      </w:r>
    </w:p>
    <w:p w14:paraId="102D4D03" w14:textId="79DF5255" w:rsidR="008247CC" w:rsidRPr="00AC6E74" w:rsidRDefault="00E04ABD" w:rsidP="005C6FC9">
      <w:r w:rsidRPr="00AC6E74">
        <w:t xml:space="preserve">Study 20170543 </w:t>
      </w:r>
      <w:r w:rsidR="000C30B5" w:rsidRPr="00AC6E74">
        <w:t>Phase II</w:t>
      </w:r>
      <w:r w:rsidR="00CE2A3B" w:rsidRPr="00AC6E74">
        <w:t xml:space="preserve"> efficacy endpoints include</w:t>
      </w:r>
      <w:r w:rsidRPr="00AC6E74">
        <w:t>:</w:t>
      </w:r>
    </w:p>
    <w:p w14:paraId="3E9A3025" w14:textId="7804B03D" w:rsidR="008247CC" w:rsidRPr="00AC6E74" w:rsidRDefault="00E04ABD" w:rsidP="008247CC">
      <w:pPr>
        <w:pStyle w:val="ListBullet"/>
      </w:pPr>
      <w:r w:rsidRPr="00AC6E74">
        <w:rPr>
          <w:i/>
          <w:iCs/>
        </w:rPr>
        <w:t>Primary endpoint</w:t>
      </w:r>
      <w:r w:rsidR="004F1B76" w:rsidRPr="00AC6E74">
        <w:t>: objective response rate</w:t>
      </w:r>
    </w:p>
    <w:p w14:paraId="3A19DB48" w14:textId="76875F24" w:rsidR="008247CC" w:rsidRPr="00AC6E74" w:rsidRDefault="00E04ABD" w:rsidP="008247CC">
      <w:pPr>
        <w:pStyle w:val="ListBullet"/>
      </w:pPr>
      <w:r w:rsidRPr="00AC6E74">
        <w:rPr>
          <w:i/>
          <w:iCs/>
        </w:rPr>
        <w:t>Key secondary endpoint</w:t>
      </w:r>
      <w:r w:rsidR="004F1B76" w:rsidRPr="00AC6E74">
        <w:t xml:space="preserve">: </w:t>
      </w:r>
      <w:r w:rsidR="000C30B5" w:rsidRPr="00AC6E74">
        <w:t xml:space="preserve">duration of </w:t>
      </w:r>
      <w:proofErr w:type="gramStart"/>
      <w:r w:rsidR="000C30B5" w:rsidRPr="00AC6E74">
        <w:t>response</w:t>
      </w:r>
      <w:r w:rsidRPr="00AC6E74">
        <w:t>;</w:t>
      </w:r>
      <w:proofErr w:type="gramEnd"/>
    </w:p>
    <w:p w14:paraId="0D353021" w14:textId="3B73146D" w:rsidR="00E04ABD" w:rsidRPr="00AC6E74" w:rsidRDefault="004F1B76" w:rsidP="00E234BB">
      <w:pPr>
        <w:pStyle w:val="ListBullet"/>
      </w:pPr>
      <w:r w:rsidRPr="00AC6E74">
        <w:rPr>
          <w:i/>
          <w:iCs/>
        </w:rPr>
        <w:t>O</w:t>
      </w:r>
      <w:r w:rsidR="00E04ABD" w:rsidRPr="00AC6E74">
        <w:rPr>
          <w:i/>
          <w:iCs/>
        </w:rPr>
        <w:t>ther supportive secondary endpoints</w:t>
      </w:r>
      <w:r w:rsidRPr="00AC6E74">
        <w:rPr>
          <w:i/>
          <w:iCs/>
        </w:rPr>
        <w:t>:</w:t>
      </w:r>
      <w:r w:rsidR="00E04ABD" w:rsidRPr="00AC6E74">
        <w:t xml:space="preserve"> </w:t>
      </w:r>
      <w:r w:rsidR="000D32B9" w:rsidRPr="00AC6E74">
        <w:t>time to response</w:t>
      </w:r>
      <w:r w:rsidR="00E04ABD" w:rsidRPr="00AC6E74">
        <w:t>,</w:t>
      </w:r>
      <w:r w:rsidRPr="00AC6E74">
        <w:t xml:space="preserve"> </w:t>
      </w:r>
      <w:r w:rsidR="00F809D5" w:rsidRPr="00AC6E74">
        <w:t>disease control rate</w:t>
      </w:r>
      <w:r w:rsidR="00E04ABD" w:rsidRPr="00AC6E74">
        <w:t xml:space="preserve">, </w:t>
      </w:r>
      <w:r w:rsidRPr="00AC6E74">
        <w:t xml:space="preserve">progression free survival </w:t>
      </w:r>
      <w:r w:rsidR="00E04ABD" w:rsidRPr="00AC6E74">
        <w:t xml:space="preserve">and </w:t>
      </w:r>
      <w:r w:rsidRPr="00AC6E74">
        <w:t>overall survival</w:t>
      </w:r>
      <w:r w:rsidR="008247CC" w:rsidRPr="00AC6E74">
        <w:t>.</w:t>
      </w:r>
    </w:p>
    <w:p w14:paraId="09BC1D6B" w14:textId="77777777" w:rsidR="00CE2A3B" w:rsidRPr="00AC6E74" w:rsidRDefault="00E04ABD" w:rsidP="005C6FC9">
      <w:r w:rsidRPr="00AC6E74">
        <w:t xml:space="preserve">Study 20170543 </w:t>
      </w:r>
      <w:r w:rsidR="000C30B5" w:rsidRPr="00AC6E74">
        <w:t>Phase I</w:t>
      </w:r>
      <w:r w:rsidR="00CE2A3B" w:rsidRPr="00AC6E74">
        <w:t xml:space="preserve"> e</w:t>
      </w:r>
      <w:r w:rsidRPr="00AC6E74">
        <w:t>fficacy endpoints include:</w:t>
      </w:r>
    </w:p>
    <w:p w14:paraId="396AD66F" w14:textId="6C5E1943" w:rsidR="00CE2A3B" w:rsidRPr="00AC6E74" w:rsidRDefault="00CE2A3B" w:rsidP="00CE2A3B">
      <w:pPr>
        <w:pStyle w:val="ListBullet"/>
      </w:pPr>
      <w:r w:rsidRPr="00AC6E74">
        <w:t>objective response rate</w:t>
      </w:r>
      <w:r w:rsidR="00E04ABD" w:rsidRPr="00AC6E74">
        <w:t>,</w:t>
      </w:r>
    </w:p>
    <w:p w14:paraId="4A2A352B" w14:textId="77777777" w:rsidR="00CE2A3B" w:rsidRPr="00AC6E74" w:rsidRDefault="000C30B5" w:rsidP="00CE2A3B">
      <w:pPr>
        <w:pStyle w:val="ListBullet"/>
      </w:pPr>
      <w:r w:rsidRPr="00AC6E74">
        <w:t>duration of response</w:t>
      </w:r>
      <w:r w:rsidR="00E04ABD" w:rsidRPr="00AC6E74">
        <w:t>,</w:t>
      </w:r>
    </w:p>
    <w:p w14:paraId="014E60EE" w14:textId="77777777" w:rsidR="00CE2A3B" w:rsidRPr="00AC6E74" w:rsidRDefault="00F809D5" w:rsidP="00CE2A3B">
      <w:pPr>
        <w:pStyle w:val="ListBullet"/>
      </w:pPr>
      <w:r w:rsidRPr="00AC6E74">
        <w:t>disease control rate</w:t>
      </w:r>
      <w:r w:rsidR="00E04ABD" w:rsidRPr="00AC6E74">
        <w:t>,</w:t>
      </w:r>
    </w:p>
    <w:p w14:paraId="19AC37C2" w14:textId="480D8E77" w:rsidR="00CE2A3B" w:rsidRPr="00AC6E74" w:rsidRDefault="00CE2A3B" w:rsidP="00CE2A3B">
      <w:pPr>
        <w:pStyle w:val="ListBullet"/>
      </w:pPr>
      <w:r w:rsidRPr="00AC6E74">
        <w:t>progression</w:t>
      </w:r>
      <w:r w:rsidR="007F4EEA" w:rsidRPr="00AC6E74">
        <w:t xml:space="preserve"> </w:t>
      </w:r>
      <w:r w:rsidRPr="00AC6E74">
        <w:t>free survival,</w:t>
      </w:r>
    </w:p>
    <w:p w14:paraId="5959671E" w14:textId="77777777" w:rsidR="00CE2A3B" w:rsidRPr="00AC6E74" w:rsidRDefault="00E04ABD" w:rsidP="00CE2A3B">
      <w:pPr>
        <w:pStyle w:val="ListBullet"/>
      </w:pPr>
      <w:r w:rsidRPr="00AC6E74">
        <w:t>duration of stable disease,</w:t>
      </w:r>
    </w:p>
    <w:p w14:paraId="4C8415C3" w14:textId="06E34EF9" w:rsidR="00E04ABD" w:rsidRPr="00AC6E74" w:rsidRDefault="000D32B9" w:rsidP="00CE2A3B">
      <w:pPr>
        <w:pStyle w:val="ListBullet"/>
      </w:pPr>
      <w:r w:rsidRPr="00AC6E74">
        <w:t>time to response</w:t>
      </w:r>
      <w:r w:rsidR="00E04ABD" w:rsidRPr="00AC6E74">
        <w:t>.</w:t>
      </w:r>
    </w:p>
    <w:p w14:paraId="0243C764" w14:textId="03EAFE1C" w:rsidR="00E04ABD" w:rsidRPr="00AC6E74" w:rsidRDefault="00CE2A3B" w:rsidP="005C6FC9">
      <w:r w:rsidRPr="00AC6E74">
        <w:t>The f</w:t>
      </w:r>
      <w:r w:rsidR="00E04ABD" w:rsidRPr="00AC6E74">
        <w:t>inal efficacy analysis was based on updated efficacy data with cut</w:t>
      </w:r>
      <w:r w:rsidRPr="00AC6E74">
        <w:t>-</w:t>
      </w:r>
      <w:r w:rsidR="00E04ABD" w:rsidRPr="00AC6E74">
        <w:t xml:space="preserve">off date of </w:t>
      </w:r>
      <w:r w:rsidRPr="00AC6E74">
        <w:t>1 </w:t>
      </w:r>
      <w:r w:rsidR="00E04ABD" w:rsidRPr="00AC6E74">
        <w:t>September</w:t>
      </w:r>
      <w:r w:rsidRPr="00AC6E74">
        <w:t> </w:t>
      </w:r>
      <w:r w:rsidR="00E04ABD" w:rsidRPr="00AC6E74">
        <w:t xml:space="preserve">2020; duration of response was followed until </w:t>
      </w:r>
      <w:r w:rsidRPr="00AC6E74">
        <w:t>1 </w:t>
      </w:r>
      <w:r w:rsidR="00E04ABD" w:rsidRPr="00AC6E74">
        <w:t>December</w:t>
      </w:r>
      <w:r w:rsidRPr="00AC6E74">
        <w:t> </w:t>
      </w:r>
      <w:r w:rsidR="00E04ABD" w:rsidRPr="00AC6E74">
        <w:t>2020.</w:t>
      </w:r>
    </w:p>
    <w:p w14:paraId="57CCDFBD" w14:textId="67DDE8E9" w:rsidR="00E04ABD" w:rsidRPr="00AC6E74" w:rsidRDefault="00E04ABD" w:rsidP="005C6FC9">
      <w:pPr>
        <w:pStyle w:val="Heading6"/>
      </w:pPr>
      <w:r w:rsidRPr="00AC6E74">
        <w:t xml:space="preserve">Statistical analysis plan </w:t>
      </w:r>
      <w:r w:rsidR="00CE2A3B" w:rsidRPr="00AC6E74">
        <w:t xml:space="preserve">and </w:t>
      </w:r>
      <w:r w:rsidRPr="00AC6E74">
        <w:t>protocol amendments</w:t>
      </w:r>
    </w:p>
    <w:p w14:paraId="69B02A67" w14:textId="4AD9ABD7" w:rsidR="00E04ABD" w:rsidRPr="00AC6E74" w:rsidRDefault="00CE2A3B" w:rsidP="005C6FC9">
      <w:r w:rsidRPr="00AC6E74">
        <w:t xml:space="preserve">The sponsor submitted </w:t>
      </w:r>
      <w:r w:rsidR="00A326AA">
        <w:t xml:space="preserve">the </w:t>
      </w:r>
      <w:r w:rsidRPr="00AC6E74">
        <w:t>s</w:t>
      </w:r>
      <w:r w:rsidR="00E04ABD" w:rsidRPr="00AC6E74">
        <w:t>tatistical analysis plan (and amendments), and protocol amendments for Study</w:t>
      </w:r>
      <w:r w:rsidRPr="00AC6E74">
        <w:t> </w:t>
      </w:r>
      <w:r w:rsidR="00E04ABD" w:rsidRPr="00AC6E74">
        <w:t>20170543.</w:t>
      </w:r>
      <w:r w:rsidR="002A2318" w:rsidRPr="00AC6E74">
        <w:t xml:space="preserve"> </w:t>
      </w:r>
      <w:r w:rsidR="00E04ABD" w:rsidRPr="00AC6E74">
        <w:t xml:space="preserve">The primary efficacy endpoint is </w:t>
      </w:r>
      <w:r w:rsidR="007F4EEA" w:rsidRPr="00AC6E74">
        <w:t>objective response rate</w:t>
      </w:r>
      <w:r w:rsidR="00E04ABD" w:rsidRPr="00AC6E74">
        <w:t xml:space="preserve"> as assessed by </w:t>
      </w:r>
      <w:r w:rsidR="00A4069E" w:rsidRPr="00AC6E74">
        <w:t>blinded independent central review</w:t>
      </w:r>
      <w:r w:rsidR="00E04ABD" w:rsidRPr="00AC6E74">
        <w:t xml:space="preserve"> per RECIST </w:t>
      </w:r>
      <w:r w:rsidR="00B00281" w:rsidRPr="00AC6E74">
        <w:t xml:space="preserve">version </w:t>
      </w:r>
      <w:r w:rsidR="00E04ABD" w:rsidRPr="00AC6E74">
        <w:t>1.1.</w:t>
      </w:r>
      <w:r w:rsidR="002A2318" w:rsidRPr="00AC6E74">
        <w:t xml:space="preserve"> </w:t>
      </w:r>
      <w:r w:rsidR="00E04ABD" w:rsidRPr="00AC6E74">
        <w:t xml:space="preserve">A sample size of 105 subjects for NSCLC would provide approximately 90% probability that the lower limit of the </w:t>
      </w:r>
      <w:r w:rsidR="007F4EEA" w:rsidRPr="00AC6E74">
        <w:t>objective response rate</w:t>
      </w:r>
      <w:r w:rsidR="00E04ABD" w:rsidRPr="00AC6E74">
        <w:t xml:space="preserve"> 95% </w:t>
      </w:r>
      <w:r w:rsidR="00987863" w:rsidRPr="00AC6E74">
        <w:t>confidence interval (</w:t>
      </w:r>
      <w:r w:rsidR="00E04ABD" w:rsidRPr="00AC6E74">
        <w:t>CI</w:t>
      </w:r>
      <w:r w:rsidR="00987863" w:rsidRPr="00AC6E74">
        <w:t>)</w:t>
      </w:r>
      <w:r w:rsidR="00E04ABD" w:rsidRPr="00AC6E74">
        <w:t xml:space="preserve"> exceeds the pre</w:t>
      </w:r>
      <w:r w:rsidRPr="00AC6E74">
        <w:noBreakHyphen/>
      </w:r>
      <w:r w:rsidR="00E04ABD" w:rsidRPr="00AC6E74">
        <w:t xml:space="preserve">specified tumour specific benchmark </w:t>
      </w:r>
      <w:r w:rsidR="007F4EEA" w:rsidRPr="00AC6E74">
        <w:t>objective response rate</w:t>
      </w:r>
      <w:r w:rsidR="00E04ABD" w:rsidRPr="00AC6E74">
        <w:t xml:space="preserve"> of 23%.</w:t>
      </w:r>
      <w:r w:rsidR="002A2318" w:rsidRPr="00AC6E74">
        <w:t xml:space="preserve"> </w:t>
      </w:r>
      <w:r w:rsidR="00E04ABD" w:rsidRPr="00AC6E74">
        <w:t xml:space="preserve">The minimal observed </w:t>
      </w:r>
      <w:r w:rsidR="007F4EEA" w:rsidRPr="00AC6E74">
        <w:t>objective response rate</w:t>
      </w:r>
      <w:r w:rsidR="00E04ABD" w:rsidRPr="00AC6E74">
        <w:t xml:space="preserve"> that would exclude the benchmark </w:t>
      </w:r>
      <w:r w:rsidR="007F4EEA" w:rsidRPr="00AC6E74">
        <w:t>objective response rate</w:t>
      </w:r>
      <w:r w:rsidR="00E04ABD" w:rsidRPr="00AC6E74">
        <w:t xml:space="preserve"> from the 95% CI with this sample size is 32%.</w:t>
      </w:r>
      <w:r w:rsidR="002A2318" w:rsidRPr="00AC6E74">
        <w:t xml:space="preserve"> </w:t>
      </w:r>
      <w:r w:rsidR="00E04ABD" w:rsidRPr="00AC6E74">
        <w:t xml:space="preserve">The key secondary endpoint is </w:t>
      </w:r>
      <w:r w:rsidR="000C30B5" w:rsidRPr="00AC6E74">
        <w:t>duration of response</w:t>
      </w:r>
      <w:r w:rsidR="00E04ABD" w:rsidRPr="00AC6E74">
        <w:t xml:space="preserve"> which is summarised with descriptive statistics.</w:t>
      </w:r>
    </w:p>
    <w:p w14:paraId="0A0737D0" w14:textId="77777777" w:rsidR="00E04ABD" w:rsidRPr="00AC6E74" w:rsidRDefault="00E04ABD" w:rsidP="005C6FC9">
      <w:pPr>
        <w:pStyle w:val="Heading6"/>
      </w:pPr>
      <w:r w:rsidRPr="00AC6E74">
        <w:lastRenderedPageBreak/>
        <w:t>Study results</w:t>
      </w:r>
    </w:p>
    <w:p w14:paraId="51F4DB50" w14:textId="4C5FEED1" w:rsidR="00E04ABD" w:rsidRPr="00AC6E74" w:rsidRDefault="00987863" w:rsidP="005C6FC9">
      <w:pPr>
        <w:pStyle w:val="Heading7"/>
        <w:rPr>
          <w:sz w:val="22"/>
          <w:szCs w:val="28"/>
        </w:rPr>
      </w:pPr>
      <w:r w:rsidRPr="00AC6E74">
        <w:rPr>
          <w:sz w:val="22"/>
          <w:szCs w:val="28"/>
        </w:rPr>
        <w:t>Good Clinical Practice</w:t>
      </w:r>
    </w:p>
    <w:p w14:paraId="398E611B" w14:textId="5659ACFE" w:rsidR="00E04ABD" w:rsidRPr="00AC6E74" w:rsidRDefault="00E04ABD" w:rsidP="005C6FC9">
      <w:r w:rsidRPr="00AC6E74">
        <w:t xml:space="preserve">The </w:t>
      </w:r>
      <w:r w:rsidR="00CE2A3B" w:rsidRPr="00AC6E74">
        <w:t>sponsor</w:t>
      </w:r>
      <w:r w:rsidRPr="00AC6E74">
        <w:t xml:space="preserve">’s compliance with </w:t>
      </w:r>
      <w:r w:rsidR="00987863" w:rsidRPr="00AC6E74">
        <w:t>Good Clinical Practice;</w:t>
      </w:r>
      <w:r w:rsidR="00987863" w:rsidRPr="00AC6E74">
        <w:rPr>
          <w:rStyle w:val="FootnoteReference"/>
        </w:rPr>
        <w:footnoteReference w:id="13"/>
      </w:r>
      <w:r w:rsidRPr="00AC6E74">
        <w:t xml:space="preserve"> is noted. The </w:t>
      </w:r>
      <w:r w:rsidR="007C77FA" w:rsidRPr="00AC6E74">
        <w:t>data cut-off</w:t>
      </w:r>
      <w:r w:rsidRPr="00AC6E74">
        <w:t xml:space="preserve"> for the efficacy data was </w:t>
      </w:r>
      <w:r w:rsidR="00CE2A3B" w:rsidRPr="00AC6E74">
        <w:t>1 </w:t>
      </w:r>
      <w:r w:rsidRPr="00AC6E74">
        <w:t>September</w:t>
      </w:r>
      <w:r w:rsidR="00CE2A3B" w:rsidRPr="00AC6E74">
        <w:t> </w:t>
      </w:r>
      <w:r w:rsidRPr="00AC6E74">
        <w:t xml:space="preserve">2020, with duration of responses followed through to </w:t>
      </w:r>
      <w:r w:rsidR="00CE2A3B" w:rsidRPr="00AC6E74">
        <w:t>1 </w:t>
      </w:r>
      <w:r w:rsidRPr="00AC6E74">
        <w:t>December</w:t>
      </w:r>
      <w:r w:rsidR="00CE2A3B" w:rsidRPr="00AC6E74">
        <w:t> </w:t>
      </w:r>
      <w:r w:rsidRPr="00AC6E74">
        <w:t>2020.</w:t>
      </w:r>
    </w:p>
    <w:p w14:paraId="209CA13F" w14:textId="0FBD9BF7" w:rsidR="00E04ABD" w:rsidRPr="00AC6E74" w:rsidRDefault="00E04ABD" w:rsidP="005C6FC9">
      <w:pPr>
        <w:pStyle w:val="Heading7"/>
        <w:rPr>
          <w:sz w:val="22"/>
          <w:szCs w:val="28"/>
        </w:rPr>
      </w:pPr>
      <w:r w:rsidRPr="00AC6E74">
        <w:rPr>
          <w:sz w:val="22"/>
          <w:szCs w:val="28"/>
        </w:rPr>
        <w:t xml:space="preserve">Subject </w:t>
      </w:r>
      <w:r w:rsidR="00CE2A3B" w:rsidRPr="00AC6E74">
        <w:rPr>
          <w:sz w:val="22"/>
          <w:szCs w:val="28"/>
        </w:rPr>
        <w:t>d</w:t>
      </w:r>
      <w:r w:rsidRPr="00AC6E74">
        <w:rPr>
          <w:sz w:val="22"/>
          <w:szCs w:val="28"/>
        </w:rPr>
        <w:t>isposition</w:t>
      </w:r>
    </w:p>
    <w:p w14:paraId="660EE67B" w14:textId="77777777" w:rsidR="00344667" w:rsidRPr="00AC6E74" w:rsidRDefault="00E04ABD" w:rsidP="005C6FC9">
      <w:r w:rsidRPr="00AC6E74">
        <w:t xml:space="preserve">The updated efficacy data set (submitted </w:t>
      </w:r>
      <w:r w:rsidR="00344667" w:rsidRPr="00AC6E74">
        <w:t>4 </w:t>
      </w:r>
      <w:r w:rsidRPr="00AC6E74">
        <w:t>February 2021) includes a total of 124</w:t>
      </w:r>
      <w:r w:rsidR="00344667" w:rsidRPr="00AC6E74">
        <w:t> </w:t>
      </w:r>
      <w:r w:rsidRPr="00AC6E74">
        <w:t>patients.</w:t>
      </w:r>
    </w:p>
    <w:p w14:paraId="33E2A423" w14:textId="0EC7C299" w:rsidR="00E04ABD" w:rsidRPr="00AC6E74" w:rsidRDefault="00E04ABD" w:rsidP="00344667">
      <w:pPr>
        <w:pStyle w:val="ListBullet"/>
      </w:pPr>
      <w:r w:rsidRPr="00AC6E74">
        <w:t>A total of 55 patients (44%) were still on study</w:t>
      </w:r>
      <w:r w:rsidR="00344667" w:rsidRPr="00AC6E74">
        <w:t>.</w:t>
      </w:r>
    </w:p>
    <w:p w14:paraId="18BF99AD" w14:textId="14E60396" w:rsidR="00E04ABD" w:rsidRPr="00AC6E74" w:rsidRDefault="00344667" w:rsidP="005C6FC9">
      <w:pPr>
        <w:pStyle w:val="ListBullet"/>
      </w:pPr>
      <w:r w:rsidRPr="00AC6E74">
        <w:t xml:space="preserve">A total of </w:t>
      </w:r>
      <w:r w:rsidR="00E04ABD" w:rsidRPr="00AC6E74">
        <w:t>69 (56%) patients had discontinued study</w:t>
      </w:r>
      <w:r w:rsidRPr="00AC6E74">
        <w:t>, of which:</w:t>
      </w:r>
    </w:p>
    <w:p w14:paraId="097735DA" w14:textId="66FA2236" w:rsidR="00E04ABD" w:rsidRPr="00AC6E74" w:rsidRDefault="00E04ABD" w:rsidP="005C6FC9">
      <w:pPr>
        <w:pStyle w:val="ListBullet2"/>
      </w:pPr>
      <w:r w:rsidRPr="00AC6E74">
        <w:t>57 (46%) died</w:t>
      </w:r>
      <w:r w:rsidR="00344667" w:rsidRPr="00AC6E74">
        <w:t>,</w:t>
      </w:r>
    </w:p>
    <w:p w14:paraId="3D59A1EB" w14:textId="6A11A5F4" w:rsidR="00E04ABD" w:rsidRPr="00AC6E74" w:rsidRDefault="00E04ABD" w:rsidP="005C6FC9">
      <w:pPr>
        <w:pStyle w:val="ListBullet2"/>
      </w:pPr>
      <w:r w:rsidRPr="00AC6E74">
        <w:t>10 (8%) withdrew consent</w:t>
      </w:r>
      <w:r w:rsidR="00344667" w:rsidRPr="00AC6E74">
        <w:t>, and</w:t>
      </w:r>
    </w:p>
    <w:p w14:paraId="32A59747" w14:textId="572445B7" w:rsidR="00E04ABD" w:rsidRPr="00AC6E74" w:rsidRDefault="00E04ABD" w:rsidP="005C6FC9">
      <w:pPr>
        <w:pStyle w:val="ListBullet2"/>
      </w:pPr>
      <w:r w:rsidRPr="00AC6E74">
        <w:t>2 (1.6%) lost to follow-up</w:t>
      </w:r>
      <w:r w:rsidR="00344667" w:rsidRPr="00AC6E74">
        <w:t>.</w:t>
      </w:r>
    </w:p>
    <w:p w14:paraId="15A94FA5" w14:textId="77777777" w:rsidR="00E04ABD" w:rsidRPr="00AC6E74" w:rsidRDefault="00E04ABD" w:rsidP="005C6FC9">
      <w:pPr>
        <w:pStyle w:val="ListBullet"/>
      </w:pPr>
      <w:r w:rsidRPr="00AC6E74">
        <w:t xml:space="preserve">A total of 94 (76%) patients had discontinued </w:t>
      </w:r>
      <w:proofErr w:type="spellStart"/>
      <w:r w:rsidRPr="00AC6E74">
        <w:t>sotorasib</w:t>
      </w:r>
      <w:proofErr w:type="spellEnd"/>
      <w:r w:rsidRPr="00AC6E74">
        <w:t>, due to:</w:t>
      </w:r>
    </w:p>
    <w:p w14:paraId="1B61200C" w14:textId="071454B5" w:rsidR="00E04ABD" w:rsidRPr="00AC6E74" w:rsidRDefault="00E04ABD" w:rsidP="005C6FC9">
      <w:pPr>
        <w:pStyle w:val="ListBullet2"/>
      </w:pPr>
      <w:r w:rsidRPr="00AC6E74">
        <w:t xml:space="preserve">disease progression (74 patients </w:t>
      </w:r>
      <w:r w:rsidR="00344667" w:rsidRPr="00AC6E74">
        <w:t>(</w:t>
      </w:r>
      <w:r w:rsidRPr="00AC6E74">
        <w:t>60%</w:t>
      </w:r>
      <w:r w:rsidR="00344667" w:rsidRPr="00AC6E74">
        <w:t>)</w:t>
      </w:r>
      <w:r w:rsidRPr="00AC6E74">
        <w:t>)</w:t>
      </w:r>
    </w:p>
    <w:p w14:paraId="78171B30" w14:textId="206BB201" w:rsidR="00E04ABD" w:rsidRPr="00AC6E74" w:rsidRDefault="00E04ABD" w:rsidP="005C6FC9">
      <w:pPr>
        <w:pStyle w:val="ListBullet2"/>
      </w:pPr>
      <w:r w:rsidRPr="00AC6E74">
        <w:t xml:space="preserve">adverse event (11 patients </w:t>
      </w:r>
      <w:r w:rsidR="00344667" w:rsidRPr="00AC6E74">
        <w:t>(</w:t>
      </w:r>
      <w:r w:rsidRPr="00AC6E74">
        <w:t>9%</w:t>
      </w:r>
      <w:r w:rsidR="00344667" w:rsidRPr="00AC6E74">
        <w:t>)</w:t>
      </w:r>
      <w:r w:rsidRPr="00AC6E74">
        <w:t>)</w:t>
      </w:r>
    </w:p>
    <w:p w14:paraId="297AEE6F" w14:textId="1BBBE424" w:rsidR="00E04ABD" w:rsidRPr="00AC6E74" w:rsidRDefault="00E04ABD" w:rsidP="005C6FC9">
      <w:pPr>
        <w:pStyle w:val="ListBullet2"/>
      </w:pPr>
      <w:r w:rsidRPr="00AC6E74">
        <w:t xml:space="preserve">patient request (5 patients </w:t>
      </w:r>
      <w:r w:rsidR="00344667" w:rsidRPr="00AC6E74">
        <w:t>(</w:t>
      </w:r>
      <w:r w:rsidRPr="00AC6E74">
        <w:t>4.0%</w:t>
      </w:r>
      <w:r w:rsidR="00344667" w:rsidRPr="00AC6E74">
        <w:t>)</w:t>
      </w:r>
      <w:r w:rsidRPr="00AC6E74">
        <w:t>)</w:t>
      </w:r>
    </w:p>
    <w:p w14:paraId="6C19E4AC" w14:textId="3E9CA187" w:rsidR="00E04ABD" w:rsidRPr="00AC6E74" w:rsidRDefault="00E04ABD" w:rsidP="005C6FC9">
      <w:pPr>
        <w:pStyle w:val="ListBullet2"/>
      </w:pPr>
      <w:r w:rsidRPr="00AC6E74">
        <w:t xml:space="preserve">death (2 patients </w:t>
      </w:r>
      <w:r w:rsidR="00344667" w:rsidRPr="00AC6E74">
        <w:t>(</w:t>
      </w:r>
      <w:r w:rsidRPr="00AC6E74">
        <w:t>1.6%</w:t>
      </w:r>
      <w:r w:rsidR="00344667" w:rsidRPr="00AC6E74">
        <w:t>)</w:t>
      </w:r>
      <w:r w:rsidRPr="00AC6E74">
        <w:t>)</w:t>
      </w:r>
    </w:p>
    <w:p w14:paraId="38669E36" w14:textId="00175E5F" w:rsidR="00E04ABD" w:rsidRPr="00AC6E74" w:rsidRDefault="00E04ABD" w:rsidP="005C6FC9">
      <w:pPr>
        <w:pStyle w:val="ListBullet2"/>
      </w:pPr>
      <w:r w:rsidRPr="00AC6E74">
        <w:t>non-compliance (</w:t>
      </w:r>
      <w:r w:rsidR="003D610A" w:rsidRPr="00AC6E74">
        <w:t>one</w:t>
      </w:r>
      <w:r w:rsidRPr="00AC6E74">
        <w:t xml:space="preserve"> patient </w:t>
      </w:r>
      <w:r w:rsidR="00344667" w:rsidRPr="00AC6E74">
        <w:t>(</w:t>
      </w:r>
      <w:r w:rsidRPr="00AC6E74">
        <w:t>0.8%</w:t>
      </w:r>
      <w:r w:rsidR="00344667" w:rsidRPr="00AC6E74">
        <w:t>)</w:t>
      </w:r>
      <w:r w:rsidRPr="00AC6E74">
        <w:t>)</w:t>
      </w:r>
    </w:p>
    <w:p w14:paraId="53D03DAE" w14:textId="08C6ADD8" w:rsidR="00E04ABD" w:rsidRPr="00AC6E74" w:rsidRDefault="00E04ABD" w:rsidP="005C6FC9">
      <w:pPr>
        <w:pStyle w:val="ListBullet2"/>
      </w:pPr>
      <w:r w:rsidRPr="00AC6E74">
        <w:t>requirement for alternative therapy (</w:t>
      </w:r>
      <w:r w:rsidR="003D610A" w:rsidRPr="00AC6E74">
        <w:t>one</w:t>
      </w:r>
      <w:r w:rsidRPr="00AC6E74">
        <w:t xml:space="preserve"> patient </w:t>
      </w:r>
      <w:r w:rsidR="00344667" w:rsidRPr="00AC6E74">
        <w:t>(</w:t>
      </w:r>
      <w:r w:rsidRPr="00AC6E74">
        <w:t>0.8%</w:t>
      </w:r>
      <w:r w:rsidR="00344667" w:rsidRPr="00AC6E74">
        <w:t>)</w:t>
      </w:r>
      <w:r w:rsidRPr="00AC6E74">
        <w:t>)</w:t>
      </w:r>
    </w:p>
    <w:p w14:paraId="76DB21A9" w14:textId="108BF07A" w:rsidR="00E04ABD" w:rsidRPr="00AC6E74" w:rsidRDefault="00E04ABD" w:rsidP="005C6FC9">
      <w:r w:rsidRPr="00AC6E74">
        <w:t xml:space="preserve">The </w:t>
      </w:r>
      <w:r w:rsidR="000C30B5" w:rsidRPr="00AC6E74">
        <w:t>Phase I</w:t>
      </w:r>
      <w:r w:rsidRPr="00AC6E74">
        <w:t xml:space="preserve"> full analysis set for NSCLC 96</w:t>
      </w:r>
      <w:r w:rsidR="000348AE" w:rsidRPr="00AC6E74">
        <w:t>0 mg</w:t>
      </w:r>
      <w:r w:rsidRPr="00AC6E74">
        <w:t xml:space="preserve"> daily </w:t>
      </w:r>
      <w:proofErr w:type="spellStart"/>
      <w:r w:rsidRPr="00AC6E74">
        <w:t>sotorasib</w:t>
      </w:r>
      <w:proofErr w:type="spellEnd"/>
      <w:r w:rsidRPr="00AC6E74">
        <w:t xml:space="preserve"> monotherapy (fasted) cohort comprised 34 subjects and was used for analyses.</w:t>
      </w:r>
    </w:p>
    <w:p w14:paraId="60759335" w14:textId="46F4FB06" w:rsidR="00E04ABD" w:rsidRPr="00AC6E74" w:rsidRDefault="00E04ABD" w:rsidP="005C6FC9">
      <w:pPr>
        <w:pStyle w:val="Heading7"/>
        <w:rPr>
          <w:sz w:val="22"/>
          <w:szCs w:val="28"/>
        </w:rPr>
      </w:pPr>
      <w:r w:rsidRPr="00AC6E74">
        <w:rPr>
          <w:sz w:val="22"/>
          <w:szCs w:val="28"/>
        </w:rPr>
        <w:t xml:space="preserve">Protocol </w:t>
      </w:r>
      <w:r w:rsidRPr="00A326AA">
        <w:rPr>
          <w:sz w:val="22"/>
          <w:szCs w:val="28"/>
        </w:rPr>
        <w:t>violations</w:t>
      </w:r>
      <w:r w:rsidR="003D610A" w:rsidRPr="00AC6E74">
        <w:rPr>
          <w:sz w:val="22"/>
          <w:szCs w:val="28"/>
        </w:rPr>
        <w:t xml:space="preserve"> and </w:t>
      </w:r>
      <w:r w:rsidRPr="00AC6E74">
        <w:rPr>
          <w:sz w:val="22"/>
          <w:szCs w:val="28"/>
        </w:rPr>
        <w:t>deviations</w:t>
      </w:r>
    </w:p>
    <w:p w14:paraId="0E63524A" w14:textId="4836D052" w:rsidR="003D610A" w:rsidRPr="00AC6E74" w:rsidRDefault="00E04ABD" w:rsidP="005C6FC9">
      <w:r w:rsidRPr="00AC6E74">
        <w:t xml:space="preserve">In Study 20170543 </w:t>
      </w:r>
      <w:r w:rsidR="000C30B5" w:rsidRPr="00AC6E74">
        <w:t>Phase II</w:t>
      </w:r>
      <w:r w:rsidRPr="00AC6E74">
        <w:t xml:space="preserve">, </w:t>
      </w:r>
      <w:r w:rsidR="00A326AA">
        <w:t xml:space="preserve">in </w:t>
      </w:r>
      <w:r w:rsidRPr="00AC6E74">
        <w:t>NSCLC,</w:t>
      </w:r>
      <w:r w:rsidR="002A2318" w:rsidRPr="00AC6E74">
        <w:t xml:space="preserve"> </w:t>
      </w:r>
      <w:r w:rsidRPr="00AC6E74">
        <w:t xml:space="preserve">51 patients (41%) had </w:t>
      </w:r>
      <w:r w:rsidR="003D610A" w:rsidRPr="00AC6E74">
        <w:t>one or more</w:t>
      </w:r>
      <w:r w:rsidRPr="00AC6E74">
        <w:t xml:space="preserve"> important protocol deviation (total of 89 important protocol deviations overall)</w:t>
      </w:r>
      <w:r w:rsidR="003D610A" w:rsidRPr="00AC6E74">
        <w:t xml:space="preserve">, as outlined in </w:t>
      </w:r>
      <w:r w:rsidR="003D610A" w:rsidRPr="00AC6E74">
        <w:fldChar w:fldCharType="begin"/>
      </w:r>
      <w:r w:rsidR="003D610A" w:rsidRPr="00AC6E74">
        <w:instrText xml:space="preserve"> REF _Ref129868863 \h </w:instrText>
      </w:r>
      <w:r w:rsidR="00987863" w:rsidRPr="00AC6E74">
        <w:instrText xml:space="preserve"> \* MERGEFORMAT </w:instrText>
      </w:r>
      <w:r w:rsidR="003D610A" w:rsidRPr="00AC6E74">
        <w:fldChar w:fldCharType="separate"/>
      </w:r>
      <w:r w:rsidR="009B21DC" w:rsidRPr="00AC6E74">
        <w:t xml:space="preserve">Table </w:t>
      </w:r>
      <w:r w:rsidR="009B21DC">
        <w:rPr>
          <w:noProof/>
        </w:rPr>
        <w:t>7</w:t>
      </w:r>
      <w:r w:rsidR="003D610A" w:rsidRPr="00AC6E74">
        <w:fldChar w:fldCharType="end"/>
      </w:r>
      <w:r w:rsidR="003D610A" w:rsidRPr="00AC6E74">
        <w:t xml:space="preserve"> below. The protocol deviations observed for Study 20170543 are unlikely to impact on the efficacy results or interpretation of the observed safety profile of </w:t>
      </w:r>
      <w:proofErr w:type="spellStart"/>
      <w:r w:rsidR="003D610A" w:rsidRPr="00AC6E74">
        <w:t>sotorasib</w:t>
      </w:r>
      <w:proofErr w:type="spellEnd"/>
      <w:r w:rsidR="003D610A" w:rsidRPr="00AC6E74">
        <w:t>.</w:t>
      </w:r>
    </w:p>
    <w:p w14:paraId="315A319C" w14:textId="395BD93A" w:rsidR="003D610A" w:rsidRPr="00AC6E74" w:rsidRDefault="003D610A" w:rsidP="00943251">
      <w:pPr>
        <w:pStyle w:val="TableTitle"/>
      </w:pPr>
      <w:bookmarkStart w:id="66" w:name="_Ref129868863"/>
      <w:r w:rsidRPr="00AC6E74">
        <w:lastRenderedPageBreak/>
        <w:t xml:space="preserve">Table </w:t>
      </w:r>
      <w:fldSimple w:instr=" SEQ Table \* ARABIC ">
        <w:r w:rsidR="009B21DC">
          <w:rPr>
            <w:noProof/>
          </w:rPr>
          <w:t>7</w:t>
        </w:r>
      </w:fldSimple>
      <w:bookmarkEnd w:id="66"/>
      <w:r w:rsidRPr="00AC6E74">
        <w:t xml:space="preserve">: </w:t>
      </w:r>
      <w:r w:rsidR="00633755" w:rsidRPr="00AC6E74">
        <w:t xml:space="preserve">Study 20170543 (CODEBREAK 100 trial) </w:t>
      </w:r>
      <w:r w:rsidRPr="00AC6E74">
        <w:t xml:space="preserve">Important </w:t>
      </w:r>
      <w:r w:rsidR="00633755" w:rsidRPr="00AC6E74">
        <w:t>protocol deviations amongst patients enrolled in the dose expansion portion of the study</w:t>
      </w:r>
    </w:p>
    <w:p w14:paraId="4A2BFD4E" w14:textId="500CF758" w:rsidR="00C73278" w:rsidRPr="00AC6E74" w:rsidRDefault="00C73278" w:rsidP="00C73278">
      <w:r w:rsidRPr="00AC6E74">
        <w:rPr>
          <w:noProof/>
          <w:lang w:val="en-GB" w:eastAsia="en-GB"/>
        </w:rPr>
        <w:drawing>
          <wp:inline distT="0" distB="0" distL="0" distR="0" wp14:anchorId="1C79D3B9" wp14:editId="3811EB4E">
            <wp:extent cx="5400040" cy="4969510"/>
            <wp:effectExtent l="19050" t="19050" r="10160" b="21590"/>
            <wp:docPr id="3" name="Picture 3" descr="Table 7: Study 20170543 (CODEBREAK 100 trial) Important protocol deviations amongst patients enrolled in the dose expansion portion of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7: Study 20170543 (CODEBREAK 100 trial) Important protocol deviations amongst patients enrolled in the dose expansion portion of the study"/>
                    <pic:cNvPicPr/>
                  </pic:nvPicPr>
                  <pic:blipFill>
                    <a:blip r:embed="rId31"/>
                    <a:stretch>
                      <a:fillRect/>
                    </a:stretch>
                  </pic:blipFill>
                  <pic:spPr>
                    <a:xfrm>
                      <a:off x="0" y="0"/>
                      <a:ext cx="5400040" cy="4969510"/>
                    </a:xfrm>
                    <a:prstGeom prst="rect">
                      <a:avLst/>
                    </a:prstGeom>
                    <a:ln w="9525">
                      <a:solidFill>
                        <a:schemeClr val="tx1"/>
                      </a:solidFill>
                    </a:ln>
                  </pic:spPr>
                </pic:pic>
              </a:graphicData>
            </a:graphic>
          </wp:inline>
        </w:drawing>
      </w:r>
    </w:p>
    <w:p w14:paraId="2C4FF805" w14:textId="7FB83528" w:rsidR="00A84034" w:rsidRPr="00AC6E74" w:rsidRDefault="00A84034" w:rsidP="00C73278">
      <w:pPr>
        <w:pStyle w:val="TableDescription"/>
      </w:pPr>
      <w:r w:rsidRPr="00AC6E74">
        <w:t xml:space="preserve">Abbreviation: </w:t>
      </w:r>
      <w:r w:rsidR="00C73278" w:rsidRPr="00AC6E74">
        <w:t xml:space="preserve">N = </w:t>
      </w:r>
      <w:r w:rsidR="0049641B" w:rsidRPr="00AC6E74">
        <w:t xml:space="preserve">total </w:t>
      </w:r>
      <w:r w:rsidR="00C73278" w:rsidRPr="00AC6E74">
        <w:t>number of subjects; number of subjects in subgroup.</w:t>
      </w:r>
    </w:p>
    <w:p w14:paraId="1999E5A4" w14:textId="074BCD99" w:rsidR="003D610A" w:rsidRPr="00AC6E74" w:rsidRDefault="003D610A" w:rsidP="00C73278">
      <w:pPr>
        <w:pStyle w:val="TableDescription"/>
      </w:pPr>
      <w:r w:rsidRPr="00AC6E74">
        <w:t>Source: data extracted from the United States Food and Drug Administration Multi-Discipline Review and Evaluation for Lumakras (</w:t>
      </w:r>
      <w:proofErr w:type="spellStart"/>
      <w:r w:rsidRPr="00AC6E74">
        <w:t>sotorasib</w:t>
      </w:r>
      <w:proofErr w:type="spellEnd"/>
      <w:r w:rsidRPr="00AC6E74">
        <w:t>).</w:t>
      </w:r>
      <w:r w:rsidRPr="00AC6E74">
        <w:rPr>
          <w:vertAlign w:val="superscript"/>
        </w:rPr>
        <w:fldChar w:fldCharType="begin"/>
      </w:r>
      <w:r w:rsidRPr="00AC6E74">
        <w:rPr>
          <w:vertAlign w:val="superscript"/>
        </w:rPr>
        <w:instrText xml:space="preserve"> NOTEREF _Ref129869188 \h  \* MERGEFORMAT </w:instrText>
      </w:r>
      <w:r w:rsidRPr="00AC6E74">
        <w:rPr>
          <w:vertAlign w:val="superscript"/>
        </w:rPr>
      </w:r>
      <w:r w:rsidRPr="00AC6E74">
        <w:rPr>
          <w:vertAlign w:val="superscript"/>
        </w:rPr>
        <w:fldChar w:fldCharType="separate"/>
      </w:r>
      <w:r w:rsidR="009B21DC">
        <w:rPr>
          <w:vertAlign w:val="superscript"/>
        </w:rPr>
        <w:t>9</w:t>
      </w:r>
      <w:r w:rsidRPr="00AC6E74">
        <w:rPr>
          <w:vertAlign w:val="superscript"/>
        </w:rPr>
        <w:fldChar w:fldCharType="end"/>
      </w:r>
    </w:p>
    <w:p w14:paraId="2614EED4" w14:textId="25D70986" w:rsidR="00E04ABD" w:rsidRPr="00AC6E74" w:rsidRDefault="00E04ABD" w:rsidP="005C6FC9">
      <w:pPr>
        <w:pStyle w:val="Heading7"/>
        <w:rPr>
          <w:sz w:val="22"/>
          <w:szCs w:val="28"/>
        </w:rPr>
      </w:pPr>
      <w:r w:rsidRPr="00AC6E74">
        <w:rPr>
          <w:sz w:val="22"/>
          <w:szCs w:val="28"/>
        </w:rPr>
        <w:t xml:space="preserve">Baseline </w:t>
      </w:r>
      <w:r w:rsidR="003D610A" w:rsidRPr="00AC6E74">
        <w:rPr>
          <w:sz w:val="22"/>
          <w:szCs w:val="28"/>
        </w:rPr>
        <w:t>demographics, disease characteristics and concomitant drugs</w:t>
      </w:r>
    </w:p>
    <w:p w14:paraId="0C1AF58A" w14:textId="2AFC6ADA" w:rsidR="00E04ABD" w:rsidRPr="00AC6E74" w:rsidRDefault="00E04ABD" w:rsidP="005C6FC9">
      <w:r w:rsidRPr="00AC6E74">
        <w:t xml:space="preserve">The baseline demographic and disease characteristics as analysed by the evaluator using the primary efficacy population of 124 patients, are summarised in </w:t>
      </w:r>
      <w:r w:rsidR="003D610A" w:rsidRPr="00AC6E74">
        <w:fldChar w:fldCharType="begin"/>
      </w:r>
      <w:r w:rsidR="003D610A" w:rsidRPr="00AC6E74">
        <w:instrText xml:space="preserve"> REF _Ref129869133 \h </w:instrText>
      </w:r>
      <w:r w:rsidR="00987863" w:rsidRPr="00AC6E74">
        <w:instrText xml:space="preserve"> \* MERGEFORMAT </w:instrText>
      </w:r>
      <w:r w:rsidR="003D610A" w:rsidRPr="00AC6E74">
        <w:fldChar w:fldCharType="separate"/>
      </w:r>
      <w:r w:rsidR="009B21DC" w:rsidRPr="00AC6E74">
        <w:t xml:space="preserve">Table </w:t>
      </w:r>
      <w:r w:rsidR="009B21DC">
        <w:rPr>
          <w:noProof/>
        </w:rPr>
        <w:t>8</w:t>
      </w:r>
      <w:r w:rsidR="003D610A" w:rsidRPr="00AC6E74">
        <w:fldChar w:fldCharType="end"/>
      </w:r>
      <w:r w:rsidR="003D610A" w:rsidRPr="00AC6E74">
        <w:t xml:space="preserve"> below.</w:t>
      </w:r>
    </w:p>
    <w:p w14:paraId="6443DE3C" w14:textId="797748D6" w:rsidR="003D610A" w:rsidRPr="00AC6E74" w:rsidRDefault="003D610A" w:rsidP="00A84034">
      <w:pPr>
        <w:pStyle w:val="TableTitle"/>
      </w:pPr>
      <w:bookmarkStart w:id="67" w:name="_Ref129869133"/>
      <w:r w:rsidRPr="00AC6E74">
        <w:lastRenderedPageBreak/>
        <w:t xml:space="preserve">Table </w:t>
      </w:r>
      <w:fldSimple w:instr=" SEQ Table \* ARABIC ">
        <w:r w:rsidR="009B21DC">
          <w:rPr>
            <w:noProof/>
          </w:rPr>
          <w:t>8</w:t>
        </w:r>
      </w:fldSimple>
      <w:bookmarkEnd w:id="67"/>
      <w:r w:rsidRPr="00AC6E74">
        <w:t xml:space="preserve">: </w:t>
      </w:r>
      <w:r w:rsidR="00633755" w:rsidRPr="00AC6E74">
        <w:t xml:space="preserve">Study 20170543 (CODEBREAK 100 trial) </w:t>
      </w:r>
      <w:r w:rsidRPr="00AC6E74">
        <w:t>Baseline demographic and disease characteristics</w:t>
      </w:r>
    </w:p>
    <w:p w14:paraId="50A1F698" w14:textId="65EB1013" w:rsidR="00A84034" w:rsidRPr="00AC6E74" w:rsidRDefault="003D610A" w:rsidP="005C6FC9">
      <w:r w:rsidRPr="00AC6E74">
        <w:rPr>
          <w:noProof/>
          <w:lang w:val="en-GB" w:eastAsia="en-GB"/>
        </w:rPr>
        <w:drawing>
          <wp:inline distT="0" distB="0" distL="0" distR="0" wp14:anchorId="4EC86607" wp14:editId="35568661">
            <wp:extent cx="5400040" cy="6761480"/>
            <wp:effectExtent l="0" t="0" r="0" b="1270"/>
            <wp:docPr id="34" name="Picture 34" descr="Table 8: Study 20170543 (CODEBREAK 100 trial) Baseline demographic and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8: Study 20170543 (CODEBREAK 100 trial) Baseline demographic and disease characteristics"/>
                    <pic:cNvPicPr/>
                  </pic:nvPicPr>
                  <pic:blipFill>
                    <a:blip r:embed="rId32"/>
                    <a:stretch>
                      <a:fillRect/>
                    </a:stretch>
                  </pic:blipFill>
                  <pic:spPr>
                    <a:xfrm>
                      <a:off x="0" y="0"/>
                      <a:ext cx="5400040" cy="6761480"/>
                    </a:xfrm>
                    <a:prstGeom prst="rect">
                      <a:avLst/>
                    </a:prstGeom>
                  </pic:spPr>
                </pic:pic>
              </a:graphicData>
            </a:graphic>
          </wp:inline>
        </w:drawing>
      </w:r>
      <w:r w:rsidR="00A84034" w:rsidRPr="00AC6E74">
        <w:br w:type="page"/>
      </w:r>
    </w:p>
    <w:p w14:paraId="05D4A4B0" w14:textId="0F367E77" w:rsidR="003D610A" w:rsidRPr="00AC6E74" w:rsidRDefault="00A84034" w:rsidP="00A84034">
      <w:pPr>
        <w:pStyle w:val="TableTitle"/>
      </w:pPr>
      <w:r w:rsidRPr="00AC6E74">
        <w:lastRenderedPageBreak/>
        <w:fldChar w:fldCharType="begin"/>
      </w:r>
      <w:r w:rsidRPr="00AC6E74">
        <w:instrText xml:space="preserve"> REF _Ref129869133 \h  \* MERGEFORMAT </w:instrText>
      </w:r>
      <w:r w:rsidRPr="00AC6E74">
        <w:fldChar w:fldCharType="separate"/>
      </w:r>
      <w:r w:rsidR="009B21DC" w:rsidRPr="00AC6E74">
        <w:t xml:space="preserve">Table </w:t>
      </w:r>
      <w:r w:rsidR="009B21DC">
        <w:t>8</w:t>
      </w:r>
      <w:r w:rsidRPr="00AC6E74">
        <w:fldChar w:fldCharType="end"/>
      </w:r>
      <w:r w:rsidRPr="00AC6E74">
        <w:t xml:space="preserve"> </w:t>
      </w:r>
      <w:r w:rsidR="00A326AA">
        <w:t>(</w:t>
      </w:r>
      <w:r w:rsidRPr="00AC6E74">
        <w:t>continued</w:t>
      </w:r>
      <w:r w:rsidR="00A326AA">
        <w:t>)</w:t>
      </w:r>
      <w:r w:rsidRPr="00AC6E74">
        <w:t xml:space="preserve">: </w:t>
      </w:r>
      <w:r w:rsidR="00633755" w:rsidRPr="00AC6E74">
        <w:t xml:space="preserve">Study 20170543 (CODEBREAK 100 trial) </w:t>
      </w:r>
      <w:r w:rsidRPr="00AC6E74">
        <w:t>Baseline demographic and disease characteristics</w:t>
      </w:r>
    </w:p>
    <w:p w14:paraId="1E5EA010" w14:textId="29511862" w:rsidR="003D610A" w:rsidRPr="00AC6E74" w:rsidRDefault="00647199" w:rsidP="00647199">
      <w:r w:rsidRPr="00AC6E74">
        <w:rPr>
          <w:noProof/>
          <w:lang w:val="en-GB" w:eastAsia="en-GB"/>
        </w:rPr>
        <w:drawing>
          <wp:inline distT="0" distB="0" distL="0" distR="0" wp14:anchorId="25C7A772" wp14:editId="4BF7C2F1">
            <wp:extent cx="5400040" cy="4011295"/>
            <wp:effectExtent l="0" t="0" r="0" b="8255"/>
            <wp:docPr id="8" name="Picture 8" descr="Table 8 (continued): Study 20170543 (CODEBREAK 100 trial) Baseline demographic and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8 (continued): Study 20170543 (CODEBREAK 100 trial) Baseline demographic and disease characteristics"/>
                    <pic:cNvPicPr/>
                  </pic:nvPicPr>
                  <pic:blipFill>
                    <a:blip r:embed="rId33"/>
                    <a:stretch>
                      <a:fillRect/>
                    </a:stretch>
                  </pic:blipFill>
                  <pic:spPr>
                    <a:xfrm>
                      <a:off x="0" y="0"/>
                      <a:ext cx="5400040" cy="4011295"/>
                    </a:xfrm>
                    <a:prstGeom prst="rect">
                      <a:avLst/>
                    </a:prstGeom>
                  </pic:spPr>
                </pic:pic>
              </a:graphicData>
            </a:graphic>
          </wp:inline>
        </w:drawing>
      </w:r>
    </w:p>
    <w:p w14:paraId="1E3DB04B" w14:textId="16858F90" w:rsidR="00647199" w:rsidRPr="00AC6E74" w:rsidRDefault="00A84034" w:rsidP="00647199">
      <w:pPr>
        <w:pStyle w:val="TableDescription"/>
      </w:pPr>
      <w:r w:rsidRPr="00AC6E74">
        <w:t xml:space="preserve">Abbreviations: </w:t>
      </w:r>
      <w:r w:rsidR="00647199" w:rsidRPr="00AC6E74">
        <w:t xml:space="preserve">ECOG = Eastern Cooperative Oncology Group; N = total number of subjects; </w:t>
      </w:r>
      <w:r w:rsidR="00C73278" w:rsidRPr="00AC6E74">
        <w:t>NSCLC</w:t>
      </w:r>
      <w:r w:rsidR="00647199" w:rsidRPr="00AC6E74">
        <w:t xml:space="preserve"> = non-small cell lung cancer; </w:t>
      </w:r>
      <w:r w:rsidR="00C73278" w:rsidRPr="00AC6E74">
        <w:t>PD-1</w:t>
      </w:r>
      <w:r w:rsidR="00647199" w:rsidRPr="00AC6E74">
        <w:t xml:space="preserve"> = programmed cell death protein 1; </w:t>
      </w:r>
      <w:r w:rsidR="00C73278" w:rsidRPr="00AC6E74">
        <w:t>PD-L1</w:t>
      </w:r>
      <w:r w:rsidR="00647199" w:rsidRPr="00AC6E74">
        <w:t xml:space="preserve"> = programmed death-ligand 1.</w:t>
      </w:r>
    </w:p>
    <w:p w14:paraId="44800C14" w14:textId="2BA5EE48" w:rsidR="003D610A" w:rsidRPr="00AC6E74" w:rsidRDefault="003D610A" w:rsidP="00647199">
      <w:pPr>
        <w:pStyle w:val="TableDescription"/>
      </w:pPr>
      <w:r w:rsidRPr="00AC6E74">
        <w:t>Source: data extracted from the United States Food and Drug Administration Multi-Discipline Review and Evaluation for Lumakras (</w:t>
      </w:r>
      <w:proofErr w:type="spellStart"/>
      <w:r w:rsidRPr="00AC6E74">
        <w:t>sotorasib</w:t>
      </w:r>
      <w:proofErr w:type="spellEnd"/>
      <w:r w:rsidRPr="00AC6E74">
        <w:t>).</w:t>
      </w:r>
      <w:r w:rsidRPr="00AC6E74">
        <w:rPr>
          <w:vertAlign w:val="superscript"/>
        </w:rPr>
        <w:fldChar w:fldCharType="begin"/>
      </w:r>
      <w:r w:rsidRPr="00AC6E74">
        <w:rPr>
          <w:vertAlign w:val="superscript"/>
        </w:rPr>
        <w:instrText xml:space="preserve"> NOTEREF _Ref129869188 \h  \* MERGEFORMAT </w:instrText>
      </w:r>
      <w:r w:rsidRPr="00AC6E74">
        <w:rPr>
          <w:vertAlign w:val="superscript"/>
        </w:rPr>
      </w:r>
      <w:r w:rsidRPr="00AC6E74">
        <w:rPr>
          <w:vertAlign w:val="superscript"/>
        </w:rPr>
        <w:fldChar w:fldCharType="separate"/>
      </w:r>
      <w:r w:rsidR="009B21DC">
        <w:rPr>
          <w:vertAlign w:val="superscript"/>
        </w:rPr>
        <w:t>9</w:t>
      </w:r>
      <w:r w:rsidRPr="00AC6E74">
        <w:rPr>
          <w:vertAlign w:val="superscript"/>
        </w:rPr>
        <w:fldChar w:fldCharType="end"/>
      </w:r>
    </w:p>
    <w:p w14:paraId="014A5D4B" w14:textId="2AC808E6" w:rsidR="00E04ABD" w:rsidRPr="00AC6E74" w:rsidRDefault="00E04ABD" w:rsidP="005C6FC9">
      <w:r w:rsidRPr="00AC6E74">
        <w:t xml:space="preserve">The median age of 64 years </w:t>
      </w:r>
      <w:r w:rsidR="00987863" w:rsidRPr="00AC6E74">
        <w:t xml:space="preserve">old </w:t>
      </w:r>
      <w:r w:rsidRPr="00AC6E74">
        <w:t xml:space="preserve">patients enrolled in Study 20170543 is </w:t>
      </w:r>
      <w:proofErr w:type="gramStart"/>
      <w:r w:rsidRPr="00AC6E74">
        <w:t>similar to</w:t>
      </w:r>
      <w:proofErr w:type="gramEnd"/>
      <w:r w:rsidRPr="00AC6E74">
        <w:t xml:space="preserve"> that reported in the literature for patients with </w:t>
      </w:r>
      <w:r w:rsidR="000C30B5" w:rsidRPr="00AC6E74">
        <w:rPr>
          <w:i/>
          <w:iCs/>
        </w:rPr>
        <w:t>KRAS</w:t>
      </w:r>
      <w:r w:rsidR="008408C3" w:rsidRPr="00AC6E74">
        <w:rPr>
          <w:i/>
          <w:iCs/>
        </w:rPr>
        <w:t xml:space="preserve"> </w:t>
      </w:r>
      <w:r w:rsidR="000C30B5" w:rsidRPr="00AC6E74">
        <w:rPr>
          <w:i/>
          <w:iCs/>
        </w:rPr>
        <w:t>G12C</w:t>
      </w:r>
      <w:r w:rsidRPr="00AC6E74">
        <w:t>-mutated NSCLC as is the high prevalence of current or former smokers (93%).</w:t>
      </w:r>
      <w:r w:rsidR="001A6533">
        <w:rPr>
          <w:rStyle w:val="FootnoteReference"/>
        </w:rPr>
        <w:footnoteReference w:id="14"/>
      </w:r>
      <w:r w:rsidR="002A2318" w:rsidRPr="00AC6E74">
        <w:t xml:space="preserve"> </w:t>
      </w:r>
      <w:r w:rsidRPr="00AC6E74">
        <w:t>Patients had received a median of two previous lines of systemic therapy; previous therapies included platinum</w:t>
      </w:r>
      <w:r w:rsidR="00647199" w:rsidRPr="00AC6E74">
        <w:t>-</w:t>
      </w:r>
      <w:r w:rsidRPr="00AC6E74">
        <w:t xml:space="preserve">based chemotherapy in 111 patients </w:t>
      </w:r>
      <w:r w:rsidR="00344667" w:rsidRPr="00AC6E74">
        <w:t>(</w:t>
      </w:r>
      <w:r w:rsidRPr="00AC6E74">
        <w:t>90%</w:t>
      </w:r>
      <w:r w:rsidR="00344667" w:rsidRPr="00AC6E74">
        <w:t>)</w:t>
      </w:r>
      <w:r w:rsidRPr="00AC6E74">
        <w:t xml:space="preserve"> and checkpoint inhibitors in 113 patients </w:t>
      </w:r>
      <w:r w:rsidR="00344667" w:rsidRPr="00AC6E74">
        <w:t>(</w:t>
      </w:r>
      <w:r w:rsidRPr="00AC6E74">
        <w:t>91%</w:t>
      </w:r>
      <w:r w:rsidR="00344667" w:rsidRPr="00AC6E74">
        <w:t>)</w:t>
      </w:r>
      <w:r w:rsidRPr="00AC6E74">
        <w:t>.</w:t>
      </w:r>
    </w:p>
    <w:p w14:paraId="1CE9B587" w14:textId="0B67FDD6" w:rsidR="00E04ABD" w:rsidRPr="00AC6E74" w:rsidRDefault="00E04ABD" w:rsidP="005C6FC9">
      <w:r w:rsidRPr="00AC6E74">
        <w:t xml:space="preserve">In Study 20170543, the median daily dose of </w:t>
      </w:r>
      <w:proofErr w:type="spellStart"/>
      <w:r w:rsidRPr="00AC6E74">
        <w:t>sotorasib</w:t>
      </w:r>
      <w:proofErr w:type="spellEnd"/>
      <w:r w:rsidRPr="00AC6E74">
        <w:t xml:space="preserve"> administered was 96</w:t>
      </w:r>
      <w:r w:rsidR="000348AE" w:rsidRPr="00AC6E74">
        <w:t>0 mg</w:t>
      </w:r>
      <w:r w:rsidRPr="00AC6E74">
        <w:t>, with a median relative dose intensity of 100% for subjects whose planned dose was 96</w:t>
      </w:r>
      <w:r w:rsidR="000348AE" w:rsidRPr="00AC6E74">
        <w:t>0</w:t>
      </w:r>
      <w:r w:rsidR="00226918" w:rsidRPr="00AC6E74">
        <w:t> </w:t>
      </w:r>
      <w:r w:rsidR="000348AE" w:rsidRPr="00AC6E74">
        <w:t>mg</w:t>
      </w:r>
      <w:r w:rsidRPr="00AC6E74">
        <w:t>, regardless of tumour type.</w:t>
      </w:r>
      <w:r w:rsidR="002A2318" w:rsidRPr="00AC6E74">
        <w:t xml:space="preserve"> </w:t>
      </w:r>
      <w:r w:rsidRPr="00AC6E74">
        <w:t>Concomitant medications used in the study were as per study protocol criteria.</w:t>
      </w:r>
    </w:p>
    <w:p w14:paraId="2614D5C1" w14:textId="77777777" w:rsidR="00E04ABD" w:rsidRPr="00AC6E74" w:rsidRDefault="00E04ABD" w:rsidP="005C6FC9">
      <w:pPr>
        <w:pStyle w:val="Heading6"/>
      </w:pPr>
      <w:r w:rsidRPr="00AC6E74">
        <w:t>Efficacy results</w:t>
      </w:r>
    </w:p>
    <w:p w14:paraId="0859150C" w14:textId="0E9D0312" w:rsidR="00E04ABD" w:rsidRPr="00AC6E74" w:rsidRDefault="00E04ABD" w:rsidP="005C6FC9">
      <w:r w:rsidRPr="00AC6E74">
        <w:t xml:space="preserve">The key efficacy results provided by the sponsor were based on a primary efficacy population of 123 patients and a data </w:t>
      </w:r>
      <w:r w:rsidR="00B96C21" w:rsidRPr="00AC6E74">
        <w:t>cut-off</w:t>
      </w:r>
      <w:r w:rsidRPr="00AC6E74">
        <w:t xml:space="preserve"> date of </w:t>
      </w:r>
      <w:r w:rsidR="00226918" w:rsidRPr="00AC6E74">
        <w:t>1 </w:t>
      </w:r>
      <w:r w:rsidRPr="00AC6E74">
        <w:t>September 2020.</w:t>
      </w:r>
      <w:r w:rsidR="002A2318" w:rsidRPr="00AC6E74">
        <w:t xml:space="preserve"> </w:t>
      </w:r>
      <w:r w:rsidRPr="00AC6E74">
        <w:t xml:space="preserve">At that data </w:t>
      </w:r>
      <w:r w:rsidR="00B96C21" w:rsidRPr="00AC6E74">
        <w:t>cut</w:t>
      </w:r>
      <w:r w:rsidR="00226918" w:rsidRPr="00AC6E74">
        <w:noBreakHyphen/>
      </w:r>
      <w:r w:rsidR="00B96C21" w:rsidRPr="00AC6E74">
        <w:t>off</w:t>
      </w:r>
      <w:r w:rsidRPr="00AC6E74">
        <w:t xml:space="preserve"> date, 41 of the original 46 responders (89%) had at least 6 months of follow-up post onset of response.</w:t>
      </w:r>
      <w:r w:rsidR="002A2318" w:rsidRPr="00AC6E74">
        <w:t xml:space="preserve"> </w:t>
      </w:r>
      <w:r w:rsidRPr="00AC6E74">
        <w:t xml:space="preserve">The next planned data </w:t>
      </w:r>
      <w:r w:rsidR="00B96C21" w:rsidRPr="00AC6E74">
        <w:t>cut-off</w:t>
      </w:r>
      <w:r w:rsidRPr="00AC6E74">
        <w:t xml:space="preserve"> was </w:t>
      </w:r>
      <w:r w:rsidR="00226918" w:rsidRPr="00AC6E74">
        <w:t>1 </w:t>
      </w:r>
      <w:r w:rsidRPr="00AC6E74">
        <w:t>December</w:t>
      </w:r>
      <w:r w:rsidR="00226918" w:rsidRPr="00AC6E74">
        <w:t> </w:t>
      </w:r>
      <w:r w:rsidRPr="00AC6E74">
        <w:t>2020, at which time all responders had at least 6 months of follow-up response.</w:t>
      </w:r>
      <w:r w:rsidR="002A2318" w:rsidRPr="00AC6E74">
        <w:t xml:space="preserve"> </w:t>
      </w:r>
      <w:r w:rsidRPr="00AC6E74">
        <w:t>The evaluat</w:t>
      </w:r>
      <w:r w:rsidR="00226918" w:rsidRPr="00AC6E74">
        <w:t>ion</w:t>
      </w:r>
      <w:r w:rsidRPr="00AC6E74">
        <w:t xml:space="preserve">’s assessment of </w:t>
      </w:r>
      <w:r w:rsidR="000C30B5" w:rsidRPr="00AC6E74">
        <w:t>duration of response</w:t>
      </w:r>
      <w:r w:rsidRPr="00AC6E74">
        <w:t xml:space="preserve"> was therefore based on the later </w:t>
      </w:r>
      <w:r w:rsidR="00B96C21" w:rsidRPr="00AC6E74">
        <w:t>cut-off</w:t>
      </w:r>
      <w:r w:rsidRPr="00AC6E74">
        <w:t xml:space="preserve"> date to capture sufficiently durable </w:t>
      </w:r>
      <w:proofErr w:type="gramStart"/>
      <w:r w:rsidRPr="00AC6E74">
        <w:t>follow-up</w:t>
      </w:r>
      <w:proofErr w:type="gramEnd"/>
      <w:r w:rsidRPr="00AC6E74">
        <w:t xml:space="preserve"> for all responders.</w:t>
      </w:r>
    </w:p>
    <w:p w14:paraId="5C892F38" w14:textId="3D41A37B" w:rsidR="00E04ABD" w:rsidRPr="00AC6E74" w:rsidRDefault="00E04ABD" w:rsidP="00226918">
      <w:r w:rsidRPr="00AC6E74">
        <w:lastRenderedPageBreak/>
        <w:t xml:space="preserve">Following </w:t>
      </w:r>
      <w:r w:rsidR="001A6533">
        <w:t xml:space="preserve">the sponsor’s </w:t>
      </w:r>
      <w:r w:rsidRPr="00AC6E74">
        <w:t xml:space="preserve">submission of the updated Summary of Clinical Efficacy on </w:t>
      </w:r>
      <w:r w:rsidR="00226918" w:rsidRPr="00AC6E74">
        <w:t>4 </w:t>
      </w:r>
      <w:r w:rsidRPr="00AC6E74">
        <w:t>February</w:t>
      </w:r>
      <w:r w:rsidR="00226918" w:rsidRPr="00AC6E74">
        <w:t> </w:t>
      </w:r>
      <w:r w:rsidRPr="00AC6E74">
        <w:t xml:space="preserve">2021, (data </w:t>
      </w:r>
      <w:r w:rsidR="00B96C21" w:rsidRPr="00AC6E74">
        <w:t>cut-off</w:t>
      </w:r>
      <w:r w:rsidRPr="00AC6E74">
        <w:t xml:space="preserve"> date of </w:t>
      </w:r>
      <w:r w:rsidR="00226918" w:rsidRPr="00AC6E74">
        <w:t>1 </w:t>
      </w:r>
      <w:r w:rsidRPr="00AC6E74">
        <w:t xml:space="preserve">December 2020), the primary efficacy population included in the efficacy assessment </w:t>
      </w:r>
      <w:proofErr w:type="gramStart"/>
      <w:r w:rsidRPr="00AC6E74">
        <w:t>is considered to be</w:t>
      </w:r>
      <w:proofErr w:type="gramEnd"/>
      <w:r w:rsidRPr="00AC6E74">
        <w:t xml:space="preserve"> based on a total of 124 patients.</w:t>
      </w:r>
    </w:p>
    <w:p w14:paraId="15E56A96" w14:textId="2677CC20" w:rsidR="00E04ABD" w:rsidRPr="00AC6E74" w:rsidRDefault="00E04ABD" w:rsidP="005C6FC9">
      <w:r w:rsidRPr="00AC6E74">
        <w:t xml:space="preserve">One additional patient was assessed as having a partial response and included as a responder in the </w:t>
      </w:r>
      <w:r w:rsidR="00226918" w:rsidRPr="00AC6E74">
        <w:t>sponsor</w:t>
      </w:r>
      <w:r w:rsidRPr="00AC6E74">
        <w:t xml:space="preserve">’s assessment based on the </w:t>
      </w:r>
      <w:r w:rsidR="00B25BFB" w:rsidRPr="00AC6E74">
        <w:t>1 </w:t>
      </w:r>
      <w:r w:rsidRPr="00AC6E74">
        <w:t xml:space="preserve">September 2020 </w:t>
      </w:r>
      <w:r w:rsidR="00B96C21" w:rsidRPr="00AC6E74">
        <w:t>cut-off</w:t>
      </w:r>
      <w:r w:rsidRPr="00AC6E74">
        <w:t xml:space="preserve"> date (n</w:t>
      </w:r>
      <w:r w:rsidR="00B25BFB" w:rsidRPr="00AC6E74">
        <w:t> </w:t>
      </w:r>
      <w:r w:rsidRPr="00AC6E74">
        <w:t>=</w:t>
      </w:r>
      <w:r w:rsidR="00B25BFB" w:rsidRPr="00AC6E74">
        <w:t> </w:t>
      </w:r>
      <w:r w:rsidRPr="00AC6E74">
        <w:t>46).</w:t>
      </w:r>
      <w:r w:rsidR="002A2318" w:rsidRPr="00AC6E74">
        <w:t xml:space="preserve"> </w:t>
      </w:r>
      <w:r w:rsidRPr="00AC6E74">
        <w:t xml:space="preserve">However, at the time of efficacy update, two lesions were noted to be increasing in size on follow-up imaging performed after the September data </w:t>
      </w:r>
      <w:r w:rsidR="00B96C21" w:rsidRPr="00AC6E74">
        <w:t>cut-off</w:t>
      </w:r>
      <w:r w:rsidRPr="00AC6E74">
        <w:t>.</w:t>
      </w:r>
      <w:r w:rsidR="002A2318" w:rsidRPr="00AC6E74">
        <w:t xml:space="preserve"> </w:t>
      </w:r>
      <w:r w:rsidRPr="00AC6E74">
        <w:t xml:space="preserve">The patient’s tumour assessments were reassessed from baseline and with the addition of these two target lesions, the patient’s best overall response changed from </w:t>
      </w:r>
      <w:r w:rsidR="007F4EEA" w:rsidRPr="00AC6E74">
        <w:t>partial response</w:t>
      </w:r>
      <w:r w:rsidRPr="00AC6E74">
        <w:t xml:space="preserve"> to </w:t>
      </w:r>
      <w:r w:rsidR="007F4EEA" w:rsidRPr="00AC6E74">
        <w:t>stable disease</w:t>
      </w:r>
      <w:r w:rsidRPr="00AC6E74">
        <w:t>.</w:t>
      </w:r>
      <w:r w:rsidR="002A2318" w:rsidRPr="00AC6E74">
        <w:t xml:space="preserve"> </w:t>
      </w:r>
      <w:r w:rsidRPr="00AC6E74">
        <w:t>Therefore, there are 45 responders included in the assessment of efficacy.</w:t>
      </w:r>
      <w:r w:rsidR="002A2318" w:rsidRPr="00AC6E74">
        <w:t xml:space="preserve"> </w:t>
      </w:r>
      <w:r w:rsidRPr="00AC6E74">
        <w:t xml:space="preserve">Changes to the primary efficacy population that occurred based on imaging re-assessment is detailed in </w:t>
      </w:r>
      <w:r w:rsidR="00B25BFB" w:rsidRPr="00AC6E74">
        <w:fldChar w:fldCharType="begin"/>
      </w:r>
      <w:r w:rsidR="00B25BFB" w:rsidRPr="00AC6E74">
        <w:instrText xml:space="preserve"> REF _Ref129870069 \h </w:instrText>
      </w:r>
      <w:r w:rsidR="00987863" w:rsidRPr="00AC6E74">
        <w:instrText xml:space="preserve"> \* MERGEFORMAT </w:instrText>
      </w:r>
      <w:r w:rsidR="00B25BFB" w:rsidRPr="00AC6E74">
        <w:fldChar w:fldCharType="separate"/>
      </w:r>
      <w:r w:rsidR="009B21DC" w:rsidRPr="00AC6E74">
        <w:t xml:space="preserve">Table </w:t>
      </w:r>
      <w:r w:rsidR="009B21DC">
        <w:rPr>
          <w:noProof/>
        </w:rPr>
        <w:t>9</w:t>
      </w:r>
      <w:r w:rsidR="00B25BFB" w:rsidRPr="00AC6E74">
        <w:fldChar w:fldCharType="end"/>
      </w:r>
      <w:r w:rsidR="00B25BFB" w:rsidRPr="00AC6E74">
        <w:t xml:space="preserve"> below</w:t>
      </w:r>
      <w:r w:rsidR="003B75D9" w:rsidRPr="00AC6E74">
        <w:t>.</w:t>
      </w:r>
    </w:p>
    <w:p w14:paraId="5D9C7D5E" w14:textId="0091E489" w:rsidR="00B25BFB" w:rsidRPr="00AC6E74" w:rsidRDefault="00B25BFB" w:rsidP="00633755">
      <w:pPr>
        <w:pStyle w:val="TableTitle"/>
      </w:pPr>
      <w:bookmarkStart w:id="68" w:name="_Ref129870069"/>
      <w:r w:rsidRPr="00AC6E74">
        <w:t xml:space="preserve">Table </w:t>
      </w:r>
      <w:fldSimple w:instr=" SEQ Table \* ARABIC ">
        <w:r w:rsidR="009B21DC">
          <w:rPr>
            <w:noProof/>
          </w:rPr>
          <w:t>9</w:t>
        </w:r>
      </w:fldSimple>
      <w:bookmarkEnd w:id="68"/>
      <w:r w:rsidRPr="00AC6E74">
        <w:t xml:space="preserve">: </w:t>
      </w:r>
      <w:r w:rsidR="00633755" w:rsidRPr="00AC6E74">
        <w:t xml:space="preserve">Study 20170543 (CODEBREAK 100 trial) </w:t>
      </w:r>
      <w:r w:rsidRPr="00AC6E74">
        <w:t>Summary of patients with imaging re</w:t>
      </w:r>
      <w:r w:rsidR="00633755" w:rsidRPr="00AC6E74">
        <w:noBreakHyphen/>
      </w:r>
      <w:r w:rsidRPr="00AC6E74">
        <w:t>assessments</w:t>
      </w:r>
    </w:p>
    <w:tbl>
      <w:tblPr>
        <w:tblStyle w:val="TableGrid"/>
        <w:tblW w:w="8642" w:type="dxa"/>
        <w:tblLook w:val="04A0" w:firstRow="1" w:lastRow="0" w:firstColumn="1" w:lastColumn="0" w:noHBand="0" w:noVBand="1"/>
      </w:tblPr>
      <w:tblGrid>
        <w:gridCol w:w="2744"/>
        <w:gridCol w:w="2831"/>
        <w:gridCol w:w="1260"/>
        <w:gridCol w:w="1807"/>
      </w:tblGrid>
      <w:tr w:rsidR="00B25BFB" w:rsidRPr="00AC6E74" w14:paraId="09682624" w14:textId="77777777" w:rsidTr="00506F08">
        <w:tc>
          <w:tcPr>
            <w:tcW w:w="2744" w:type="dxa"/>
          </w:tcPr>
          <w:p w14:paraId="7D536EA0" w14:textId="49904767" w:rsidR="00B25BFB" w:rsidRPr="00AC6E74" w:rsidRDefault="00B25BFB" w:rsidP="00B25BFB">
            <w:pPr>
              <w:pStyle w:val="Tabletext"/>
            </w:pPr>
            <w:r w:rsidRPr="00AC6E74">
              <w:t xml:space="preserve">Description </w:t>
            </w:r>
          </w:p>
        </w:tc>
        <w:tc>
          <w:tcPr>
            <w:tcW w:w="2831" w:type="dxa"/>
          </w:tcPr>
          <w:p w14:paraId="04C7F5E0" w14:textId="0931638C" w:rsidR="00B25BFB" w:rsidRPr="00AC6E74" w:rsidRDefault="00B25BFB" w:rsidP="00B25BFB">
            <w:pPr>
              <w:pStyle w:val="Tabletext"/>
            </w:pPr>
            <w:r w:rsidRPr="00AC6E74">
              <w:t xml:space="preserve">Previous </w:t>
            </w:r>
            <w:proofErr w:type="spellStart"/>
            <w:r w:rsidR="00647199" w:rsidRPr="00AC6E74">
              <w:t>assessment</w:t>
            </w:r>
            <w:r w:rsidR="00500E5E" w:rsidRPr="00AC6E74">
              <w:rPr>
                <w:vertAlign w:val="superscript"/>
              </w:rPr>
              <w:t>a</w:t>
            </w:r>
            <w:proofErr w:type="spellEnd"/>
          </w:p>
        </w:tc>
        <w:tc>
          <w:tcPr>
            <w:tcW w:w="1260" w:type="dxa"/>
          </w:tcPr>
          <w:p w14:paraId="06304EB2" w14:textId="2DFA653D" w:rsidR="00B25BFB" w:rsidRPr="00AC6E74" w:rsidRDefault="00B25BFB" w:rsidP="00B25BFB">
            <w:pPr>
              <w:pStyle w:val="Tabletext"/>
            </w:pPr>
            <w:r w:rsidRPr="00AC6E74">
              <w:t xml:space="preserve">Current </w:t>
            </w:r>
            <w:proofErr w:type="spellStart"/>
            <w:r w:rsidR="00647199" w:rsidRPr="00AC6E74">
              <w:t>assessment</w:t>
            </w:r>
            <w:r w:rsidR="00500E5E" w:rsidRPr="00AC6E74">
              <w:rPr>
                <w:vertAlign w:val="superscript"/>
              </w:rPr>
              <w:t>b</w:t>
            </w:r>
            <w:proofErr w:type="spellEnd"/>
          </w:p>
        </w:tc>
        <w:tc>
          <w:tcPr>
            <w:tcW w:w="1807" w:type="dxa"/>
          </w:tcPr>
          <w:p w14:paraId="0647BE9C" w14:textId="060B9604" w:rsidR="00B25BFB" w:rsidRPr="00AC6E74" w:rsidRDefault="00B25BFB" w:rsidP="00B25BFB">
            <w:pPr>
              <w:pStyle w:val="Tabletext"/>
            </w:pPr>
            <w:r w:rsidRPr="00AC6E74">
              <w:t xml:space="preserve">Final FDA </w:t>
            </w:r>
            <w:proofErr w:type="spellStart"/>
            <w:r w:rsidR="00500E5E" w:rsidRPr="00AC6E74">
              <w:t>analysis</w:t>
            </w:r>
            <w:r w:rsidR="00500E5E" w:rsidRPr="00AC6E74">
              <w:rPr>
                <w:vertAlign w:val="superscript"/>
              </w:rPr>
              <w:t>c</w:t>
            </w:r>
            <w:proofErr w:type="spellEnd"/>
          </w:p>
        </w:tc>
      </w:tr>
      <w:tr w:rsidR="00B25BFB" w:rsidRPr="00AC6E74" w14:paraId="1FF44D1C" w14:textId="77777777" w:rsidTr="00506F08">
        <w:tc>
          <w:tcPr>
            <w:tcW w:w="2744" w:type="dxa"/>
          </w:tcPr>
          <w:p w14:paraId="7B8BE0C8" w14:textId="0A502EF8" w:rsidR="00B25BFB" w:rsidRPr="00AC6E74" w:rsidRDefault="00B25BFB" w:rsidP="00B25BFB">
            <w:pPr>
              <w:pStyle w:val="Tabletext"/>
            </w:pPr>
            <w:r w:rsidRPr="00AC6E74">
              <w:t>The patient had progressive disease assigned earlier</w:t>
            </w:r>
          </w:p>
        </w:tc>
        <w:tc>
          <w:tcPr>
            <w:tcW w:w="2831" w:type="dxa"/>
          </w:tcPr>
          <w:p w14:paraId="403B5137" w14:textId="76FAF0EB" w:rsidR="00B25BFB" w:rsidRPr="00AC6E74" w:rsidRDefault="00B25BFB" w:rsidP="00B25BFB">
            <w:pPr>
              <w:pStyle w:val="Tabletext"/>
            </w:pPr>
            <w:r w:rsidRPr="00AC6E74">
              <w:t>Progressive disease</w:t>
            </w:r>
          </w:p>
        </w:tc>
        <w:tc>
          <w:tcPr>
            <w:tcW w:w="1260" w:type="dxa"/>
          </w:tcPr>
          <w:p w14:paraId="3EA78EDC" w14:textId="773D39D3" w:rsidR="00B25BFB" w:rsidRPr="00AC6E74" w:rsidRDefault="00B25BFB" w:rsidP="00B25BFB">
            <w:pPr>
              <w:pStyle w:val="Tabletext"/>
            </w:pPr>
            <w:r w:rsidRPr="00AC6E74">
              <w:t>Progressive disease</w:t>
            </w:r>
          </w:p>
        </w:tc>
        <w:tc>
          <w:tcPr>
            <w:tcW w:w="1807" w:type="dxa"/>
          </w:tcPr>
          <w:p w14:paraId="3D206CA2" w14:textId="3B886538" w:rsidR="00B25BFB" w:rsidRPr="00AC6E74" w:rsidRDefault="00B25BFB" w:rsidP="00B25BFB">
            <w:pPr>
              <w:pStyle w:val="Tabletext"/>
            </w:pPr>
            <w:r w:rsidRPr="00AC6E74">
              <w:t>Progressive disease</w:t>
            </w:r>
          </w:p>
        </w:tc>
      </w:tr>
      <w:tr w:rsidR="00B25BFB" w:rsidRPr="00AC6E74" w14:paraId="7325CE37" w14:textId="77777777" w:rsidTr="00506F08">
        <w:tc>
          <w:tcPr>
            <w:tcW w:w="2744" w:type="dxa"/>
          </w:tcPr>
          <w:p w14:paraId="7A3EDEDF" w14:textId="73367323" w:rsidR="00B25BFB" w:rsidRPr="00AC6E74" w:rsidRDefault="00B25BFB" w:rsidP="00B25BFB">
            <w:pPr>
              <w:pStyle w:val="Tabletext"/>
            </w:pPr>
            <w:r w:rsidRPr="00AC6E74">
              <w:t>The patient had progressive disease assigned earlier</w:t>
            </w:r>
          </w:p>
        </w:tc>
        <w:tc>
          <w:tcPr>
            <w:tcW w:w="2831" w:type="dxa"/>
          </w:tcPr>
          <w:p w14:paraId="58F8F796" w14:textId="0267E716" w:rsidR="00B25BFB" w:rsidRPr="00AC6E74" w:rsidRDefault="00B25BFB" w:rsidP="00B25BFB">
            <w:pPr>
              <w:pStyle w:val="Tabletext"/>
            </w:pPr>
            <w:r w:rsidRPr="00AC6E74">
              <w:t>Progressive disease</w:t>
            </w:r>
          </w:p>
        </w:tc>
        <w:tc>
          <w:tcPr>
            <w:tcW w:w="1260" w:type="dxa"/>
          </w:tcPr>
          <w:p w14:paraId="623F28F4" w14:textId="5F934CE6" w:rsidR="00B25BFB" w:rsidRPr="00AC6E74" w:rsidRDefault="00B25BFB" w:rsidP="00B25BFB">
            <w:pPr>
              <w:pStyle w:val="Tabletext"/>
            </w:pPr>
            <w:r w:rsidRPr="00AC6E74">
              <w:t>Progressive disease</w:t>
            </w:r>
          </w:p>
        </w:tc>
        <w:tc>
          <w:tcPr>
            <w:tcW w:w="1807" w:type="dxa"/>
          </w:tcPr>
          <w:p w14:paraId="2C131553" w14:textId="65656735" w:rsidR="00B25BFB" w:rsidRPr="00AC6E74" w:rsidRDefault="00B25BFB" w:rsidP="00B25BFB">
            <w:pPr>
              <w:pStyle w:val="Tabletext"/>
            </w:pPr>
            <w:r w:rsidRPr="00AC6E74">
              <w:t>Progressive disease</w:t>
            </w:r>
          </w:p>
        </w:tc>
      </w:tr>
      <w:tr w:rsidR="00B25BFB" w:rsidRPr="00AC6E74" w14:paraId="73E14E7C" w14:textId="77777777" w:rsidTr="00506F08">
        <w:tc>
          <w:tcPr>
            <w:tcW w:w="2744" w:type="dxa"/>
          </w:tcPr>
          <w:p w14:paraId="0C65159C" w14:textId="101860B7" w:rsidR="00B25BFB" w:rsidRPr="00AC6E74" w:rsidRDefault="00B25BFB" w:rsidP="00B25BFB">
            <w:pPr>
              <w:pStyle w:val="Tabletext"/>
            </w:pPr>
            <w:r w:rsidRPr="00AC6E74">
              <w:t xml:space="preserve">At follow-up 5, two lesions not recorded as either target or non-targets were increasing in size. Re-read of this patient from baseline and adding the two additional targets results in the change in best overall response from </w:t>
            </w:r>
            <w:r w:rsidR="007C77FA" w:rsidRPr="00AC6E74">
              <w:t xml:space="preserve">partial response </w:t>
            </w:r>
            <w:r w:rsidRPr="00AC6E74">
              <w:t xml:space="preserve">to </w:t>
            </w:r>
            <w:r w:rsidR="007C77FA" w:rsidRPr="00AC6E74">
              <w:t>stable disease</w:t>
            </w:r>
            <w:r w:rsidRPr="00AC6E74">
              <w:t>.</w:t>
            </w:r>
          </w:p>
        </w:tc>
        <w:tc>
          <w:tcPr>
            <w:tcW w:w="2831" w:type="dxa"/>
          </w:tcPr>
          <w:p w14:paraId="1CFABE71" w14:textId="01F8DFFF" w:rsidR="00B25BFB" w:rsidRPr="00AC6E74" w:rsidRDefault="00B25BFB" w:rsidP="00B25BFB">
            <w:pPr>
              <w:pStyle w:val="Tabletext"/>
            </w:pPr>
            <w:r w:rsidRPr="00AC6E74">
              <w:t>Partial response</w:t>
            </w:r>
          </w:p>
        </w:tc>
        <w:tc>
          <w:tcPr>
            <w:tcW w:w="1260" w:type="dxa"/>
          </w:tcPr>
          <w:p w14:paraId="5A68B470" w14:textId="4B3F2773" w:rsidR="00B25BFB" w:rsidRPr="00AC6E74" w:rsidRDefault="00B25BFB" w:rsidP="00B25BFB">
            <w:pPr>
              <w:pStyle w:val="Tabletext"/>
            </w:pPr>
            <w:r w:rsidRPr="00AC6E74">
              <w:t>Stable disease</w:t>
            </w:r>
          </w:p>
        </w:tc>
        <w:tc>
          <w:tcPr>
            <w:tcW w:w="1807" w:type="dxa"/>
          </w:tcPr>
          <w:p w14:paraId="7DDF2026" w14:textId="65C0B57A" w:rsidR="00B25BFB" w:rsidRPr="00AC6E74" w:rsidRDefault="00B25BFB" w:rsidP="00B25BFB">
            <w:pPr>
              <w:pStyle w:val="Tabletext"/>
            </w:pPr>
            <w:r w:rsidRPr="00AC6E74">
              <w:t>Stable disease</w:t>
            </w:r>
          </w:p>
        </w:tc>
      </w:tr>
      <w:tr w:rsidR="00B25BFB" w:rsidRPr="00AC6E74" w14:paraId="15106076" w14:textId="77777777" w:rsidTr="00506F08">
        <w:tc>
          <w:tcPr>
            <w:tcW w:w="2744" w:type="dxa"/>
          </w:tcPr>
          <w:p w14:paraId="258CCE7B" w14:textId="4CE0EA39" w:rsidR="00B25BFB" w:rsidRPr="00AC6E74" w:rsidRDefault="00B25BFB" w:rsidP="00B25BFB">
            <w:pPr>
              <w:pStyle w:val="Tabletext"/>
            </w:pPr>
            <w:r w:rsidRPr="00AC6E74">
              <w:t>The disease status changed from progression at follow</w:t>
            </w:r>
            <w:r w:rsidR="007C77FA" w:rsidRPr="00AC6E74">
              <w:noBreakHyphen/>
            </w:r>
            <w:r w:rsidRPr="00AC6E74">
              <w:t>up</w:t>
            </w:r>
            <w:r w:rsidR="007C77FA" w:rsidRPr="00AC6E74">
              <w:t> </w:t>
            </w:r>
            <w:r w:rsidRPr="00AC6E74">
              <w:t>1 to partial response at follow</w:t>
            </w:r>
            <w:r w:rsidR="007C77FA" w:rsidRPr="00AC6E74">
              <w:t>-</w:t>
            </w:r>
            <w:r w:rsidRPr="00AC6E74">
              <w:t xml:space="preserve">up 6 </w:t>
            </w:r>
            <w:r w:rsidR="007C77FA" w:rsidRPr="00AC6E74">
              <w:t>and</w:t>
            </w:r>
            <w:r w:rsidRPr="00AC6E74">
              <w:t xml:space="preserve"> 7 after a new lesion at follow up 1 was eliminated</w:t>
            </w:r>
          </w:p>
        </w:tc>
        <w:tc>
          <w:tcPr>
            <w:tcW w:w="2831" w:type="dxa"/>
          </w:tcPr>
          <w:p w14:paraId="25D9F9A9" w14:textId="31F4E470" w:rsidR="00B25BFB" w:rsidRPr="00AC6E74" w:rsidRDefault="00B25BFB" w:rsidP="00B25BFB">
            <w:pPr>
              <w:pStyle w:val="Tabletext"/>
            </w:pPr>
            <w:r w:rsidRPr="00AC6E74">
              <w:t xml:space="preserve">Not originally included in the primary efficacy population as the patient was assessed as not having measurable disease at baseline by investigator. Upon subsequent assessment of the patient’s baseline imaging, </w:t>
            </w:r>
            <w:r w:rsidR="00A4069E" w:rsidRPr="00AC6E74">
              <w:t>blinded independent central review</w:t>
            </w:r>
            <w:r w:rsidRPr="00AC6E74">
              <w:t xml:space="preserve"> determined that the patient did have measurable disease at baseline. The patient was subsequently added to the primary efficacy population.</w:t>
            </w:r>
          </w:p>
        </w:tc>
        <w:tc>
          <w:tcPr>
            <w:tcW w:w="1260" w:type="dxa"/>
          </w:tcPr>
          <w:p w14:paraId="364B8BFB" w14:textId="77B4F4FE" w:rsidR="00B25BFB" w:rsidRPr="00AC6E74" w:rsidRDefault="00B25BFB" w:rsidP="00B25BFB">
            <w:pPr>
              <w:pStyle w:val="Tabletext"/>
            </w:pPr>
            <w:r w:rsidRPr="00AC6E74">
              <w:t>Partial response</w:t>
            </w:r>
          </w:p>
        </w:tc>
        <w:tc>
          <w:tcPr>
            <w:tcW w:w="1807" w:type="dxa"/>
          </w:tcPr>
          <w:p w14:paraId="0B45EFE2" w14:textId="73CA252D" w:rsidR="00B25BFB" w:rsidRPr="00AC6E74" w:rsidRDefault="007C77FA" w:rsidP="00B25BFB">
            <w:pPr>
              <w:pStyle w:val="Tabletext"/>
            </w:pPr>
            <w:r w:rsidRPr="00AC6E74">
              <w:t xml:space="preserve">Stable disease </w:t>
            </w:r>
            <w:r w:rsidR="00B25BFB" w:rsidRPr="00AC6E74">
              <w:t xml:space="preserve">(had an onset of response occurred on </w:t>
            </w:r>
            <w:r w:rsidR="00500E5E" w:rsidRPr="00AC6E74">
              <w:t>23</w:t>
            </w:r>
            <w:r w:rsidR="001A6533">
              <w:t> </w:t>
            </w:r>
            <w:r w:rsidR="00500E5E" w:rsidRPr="00AC6E74">
              <w:t xml:space="preserve">September </w:t>
            </w:r>
            <w:r w:rsidR="00B25BFB" w:rsidRPr="00AC6E74">
              <w:t xml:space="preserve">2020, which is post primary analysis </w:t>
            </w:r>
            <w:r w:rsidRPr="00AC6E74">
              <w:t>data cut-off</w:t>
            </w:r>
            <w:r w:rsidR="00B25BFB" w:rsidRPr="00AC6E74">
              <w:t xml:space="preserve"> of </w:t>
            </w:r>
            <w:r w:rsidR="00500E5E" w:rsidRPr="00AC6E74">
              <w:t>1</w:t>
            </w:r>
            <w:r w:rsidR="001A6533">
              <w:t> </w:t>
            </w:r>
            <w:r w:rsidR="00500E5E" w:rsidRPr="00AC6E74">
              <w:t xml:space="preserve">September </w:t>
            </w:r>
            <w:r w:rsidR="00B25BFB" w:rsidRPr="00AC6E74">
              <w:t>2020)</w:t>
            </w:r>
          </w:p>
        </w:tc>
      </w:tr>
    </w:tbl>
    <w:p w14:paraId="12EA963C" w14:textId="4706B65C" w:rsidR="00A84034" w:rsidRPr="00AC6E74" w:rsidRDefault="00A84034" w:rsidP="00647199">
      <w:pPr>
        <w:pStyle w:val="TableDescription"/>
      </w:pPr>
      <w:r w:rsidRPr="00AC6E74">
        <w:t xml:space="preserve">Abbreviation: </w:t>
      </w:r>
      <w:r w:rsidR="00647199" w:rsidRPr="00AC6E74">
        <w:t>FDA = Food and Drug Administration (United States).</w:t>
      </w:r>
    </w:p>
    <w:p w14:paraId="0E826E9C" w14:textId="7DF134A4" w:rsidR="007F4EEA" w:rsidRPr="00AC6E74" w:rsidRDefault="00500E5E" w:rsidP="00647199">
      <w:pPr>
        <w:pStyle w:val="TableDescription"/>
      </w:pPr>
      <w:r w:rsidRPr="00AC6E74">
        <w:t xml:space="preserve">a </w:t>
      </w:r>
      <w:r w:rsidR="007F4EEA" w:rsidRPr="00AC6E74">
        <w:t>Data cut-off for previous assessment: 1 September 2020.</w:t>
      </w:r>
    </w:p>
    <w:p w14:paraId="17115898" w14:textId="7E22052B" w:rsidR="007F4EEA" w:rsidRPr="00AC6E74" w:rsidRDefault="00500E5E" w:rsidP="00647199">
      <w:pPr>
        <w:pStyle w:val="TableDescription"/>
      </w:pPr>
      <w:r w:rsidRPr="00AC6E74">
        <w:t xml:space="preserve">b </w:t>
      </w:r>
      <w:r w:rsidR="007F4EEA" w:rsidRPr="00AC6E74">
        <w:t>Data cut-off for current assessment: 1 December 2020.</w:t>
      </w:r>
    </w:p>
    <w:p w14:paraId="0D1B92BB" w14:textId="6C5D61E4" w:rsidR="007F4EEA" w:rsidRPr="00AC6E74" w:rsidRDefault="00500E5E" w:rsidP="00647199">
      <w:pPr>
        <w:pStyle w:val="TableDescription"/>
      </w:pPr>
      <w:r w:rsidRPr="00AC6E74">
        <w:t xml:space="preserve">c </w:t>
      </w:r>
      <w:r w:rsidR="007F4EEA" w:rsidRPr="00AC6E74">
        <w:t>Data cut-off for final FDA analysis: 1 September 2020 for objective response rate; 1 December 2020 for duration of response.</w:t>
      </w:r>
    </w:p>
    <w:p w14:paraId="00495B4D" w14:textId="67D08DFD" w:rsidR="007C77FA" w:rsidRPr="00AC6E74" w:rsidRDefault="007C77FA" w:rsidP="00647199">
      <w:pPr>
        <w:pStyle w:val="TableDescription"/>
      </w:pPr>
      <w:r w:rsidRPr="00AC6E74">
        <w:t>Source: data extracted from the United States Food and Drug Administration Multi-Discipline Review and Evaluation for Lumakras (</w:t>
      </w:r>
      <w:proofErr w:type="spellStart"/>
      <w:r w:rsidRPr="00AC6E74">
        <w:t>sotorasib</w:t>
      </w:r>
      <w:proofErr w:type="spellEnd"/>
      <w:r w:rsidRPr="00AC6E74">
        <w:t>).</w:t>
      </w:r>
      <w:r w:rsidRPr="00AC6E74">
        <w:rPr>
          <w:vertAlign w:val="superscript"/>
        </w:rPr>
        <w:fldChar w:fldCharType="begin"/>
      </w:r>
      <w:r w:rsidRPr="00AC6E74">
        <w:rPr>
          <w:vertAlign w:val="superscript"/>
        </w:rPr>
        <w:instrText xml:space="preserve"> NOTEREF _Ref129869188 \h  \* MERGEFORMAT </w:instrText>
      </w:r>
      <w:r w:rsidRPr="00AC6E74">
        <w:rPr>
          <w:vertAlign w:val="superscript"/>
        </w:rPr>
      </w:r>
      <w:r w:rsidRPr="00AC6E74">
        <w:rPr>
          <w:vertAlign w:val="superscript"/>
        </w:rPr>
        <w:fldChar w:fldCharType="separate"/>
      </w:r>
      <w:r w:rsidR="009B21DC">
        <w:rPr>
          <w:vertAlign w:val="superscript"/>
        </w:rPr>
        <w:t>9</w:t>
      </w:r>
      <w:r w:rsidRPr="00AC6E74">
        <w:rPr>
          <w:vertAlign w:val="superscript"/>
        </w:rPr>
        <w:fldChar w:fldCharType="end"/>
      </w:r>
    </w:p>
    <w:p w14:paraId="1D36BDE8" w14:textId="4C634B5B" w:rsidR="00E04ABD" w:rsidRPr="00AC6E74" w:rsidRDefault="00E04ABD" w:rsidP="005C6FC9">
      <w:r w:rsidRPr="00AC6E74">
        <w:lastRenderedPageBreak/>
        <w:t xml:space="preserve">The </w:t>
      </w:r>
      <w:r w:rsidR="008C12AD" w:rsidRPr="00AC6E74">
        <w:t>Delegate</w:t>
      </w:r>
      <w:r w:rsidRPr="00AC6E74">
        <w:t xml:space="preserve"> notes the results of an analysis, provided in the evaluation report, of the </w:t>
      </w:r>
      <w:r w:rsidR="007F4EEA" w:rsidRPr="00AC6E74">
        <w:t>objective response rate</w:t>
      </w:r>
      <w:r w:rsidRPr="00AC6E74">
        <w:t xml:space="preserve"> and </w:t>
      </w:r>
      <w:r w:rsidR="000C30B5" w:rsidRPr="00AC6E74">
        <w:t>duration of response</w:t>
      </w:r>
      <w:r w:rsidRPr="00AC6E74">
        <w:t xml:space="preserve"> observed in the subgroup of patients who received prior treatment with platinum</w:t>
      </w:r>
      <w:r w:rsidR="00C54AB8" w:rsidRPr="00AC6E74">
        <w:t xml:space="preserve"> </w:t>
      </w:r>
      <w:r w:rsidRPr="00AC6E74">
        <w:t xml:space="preserve">based chemotherapy and an anti-PD-(L1)1 agent, as it is this subgroup that would be the most representative of patients with </w:t>
      </w:r>
      <w:r w:rsidR="000C30B5" w:rsidRPr="00AC6E74">
        <w:rPr>
          <w:i/>
          <w:iCs/>
        </w:rPr>
        <w:t>KRAS</w:t>
      </w:r>
      <w:r w:rsidR="003E7696" w:rsidRPr="00AC6E74">
        <w:rPr>
          <w:i/>
          <w:iCs/>
        </w:rPr>
        <w:t> </w:t>
      </w:r>
      <w:r w:rsidR="000C30B5" w:rsidRPr="00AC6E74">
        <w:rPr>
          <w:i/>
          <w:iCs/>
        </w:rPr>
        <w:t>G12C</w:t>
      </w:r>
      <w:r w:rsidRPr="00AC6E74">
        <w:t xml:space="preserve">-mutated NSCLC who would be eligible for therapy with </w:t>
      </w:r>
      <w:proofErr w:type="spellStart"/>
      <w:r w:rsidRPr="00AC6E74">
        <w:t>sotorasib</w:t>
      </w:r>
      <w:proofErr w:type="spellEnd"/>
      <w:r w:rsidRPr="00AC6E74">
        <w:t xml:space="preserve"> in the </w:t>
      </w:r>
      <w:r w:rsidR="001E55DF">
        <w:t>USA</w:t>
      </w:r>
      <w:r w:rsidR="001E55DF" w:rsidRPr="00AC6E74">
        <w:t xml:space="preserve"> </w:t>
      </w:r>
      <w:r w:rsidRPr="00AC6E74">
        <w:t>(</w:t>
      </w:r>
      <w:r w:rsidR="008C12AD" w:rsidRPr="00AC6E74">
        <w:t>r</w:t>
      </w:r>
      <w:r w:rsidRPr="00AC6E74">
        <w:t xml:space="preserve">etrospective analyses suggest that immunotherapy is an effective treatment for patients with NSCLC with </w:t>
      </w:r>
      <w:r w:rsidRPr="00AC6E74">
        <w:rPr>
          <w:i/>
          <w:iCs/>
        </w:rPr>
        <w:t>KRAS</w:t>
      </w:r>
      <w:r w:rsidRPr="00AC6E74">
        <w:t xml:space="preserve"> mutations and may result in improved outcomes over chemotherapy alone, and that immunotherapy and platinum</w:t>
      </w:r>
      <w:r w:rsidR="008C12AD" w:rsidRPr="00AC6E74">
        <w:t xml:space="preserve"> </w:t>
      </w:r>
      <w:r w:rsidRPr="00AC6E74">
        <w:t xml:space="preserve">based chemotherapy administered concurrently or sequentially, are the current standard of care for the first line treatment of patients with metastatic NSCLC without an actionable driver mutation in the </w:t>
      </w:r>
      <w:r w:rsidR="001E55DF">
        <w:t>USA</w:t>
      </w:r>
      <w:r w:rsidRPr="00AC6E74">
        <w:t>).</w:t>
      </w:r>
      <w:r w:rsidR="002A2318" w:rsidRPr="00AC6E74">
        <w:t xml:space="preserve"> </w:t>
      </w:r>
      <w:r w:rsidRPr="00AC6E74">
        <w:t>This would also be relevant in the Australian context.</w:t>
      </w:r>
    </w:p>
    <w:p w14:paraId="582036B6" w14:textId="222B34D3" w:rsidR="00E04ABD" w:rsidRPr="00AC6E74" w:rsidRDefault="00E04ABD" w:rsidP="005C6FC9">
      <w:r w:rsidRPr="00AC6E74">
        <w:t xml:space="preserve">In the primary efficacy population, the </w:t>
      </w:r>
      <w:r w:rsidR="007F4EEA" w:rsidRPr="00AC6E74">
        <w:t>objective response rate</w:t>
      </w:r>
      <w:r w:rsidRPr="00AC6E74">
        <w:t xml:space="preserve"> was 36% (95% CI: 28, 45) and median </w:t>
      </w:r>
      <w:r w:rsidR="000C30B5" w:rsidRPr="00AC6E74">
        <w:t>duration of response</w:t>
      </w:r>
      <w:r w:rsidRPr="00AC6E74">
        <w:t xml:space="preserve"> was 10.0 months.</w:t>
      </w:r>
      <w:r w:rsidR="002A2318" w:rsidRPr="00AC6E74">
        <w:t xml:space="preserve"> </w:t>
      </w:r>
      <w:r w:rsidRPr="00AC6E74">
        <w:t xml:space="preserve">The </w:t>
      </w:r>
      <w:r w:rsidR="007F4EEA" w:rsidRPr="00AC6E74">
        <w:t>objective response rate</w:t>
      </w:r>
      <w:r w:rsidRPr="00AC6E74">
        <w:t xml:space="preserve"> was 31% (95% CI: 22, 41) in the subgroup of patients who had previously progressed on chemotherapy and immunotherapy.</w:t>
      </w:r>
      <w:r w:rsidR="002A2318" w:rsidRPr="00AC6E74">
        <w:t xml:space="preserve"> </w:t>
      </w:r>
      <w:r w:rsidRPr="00AC6E74">
        <w:t xml:space="preserve">These results would reasonably </w:t>
      </w:r>
      <w:proofErr w:type="gramStart"/>
      <w:r w:rsidRPr="00AC6E74">
        <w:t>be considered to be</w:t>
      </w:r>
      <w:proofErr w:type="gramEnd"/>
      <w:r w:rsidRPr="00AC6E74">
        <w:t xml:space="preserve"> clinically meaningful and to likely demonstrate an improvement over currently available second</w:t>
      </w:r>
      <w:r w:rsidR="008C12AD" w:rsidRPr="00AC6E74">
        <w:t xml:space="preserve"> </w:t>
      </w:r>
      <w:r w:rsidRPr="00AC6E74">
        <w:t xml:space="preserve">line therapies, both in the magnitude of the </w:t>
      </w:r>
      <w:r w:rsidR="007F4EEA" w:rsidRPr="00AC6E74">
        <w:t>objective response rate</w:t>
      </w:r>
      <w:r w:rsidRPr="00AC6E74">
        <w:t xml:space="preserve"> observed and in the durability of response.</w:t>
      </w:r>
      <w:r w:rsidR="002A2318" w:rsidRPr="00AC6E74">
        <w:t xml:space="preserve"> </w:t>
      </w:r>
      <w:r w:rsidRPr="00AC6E74">
        <w:t>The follow</w:t>
      </w:r>
      <w:r w:rsidR="008C12AD" w:rsidRPr="00AC6E74">
        <w:noBreakHyphen/>
      </w:r>
      <w:r w:rsidRPr="00AC6E74">
        <w:t xml:space="preserve">up time for </w:t>
      </w:r>
      <w:r w:rsidR="000C30B5" w:rsidRPr="00AC6E74">
        <w:t>duration of response</w:t>
      </w:r>
      <w:r w:rsidRPr="00AC6E74">
        <w:t xml:space="preserve"> was not sufficiently mature (at median follow</w:t>
      </w:r>
      <w:r w:rsidR="008C12AD" w:rsidRPr="00AC6E74">
        <w:noBreakHyphen/>
      </w:r>
      <w:r w:rsidRPr="00AC6E74">
        <w:t>up of 6.9</w:t>
      </w:r>
      <w:r w:rsidR="008C12AD" w:rsidRPr="00AC6E74">
        <w:t> </w:t>
      </w:r>
      <w:r w:rsidRPr="00AC6E74">
        <w:t xml:space="preserve">months) to characterise the upper limit of the 95% CI of </w:t>
      </w:r>
      <w:r w:rsidR="000C30B5" w:rsidRPr="00AC6E74">
        <w:t>duration of response</w:t>
      </w:r>
      <w:r w:rsidRPr="00AC6E74">
        <w:t>.</w:t>
      </w:r>
    </w:p>
    <w:p w14:paraId="3092B129" w14:textId="2B2CE7CE" w:rsidR="00E04ABD" w:rsidRPr="00AC6E74" w:rsidRDefault="008C12AD" w:rsidP="005C6FC9">
      <w:r w:rsidRPr="00AC6E74">
        <w:fldChar w:fldCharType="begin"/>
      </w:r>
      <w:r w:rsidRPr="00AC6E74">
        <w:instrText xml:space="preserve"> REF _Ref129874002 \h </w:instrText>
      </w:r>
      <w:r w:rsidR="00987863" w:rsidRPr="00AC6E74">
        <w:instrText xml:space="preserve"> \* MERGEFORMAT </w:instrText>
      </w:r>
      <w:r w:rsidRPr="00AC6E74">
        <w:fldChar w:fldCharType="separate"/>
      </w:r>
      <w:r w:rsidR="009B21DC" w:rsidRPr="00AC6E74">
        <w:t xml:space="preserve">Table </w:t>
      </w:r>
      <w:r w:rsidR="009B21DC">
        <w:rPr>
          <w:noProof/>
        </w:rPr>
        <w:t>10</w:t>
      </w:r>
      <w:r w:rsidRPr="00AC6E74">
        <w:fldChar w:fldCharType="end"/>
      </w:r>
      <w:r w:rsidRPr="00AC6E74">
        <w:t xml:space="preserve"> below </w:t>
      </w:r>
      <w:r w:rsidR="00E04ABD" w:rsidRPr="00AC6E74">
        <w:t xml:space="preserve">summarises the analysis of Study 20170543 </w:t>
      </w:r>
      <w:r w:rsidR="007F4EEA" w:rsidRPr="00AC6E74">
        <w:t>objective response rate</w:t>
      </w:r>
      <w:r w:rsidR="00E04ABD" w:rsidRPr="00AC6E74">
        <w:t xml:space="preserve"> and </w:t>
      </w:r>
      <w:r w:rsidR="000C30B5" w:rsidRPr="00AC6E74">
        <w:t>duration of response</w:t>
      </w:r>
      <w:r w:rsidR="00E04ABD" w:rsidRPr="00AC6E74">
        <w:t xml:space="preserve"> per </w:t>
      </w:r>
      <w:r w:rsidR="00A4069E" w:rsidRPr="00AC6E74">
        <w:t>blinded independent central review</w:t>
      </w:r>
      <w:r w:rsidRPr="00AC6E74">
        <w:t>.</w:t>
      </w:r>
    </w:p>
    <w:p w14:paraId="0D5C58A8" w14:textId="14621179" w:rsidR="008C12AD" w:rsidRPr="00AC6E74" w:rsidRDefault="008C12AD" w:rsidP="00A84034">
      <w:pPr>
        <w:pStyle w:val="TableTitle"/>
      </w:pPr>
      <w:bookmarkStart w:id="69" w:name="_Ref129874002"/>
      <w:r w:rsidRPr="00AC6E74">
        <w:t xml:space="preserve">Table </w:t>
      </w:r>
      <w:fldSimple w:instr=" SEQ Table \* ARABIC ">
        <w:r w:rsidR="009B21DC">
          <w:rPr>
            <w:noProof/>
          </w:rPr>
          <w:t>10</w:t>
        </w:r>
      </w:fldSimple>
      <w:bookmarkEnd w:id="69"/>
      <w:r w:rsidRPr="00AC6E74">
        <w:t xml:space="preserve">: </w:t>
      </w:r>
      <w:r w:rsidR="00633755" w:rsidRPr="00AC6E74">
        <w:t xml:space="preserve">Study 20170543 (CODEBREAK 100 trial) </w:t>
      </w:r>
      <w:r w:rsidR="001A33CD" w:rsidRPr="00AC6E74">
        <w:t>Phase II non-small cell lung cancer - s</w:t>
      </w:r>
      <w:r w:rsidRPr="00AC6E74">
        <w:t xml:space="preserve">ummary of </w:t>
      </w:r>
      <w:r w:rsidR="00633755" w:rsidRPr="00AC6E74">
        <w:t xml:space="preserve">overall response and duration of responses per </w:t>
      </w:r>
      <w:r w:rsidR="00647199" w:rsidRPr="00AC6E74">
        <w:t xml:space="preserve">blinded independent central review </w:t>
      </w:r>
      <w:r w:rsidRPr="00AC6E74">
        <w:t>(</w:t>
      </w:r>
      <w:r w:rsidR="001A33CD" w:rsidRPr="00AC6E74">
        <w:t>full analysis set)</w:t>
      </w:r>
    </w:p>
    <w:p w14:paraId="0AEB68C5" w14:textId="104C64A5" w:rsidR="008C12AD" w:rsidRPr="00AC6E74" w:rsidRDefault="008C12AD" w:rsidP="00A84034">
      <w:r w:rsidRPr="00AC6E74">
        <w:rPr>
          <w:noProof/>
          <w:lang w:val="en-GB" w:eastAsia="en-GB"/>
        </w:rPr>
        <w:drawing>
          <wp:inline distT="0" distB="0" distL="0" distR="0" wp14:anchorId="6565DF2E" wp14:editId="7D87D24D">
            <wp:extent cx="5400040" cy="2811145"/>
            <wp:effectExtent l="0" t="0" r="0" b="8255"/>
            <wp:docPr id="4" name="Picture 4" descr="Table 10: Study 20170543 (CODEBREAK 100 trial) Phase II non-small cell lung cancer - summary of overall response and duration of responses per blinded independent central review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0: Study 20170543 (CODEBREAK 100 trial) Phase II non-small cell lung cancer - summary of overall response and duration of responses per blinded independent central review (full analysis set)"/>
                    <pic:cNvPicPr/>
                  </pic:nvPicPr>
                  <pic:blipFill>
                    <a:blip r:embed="rId34"/>
                    <a:stretch>
                      <a:fillRect/>
                    </a:stretch>
                  </pic:blipFill>
                  <pic:spPr>
                    <a:xfrm>
                      <a:off x="0" y="0"/>
                      <a:ext cx="5400040" cy="2811145"/>
                    </a:xfrm>
                    <a:prstGeom prst="rect">
                      <a:avLst/>
                    </a:prstGeom>
                  </pic:spPr>
                </pic:pic>
              </a:graphicData>
            </a:graphic>
          </wp:inline>
        </w:drawing>
      </w:r>
    </w:p>
    <w:p w14:paraId="5DBDC6CF" w14:textId="2811A97D" w:rsidR="008C12AD" w:rsidRPr="00AC6E74" w:rsidRDefault="00A84034" w:rsidP="0049641B">
      <w:pPr>
        <w:pStyle w:val="TableDescription"/>
      </w:pPr>
      <w:r w:rsidRPr="00AC6E74">
        <w:t xml:space="preserve">Abbreviations: </w:t>
      </w:r>
      <w:r w:rsidR="00647199" w:rsidRPr="00AC6E74">
        <w:t xml:space="preserve">BICR = blinded independent central review; </w:t>
      </w:r>
      <w:r w:rsidR="0049641B" w:rsidRPr="00AC6E74">
        <w:t xml:space="preserve">chemo = chemotherapy; </w:t>
      </w:r>
      <w:r w:rsidR="00647199" w:rsidRPr="00AC6E74">
        <w:t xml:space="preserve">CI = confidence interval; DOR = duration of response; </w:t>
      </w:r>
      <w:r w:rsidR="0049641B" w:rsidRPr="00AC6E74">
        <w:t xml:space="preserve">IO = immuno-oncology; </w:t>
      </w:r>
      <w:r w:rsidR="00647199" w:rsidRPr="00AC6E74">
        <w:t>N</w:t>
      </w:r>
      <w:r w:rsidR="0049641B" w:rsidRPr="00AC6E74">
        <w:t xml:space="preserve"> </w:t>
      </w:r>
      <w:r w:rsidR="00647199" w:rsidRPr="00AC6E74">
        <w:t xml:space="preserve">= total number of subjects; n = number of subjects in subgroup; </w:t>
      </w:r>
      <w:r w:rsidR="008C12AD" w:rsidRPr="00AC6E74">
        <w:t>NE = not estimable.</w:t>
      </w:r>
    </w:p>
    <w:p w14:paraId="087A7BEA" w14:textId="5A9B52BF" w:rsidR="008C12AD" w:rsidRPr="00AC6E74" w:rsidRDefault="008C12AD" w:rsidP="0049641B">
      <w:pPr>
        <w:pStyle w:val="TableDescription"/>
      </w:pPr>
      <w:r w:rsidRPr="00AC6E74">
        <w:t>Source: data extracted from the United States Food and Drug Administration Multi-Discipline Review and Evaluation for Lumakras (</w:t>
      </w:r>
      <w:proofErr w:type="spellStart"/>
      <w:r w:rsidRPr="00AC6E74">
        <w:t>sotorasib</w:t>
      </w:r>
      <w:proofErr w:type="spellEnd"/>
      <w:r w:rsidRPr="00AC6E74">
        <w:t>).</w:t>
      </w:r>
      <w:r w:rsidRPr="00AC6E74">
        <w:rPr>
          <w:vertAlign w:val="superscript"/>
        </w:rPr>
        <w:fldChar w:fldCharType="begin"/>
      </w:r>
      <w:r w:rsidRPr="00AC6E74">
        <w:rPr>
          <w:vertAlign w:val="superscript"/>
        </w:rPr>
        <w:instrText xml:space="preserve"> NOTEREF _Ref129869188 \h  \* MERGEFORMAT </w:instrText>
      </w:r>
      <w:r w:rsidRPr="00AC6E74">
        <w:rPr>
          <w:vertAlign w:val="superscript"/>
        </w:rPr>
      </w:r>
      <w:r w:rsidRPr="00AC6E74">
        <w:rPr>
          <w:vertAlign w:val="superscript"/>
        </w:rPr>
        <w:fldChar w:fldCharType="separate"/>
      </w:r>
      <w:r w:rsidR="009B21DC">
        <w:rPr>
          <w:vertAlign w:val="superscript"/>
        </w:rPr>
        <w:t>9</w:t>
      </w:r>
      <w:r w:rsidRPr="00AC6E74">
        <w:rPr>
          <w:vertAlign w:val="superscript"/>
        </w:rPr>
        <w:fldChar w:fldCharType="end"/>
      </w:r>
    </w:p>
    <w:p w14:paraId="6E0F5431" w14:textId="0D645879" w:rsidR="00E04ABD" w:rsidRPr="00AC6E74" w:rsidRDefault="00E04ABD" w:rsidP="005C6FC9">
      <w:pPr>
        <w:pStyle w:val="Heading6"/>
      </w:pPr>
      <w:r w:rsidRPr="00AC6E74">
        <w:lastRenderedPageBreak/>
        <w:t xml:space="preserve">Results </w:t>
      </w:r>
      <w:r w:rsidR="008C12AD" w:rsidRPr="00AC6E74">
        <w:t>on o</w:t>
      </w:r>
      <w:r w:rsidRPr="00AC6E74">
        <w:t>ther endpoints</w:t>
      </w:r>
    </w:p>
    <w:p w14:paraId="5D1DC872" w14:textId="68E7C051" w:rsidR="00E04ABD" w:rsidRPr="00AC6E74" w:rsidRDefault="008C12AD" w:rsidP="005C6FC9">
      <w:pPr>
        <w:pStyle w:val="Heading7"/>
        <w:rPr>
          <w:sz w:val="22"/>
          <w:szCs w:val="28"/>
        </w:rPr>
      </w:pPr>
      <w:r w:rsidRPr="00AC6E74">
        <w:rPr>
          <w:sz w:val="22"/>
          <w:szCs w:val="28"/>
        </w:rPr>
        <w:t>D</w:t>
      </w:r>
      <w:r w:rsidR="000C30B5" w:rsidRPr="00AC6E74">
        <w:rPr>
          <w:sz w:val="22"/>
          <w:szCs w:val="28"/>
        </w:rPr>
        <w:t>uration of response</w:t>
      </w:r>
    </w:p>
    <w:p w14:paraId="5A9FA5F0" w14:textId="202D5D01" w:rsidR="00E04ABD" w:rsidRPr="00AC6E74" w:rsidRDefault="00E04ABD" w:rsidP="005C6FC9">
      <w:r w:rsidRPr="00AC6E74">
        <w:t xml:space="preserve">The analysis of </w:t>
      </w:r>
      <w:r w:rsidR="000C30B5" w:rsidRPr="00AC6E74">
        <w:t>duration of response</w:t>
      </w:r>
      <w:r w:rsidRPr="00AC6E74">
        <w:t xml:space="preserve"> is based on a final data </w:t>
      </w:r>
      <w:r w:rsidR="00B96C21" w:rsidRPr="00AC6E74">
        <w:t>cut-off</w:t>
      </w:r>
      <w:r w:rsidRPr="00AC6E74">
        <w:t xml:space="preserve"> date of </w:t>
      </w:r>
      <w:r w:rsidR="008C12AD" w:rsidRPr="00AC6E74">
        <w:t>1 </w:t>
      </w:r>
      <w:r w:rsidRPr="00AC6E74">
        <w:t>December</w:t>
      </w:r>
      <w:r w:rsidR="008C12AD" w:rsidRPr="00AC6E74">
        <w:t> </w:t>
      </w:r>
      <w:r w:rsidRPr="00AC6E74">
        <w:t xml:space="preserve">2020, with a median </w:t>
      </w:r>
      <w:r w:rsidR="000C30B5" w:rsidRPr="00AC6E74">
        <w:t>duration of response</w:t>
      </w:r>
      <w:r w:rsidRPr="00AC6E74">
        <w:t xml:space="preserve"> of 10.0 months (95% CI: 6.9, </w:t>
      </w:r>
      <w:r w:rsidR="001E55DF">
        <w:t xml:space="preserve">upper bound </w:t>
      </w:r>
      <w:r w:rsidR="008C12AD" w:rsidRPr="00AC6E74">
        <w:t>not estimable</w:t>
      </w:r>
      <w:r w:rsidRPr="00AC6E74">
        <w:t>).</w:t>
      </w:r>
    </w:p>
    <w:p w14:paraId="39ADD0F0" w14:textId="4416B0DE" w:rsidR="00E04ABD" w:rsidRPr="00AC6E74" w:rsidRDefault="008C12AD" w:rsidP="005C6FC9">
      <w:pPr>
        <w:pStyle w:val="Heading7"/>
        <w:rPr>
          <w:sz w:val="22"/>
          <w:szCs w:val="28"/>
        </w:rPr>
      </w:pPr>
      <w:r w:rsidRPr="00AC6E74">
        <w:rPr>
          <w:sz w:val="22"/>
          <w:szCs w:val="28"/>
        </w:rPr>
        <w:t>Progression free survival and overall survival</w:t>
      </w:r>
    </w:p>
    <w:p w14:paraId="5C355E7A" w14:textId="7B700ADC" w:rsidR="00E04ABD" w:rsidRPr="00AC6E74" w:rsidRDefault="00E04ABD" w:rsidP="005C6FC9">
      <w:r w:rsidRPr="00AC6E74">
        <w:t xml:space="preserve">The </w:t>
      </w:r>
      <w:r w:rsidR="007F4EEA" w:rsidRPr="00AC6E74">
        <w:t>progression free survival</w:t>
      </w:r>
      <w:r w:rsidRPr="00AC6E74">
        <w:t xml:space="preserve"> and </w:t>
      </w:r>
      <w:r w:rsidR="007F4EEA" w:rsidRPr="00AC6E74">
        <w:t>overall survival</w:t>
      </w:r>
      <w:r w:rsidRPr="00AC6E74">
        <w:t xml:space="preserve"> analyses </w:t>
      </w:r>
      <w:proofErr w:type="gramStart"/>
      <w:r w:rsidRPr="00AC6E74">
        <w:t>are considered to be</w:t>
      </w:r>
      <w:proofErr w:type="gramEnd"/>
      <w:r w:rsidRPr="00AC6E74">
        <w:t xml:space="preserve"> uninterpretable in this single arm study.</w:t>
      </w:r>
      <w:r w:rsidR="008C12AD" w:rsidRPr="00AC6E74">
        <w:rPr>
          <w:rStyle w:val="FootnoteReference"/>
        </w:rPr>
        <w:footnoteReference w:id="15"/>
      </w:r>
      <w:r w:rsidR="002A2318" w:rsidRPr="00AC6E74">
        <w:t xml:space="preserve"> </w:t>
      </w:r>
      <w:r w:rsidRPr="00AC6E74">
        <w:t xml:space="preserve">For completeness, median </w:t>
      </w:r>
      <w:r w:rsidR="007F4EEA" w:rsidRPr="00AC6E74">
        <w:t>progression free survival</w:t>
      </w:r>
      <w:r w:rsidRPr="00AC6E74">
        <w:t xml:space="preserve"> was 6.7 months based on central review (median follow</w:t>
      </w:r>
      <w:r w:rsidR="007F4EEA" w:rsidRPr="00AC6E74">
        <w:t> </w:t>
      </w:r>
      <w:r w:rsidRPr="00AC6E74">
        <w:t xml:space="preserve">up time of 8.3 months), and median </w:t>
      </w:r>
      <w:r w:rsidR="007F4EEA" w:rsidRPr="00AC6E74">
        <w:t>overall survival</w:t>
      </w:r>
      <w:r w:rsidRPr="00AC6E74">
        <w:t xml:space="preserve"> of 12.0 months (with median follow-up time of 9.3</w:t>
      </w:r>
      <w:r w:rsidR="007F4EEA" w:rsidRPr="00AC6E74">
        <w:t> </w:t>
      </w:r>
      <w:r w:rsidRPr="00AC6E74">
        <w:t>months).</w:t>
      </w:r>
    </w:p>
    <w:p w14:paraId="06765F9E" w14:textId="69CB4001" w:rsidR="00E04ABD" w:rsidRPr="00AC6E74" w:rsidRDefault="00E04ABD" w:rsidP="005C6FC9">
      <w:pPr>
        <w:pStyle w:val="Heading7"/>
        <w:rPr>
          <w:sz w:val="22"/>
          <w:szCs w:val="28"/>
        </w:rPr>
      </w:pPr>
      <w:r w:rsidRPr="00AC6E74">
        <w:rPr>
          <w:sz w:val="22"/>
          <w:szCs w:val="28"/>
        </w:rPr>
        <w:t>Dose</w:t>
      </w:r>
      <w:r w:rsidR="007F4EEA" w:rsidRPr="00AC6E74">
        <w:rPr>
          <w:sz w:val="22"/>
          <w:szCs w:val="28"/>
        </w:rPr>
        <w:t xml:space="preserve"> and </w:t>
      </w:r>
      <w:r w:rsidRPr="00AC6E74">
        <w:rPr>
          <w:sz w:val="22"/>
          <w:szCs w:val="28"/>
        </w:rPr>
        <w:t>dose response</w:t>
      </w:r>
    </w:p>
    <w:p w14:paraId="063ED617" w14:textId="4B3089A9" w:rsidR="00E04ABD" w:rsidRPr="00AC6E74" w:rsidRDefault="00E04ABD" w:rsidP="005C6FC9">
      <w:r w:rsidRPr="00AC6E74">
        <w:t xml:space="preserve">The </w:t>
      </w:r>
      <w:r w:rsidR="007F4EEA" w:rsidRPr="00AC6E74">
        <w:t>clinical evaluation</w:t>
      </w:r>
      <w:r w:rsidRPr="00AC6E74">
        <w:t xml:space="preserve"> has identified an issue with dosing optimisation and does not agree with the </w:t>
      </w:r>
      <w:r w:rsidR="00226918" w:rsidRPr="00AC6E74">
        <w:t>sponsor</w:t>
      </w:r>
      <w:r w:rsidRPr="00AC6E74">
        <w:t xml:space="preserve"> that the proposed dosing regimen of 96</w:t>
      </w:r>
      <w:r w:rsidR="000348AE" w:rsidRPr="00AC6E74">
        <w:t>0 mg</w:t>
      </w:r>
      <w:r w:rsidRPr="00AC6E74">
        <w:t xml:space="preserve"> daily is fully supported by the observed efficacy data given that the 95% CI around the </w:t>
      </w:r>
      <w:r w:rsidR="007F4EEA" w:rsidRPr="00AC6E74">
        <w:t>objective response rate</w:t>
      </w:r>
      <w:r w:rsidRPr="00AC6E74">
        <w:t xml:space="preserve">s observed in patients enrolled at lower dose levels were wide due to small sample sizes and included the </w:t>
      </w:r>
      <w:r w:rsidR="007F4EEA" w:rsidRPr="00AC6E74">
        <w:t>objective response rate</w:t>
      </w:r>
      <w:r w:rsidRPr="00AC6E74">
        <w:t xml:space="preserve"> observed in the primary efficacy population.</w:t>
      </w:r>
      <w:r w:rsidR="007F4EEA" w:rsidRPr="00AC6E74">
        <w:t xml:space="preserve"> S</w:t>
      </w:r>
      <w:r w:rsidRPr="00AC6E74">
        <w:t xml:space="preserve">ee </w:t>
      </w:r>
      <w:r w:rsidRPr="00AC6E74">
        <w:rPr>
          <w:i/>
          <w:iCs/>
        </w:rPr>
        <w:t>clinical pharmacology</w:t>
      </w:r>
      <w:r w:rsidRPr="00AC6E74">
        <w:t xml:space="preserve"> section above.</w:t>
      </w:r>
    </w:p>
    <w:p w14:paraId="33A7F1D8" w14:textId="03113214" w:rsidR="00E04ABD" w:rsidRPr="00AC6E74" w:rsidRDefault="00A4069E" w:rsidP="005C6FC9">
      <w:pPr>
        <w:pStyle w:val="Heading7"/>
        <w:rPr>
          <w:sz w:val="22"/>
          <w:szCs w:val="28"/>
        </w:rPr>
      </w:pPr>
      <w:r w:rsidRPr="00AC6E74">
        <w:rPr>
          <w:sz w:val="22"/>
          <w:szCs w:val="28"/>
        </w:rPr>
        <w:t>Patient reported outcome</w:t>
      </w:r>
      <w:r w:rsidR="00E04ABD" w:rsidRPr="00AC6E74">
        <w:rPr>
          <w:sz w:val="22"/>
          <w:szCs w:val="28"/>
        </w:rPr>
        <w:t xml:space="preserve"> endpoints:</w:t>
      </w:r>
    </w:p>
    <w:p w14:paraId="4CF5BBDE" w14:textId="2D6BD9BF" w:rsidR="00E04ABD" w:rsidRPr="00AC6E74" w:rsidRDefault="00E04ABD" w:rsidP="005C6FC9">
      <w:r w:rsidRPr="00AC6E74">
        <w:t xml:space="preserve">The analyses of </w:t>
      </w:r>
      <w:r w:rsidR="00A4069E" w:rsidRPr="00AC6E74">
        <w:t xml:space="preserve">patient reported outcome </w:t>
      </w:r>
      <w:r w:rsidRPr="00AC6E74">
        <w:t>endpoints are considered exploratory and interpretable given the single arm study design.</w:t>
      </w:r>
    </w:p>
    <w:p w14:paraId="2FC0ACAE" w14:textId="1AB7F6D0" w:rsidR="00E04ABD" w:rsidRPr="00AC6E74" w:rsidRDefault="00E04ABD" w:rsidP="005C6FC9">
      <w:pPr>
        <w:pStyle w:val="Heading6"/>
      </w:pPr>
      <w:r w:rsidRPr="00AC6E74">
        <w:t xml:space="preserve">Integrated </w:t>
      </w:r>
      <w:r w:rsidR="003B75D9" w:rsidRPr="00AC6E74">
        <w:t>review of effectiveness</w:t>
      </w:r>
    </w:p>
    <w:p w14:paraId="0DAD5499" w14:textId="773FF814" w:rsidR="00E04ABD" w:rsidRPr="00AC6E74" w:rsidRDefault="00E04ABD" w:rsidP="005C6FC9">
      <w:r w:rsidRPr="00AC6E74">
        <w:t>Study 20170543 is the only study supporting the efficacy for this submission; efficacy data for patients enrolled in the dose escalation and dose expansion portions of Study 20170543 were evaluated separately and no integrated review of effectiveness was performed.</w:t>
      </w:r>
      <w:r w:rsidR="002A2318" w:rsidRPr="00AC6E74">
        <w:t xml:space="preserve"> </w:t>
      </w:r>
      <w:r w:rsidRPr="00AC6E74">
        <w:t xml:space="preserve">Results from 34 patients with NSCLC who were enrolled in the dose escalation portion of the study and received </w:t>
      </w:r>
      <w:proofErr w:type="spellStart"/>
      <w:r w:rsidRPr="00AC6E74">
        <w:t>sotorasib</w:t>
      </w:r>
      <w:proofErr w:type="spellEnd"/>
      <w:r w:rsidRPr="00AC6E74">
        <w:t xml:space="preserve"> 96</w:t>
      </w:r>
      <w:r w:rsidR="000348AE" w:rsidRPr="00AC6E74">
        <w:t>0 mg</w:t>
      </w:r>
      <w:r w:rsidRPr="00AC6E74">
        <w:t xml:space="preserve"> daily were provided by the </w:t>
      </w:r>
      <w:r w:rsidR="00226918" w:rsidRPr="00AC6E74">
        <w:t>sponsor</w:t>
      </w:r>
      <w:r w:rsidRPr="00AC6E74">
        <w:t>, however, the evaluator has not independently verified these results.</w:t>
      </w:r>
    </w:p>
    <w:p w14:paraId="2226B4EF" w14:textId="77777777" w:rsidR="00E04ABD" w:rsidRPr="00AC6E74" w:rsidRDefault="00E04ABD" w:rsidP="005C6FC9">
      <w:pPr>
        <w:pStyle w:val="Heading6"/>
      </w:pPr>
      <w:r w:rsidRPr="00AC6E74">
        <w:t>Subpopulations</w:t>
      </w:r>
    </w:p>
    <w:p w14:paraId="41F7E980" w14:textId="71A638A6" w:rsidR="00E04ABD" w:rsidRPr="00AC6E74" w:rsidRDefault="00E04ABD" w:rsidP="005C6FC9">
      <w:r w:rsidRPr="00AC6E74">
        <w:t xml:space="preserve">The results of the </w:t>
      </w:r>
      <w:r w:rsidR="007F4EEA" w:rsidRPr="00AC6E74">
        <w:t>objective response rate</w:t>
      </w:r>
      <w:r w:rsidRPr="00AC6E74">
        <w:t xml:space="preserve"> analysis in select patient subgroups are provided in </w:t>
      </w:r>
      <w:r w:rsidR="00500E5E" w:rsidRPr="00AC6E74">
        <w:fldChar w:fldCharType="begin"/>
      </w:r>
      <w:r w:rsidR="00500E5E" w:rsidRPr="00AC6E74">
        <w:instrText xml:space="preserve"> REF _Ref129875563 \h </w:instrText>
      </w:r>
      <w:r w:rsidR="00987863" w:rsidRPr="00AC6E74">
        <w:instrText xml:space="preserve"> \* MERGEFORMAT </w:instrText>
      </w:r>
      <w:r w:rsidR="00500E5E" w:rsidRPr="00AC6E74">
        <w:fldChar w:fldCharType="separate"/>
      </w:r>
      <w:r w:rsidR="009B21DC" w:rsidRPr="00AC6E74">
        <w:t xml:space="preserve">Table </w:t>
      </w:r>
      <w:r w:rsidR="009B21DC">
        <w:rPr>
          <w:noProof/>
        </w:rPr>
        <w:t>11</w:t>
      </w:r>
      <w:r w:rsidR="00500E5E" w:rsidRPr="00AC6E74">
        <w:fldChar w:fldCharType="end"/>
      </w:r>
      <w:r w:rsidR="00500E5E" w:rsidRPr="00AC6E74">
        <w:t xml:space="preserve"> below</w:t>
      </w:r>
      <w:r w:rsidRPr="00AC6E74">
        <w:t>.</w:t>
      </w:r>
    </w:p>
    <w:p w14:paraId="7CD80F66" w14:textId="5ED6774F" w:rsidR="00500E5E" w:rsidRPr="00AC6E74" w:rsidRDefault="00500E5E" w:rsidP="00A84034">
      <w:pPr>
        <w:pStyle w:val="TableTitle"/>
      </w:pPr>
      <w:bookmarkStart w:id="70" w:name="_Ref129875563"/>
      <w:r w:rsidRPr="00AC6E74">
        <w:lastRenderedPageBreak/>
        <w:t xml:space="preserve">Table </w:t>
      </w:r>
      <w:fldSimple w:instr=" SEQ Table \* ARABIC ">
        <w:r w:rsidR="009B21DC">
          <w:rPr>
            <w:noProof/>
          </w:rPr>
          <w:t>11</w:t>
        </w:r>
      </w:fldSimple>
      <w:bookmarkEnd w:id="70"/>
      <w:r w:rsidRPr="00AC6E74">
        <w:t xml:space="preserve">: </w:t>
      </w:r>
      <w:r w:rsidR="00633755" w:rsidRPr="00AC6E74">
        <w:t xml:space="preserve">Study 20170543 (CODEBREAK 100 trial) </w:t>
      </w:r>
      <w:r w:rsidR="001A33CD" w:rsidRPr="00AC6E74">
        <w:t>Phase II non-small cell lung cancer - s</w:t>
      </w:r>
      <w:r w:rsidRPr="00AC6E74">
        <w:t xml:space="preserve">ummary of </w:t>
      </w:r>
      <w:r w:rsidR="001A33CD" w:rsidRPr="00AC6E74">
        <w:t xml:space="preserve">overall response in subgroups </w:t>
      </w:r>
      <w:r w:rsidRPr="00AC6E74">
        <w:t xml:space="preserve">per </w:t>
      </w:r>
      <w:r w:rsidR="0049641B" w:rsidRPr="00AC6E74">
        <w:t>blinded independent central review</w:t>
      </w:r>
      <w:r w:rsidRPr="00AC6E74">
        <w:t xml:space="preserve"> (</w:t>
      </w:r>
      <w:r w:rsidR="001A33CD" w:rsidRPr="00AC6E74">
        <w:t>full analysis set)</w:t>
      </w:r>
    </w:p>
    <w:p w14:paraId="2731B0DE" w14:textId="687BEF4D" w:rsidR="00500E5E" w:rsidRPr="00AC6E74" w:rsidRDefault="00500E5E" w:rsidP="00A84034">
      <w:r w:rsidRPr="00AC6E74">
        <w:rPr>
          <w:noProof/>
          <w:lang w:val="en-GB" w:eastAsia="en-GB"/>
        </w:rPr>
        <w:drawing>
          <wp:inline distT="0" distB="0" distL="0" distR="0" wp14:anchorId="75985E25" wp14:editId="133C06D6">
            <wp:extent cx="4835147" cy="6988333"/>
            <wp:effectExtent l="19050" t="19050" r="22860" b="22225"/>
            <wp:docPr id="6" name="Picture 6" descr="Table 11: Study 20170543 (CODEBREAK 100 trial) Phase II non-small cell lung cancer - summary of overall response in subgroups per blinded independent central review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11: Study 20170543 (CODEBREAK 100 trial) Phase II non-small cell lung cancer - summary of overall response in subgroups per blinded independent central review (full analysis set)"/>
                    <pic:cNvPicPr/>
                  </pic:nvPicPr>
                  <pic:blipFill>
                    <a:blip r:embed="rId35"/>
                    <a:stretch>
                      <a:fillRect/>
                    </a:stretch>
                  </pic:blipFill>
                  <pic:spPr>
                    <a:xfrm>
                      <a:off x="0" y="0"/>
                      <a:ext cx="4847442" cy="7006103"/>
                    </a:xfrm>
                    <a:prstGeom prst="rect">
                      <a:avLst/>
                    </a:prstGeom>
                    <a:ln w="12700">
                      <a:solidFill>
                        <a:schemeClr val="tx1"/>
                      </a:solidFill>
                    </a:ln>
                  </pic:spPr>
                </pic:pic>
              </a:graphicData>
            </a:graphic>
          </wp:inline>
        </w:drawing>
      </w:r>
    </w:p>
    <w:p w14:paraId="3721FEAE" w14:textId="2E6FDA40" w:rsidR="0049641B" w:rsidRPr="00AC6E74" w:rsidRDefault="0049641B" w:rsidP="00481AD4">
      <w:pPr>
        <w:pStyle w:val="TableDescription"/>
      </w:pPr>
      <w:r w:rsidRPr="00AC6E74">
        <w:t>Abbreviations: BICR = blinded independent central review; chemo = chemotherapy; CI = confidence interval; ECOG = Eastern Cooperative Oncology Group; N = total number of subjects; n = number of subjects in subgroup; ORR = objective response rate; PD-1 = programmed cell death protein 1; PD-L1 = programmed death-ligand 1.</w:t>
      </w:r>
    </w:p>
    <w:p w14:paraId="28C1E787" w14:textId="51616BF5" w:rsidR="00500E5E" w:rsidRPr="00AC6E74" w:rsidRDefault="00500E5E" w:rsidP="00481AD4">
      <w:pPr>
        <w:pStyle w:val="TableDescription"/>
      </w:pPr>
      <w:r w:rsidRPr="00AC6E74">
        <w:t>Source: data extracted from the United States Food and Drug Administration Multi-Discipline Review and Evaluation for Lumakras (</w:t>
      </w:r>
      <w:proofErr w:type="spellStart"/>
      <w:r w:rsidRPr="00AC6E74">
        <w:t>sotorasib</w:t>
      </w:r>
      <w:proofErr w:type="spellEnd"/>
      <w:r w:rsidRPr="00AC6E74">
        <w:t>).</w:t>
      </w:r>
      <w:r w:rsidRPr="00AC6E74">
        <w:rPr>
          <w:vertAlign w:val="superscript"/>
        </w:rPr>
        <w:fldChar w:fldCharType="begin"/>
      </w:r>
      <w:r w:rsidRPr="00AC6E74">
        <w:rPr>
          <w:vertAlign w:val="superscript"/>
        </w:rPr>
        <w:instrText xml:space="preserve"> NOTEREF _Ref129869188 \h  \* MERGEFORMAT </w:instrText>
      </w:r>
      <w:r w:rsidRPr="00AC6E74">
        <w:rPr>
          <w:vertAlign w:val="superscript"/>
        </w:rPr>
      </w:r>
      <w:r w:rsidRPr="00AC6E74">
        <w:rPr>
          <w:vertAlign w:val="superscript"/>
        </w:rPr>
        <w:fldChar w:fldCharType="separate"/>
      </w:r>
      <w:r w:rsidR="009B21DC">
        <w:rPr>
          <w:vertAlign w:val="superscript"/>
        </w:rPr>
        <w:t>9</w:t>
      </w:r>
      <w:r w:rsidRPr="00AC6E74">
        <w:rPr>
          <w:vertAlign w:val="superscript"/>
        </w:rPr>
        <w:fldChar w:fldCharType="end"/>
      </w:r>
    </w:p>
    <w:p w14:paraId="7CB46F13" w14:textId="31161507" w:rsidR="003B75D9" w:rsidRPr="00AC6E74" w:rsidRDefault="003B75D9" w:rsidP="003B75D9">
      <w:r w:rsidRPr="00AC6E74">
        <w:lastRenderedPageBreak/>
        <w:t>The responses observed in each subgroup are consistent across the different subgroups except for the following: patients with brain metastasis at baseline (objective response rate: 15%; 95% CI: 4.4, 35), Asian race (objective response rate: 17%; 95% CI: 3.6, 41) and Asian region (objective response rate: 9%; 95% CI: 0.2, 41). The 95% CIs are wide for many of the subgroups (for example, race, regions, current smokers, never smokers, patients who did not receive prior treatment with a PD-(L)1 inhibitor) due to small sample sizes.</w:t>
      </w:r>
    </w:p>
    <w:p w14:paraId="7630BECA" w14:textId="7CCE600D" w:rsidR="00E04ABD" w:rsidRPr="00AC6E74" w:rsidRDefault="00E04ABD" w:rsidP="005C6FC9">
      <w:pPr>
        <w:pStyle w:val="Heading6"/>
      </w:pPr>
      <w:r w:rsidRPr="00AC6E74">
        <w:t xml:space="preserve">Additional </w:t>
      </w:r>
      <w:r w:rsidR="00DF3269" w:rsidRPr="00AC6E74">
        <w:t>efficacy considerations</w:t>
      </w:r>
    </w:p>
    <w:p w14:paraId="7070CD90" w14:textId="73CB45E4" w:rsidR="00E04ABD" w:rsidRPr="00AC6E74" w:rsidRDefault="007F4EEA" w:rsidP="005C6FC9">
      <w:r w:rsidRPr="00AC6E74">
        <w:t>objective response rate</w:t>
      </w:r>
      <w:r w:rsidR="00E04ABD" w:rsidRPr="00AC6E74">
        <w:t>s observed in patients enrolled at lower dose levels in the dose escalation portion of Study</w:t>
      </w:r>
      <w:r w:rsidR="00DF3269" w:rsidRPr="00AC6E74">
        <w:t> </w:t>
      </w:r>
      <w:r w:rsidR="00E04ABD" w:rsidRPr="00AC6E74">
        <w:t>20170543 (ranging from 18</w:t>
      </w:r>
      <w:r w:rsidR="000348AE" w:rsidRPr="00AC6E74">
        <w:t xml:space="preserve">0 </w:t>
      </w:r>
      <w:r w:rsidR="00E04ABD" w:rsidRPr="00AC6E74">
        <w:t>to 72</w:t>
      </w:r>
      <w:r w:rsidR="000348AE" w:rsidRPr="00AC6E74">
        <w:t>0 mg</w:t>
      </w:r>
      <w:r w:rsidR="00E04ABD" w:rsidRPr="00AC6E74">
        <w:t>), were similar in magnitude to those observed at the 96</w:t>
      </w:r>
      <w:r w:rsidR="000348AE" w:rsidRPr="00AC6E74">
        <w:t>0 mg</w:t>
      </w:r>
      <w:r w:rsidR="00E04ABD" w:rsidRPr="00AC6E74">
        <w:t xml:space="preserve"> dose level, with responses at each lower dose level.</w:t>
      </w:r>
      <w:r w:rsidR="002A2318" w:rsidRPr="00AC6E74">
        <w:t xml:space="preserve"> </w:t>
      </w:r>
      <w:r w:rsidR="00E04ABD" w:rsidRPr="00AC6E74">
        <w:t xml:space="preserve">However, the total number of patients enrolled at all the lower dose levels combined was 24, resulting in wide and overlapping 95% confidence intervals around the </w:t>
      </w:r>
      <w:r w:rsidRPr="00AC6E74">
        <w:t>objective response rate</w:t>
      </w:r>
      <w:r w:rsidR="00E04ABD" w:rsidRPr="00AC6E74">
        <w:t>s observed across all doses.</w:t>
      </w:r>
      <w:r w:rsidR="002A2318" w:rsidRPr="00AC6E74">
        <w:t xml:space="preserve"> </w:t>
      </w:r>
      <w:r w:rsidR="00E04ABD" w:rsidRPr="00AC6E74">
        <w:t>Consequently, as the nonclinical data suggests that target saturation can be achieved at exposure levels with lower doses, and that there was not a clear dose</w:t>
      </w:r>
      <w:r w:rsidR="00DF3269" w:rsidRPr="00AC6E74">
        <w:t xml:space="preserve"> </w:t>
      </w:r>
      <w:r w:rsidR="00E04ABD" w:rsidRPr="00AC6E74">
        <w:t xml:space="preserve">response relationship for </w:t>
      </w:r>
      <w:r w:rsidRPr="00AC6E74">
        <w:t>objective response rate</w:t>
      </w:r>
      <w:r w:rsidR="00E04ABD" w:rsidRPr="00AC6E74">
        <w:t xml:space="preserve"> observed across the tested doses, a post-marketing requirement dose optimisation study will be conducted to further characterise the efficacy and safety of </w:t>
      </w:r>
      <w:proofErr w:type="spellStart"/>
      <w:r w:rsidR="00E04ABD" w:rsidRPr="00AC6E74">
        <w:t>sotorasib</w:t>
      </w:r>
      <w:proofErr w:type="spellEnd"/>
      <w:r w:rsidR="00E04ABD" w:rsidRPr="00AC6E74">
        <w:t xml:space="preserve"> at a lower dose.</w:t>
      </w:r>
    </w:p>
    <w:p w14:paraId="328B117D" w14:textId="77777777" w:rsidR="00E04ABD" w:rsidRPr="00AC6E74" w:rsidRDefault="00E04ABD" w:rsidP="005C6FC9">
      <w:pPr>
        <w:pStyle w:val="Heading4"/>
      </w:pPr>
      <w:r w:rsidRPr="00AC6E74">
        <w:t>Safety</w:t>
      </w:r>
    </w:p>
    <w:p w14:paraId="2C0C89B9" w14:textId="54ED5187" w:rsidR="00E04ABD" w:rsidRPr="00AC6E74" w:rsidRDefault="00E04ABD" w:rsidP="005C6FC9">
      <w:pPr>
        <w:pStyle w:val="Heading5"/>
      </w:pPr>
      <w:r w:rsidRPr="00AC6E74">
        <w:t xml:space="preserve">Safety review approach </w:t>
      </w:r>
      <w:r w:rsidR="00DF3269" w:rsidRPr="00AC6E74">
        <w:t xml:space="preserve">and </w:t>
      </w:r>
      <w:r w:rsidRPr="00AC6E74">
        <w:t>overall exposure</w:t>
      </w:r>
    </w:p>
    <w:p w14:paraId="780C39EC" w14:textId="6392FFD0" w:rsidR="00E04ABD" w:rsidRPr="00AC6E74" w:rsidRDefault="00E04ABD" w:rsidP="005C6FC9">
      <w:r w:rsidRPr="00AC6E74">
        <w:t xml:space="preserve">In Study 20170543 at data </w:t>
      </w:r>
      <w:r w:rsidR="00B96C21" w:rsidRPr="00AC6E74">
        <w:t>cut-off</w:t>
      </w:r>
      <w:r w:rsidRPr="00AC6E74">
        <w:t xml:space="preserve"> date, 427 patients had received </w:t>
      </w:r>
      <w:proofErr w:type="spellStart"/>
      <w:r w:rsidRPr="00AC6E74">
        <w:t>sotorasib</w:t>
      </w:r>
      <w:proofErr w:type="spellEnd"/>
      <w:r w:rsidRPr="00AC6E74">
        <w:t>; 204</w:t>
      </w:r>
      <w:r w:rsidR="00DF3269" w:rsidRPr="00AC6E74">
        <w:t> </w:t>
      </w:r>
      <w:r w:rsidRPr="00AC6E74">
        <w:t xml:space="preserve">were those with NSCLC who received </w:t>
      </w:r>
      <w:proofErr w:type="spellStart"/>
      <w:r w:rsidRPr="00AC6E74">
        <w:t>sotorasib</w:t>
      </w:r>
      <w:proofErr w:type="spellEnd"/>
      <w:r w:rsidRPr="00AC6E74">
        <w:t xml:space="preserve"> 96</w:t>
      </w:r>
      <w:r w:rsidR="000348AE" w:rsidRPr="00AC6E74">
        <w:t>0 mg</w:t>
      </w:r>
      <w:r w:rsidRPr="00AC6E74">
        <w:t xml:space="preserve"> daily</w:t>
      </w:r>
      <w:r w:rsidR="00DF3269" w:rsidRPr="00AC6E74">
        <w:t>. O</w:t>
      </w:r>
      <w:r w:rsidRPr="00AC6E74">
        <w:t xml:space="preserve">verall, 357 subjects with any tumour type had received </w:t>
      </w:r>
      <w:proofErr w:type="spellStart"/>
      <w:r w:rsidRPr="00AC6E74">
        <w:t>sotorasib</w:t>
      </w:r>
      <w:proofErr w:type="spellEnd"/>
      <w:r w:rsidRPr="00AC6E74">
        <w:t xml:space="preserve"> at the intended 96</w:t>
      </w:r>
      <w:r w:rsidR="000348AE" w:rsidRPr="00AC6E74">
        <w:t>0 mg</w:t>
      </w:r>
      <w:r w:rsidRPr="00AC6E74">
        <w:t xml:space="preserve"> dose.</w:t>
      </w:r>
    </w:p>
    <w:p w14:paraId="08170A06" w14:textId="61E314B5" w:rsidR="00E04ABD" w:rsidRPr="00AC6E74" w:rsidRDefault="00E04ABD" w:rsidP="005C6FC9">
      <w:r w:rsidRPr="00AC6E74">
        <w:t>Subjects with NSCLC treated with 96</w:t>
      </w:r>
      <w:r w:rsidR="000348AE" w:rsidRPr="00AC6E74">
        <w:t>0 mg</w:t>
      </w:r>
      <w:r w:rsidRPr="00AC6E74">
        <w:t xml:space="preserve"> daily received </w:t>
      </w:r>
      <w:proofErr w:type="spellStart"/>
      <w:r w:rsidRPr="00AC6E74">
        <w:t>sotorasib</w:t>
      </w:r>
      <w:proofErr w:type="spellEnd"/>
      <w:r w:rsidRPr="00AC6E74">
        <w:t xml:space="preserve"> monotherapy for a median of 19.5 weeks, with 38.7% of subjects receiving treatment for 6 months</w:t>
      </w:r>
      <w:r w:rsidR="00DF3269" w:rsidRPr="00AC6E74">
        <w:t xml:space="preserve"> or longer</w:t>
      </w:r>
      <w:r w:rsidRPr="00AC6E74">
        <w:t xml:space="preserve"> and 22.1% of subjects receiving treatment for 9 months</w:t>
      </w:r>
      <w:r w:rsidR="00DF3269" w:rsidRPr="00AC6E74">
        <w:t xml:space="preserve"> or longer</w:t>
      </w:r>
      <w:r w:rsidRPr="00AC6E74">
        <w:t>.</w:t>
      </w:r>
      <w:r w:rsidR="002A2318" w:rsidRPr="00AC6E74">
        <w:t xml:space="preserve"> </w:t>
      </w:r>
      <w:r w:rsidRPr="00AC6E74">
        <w:t>For those whose planned dose was 96</w:t>
      </w:r>
      <w:r w:rsidR="000348AE" w:rsidRPr="00AC6E74">
        <w:t>0 mg</w:t>
      </w:r>
      <w:r w:rsidRPr="00AC6E74">
        <w:t xml:space="preserve"> daily, the median average daily dose administered was 96</w:t>
      </w:r>
      <w:r w:rsidR="000348AE" w:rsidRPr="00AC6E74">
        <w:t>0</w:t>
      </w:r>
      <w:r w:rsidR="00DF3269" w:rsidRPr="00AC6E74">
        <w:t> </w:t>
      </w:r>
      <w:r w:rsidR="000348AE" w:rsidRPr="00AC6E74">
        <w:t>mg</w:t>
      </w:r>
      <w:r w:rsidRPr="00AC6E74">
        <w:t xml:space="preserve"> and the median relative dose intensity of </w:t>
      </w:r>
      <w:proofErr w:type="spellStart"/>
      <w:r w:rsidRPr="00AC6E74">
        <w:t>sotorasib</w:t>
      </w:r>
      <w:proofErr w:type="spellEnd"/>
      <w:r w:rsidRPr="00AC6E74">
        <w:t xml:space="preserve"> was 100%.</w:t>
      </w:r>
    </w:p>
    <w:p w14:paraId="76E8423F" w14:textId="17508D3E" w:rsidR="00E04ABD" w:rsidRPr="00AC6E74" w:rsidRDefault="00E04ABD" w:rsidP="005C6FC9">
      <w:r w:rsidRPr="00AC6E74">
        <w:t xml:space="preserve">The safety data provided by the </w:t>
      </w:r>
      <w:r w:rsidR="00226918" w:rsidRPr="00AC6E74">
        <w:t>sponsor</w:t>
      </w:r>
      <w:r w:rsidRPr="00AC6E74">
        <w:t xml:space="preserve"> was considered by the evaluator to be sufficient for</w:t>
      </w:r>
      <w:r w:rsidR="002A2318" w:rsidRPr="00AC6E74">
        <w:t xml:space="preserve"> </w:t>
      </w:r>
      <w:r w:rsidRPr="00AC6E74">
        <w:t xml:space="preserve">assessment of </w:t>
      </w:r>
      <w:proofErr w:type="spellStart"/>
      <w:r w:rsidRPr="00AC6E74">
        <w:t>sotorasib’s</w:t>
      </w:r>
      <w:proofErr w:type="spellEnd"/>
      <w:r w:rsidRPr="00AC6E74">
        <w:t xml:space="preserve"> safety profile (with safety database that includes 357</w:t>
      </w:r>
      <w:r w:rsidR="00DF3269" w:rsidRPr="00AC6E74">
        <w:t> </w:t>
      </w:r>
      <w:r w:rsidRPr="00AC6E74">
        <w:t xml:space="preserve">patients with </w:t>
      </w:r>
      <w:r w:rsidR="00EB463D" w:rsidRPr="00AC6E74">
        <w:rPr>
          <w:i/>
          <w:iCs/>
        </w:rPr>
        <w:t>KRAS G12C</w:t>
      </w:r>
      <w:r w:rsidR="003E7696" w:rsidRPr="00AC6E74">
        <w:t>-</w:t>
      </w:r>
      <w:r w:rsidRPr="00AC6E74">
        <w:t xml:space="preserve">mutated solid tumours who received at least one dose of </w:t>
      </w:r>
      <w:proofErr w:type="spellStart"/>
      <w:r w:rsidRPr="00AC6E74">
        <w:t>sotorasib</w:t>
      </w:r>
      <w:proofErr w:type="spellEnd"/>
      <w:r w:rsidRPr="00AC6E74">
        <w:t xml:space="preserve"> 96</w:t>
      </w:r>
      <w:r w:rsidR="000348AE" w:rsidRPr="00AC6E74">
        <w:t>0 mg</w:t>
      </w:r>
      <w:r w:rsidRPr="00AC6E74">
        <w:t xml:space="preserve">) and agreed with the </w:t>
      </w:r>
      <w:r w:rsidR="00226918" w:rsidRPr="00AC6E74">
        <w:t>sponsor</w:t>
      </w:r>
      <w:r w:rsidRPr="00AC6E74">
        <w:t>’s safety review approach.</w:t>
      </w:r>
      <w:r w:rsidR="002A2318" w:rsidRPr="00AC6E74">
        <w:t xml:space="preserve"> </w:t>
      </w:r>
      <w:r w:rsidRPr="00AC6E74">
        <w:t>The primary safety population consisted of 204 patients enrolled in Study</w:t>
      </w:r>
      <w:r w:rsidR="00DF3269" w:rsidRPr="00AC6E74">
        <w:t> </w:t>
      </w:r>
      <w:r w:rsidRPr="00AC6E74">
        <w:t xml:space="preserve">20170543 with </w:t>
      </w:r>
      <w:r w:rsidR="00EB463D" w:rsidRPr="00AC6E74">
        <w:rPr>
          <w:i/>
          <w:iCs/>
        </w:rPr>
        <w:t>KRAS</w:t>
      </w:r>
      <w:r w:rsidR="003E7696" w:rsidRPr="00AC6E74">
        <w:rPr>
          <w:i/>
          <w:iCs/>
        </w:rPr>
        <w:t> </w:t>
      </w:r>
      <w:r w:rsidR="00EB463D" w:rsidRPr="00AC6E74">
        <w:rPr>
          <w:i/>
          <w:iCs/>
        </w:rPr>
        <w:t>G12C</w:t>
      </w:r>
      <w:r w:rsidR="003E7696" w:rsidRPr="00AC6E74">
        <w:noBreakHyphen/>
      </w:r>
      <w:r w:rsidRPr="00AC6E74">
        <w:t xml:space="preserve">mutated NSCLC who received at least </w:t>
      </w:r>
      <w:r w:rsidR="00DF3269" w:rsidRPr="00AC6E74">
        <w:t>one</w:t>
      </w:r>
      <w:r w:rsidRPr="00AC6E74">
        <w:t xml:space="preserve"> dose of </w:t>
      </w:r>
      <w:proofErr w:type="spellStart"/>
      <w:r w:rsidRPr="00AC6E74">
        <w:t>sotorasib</w:t>
      </w:r>
      <w:proofErr w:type="spellEnd"/>
      <w:r w:rsidRPr="00AC6E74">
        <w:t xml:space="preserve"> 96</w:t>
      </w:r>
      <w:r w:rsidR="000348AE" w:rsidRPr="00AC6E74">
        <w:t>0 mg</w:t>
      </w:r>
      <w:r w:rsidRPr="00AC6E74">
        <w:t xml:space="preserve"> in the fed or fasted stated.</w:t>
      </w:r>
      <w:r w:rsidR="002A2318" w:rsidRPr="00AC6E74">
        <w:t xml:space="preserve"> </w:t>
      </w:r>
      <w:r w:rsidRPr="00AC6E74">
        <w:t>The safety review was completed using the safety dataset from these 204</w:t>
      </w:r>
      <w:r w:rsidR="00DF3269" w:rsidRPr="00AC6E74">
        <w:t> </w:t>
      </w:r>
      <w:r w:rsidRPr="00AC6E74">
        <w:t xml:space="preserve">patients and compared to safety data from patients with </w:t>
      </w:r>
      <w:r w:rsidR="00EB463D" w:rsidRPr="00AC6E74">
        <w:rPr>
          <w:i/>
          <w:iCs/>
        </w:rPr>
        <w:t>KRAS G12C</w:t>
      </w:r>
      <w:r w:rsidR="003E7696" w:rsidRPr="00AC6E74">
        <w:t>-</w:t>
      </w:r>
      <w:r w:rsidRPr="00AC6E74">
        <w:t>mutated tumours when appropriate.</w:t>
      </w:r>
    </w:p>
    <w:p w14:paraId="47426253" w14:textId="77777777" w:rsidR="00E04ABD" w:rsidRPr="00AC6E74" w:rsidRDefault="00E04ABD" w:rsidP="005C6FC9">
      <w:pPr>
        <w:pStyle w:val="Heading5"/>
      </w:pPr>
      <w:r w:rsidRPr="00AC6E74">
        <w:t>Safety results</w:t>
      </w:r>
    </w:p>
    <w:p w14:paraId="58C2D24F" w14:textId="77777777" w:rsidR="00E04ABD" w:rsidRPr="00AC6E74" w:rsidRDefault="00E04ABD" w:rsidP="005C6FC9">
      <w:pPr>
        <w:pStyle w:val="Heading6"/>
      </w:pPr>
      <w:r w:rsidRPr="00AC6E74">
        <w:t>Deaths</w:t>
      </w:r>
    </w:p>
    <w:p w14:paraId="450AF777" w14:textId="6062DCFD" w:rsidR="00E04ABD" w:rsidRPr="00AC6E74" w:rsidRDefault="00E04ABD" w:rsidP="005C6FC9">
      <w:r w:rsidRPr="00AC6E74">
        <w:t xml:space="preserve">All fatal </w:t>
      </w:r>
      <w:r w:rsidR="001E55DF">
        <w:t>adverse events (</w:t>
      </w:r>
      <w:r w:rsidRPr="00AC6E74">
        <w:t>AEs</w:t>
      </w:r>
      <w:r w:rsidR="001E55DF">
        <w:t>)</w:t>
      </w:r>
      <w:r w:rsidRPr="00AC6E74">
        <w:t xml:space="preserve"> that occurred within the primary safety population at the data </w:t>
      </w:r>
      <w:r w:rsidR="00B96C21" w:rsidRPr="00AC6E74">
        <w:t>cut-off</w:t>
      </w:r>
      <w:r w:rsidRPr="00AC6E74">
        <w:t xml:space="preserve"> of </w:t>
      </w:r>
      <w:r w:rsidR="00DF3269" w:rsidRPr="00AC6E74">
        <w:t>1 </w:t>
      </w:r>
      <w:r w:rsidRPr="00AC6E74">
        <w:t>September 2020 were reviewed.</w:t>
      </w:r>
      <w:r w:rsidR="002A2318" w:rsidRPr="00AC6E74">
        <w:t xml:space="preserve"> </w:t>
      </w:r>
      <w:r w:rsidRPr="00AC6E74">
        <w:t>In general, fatal AEs were rare amongst patients with NSCLC enrolled in Study 20170543.</w:t>
      </w:r>
      <w:r w:rsidR="002A2318" w:rsidRPr="00AC6E74">
        <w:t xml:space="preserve"> </w:t>
      </w:r>
      <w:r w:rsidRPr="00AC6E74">
        <w:t>Death due to AEs that were not clearly related to disease progression or an alternative aetiology according to patient narratives were reported for seven patients (3.4%).</w:t>
      </w:r>
    </w:p>
    <w:p w14:paraId="50C4771B" w14:textId="64E88DAC" w:rsidR="00E04ABD" w:rsidRPr="00AC6E74" w:rsidRDefault="00E04ABD" w:rsidP="005C6FC9">
      <w:r w:rsidRPr="00AC6E74">
        <w:t xml:space="preserve">The fatal AEs for which </w:t>
      </w:r>
      <w:proofErr w:type="spellStart"/>
      <w:r w:rsidRPr="00AC6E74">
        <w:t>sotorasib’s</w:t>
      </w:r>
      <w:proofErr w:type="spellEnd"/>
      <w:r w:rsidRPr="00AC6E74">
        <w:t xml:space="preserve"> involvement could not be ruled out included one case of each of: cardiac failure, cardiac arrest, gastric ulcer, pneumonitis, pneumonia and two cases of respiratory failure.</w:t>
      </w:r>
      <w:r w:rsidR="002A2318" w:rsidRPr="00AC6E74">
        <w:t xml:space="preserve"> </w:t>
      </w:r>
      <w:r w:rsidRPr="00AC6E74">
        <w:t xml:space="preserve">Of these, the case of pneumonitis was possibly attributable to </w:t>
      </w:r>
      <w:proofErr w:type="spellStart"/>
      <w:r w:rsidRPr="00AC6E74">
        <w:t>sotorasib</w:t>
      </w:r>
      <w:proofErr w:type="spellEnd"/>
      <w:r w:rsidRPr="00AC6E74">
        <w:t>, while the other deaths did not have a clear association with the study drug.</w:t>
      </w:r>
    </w:p>
    <w:p w14:paraId="33A517FC" w14:textId="1C95FB6D" w:rsidR="00E04ABD" w:rsidRPr="00AC6E74" w:rsidRDefault="00E04ABD" w:rsidP="005C6FC9">
      <w:pPr>
        <w:pStyle w:val="Heading6"/>
      </w:pPr>
      <w:r w:rsidRPr="00AC6E74">
        <w:lastRenderedPageBreak/>
        <w:t xml:space="preserve">Serious </w:t>
      </w:r>
      <w:r w:rsidR="00DF3269" w:rsidRPr="00AC6E74">
        <w:t>adverse events</w:t>
      </w:r>
    </w:p>
    <w:p w14:paraId="13EE879A" w14:textId="5CCEF93A" w:rsidR="00E04ABD" w:rsidRPr="00AC6E74" w:rsidRDefault="00E04ABD" w:rsidP="005C6FC9">
      <w:r w:rsidRPr="00AC6E74">
        <w:t>The incidence of serious adverse</w:t>
      </w:r>
      <w:r w:rsidR="00171934" w:rsidRPr="00AC6E74">
        <w:t xml:space="preserve"> events</w:t>
      </w:r>
      <w:r w:rsidRPr="00AC6E74">
        <w:t xml:space="preserve"> is outlined in </w:t>
      </w:r>
      <w:r w:rsidR="003B75D9" w:rsidRPr="00AC6E74">
        <w:fldChar w:fldCharType="begin"/>
      </w:r>
      <w:r w:rsidR="003B75D9" w:rsidRPr="00AC6E74">
        <w:instrText xml:space="preserve"> REF _Ref129876270 \h </w:instrText>
      </w:r>
      <w:r w:rsidR="00987863" w:rsidRPr="00AC6E74">
        <w:instrText xml:space="preserve"> \* MERGEFORMAT </w:instrText>
      </w:r>
      <w:r w:rsidR="003B75D9" w:rsidRPr="00AC6E74">
        <w:fldChar w:fldCharType="separate"/>
      </w:r>
      <w:r w:rsidR="009B21DC" w:rsidRPr="00AC6E74">
        <w:t xml:space="preserve">Table </w:t>
      </w:r>
      <w:r w:rsidR="009B21DC">
        <w:rPr>
          <w:noProof/>
        </w:rPr>
        <w:t>12</w:t>
      </w:r>
      <w:r w:rsidR="003B75D9" w:rsidRPr="00AC6E74">
        <w:fldChar w:fldCharType="end"/>
      </w:r>
      <w:r w:rsidR="003B75D9" w:rsidRPr="00AC6E74">
        <w:t xml:space="preserve"> below. </w:t>
      </w:r>
      <w:r w:rsidRPr="00AC6E74">
        <w:t xml:space="preserve">Serious adverse events occurred in approximately 50% of patients treated with </w:t>
      </w:r>
      <w:proofErr w:type="spellStart"/>
      <w:r w:rsidRPr="00AC6E74">
        <w:t>sotorasib</w:t>
      </w:r>
      <w:proofErr w:type="spellEnd"/>
      <w:r w:rsidRPr="00AC6E74">
        <w:t>.</w:t>
      </w:r>
      <w:r w:rsidR="002A2318" w:rsidRPr="00AC6E74">
        <w:t xml:space="preserve"> </w:t>
      </w:r>
      <w:r w:rsidRPr="00AC6E74">
        <w:t>Serious adverse reactions that were not clearly due to disease progression or metastasis occurring in 2%</w:t>
      </w:r>
      <w:r w:rsidR="003070E8">
        <w:t xml:space="preserve"> or more</w:t>
      </w:r>
      <w:r w:rsidRPr="00AC6E74">
        <w:t xml:space="preserve"> of patients were pneumonia (8%), hepatotoxicity (3.4%) and diarrhoea (2%).</w:t>
      </w:r>
    </w:p>
    <w:p w14:paraId="66C0285A" w14:textId="6A7277ED" w:rsidR="00DF3269" w:rsidRPr="00AC6E74" w:rsidRDefault="00DF3269" w:rsidP="00633755">
      <w:pPr>
        <w:pStyle w:val="TableTitle"/>
      </w:pPr>
      <w:bookmarkStart w:id="71" w:name="_Ref129876270"/>
      <w:r w:rsidRPr="00AC6E74">
        <w:t xml:space="preserve">Table </w:t>
      </w:r>
      <w:fldSimple w:instr=" SEQ Table \* ARABIC ">
        <w:r w:rsidR="009B21DC">
          <w:rPr>
            <w:noProof/>
          </w:rPr>
          <w:t>12</w:t>
        </w:r>
      </w:fldSimple>
      <w:bookmarkEnd w:id="71"/>
      <w:r w:rsidRPr="00AC6E74">
        <w:t xml:space="preserve">: </w:t>
      </w:r>
      <w:r w:rsidR="00633755" w:rsidRPr="00AC6E74">
        <w:t xml:space="preserve">Study 20170543 (CODEBREAK 100 trial) </w:t>
      </w:r>
      <w:r w:rsidRPr="00AC6E74">
        <w:t xml:space="preserve">Summary </w:t>
      </w:r>
      <w:r w:rsidR="001A33CD" w:rsidRPr="00AC6E74">
        <w:t xml:space="preserve">of serious adverse events by </w:t>
      </w:r>
      <w:r w:rsidRPr="00AC6E74">
        <w:t xml:space="preserve">Preferred Term </w:t>
      </w:r>
      <w:r w:rsidR="001A33CD" w:rsidRPr="00AC6E74">
        <w:t>o</w:t>
      </w:r>
      <w:r w:rsidRPr="00AC6E74">
        <w:t xml:space="preserve">ccurring in at </w:t>
      </w:r>
      <w:r w:rsidR="001E55DF">
        <w:t>l</w:t>
      </w:r>
      <w:r w:rsidRPr="00AC6E74">
        <w:t xml:space="preserve">east 2% of </w:t>
      </w:r>
      <w:r w:rsidR="001A33CD" w:rsidRPr="00AC6E74">
        <w:t xml:space="preserve">subjects in any group </w:t>
      </w:r>
      <w:r w:rsidRPr="00AC6E74">
        <w:t>(</w:t>
      </w:r>
      <w:r w:rsidR="001A33CD" w:rsidRPr="00AC6E74">
        <w:t>integrated safety analysis set)</w:t>
      </w:r>
    </w:p>
    <w:p w14:paraId="41985510" w14:textId="4B8E4F1A" w:rsidR="003567BB" w:rsidRPr="00AC6E74" w:rsidRDefault="003567BB" w:rsidP="00633755">
      <w:r w:rsidRPr="00AC6E74">
        <w:rPr>
          <w:noProof/>
          <w:lang w:val="en-GB" w:eastAsia="en-GB"/>
        </w:rPr>
        <w:drawing>
          <wp:inline distT="0" distB="0" distL="0" distR="0" wp14:anchorId="4A0E75CB" wp14:editId="497B2261">
            <wp:extent cx="5149901" cy="4815012"/>
            <wp:effectExtent l="19050" t="19050" r="12700" b="24130"/>
            <wp:docPr id="12" name="Picture 12" descr="Table 12: Study 20170543 (CODEBREAK 100 trial) Summary of serious adverse events by Preferred Term occurring in at least 2% of subjects in any group (integrate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12: Study 20170543 (CODEBREAK 100 trial) Summary of serious adverse events by Preferred Term occurring in at least 2% of subjects in any group (integrated safety analysis set)"/>
                    <pic:cNvPicPr/>
                  </pic:nvPicPr>
                  <pic:blipFill>
                    <a:blip r:embed="rId36"/>
                    <a:stretch>
                      <a:fillRect/>
                    </a:stretch>
                  </pic:blipFill>
                  <pic:spPr>
                    <a:xfrm>
                      <a:off x="0" y="0"/>
                      <a:ext cx="5157129" cy="4821770"/>
                    </a:xfrm>
                    <a:prstGeom prst="rect">
                      <a:avLst/>
                    </a:prstGeom>
                    <a:ln w="6350">
                      <a:solidFill>
                        <a:schemeClr val="tx1"/>
                      </a:solidFill>
                    </a:ln>
                  </pic:spPr>
                </pic:pic>
              </a:graphicData>
            </a:graphic>
          </wp:inline>
        </w:drawing>
      </w:r>
    </w:p>
    <w:p w14:paraId="6E751554" w14:textId="656B1F0A" w:rsidR="00BA0E87" w:rsidRPr="00DB11B7" w:rsidRDefault="00BA0E87" w:rsidP="00BA0E87">
      <w:pPr>
        <w:pStyle w:val="TableDescription"/>
        <w:rPr>
          <w:sz w:val="18"/>
        </w:rPr>
      </w:pPr>
      <w:r w:rsidRPr="00DB11B7">
        <w:rPr>
          <w:sz w:val="18"/>
        </w:rPr>
        <w:t>Abbreviations: CRC = colorectal cancer; N = total number of subjects in the analysis set, n = number of subjects with observed data; NSCLC= non-small cell lung cancer; QD = once daily.</w:t>
      </w:r>
    </w:p>
    <w:p w14:paraId="534D6B7E" w14:textId="724AC310" w:rsidR="003567BB" w:rsidRPr="00DB11B7" w:rsidRDefault="00BA0E87" w:rsidP="00633755">
      <w:pPr>
        <w:pStyle w:val="TableDescription"/>
        <w:rPr>
          <w:sz w:val="18"/>
        </w:rPr>
      </w:pPr>
      <w:r w:rsidRPr="00DB11B7">
        <w:rPr>
          <w:sz w:val="18"/>
        </w:rPr>
        <w:t>Phase I</w:t>
      </w:r>
      <w:r w:rsidR="003567BB" w:rsidRPr="00DB11B7">
        <w:rPr>
          <w:sz w:val="18"/>
        </w:rPr>
        <w:t xml:space="preserve"> data cut-off date 6</w:t>
      </w:r>
      <w:r w:rsidR="0049641B" w:rsidRPr="00DB11B7">
        <w:rPr>
          <w:sz w:val="18"/>
        </w:rPr>
        <w:t xml:space="preserve"> July </w:t>
      </w:r>
      <w:r w:rsidR="003567BB" w:rsidRPr="00DB11B7">
        <w:rPr>
          <w:sz w:val="18"/>
        </w:rPr>
        <w:t>2020.</w:t>
      </w:r>
      <w:r w:rsidR="001E55DF" w:rsidRPr="00DB11B7">
        <w:rPr>
          <w:sz w:val="18"/>
        </w:rPr>
        <w:t xml:space="preserve"> </w:t>
      </w:r>
      <w:r w:rsidRPr="00DB11B7">
        <w:rPr>
          <w:sz w:val="18"/>
        </w:rPr>
        <w:t>Phase II</w:t>
      </w:r>
      <w:r w:rsidR="003567BB" w:rsidRPr="00DB11B7">
        <w:rPr>
          <w:sz w:val="18"/>
        </w:rPr>
        <w:t xml:space="preserve"> data cut-off date 1</w:t>
      </w:r>
      <w:r w:rsidR="0049641B" w:rsidRPr="00DB11B7">
        <w:rPr>
          <w:sz w:val="18"/>
        </w:rPr>
        <w:t xml:space="preserve"> September </w:t>
      </w:r>
      <w:r w:rsidR="003567BB" w:rsidRPr="00DB11B7">
        <w:rPr>
          <w:sz w:val="18"/>
        </w:rPr>
        <w:t>2020.</w:t>
      </w:r>
    </w:p>
    <w:p w14:paraId="6F3D34B3" w14:textId="392A336D" w:rsidR="00731F53" w:rsidRPr="00DB11B7" w:rsidRDefault="003567BB" w:rsidP="00633755">
      <w:pPr>
        <w:pStyle w:val="TableDescription"/>
        <w:rPr>
          <w:sz w:val="18"/>
        </w:rPr>
      </w:pPr>
      <w:r w:rsidRPr="00DB11B7">
        <w:rPr>
          <w:sz w:val="18"/>
        </w:rPr>
        <w:t>Adverse events were coded using Medical Dictionary for Regulatory Activities</w:t>
      </w:r>
      <w:bookmarkStart w:id="72" w:name="_Ref130551603"/>
      <w:r w:rsidR="00DB11B7">
        <w:rPr>
          <w:sz w:val="18"/>
        </w:rPr>
        <w:t>;</w:t>
      </w:r>
      <w:r w:rsidR="000F0C12" w:rsidRPr="00DB11B7">
        <w:rPr>
          <w:rStyle w:val="FootnoteReference"/>
          <w:sz w:val="18"/>
        </w:rPr>
        <w:footnoteReference w:id="16"/>
      </w:r>
      <w:bookmarkEnd w:id="72"/>
      <w:r w:rsidRPr="00DB11B7">
        <w:rPr>
          <w:sz w:val="18"/>
        </w:rPr>
        <w:t xml:space="preserve"> version 23.0. Rows are sorted by </w:t>
      </w:r>
      <w:r w:rsidR="00BA0E87" w:rsidRPr="00DB11B7">
        <w:rPr>
          <w:sz w:val="18"/>
        </w:rPr>
        <w:t>Preferred Term</w:t>
      </w:r>
      <w:r w:rsidRPr="00DB11B7">
        <w:rPr>
          <w:sz w:val="18"/>
        </w:rPr>
        <w:t xml:space="preserve"> (in descending order of frequency in NSCLC Monotherapy 960 mg QD Fasted/Fed column).</w:t>
      </w:r>
    </w:p>
    <w:p w14:paraId="6826CFBC" w14:textId="1B113A13" w:rsidR="003567BB" w:rsidRPr="00DB11B7" w:rsidRDefault="003567BB" w:rsidP="00633755">
      <w:pPr>
        <w:pStyle w:val="TableDescription"/>
        <w:rPr>
          <w:sz w:val="18"/>
        </w:rPr>
      </w:pPr>
      <w:r w:rsidRPr="00DB11B7">
        <w:rPr>
          <w:sz w:val="18"/>
        </w:rPr>
        <w:t>Source: data extracted from the United States Food and Drug Administration Multi-Discipline Review and Evaluation for Lumakras (</w:t>
      </w:r>
      <w:proofErr w:type="spellStart"/>
      <w:r w:rsidRPr="00DB11B7">
        <w:rPr>
          <w:sz w:val="18"/>
        </w:rPr>
        <w:t>sotorasib</w:t>
      </w:r>
      <w:proofErr w:type="spellEnd"/>
      <w:r w:rsidRPr="00DB11B7">
        <w:rPr>
          <w:sz w:val="18"/>
        </w:rPr>
        <w:t>).</w:t>
      </w:r>
      <w:r w:rsidRPr="001E55DF">
        <w:rPr>
          <w:sz w:val="18"/>
        </w:rPr>
        <w:fldChar w:fldCharType="begin"/>
      </w:r>
      <w:r w:rsidRPr="00DB11B7">
        <w:rPr>
          <w:sz w:val="18"/>
        </w:rPr>
        <w:instrText xml:space="preserve"> NOTEREF _Ref129869188 \h  \* MERGEFORMAT </w:instrText>
      </w:r>
      <w:r w:rsidRPr="001E55DF">
        <w:rPr>
          <w:sz w:val="18"/>
        </w:rPr>
      </w:r>
      <w:r w:rsidRPr="001E55DF">
        <w:rPr>
          <w:sz w:val="18"/>
        </w:rPr>
        <w:fldChar w:fldCharType="separate"/>
      </w:r>
      <w:r w:rsidR="009B21DC">
        <w:rPr>
          <w:sz w:val="18"/>
        </w:rPr>
        <w:t>9</w:t>
      </w:r>
      <w:r w:rsidRPr="001E55DF">
        <w:rPr>
          <w:sz w:val="18"/>
        </w:rPr>
        <w:fldChar w:fldCharType="end"/>
      </w:r>
    </w:p>
    <w:p w14:paraId="40A49EE1" w14:textId="0C1F5D4E" w:rsidR="00E04ABD" w:rsidRPr="00AC6E74" w:rsidRDefault="00E04ABD" w:rsidP="005C6FC9">
      <w:pPr>
        <w:pStyle w:val="Heading6"/>
      </w:pPr>
      <w:r w:rsidRPr="00AC6E74">
        <w:lastRenderedPageBreak/>
        <w:t xml:space="preserve">Dropouts and/or discontinuations due to </w:t>
      </w:r>
      <w:r w:rsidR="003B75D9" w:rsidRPr="00AC6E74">
        <w:t>adverse events</w:t>
      </w:r>
    </w:p>
    <w:p w14:paraId="066FF782" w14:textId="0D80C6B5" w:rsidR="00E04ABD" w:rsidRPr="00AC6E74" w:rsidRDefault="00E04ABD" w:rsidP="005C6FC9">
      <w:r w:rsidRPr="00AC6E74">
        <w:t xml:space="preserve">The incidence of AEs leading to discontinuation of </w:t>
      </w:r>
      <w:proofErr w:type="spellStart"/>
      <w:r w:rsidRPr="00AC6E74">
        <w:t>sotorasib</w:t>
      </w:r>
      <w:proofErr w:type="spellEnd"/>
      <w:r w:rsidRPr="00AC6E74">
        <w:t xml:space="preserve"> that occurred in at least </w:t>
      </w:r>
      <w:r w:rsidR="003B75D9" w:rsidRPr="00AC6E74">
        <w:t>two</w:t>
      </w:r>
      <w:r w:rsidRPr="00AC6E74">
        <w:t xml:space="preserve"> patients in any group was provided in </w:t>
      </w:r>
      <w:r w:rsidR="003B75D9" w:rsidRPr="00AC6E74">
        <w:fldChar w:fldCharType="begin"/>
      </w:r>
      <w:r w:rsidR="003B75D9" w:rsidRPr="00AC6E74">
        <w:instrText xml:space="preserve"> REF _Ref129876703 \h </w:instrText>
      </w:r>
      <w:r w:rsidR="00987863" w:rsidRPr="00AC6E74">
        <w:instrText xml:space="preserve"> \* MERGEFORMAT </w:instrText>
      </w:r>
      <w:r w:rsidR="003B75D9" w:rsidRPr="00AC6E74">
        <w:fldChar w:fldCharType="separate"/>
      </w:r>
      <w:r w:rsidR="009B21DC" w:rsidRPr="00AC6E74">
        <w:t xml:space="preserve">Table </w:t>
      </w:r>
      <w:r w:rsidR="009B21DC">
        <w:rPr>
          <w:noProof/>
        </w:rPr>
        <w:t>13</w:t>
      </w:r>
      <w:r w:rsidR="003B75D9" w:rsidRPr="00AC6E74">
        <w:fldChar w:fldCharType="end"/>
      </w:r>
      <w:r w:rsidR="003B75D9" w:rsidRPr="00AC6E74">
        <w:t xml:space="preserve"> below.</w:t>
      </w:r>
    </w:p>
    <w:p w14:paraId="5ED428CA" w14:textId="604040D7" w:rsidR="003B75D9" w:rsidRPr="00AC6E74" w:rsidRDefault="003B75D9" w:rsidP="00633755">
      <w:pPr>
        <w:pStyle w:val="TableTitle"/>
      </w:pPr>
      <w:bookmarkStart w:id="73" w:name="_Ref129876703"/>
      <w:r w:rsidRPr="00AC6E74">
        <w:t xml:space="preserve">Table </w:t>
      </w:r>
      <w:fldSimple w:instr=" SEQ Table \* ARABIC ">
        <w:r w:rsidR="009B21DC">
          <w:rPr>
            <w:noProof/>
          </w:rPr>
          <w:t>13</w:t>
        </w:r>
      </w:fldSimple>
      <w:bookmarkEnd w:id="73"/>
      <w:r w:rsidRPr="00AC6E74">
        <w:t xml:space="preserve">: </w:t>
      </w:r>
      <w:r w:rsidR="00633755" w:rsidRPr="00AC6E74">
        <w:t xml:space="preserve">Study 20170543 (CODEBREAK 100 trial) </w:t>
      </w:r>
      <w:r w:rsidRPr="00AC6E74">
        <w:t xml:space="preserve">Treatment-emergent </w:t>
      </w:r>
      <w:r w:rsidR="001A33CD" w:rsidRPr="00AC6E74">
        <w:t>adverse events by</w:t>
      </w:r>
      <w:r w:rsidRPr="00AC6E74">
        <w:t xml:space="preserve"> System Organ Class and Preferred Term </w:t>
      </w:r>
      <w:r w:rsidR="001A33CD" w:rsidRPr="00AC6E74">
        <w:t xml:space="preserve">leading to withdrawal of </w:t>
      </w:r>
      <w:proofErr w:type="spellStart"/>
      <w:r w:rsidR="001A33CD" w:rsidRPr="00AC6E74">
        <w:t>sotorasib</w:t>
      </w:r>
      <w:proofErr w:type="spellEnd"/>
      <w:r w:rsidRPr="00AC6E74">
        <w:t xml:space="preserve"> </w:t>
      </w:r>
      <w:r w:rsidR="001A33CD" w:rsidRPr="00AC6E74">
        <w:t>(integrated safety analysis set)</w:t>
      </w:r>
    </w:p>
    <w:p w14:paraId="537E0316" w14:textId="2F1AA528" w:rsidR="00307400" w:rsidRPr="00AC6E74" w:rsidRDefault="00307400" w:rsidP="00633755">
      <w:r w:rsidRPr="00AC6E74">
        <w:rPr>
          <w:noProof/>
          <w:lang w:val="en-GB" w:eastAsia="en-GB"/>
        </w:rPr>
        <w:drawing>
          <wp:inline distT="0" distB="0" distL="0" distR="0" wp14:anchorId="5E1BA2C4" wp14:editId="3B0C05DA">
            <wp:extent cx="5400040" cy="6247130"/>
            <wp:effectExtent l="0" t="0" r="0" b="1270"/>
            <wp:docPr id="13" name="Picture 13" descr="Table 13: Study 20170543 (CODEBREAK 100 trial) Treatment-emergent adverse events by System Organ Class and Preferred Term leading to withdrawal of sotorasib (integrate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13: Study 20170543 (CODEBREAK 100 trial) Treatment-emergent adverse events by System Organ Class and Preferred Term leading to withdrawal of sotorasib (integrated safety analysis set)"/>
                    <pic:cNvPicPr/>
                  </pic:nvPicPr>
                  <pic:blipFill>
                    <a:blip r:embed="rId37"/>
                    <a:stretch>
                      <a:fillRect/>
                    </a:stretch>
                  </pic:blipFill>
                  <pic:spPr>
                    <a:xfrm>
                      <a:off x="0" y="0"/>
                      <a:ext cx="5400040" cy="6247130"/>
                    </a:xfrm>
                    <a:prstGeom prst="rect">
                      <a:avLst/>
                    </a:prstGeom>
                  </pic:spPr>
                </pic:pic>
              </a:graphicData>
            </a:graphic>
          </wp:inline>
        </w:drawing>
      </w:r>
    </w:p>
    <w:p w14:paraId="3D04C919" w14:textId="34BC1191" w:rsidR="00307400" w:rsidRPr="00DB11B7" w:rsidRDefault="00BA0E87" w:rsidP="00BA0E87">
      <w:pPr>
        <w:pStyle w:val="TableDescription"/>
        <w:rPr>
          <w:sz w:val="18"/>
        </w:rPr>
      </w:pPr>
      <w:r w:rsidRPr="00DB11B7">
        <w:rPr>
          <w:sz w:val="18"/>
        </w:rPr>
        <w:t xml:space="preserve">Abbreviations: </w:t>
      </w:r>
      <w:r w:rsidR="00307400" w:rsidRPr="00DB11B7">
        <w:rPr>
          <w:sz w:val="18"/>
        </w:rPr>
        <w:t>CRC = colorectal cancer; NSCLC = non-small cell lung cancer; QD = once daily; N =</w:t>
      </w:r>
      <w:r w:rsidR="0049641B" w:rsidRPr="00DB11B7">
        <w:rPr>
          <w:sz w:val="18"/>
        </w:rPr>
        <w:t xml:space="preserve"> total</w:t>
      </w:r>
      <w:r w:rsidR="00307400" w:rsidRPr="00DB11B7">
        <w:rPr>
          <w:sz w:val="18"/>
        </w:rPr>
        <w:t xml:space="preserve"> number of subjects in the analysis set, n = number of subjects with observed data.</w:t>
      </w:r>
    </w:p>
    <w:p w14:paraId="1C1CFCB4" w14:textId="5DD456E1" w:rsidR="00307400" w:rsidRPr="00DB11B7" w:rsidRDefault="00BA0E87" w:rsidP="00BA0E87">
      <w:pPr>
        <w:pStyle w:val="TableDescription"/>
        <w:rPr>
          <w:sz w:val="18"/>
        </w:rPr>
      </w:pPr>
      <w:r w:rsidRPr="00DB11B7">
        <w:rPr>
          <w:sz w:val="18"/>
        </w:rPr>
        <w:t>Phase I</w:t>
      </w:r>
      <w:r w:rsidR="00307400" w:rsidRPr="00DB11B7">
        <w:rPr>
          <w:sz w:val="18"/>
        </w:rPr>
        <w:t xml:space="preserve"> data cut-off date 6</w:t>
      </w:r>
      <w:r w:rsidRPr="00DB11B7">
        <w:rPr>
          <w:sz w:val="18"/>
        </w:rPr>
        <w:t xml:space="preserve"> July </w:t>
      </w:r>
      <w:r w:rsidR="00307400" w:rsidRPr="00DB11B7">
        <w:rPr>
          <w:sz w:val="18"/>
        </w:rPr>
        <w:t>2020.</w:t>
      </w:r>
      <w:r w:rsidR="00E701E8">
        <w:rPr>
          <w:sz w:val="18"/>
        </w:rPr>
        <w:t xml:space="preserve"> </w:t>
      </w:r>
      <w:r w:rsidRPr="00DB11B7">
        <w:rPr>
          <w:sz w:val="18"/>
        </w:rPr>
        <w:t>Phase II</w:t>
      </w:r>
      <w:r w:rsidR="00307400" w:rsidRPr="00DB11B7">
        <w:rPr>
          <w:sz w:val="18"/>
        </w:rPr>
        <w:t xml:space="preserve"> data cut-off date 1</w:t>
      </w:r>
      <w:r w:rsidRPr="00DB11B7">
        <w:rPr>
          <w:sz w:val="18"/>
        </w:rPr>
        <w:t xml:space="preserve"> September </w:t>
      </w:r>
      <w:r w:rsidR="00307400" w:rsidRPr="00DB11B7">
        <w:rPr>
          <w:sz w:val="18"/>
        </w:rPr>
        <w:t>2020.</w:t>
      </w:r>
    </w:p>
    <w:p w14:paraId="2C3EC2EE" w14:textId="498A5633" w:rsidR="00307400" w:rsidRPr="00DB11B7" w:rsidRDefault="00307400" w:rsidP="00BA0E87">
      <w:pPr>
        <w:pStyle w:val="TableDescription"/>
        <w:rPr>
          <w:sz w:val="18"/>
        </w:rPr>
      </w:pPr>
      <w:r w:rsidRPr="00DB11B7">
        <w:rPr>
          <w:sz w:val="18"/>
        </w:rPr>
        <w:t>Adverse events were coded using Medical Dictionary for Regulatory Activities</w:t>
      </w:r>
      <w:r w:rsidR="000F0C12" w:rsidRPr="00DB11B7">
        <w:rPr>
          <w:sz w:val="18"/>
        </w:rPr>
        <w:t>;</w:t>
      </w:r>
      <w:r w:rsidR="000F0C12" w:rsidRPr="00DB11B7">
        <w:rPr>
          <w:sz w:val="18"/>
          <w:vertAlign w:val="superscript"/>
        </w:rPr>
        <w:fldChar w:fldCharType="begin"/>
      </w:r>
      <w:r w:rsidR="000F0C12" w:rsidRPr="00DB11B7">
        <w:rPr>
          <w:sz w:val="18"/>
          <w:vertAlign w:val="superscript"/>
        </w:rPr>
        <w:instrText xml:space="preserve"> NOTEREF _Ref130551603 \h  \* MERGEFORMAT </w:instrText>
      </w:r>
      <w:r w:rsidR="000F0C12" w:rsidRPr="00DB11B7">
        <w:rPr>
          <w:sz w:val="18"/>
          <w:vertAlign w:val="superscript"/>
        </w:rPr>
      </w:r>
      <w:r w:rsidR="000F0C12" w:rsidRPr="00DB11B7">
        <w:rPr>
          <w:sz w:val="18"/>
          <w:vertAlign w:val="superscript"/>
        </w:rPr>
        <w:fldChar w:fldCharType="separate"/>
      </w:r>
      <w:r w:rsidR="009B21DC">
        <w:rPr>
          <w:sz w:val="18"/>
          <w:vertAlign w:val="superscript"/>
        </w:rPr>
        <w:t>16</w:t>
      </w:r>
      <w:r w:rsidR="000F0C12" w:rsidRPr="00DB11B7">
        <w:rPr>
          <w:sz w:val="18"/>
          <w:vertAlign w:val="superscript"/>
        </w:rPr>
        <w:fldChar w:fldCharType="end"/>
      </w:r>
      <w:r w:rsidRPr="00DB11B7">
        <w:rPr>
          <w:sz w:val="18"/>
        </w:rPr>
        <w:t xml:space="preserve"> version 23.0. Rows are sorted by </w:t>
      </w:r>
      <w:r w:rsidR="00BA0E87" w:rsidRPr="00DB11B7">
        <w:rPr>
          <w:sz w:val="18"/>
        </w:rPr>
        <w:t xml:space="preserve">System Organ Class </w:t>
      </w:r>
      <w:r w:rsidRPr="00DB11B7">
        <w:rPr>
          <w:sz w:val="18"/>
        </w:rPr>
        <w:t xml:space="preserve">(alphabetically) and </w:t>
      </w:r>
      <w:r w:rsidR="00BA0E87" w:rsidRPr="00DB11B7">
        <w:rPr>
          <w:sz w:val="18"/>
        </w:rPr>
        <w:t>Preferred Term</w:t>
      </w:r>
      <w:r w:rsidRPr="00DB11B7">
        <w:rPr>
          <w:sz w:val="18"/>
        </w:rPr>
        <w:t xml:space="preserve"> within </w:t>
      </w:r>
      <w:r w:rsidR="00BA0E87" w:rsidRPr="00DB11B7">
        <w:rPr>
          <w:sz w:val="18"/>
        </w:rPr>
        <w:t xml:space="preserve">System Organ Class </w:t>
      </w:r>
      <w:r w:rsidRPr="00DB11B7">
        <w:rPr>
          <w:sz w:val="18"/>
        </w:rPr>
        <w:t>(in descending order of frequency in NSCLC column.</w:t>
      </w:r>
    </w:p>
    <w:p w14:paraId="02E56242" w14:textId="0411A2B2" w:rsidR="00307400" w:rsidRPr="00DB11B7" w:rsidRDefault="00307400" w:rsidP="00BA0E87">
      <w:pPr>
        <w:pStyle w:val="TableDescription"/>
        <w:rPr>
          <w:sz w:val="18"/>
        </w:rPr>
      </w:pPr>
      <w:r w:rsidRPr="00DB11B7">
        <w:rPr>
          <w:sz w:val="18"/>
        </w:rPr>
        <w:t>Source: data extracted from the United States Food and Drug Administration Multi-Discipline Review and Evaluation for Lumakras (</w:t>
      </w:r>
      <w:proofErr w:type="spellStart"/>
      <w:r w:rsidRPr="00DB11B7">
        <w:rPr>
          <w:sz w:val="18"/>
        </w:rPr>
        <w:t>sotorasib</w:t>
      </w:r>
      <w:proofErr w:type="spellEnd"/>
      <w:r w:rsidRPr="00DB11B7">
        <w:rPr>
          <w:sz w:val="18"/>
        </w:rPr>
        <w:t>).</w:t>
      </w:r>
      <w:r w:rsidRPr="00E701E8">
        <w:rPr>
          <w:sz w:val="18"/>
          <w:vertAlign w:val="superscript"/>
        </w:rPr>
        <w:fldChar w:fldCharType="begin"/>
      </w:r>
      <w:r w:rsidRPr="00DB11B7">
        <w:rPr>
          <w:sz w:val="18"/>
          <w:vertAlign w:val="superscript"/>
        </w:rPr>
        <w:instrText xml:space="preserve"> NOTEREF _Ref129869188 \h  \* MERGEFORMAT </w:instrText>
      </w:r>
      <w:r w:rsidRPr="00E701E8">
        <w:rPr>
          <w:sz w:val="18"/>
          <w:vertAlign w:val="superscript"/>
        </w:rPr>
      </w:r>
      <w:r w:rsidRPr="00E701E8">
        <w:rPr>
          <w:sz w:val="18"/>
          <w:vertAlign w:val="superscript"/>
        </w:rPr>
        <w:fldChar w:fldCharType="separate"/>
      </w:r>
      <w:r w:rsidR="009B21DC">
        <w:rPr>
          <w:sz w:val="18"/>
          <w:vertAlign w:val="superscript"/>
        </w:rPr>
        <w:t>9</w:t>
      </w:r>
      <w:r w:rsidRPr="00E701E8">
        <w:rPr>
          <w:sz w:val="18"/>
          <w:vertAlign w:val="superscript"/>
        </w:rPr>
        <w:fldChar w:fldCharType="end"/>
      </w:r>
    </w:p>
    <w:p w14:paraId="1076DA92" w14:textId="4EBEFFA2" w:rsidR="00E04ABD" w:rsidRPr="00AC6E74" w:rsidRDefault="003B75D9" w:rsidP="005C6FC9">
      <w:r w:rsidRPr="00AC6E74">
        <w:lastRenderedPageBreak/>
        <w:t xml:space="preserve">A total of </w:t>
      </w:r>
      <w:r w:rsidR="00E04ABD" w:rsidRPr="00AC6E74">
        <w:t xml:space="preserve">18 patients (9%) had AEs leading to </w:t>
      </w:r>
      <w:proofErr w:type="spellStart"/>
      <w:r w:rsidR="00E04ABD" w:rsidRPr="00AC6E74">
        <w:t>sotorasib</w:t>
      </w:r>
      <w:proofErr w:type="spellEnd"/>
      <w:r w:rsidR="00E04ABD" w:rsidRPr="00AC6E74">
        <w:t xml:space="preserve"> discontinuation.</w:t>
      </w:r>
      <w:r w:rsidR="002A2318" w:rsidRPr="00AC6E74">
        <w:t xml:space="preserve"> </w:t>
      </w:r>
      <w:r w:rsidR="00E04ABD" w:rsidRPr="00AC6E74">
        <w:t xml:space="preserve">AEs leading to discontinuation in 2% </w:t>
      </w:r>
      <w:r w:rsidRPr="00AC6E74">
        <w:t xml:space="preserve">or more </w:t>
      </w:r>
      <w:r w:rsidR="00E04ABD" w:rsidRPr="00AC6E74">
        <w:t xml:space="preserve">of patients were due to hepatotoxicity (4.9%), including </w:t>
      </w:r>
      <w:r w:rsidR="00BA0E87" w:rsidRPr="00AC6E74">
        <w:t>Preferred Term</w:t>
      </w:r>
      <w:r w:rsidR="00E04ABD" w:rsidRPr="00AC6E74">
        <w:t xml:space="preserve">s </w:t>
      </w:r>
      <w:r w:rsidR="00A4069E" w:rsidRPr="00AC6E74">
        <w:t>alanine aminotransferase (</w:t>
      </w:r>
      <w:r w:rsidR="00E04ABD" w:rsidRPr="00AC6E74">
        <w:t>ALT</w:t>
      </w:r>
      <w:r w:rsidR="00A4069E" w:rsidRPr="00AC6E74">
        <w:t>)</w:t>
      </w:r>
      <w:r w:rsidR="00E04ABD" w:rsidRPr="00AC6E74">
        <w:t xml:space="preserve"> increased, </w:t>
      </w:r>
      <w:r w:rsidR="00A4069E" w:rsidRPr="00AC6E74">
        <w:t>aspartate aminotransferase (</w:t>
      </w:r>
      <w:r w:rsidR="00E04ABD" w:rsidRPr="00AC6E74">
        <w:t>AST</w:t>
      </w:r>
      <w:r w:rsidR="00A4069E" w:rsidRPr="00AC6E74">
        <w:t>)</w:t>
      </w:r>
      <w:r w:rsidR="00E04ABD" w:rsidRPr="00AC6E74">
        <w:t xml:space="preserve"> increased, drug</w:t>
      </w:r>
      <w:r w:rsidRPr="00AC6E74">
        <w:t xml:space="preserve"> </w:t>
      </w:r>
      <w:r w:rsidR="00E04ABD" w:rsidRPr="00AC6E74">
        <w:t>induced liver injury, liver function test increased, and transaminases increased.</w:t>
      </w:r>
    </w:p>
    <w:p w14:paraId="6B786149" w14:textId="7C03ABCD" w:rsidR="00E04ABD" w:rsidRPr="00AC6E74" w:rsidRDefault="00E04ABD" w:rsidP="005C6FC9">
      <w:pPr>
        <w:pStyle w:val="Heading6"/>
      </w:pPr>
      <w:r w:rsidRPr="00AC6E74">
        <w:t>Dose interruption and reduction</w:t>
      </w:r>
      <w:r w:rsidR="00E701E8">
        <w:t>s</w:t>
      </w:r>
    </w:p>
    <w:p w14:paraId="04392329" w14:textId="74554DA5" w:rsidR="00E04ABD" w:rsidRPr="00AC6E74" w:rsidRDefault="00E04ABD" w:rsidP="005C6FC9">
      <w:r w:rsidRPr="00AC6E74">
        <w:t xml:space="preserve">At data </w:t>
      </w:r>
      <w:r w:rsidR="00B96C21" w:rsidRPr="00AC6E74">
        <w:t>cut-off</w:t>
      </w:r>
      <w:r w:rsidRPr="00AC6E74">
        <w:t xml:space="preserve"> of </w:t>
      </w:r>
      <w:r w:rsidR="003B75D9" w:rsidRPr="00AC6E74">
        <w:t xml:space="preserve">1 </w:t>
      </w:r>
      <w:r w:rsidRPr="00AC6E74">
        <w:t xml:space="preserve">September 2020, 69 patients (34%) had AEs leading to treatment interruption or dose reduction (71 patients based on data </w:t>
      </w:r>
      <w:r w:rsidR="00B96C21" w:rsidRPr="00AC6E74">
        <w:t>cut-off</w:t>
      </w:r>
      <w:r w:rsidRPr="00AC6E74">
        <w:t xml:space="preserve"> of </w:t>
      </w:r>
      <w:r w:rsidR="003B75D9" w:rsidRPr="00AC6E74">
        <w:t>1 </w:t>
      </w:r>
      <w:r w:rsidRPr="00AC6E74">
        <w:t>December</w:t>
      </w:r>
      <w:r w:rsidR="003B75D9" w:rsidRPr="00AC6E74">
        <w:t> </w:t>
      </w:r>
      <w:r w:rsidRPr="00AC6E74">
        <w:t>2020).</w:t>
      </w:r>
    </w:p>
    <w:p w14:paraId="1F069644" w14:textId="09FB4577" w:rsidR="00E04ABD" w:rsidRPr="00AC6E74" w:rsidRDefault="00AC5A4D" w:rsidP="005C6FC9">
      <w:r w:rsidRPr="00AC6E74">
        <w:t xml:space="preserve">Adverse events </w:t>
      </w:r>
      <w:r w:rsidR="00E04ABD" w:rsidRPr="00AC6E74">
        <w:t xml:space="preserve">leading to </w:t>
      </w:r>
      <w:proofErr w:type="spellStart"/>
      <w:r w:rsidR="00E04ABD" w:rsidRPr="00AC6E74">
        <w:t>sotorasib</w:t>
      </w:r>
      <w:proofErr w:type="spellEnd"/>
      <w:r w:rsidR="00E04ABD" w:rsidRPr="00AC6E74">
        <w:t xml:space="preserve"> treatment interruption in 2% </w:t>
      </w:r>
      <w:r w:rsidRPr="00AC6E74">
        <w:t xml:space="preserve">or more </w:t>
      </w:r>
      <w:r w:rsidR="00E04ABD" w:rsidRPr="00AC6E74">
        <w:t>of patients included hepatotoxicity (11%), diarrhoea (8%), musculoskeletal pain (3.9%), nausea (2.9%) and pneumonia (2.5%).</w:t>
      </w:r>
    </w:p>
    <w:p w14:paraId="5ABF7549" w14:textId="20721A1E" w:rsidR="00E04ABD" w:rsidRPr="00AC6E74" w:rsidRDefault="00AC5A4D" w:rsidP="005C6FC9">
      <w:r w:rsidRPr="00AC6E74">
        <w:t xml:space="preserve">Adverse events </w:t>
      </w:r>
      <w:r w:rsidR="00E04ABD" w:rsidRPr="00AC6E74">
        <w:t>leading to dose reduction occurred in 10 patients (4.9%); the most frequent AEs (</w:t>
      </w:r>
      <w:r w:rsidR="003070E8">
        <w:t xml:space="preserve">at least </w:t>
      </w:r>
      <w:r w:rsidR="00E04ABD" w:rsidRPr="00AC6E74">
        <w:t>2%) leading to dose reduction were increased ALT (2.9%) and increased AST (2.5%).</w:t>
      </w:r>
      <w:r w:rsidR="002A2318" w:rsidRPr="00AC6E74">
        <w:t xml:space="preserve"> </w:t>
      </w:r>
      <w:r w:rsidR="00E04ABD" w:rsidRPr="00AC6E74">
        <w:t>Following dose reduction, seven patients had resolution of their adverse event.</w:t>
      </w:r>
    </w:p>
    <w:p w14:paraId="7E034F67" w14:textId="77777777" w:rsidR="00E04ABD" w:rsidRPr="00AC6E74" w:rsidRDefault="00E04ABD" w:rsidP="005C6FC9">
      <w:proofErr w:type="gramStart"/>
      <w:r w:rsidRPr="00AC6E74">
        <w:t>The majority of</w:t>
      </w:r>
      <w:proofErr w:type="gramEnd"/>
      <w:r w:rsidRPr="00AC6E74">
        <w:t xml:space="preserve"> patients experiencing AEs leading to treatment interruption or reduction were able to continue with </w:t>
      </w:r>
      <w:proofErr w:type="spellStart"/>
      <w:r w:rsidRPr="00AC6E74">
        <w:t>sotorasib</w:t>
      </w:r>
      <w:proofErr w:type="spellEnd"/>
      <w:r w:rsidRPr="00AC6E74">
        <w:t xml:space="preserve"> therapy.</w:t>
      </w:r>
    </w:p>
    <w:p w14:paraId="7D8BFA33" w14:textId="2FC8E224" w:rsidR="00E04ABD" w:rsidRPr="00AC6E74" w:rsidRDefault="00E04ABD" w:rsidP="005C6FC9">
      <w:pPr>
        <w:pStyle w:val="Heading6"/>
      </w:pPr>
      <w:r w:rsidRPr="00AC6E74">
        <w:t xml:space="preserve">Significant </w:t>
      </w:r>
      <w:r w:rsidR="00AC5A4D" w:rsidRPr="00AC6E74">
        <w:t>adverse event</w:t>
      </w:r>
      <w:r w:rsidR="00E701E8">
        <w:t>s</w:t>
      </w:r>
    </w:p>
    <w:p w14:paraId="7E0A7F58" w14:textId="2E0D5892" w:rsidR="00E04ABD" w:rsidRPr="00AC6E74" w:rsidRDefault="00AC5A4D" w:rsidP="005C6FC9">
      <w:r w:rsidRPr="00AC6E74">
        <w:t xml:space="preserve">A total of </w:t>
      </w:r>
      <w:r w:rsidR="00E04ABD" w:rsidRPr="00AC6E74">
        <w:t>120 patients (59%) had a Grade 3</w:t>
      </w:r>
      <w:r w:rsidRPr="00AC6E74">
        <w:t xml:space="preserve"> or higher</w:t>
      </w:r>
      <w:r w:rsidR="00E04ABD" w:rsidRPr="00AC6E74">
        <w:t xml:space="preserve"> AE.</w:t>
      </w:r>
      <w:r w:rsidR="002A2318" w:rsidRPr="00AC6E74">
        <w:t xml:space="preserve"> </w:t>
      </w:r>
      <w:r w:rsidR="00E04ABD" w:rsidRPr="00AC6E74">
        <w:t xml:space="preserve">The most common Grade 3 </w:t>
      </w:r>
      <w:r w:rsidRPr="00AC6E74">
        <w:t xml:space="preserve">or higher </w:t>
      </w:r>
      <w:r w:rsidR="00E04ABD" w:rsidRPr="00AC6E74">
        <w:t>AE excluding laboratory abnormalities were musculoskeletal pain (8%), pneumonia (7%), and diarrhoea (5%).</w:t>
      </w:r>
      <w:r w:rsidR="002A2318" w:rsidRPr="00AC6E74">
        <w:t xml:space="preserve"> </w:t>
      </w:r>
      <w:r w:rsidR="00E04ABD" w:rsidRPr="00AC6E74">
        <w:t xml:space="preserve">These types of events reported were similar across patients with </w:t>
      </w:r>
      <w:r w:rsidR="00EB463D" w:rsidRPr="00AC6E74">
        <w:rPr>
          <w:i/>
          <w:iCs/>
        </w:rPr>
        <w:t>KRAS G12C</w:t>
      </w:r>
      <w:r w:rsidR="003E7696" w:rsidRPr="00AC6E74">
        <w:t>-</w:t>
      </w:r>
      <w:r w:rsidR="00E04ABD" w:rsidRPr="00AC6E74">
        <w:t xml:space="preserve">mutated tumour types who were treated with </w:t>
      </w:r>
      <w:proofErr w:type="spellStart"/>
      <w:r w:rsidR="00E04ABD" w:rsidRPr="00AC6E74">
        <w:t>sotorasib</w:t>
      </w:r>
      <w:proofErr w:type="spellEnd"/>
      <w:r w:rsidR="00E04ABD" w:rsidRPr="00AC6E74">
        <w:t xml:space="preserve"> 96</w:t>
      </w:r>
      <w:r w:rsidR="000348AE" w:rsidRPr="00AC6E74">
        <w:t>0</w:t>
      </w:r>
      <w:r w:rsidR="00B83721" w:rsidRPr="00AC6E74">
        <w:t> </w:t>
      </w:r>
      <w:r w:rsidR="000348AE" w:rsidRPr="00AC6E74">
        <w:t>mg</w:t>
      </w:r>
      <w:r w:rsidR="00E04ABD" w:rsidRPr="00AC6E74">
        <w:t xml:space="preserve"> daily.</w:t>
      </w:r>
    </w:p>
    <w:p w14:paraId="4BE025F1" w14:textId="7FBD5BEE" w:rsidR="00E04ABD" w:rsidRPr="00AC6E74" w:rsidRDefault="00E04ABD" w:rsidP="005C6FC9">
      <w:pPr>
        <w:pStyle w:val="Heading6"/>
      </w:pPr>
      <w:r w:rsidRPr="00AC6E74">
        <w:t>Treatment</w:t>
      </w:r>
      <w:r w:rsidR="00E701E8">
        <w:t>-</w:t>
      </w:r>
      <w:r w:rsidRPr="00AC6E74">
        <w:t xml:space="preserve">emergent </w:t>
      </w:r>
      <w:r w:rsidR="00B83721" w:rsidRPr="00AC6E74">
        <w:t>adverse events</w:t>
      </w:r>
      <w:r w:rsidRPr="00AC6E74">
        <w:t xml:space="preserve"> and adverse reactions</w:t>
      </w:r>
    </w:p>
    <w:p w14:paraId="711C604B" w14:textId="7F8F49ED" w:rsidR="00E04ABD" w:rsidRPr="00AC6E74" w:rsidRDefault="00E04ABD" w:rsidP="005C6FC9">
      <w:r w:rsidRPr="00AC6E74">
        <w:t xml:space="preserve">A summary of treatment-emergent adverse events </w:t>
      </w:r>
      <w:r w:rsidR="00E701E8">
        <w:t xml:space="preserve">(TEAEs) </w:t>
      </w:r>
      <w:r w:rsidRPr="00AC6E74">
        <w:t xml:space="preserve">is shown in </w:t>
      </w:r>
      <w:r w:rsidR="00B83721" w:rsidRPr="00AC6E74">
        <w:fldChar w:fldCharType="begin"/>
      </w:r>
      <w:r w:rsidR="00B83721" w:rsidRPr="00AC6E74">
        <w:instrText xml:space="preserve"> REF _Ref129877506 \h </w:instrText>
      </w:r>
      <w:r w:rsidR="00987863" w:rsidRPr="00AC6E74">
        <w:instrText xml:space="preserve"> \* MERGEFORMAT </w:instrText>
      </w:r>
      <w:r w:rsidR="00B83721" w:rsidRPr="00AC6E74">
        <w:fldChar w:fldCharType="separate"/>
      </w:r>
      <w:r w:rsidR="009B21DC" w:rsidRPr="00AC6E74">
        <w:t xml:space="preserve">Table </w:t>
      </w:r>
      <w:r w:rsidR="009B21DC">
        <w:rPr>
          <w:noProof/>
        </w:rPr>
        <w:t>14</w:t>
      </w:r>
      <w:r w:rsidR="00B83721" w:rsidRPr="00AC6E74">
        <w:fldChar w:fldCharType="end"/>
      </w:r>
      <w:r w:rsidR="00B83721" w:rsidRPr="00AC6E74">
        <w:t xml:space="preserve"> below.</w:t>
      </w:r>
    </w:p>
    <w:p w14:paraId="18E73D3B" w14:textId="7A7851C9" w:rsidR="00B83721" w:rsidRPr="00AC6E74" w:rsidRDefault="00B83721" w:rsidP="00633755">
      <w:pPr>
        <w:pStyle w:val="TableTitle"/>
      </w:pPr>
      <w:bookmarkStart w:id="74" w:name="_Ref129877506"/>
      <w:r w:rsidRPr="00AC6E74">
        <w:lastRenderedPageBreak/>
        <w:t xml:space="preserve">Table </w:t>
      </w:r>
      <w:fldSimple w:instr=" SEQ Table \* ARABIC ">
        <w:r w:rsidR="009B21DC">
          <w:rPr>
            <w:noProof/>
          </w:rPr>
          <w:t>14</w:t>
        </w:r>
      </w:fldSimple>
      <w:bookmarkEnd w:id="74"/>
      <w:r w:rsidRPr="00AC6E74">
        <w:t>:</w:t>
      </w:r>
      <w:r w:rsidR="00307400" w:rsidRPr="00AC6E74">
        <w:t xml:space="preserve"> </w:t>
      </w:r>
      <w:r w:rsidR="00633755" w:rsidRPr="00AC6E74">
        <w:t xml:space="preserve">Study 20170543 (CODEBREAK 100 trial) </w:t>
      </w:r>
      <w:r w:rsidR="00307400" w:rsidRPr="00AC6E74">
        <w:t>Summary</w:t>
      </w:r>
      <w:r w:rsidR="001A33CD" w:rsidRPr="00AC6E74">
        <w:t xml:space="preserve"> of treatment-emergent adverse events (integrated safety analysis set)</w:t>
      </w:r>
    </w:p>
    <w:p w14:paraId="6EF76D45" w14:textId="2D6B891A" w:rsidR="00307400" w:rsidRPr="00AC6E74" w:rsidRDefault="00307400" w:rsidP="00633755">
      <w:r w:rsidRPr="00AC6E74">
        <w:rPr>
          <w:noProof/>
          <w:lang w:val="en-GB" w:eastAsia="en-GB"/>
        </w:rPr>
        <w:drawing>
          <wp:inline distT="0" distB="0" distL="0" distR="0" wp14:anchorId="4378354A" wp14:editId="770F4F8E">
            <wp:extent cx="5400040" cy="4769485"/>
            <wp:effectExtent l="19050" t="19050" r="10160" b="12065"/>
            <wp:docPr id="14" name="Picture 14" descr="Table 14: Study 20170543 (CODEBREAK 100 trial) Summary of treatment emergent adverse events (integrate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14: Study 20170543 (CODEBREAK 100 trial) Summary of treatment emergent adverse events (integrated safety analysis set)"/>
                    <pic:cNvPicPr/>
                  </pic:nvPicPr>
                  <pic:blipFill>
                    <a:blip r:embed="rId38"/>
                    <a:stretch>
                      <a:fillRect/>
                    </a:stretch>
                  </pic:blipFill>
                  <pic:spPr>
                    <a:xfrm>
                      <a:off x="0" y="0"/>
                      <a:ext cx="5400040" cy="4769485"/>
                    </a:xfrm>
                    <a:prstGeom prst="rect">
                      <a:avLst/>
                    </a:prstGeom>
                    <a:ln>
                      <a:solidFill>
                        <a:schemeClr val="tx1"/>
                      </a:solidFill>
                    </a:ln>
                  </pic:spPr>
                </pic:pic>
              </a:graphicData>
            </a:graphic>
          </wp:inline>
        </w:drawing>
      </w:r>
    </w:p>
    <w:p w14:paraId="03B4A381" w14:textId="77777777" w:rsidR="00BA0E87" w:rsidRPr="00AC6E74" w:rsidRDefault="00BA0E87" w:rsidP="00BA0E87">
      <w:pPr>
        <w:pStyle w:val="TableDescription"/>
      </w:pPr>
      <w:r w:rsidRPr="00AC6E74">
        <w:t>Abbreviations: CRC = colorectal cancer; NSCLC = non-small cell lung cancer; QD = once daily; N = total number of subjects in the analysis set, n = number of subjects with observed data.</w:t>
      </w:r>
    </w:p>
    <w:p w14:paraId="5415718A" w14:textId="023D1CE3" w:rsidR="00BA0E87" w:rsidRPr="00AC6E74" w:rsidRDefault="00BA0E87" w:rsidP="00BA0E87">
      <w:pPr>
        <w:pStyle w:val="TableDescription"/>
      </w:pPr>
      <w:r w:rsidRPr="00AC6E74">
        <w:t>Phase I</w:t>
      </w:r>
      <w:r w:rsidR="00307400" w:rsidRPr="00AC6E74">
        <w:t xml:space="preserve"> data cut-off date 6</w:t>
      </w:r>
      <w:r w:rsidRPr="00AC6E74">
        <w:t xml:space="preserve"> </w:t>
      </w:r>
      <w:r w:rsidR="00307400" w:rsidRPr="00AC6E74">
        <w:t>J</w:t>
      </w:r>
      <w:r w:rsidRPr="00AC6E74">
        <w:t xml:space="preserve">uly </w:t>
      </w:r>
      <w:r w:rsidR="00307400" w:rsidRPr="00AC6E74">
        <w:t>2020.</w:t>
      </w:r>
    </w:p>
    <w:p w14:paraId="59040B47" w14:textId="7D89D9BF" w:rsidR="00307400" w:rsidRPr="00AC6E74" w:rsidRDefault="00BA0E87" w:rsidP="00BA0E87">
      <w:pPr>
        <w:pStyle w:val="TableDescription"/>
      </w:pPr>
      <w:r w:rsidRPr="00AC6E74">
        <w:t>Phase II</w:t>
      </w:r>
      <w:r w:rsidR="00307400" w:rsidRPr="00AC6E74">
        <w:t xml:space="preserve"> data cut-off date 1</w:t>
      </w:r>
      <w:r w:rsidRPr="00AC6E74">
        <w:t xml:space="preserve"> </w:t>
      </w:r>
      <w:r w:rsidR="00307400" w:rsidRPr="00AC6E74">
        <w:t>S</w:t>
      </w:r>
      <w:r w:rsidRPr="00AC6E74">
        <w:t xml:space="preserve">eptember </w:t>
      </w:r>
      <w:r w:rsidR="00307400" w:rsidRPr="00AC6E74">
        <w:t>2020.</w:t>
      </w:r>
    </w:p>
    <w:p w14:paraId="11776305" w14:textId="15A1AD23" w:rsidR="00307400" w:rsidRPr="00AC6E74" w:rsidRDefault="00307400" w:rsidP="00BA0E87">
      <w:pPr>
        <w:pStyle w:val="TableDescription"/>
      </w:pPr>
      <w:r w:rsidRPr="00AC6E74">
        <w:t>Severity was graded using Common Terminology Criteria for Adverse Events version 5.0.</w:t>
      </w:r>
      <w:r w:rsidR="00171934" w:rsidRPr="00AC6E74">
        <w:t xml:space="preserve"> </w:t>
      </w:r>
      <w:r w:rsidRPr="00AC6E74">
        <w:t xml:space="preserve">Adverse events coded using </w:t>
      </w:r>
      <w:r w:rsidR="000F0C12" w:rsidRPr="00AC6E74">
        <w:t>Medical Dictionary for Regulatory Activities;</w:t>
      </w:r>
      <w:r w:rsidR="000F0C12" w:rsidRPr="00AC6E74">
        <w:rPr>
          <w:vertAlign w:val="superscript"/>
        </w:rPr>
        <w:fldChar w:fldCharType="begin"/>
      </w:r>
      <w:r w:rsidR="000F0C12" w:rsidRPr="00AC6E74">
        <w:rPr>
          <w:vertAlign w:val="superscript"/>
        </w:rPr>
        <w:instrText xml:space="preserve"> NOTEREF _Ref130551603 \h  \* MERGEFORMAT </w:instrText>
      </w:r>
      <w:r w:rsidR="000F0C12" w:rsidRPr="00AC6E74">
        <w:rPr>
          <w:vertAlign w:val="superscript"/>
        </w:rPr>
      </w:r>
      <w:r w:rsidR="000F0C12" w:rsidRPr="00AC6E74">
        <w:rPr>
          <w:vertAlign w:val="superscript"/>
        </w:rPr>
        <w:fldChar w:fldCharType="separate"/>
      </w:r>
      <w:r w:rsidR="009B21DC">
        <w:rPr>
          <w:vertAlign w:val="superscript"/>
        </w:rPr>
        <w:t>16</w:t>
      </w:r>
      <w:r w:rsidR="000F0C12" w:rsidRPr="00AC6E74">
        <w:rPr>
          <w:vertAlign w:val="superscript"/>
        </w:rPr>
        <w:fldChar w:fldCharType="end"/>
      </w:r>
      <w:r w:rsidRPr="00AC6E74">
        <w:t xml:space="preserve"> version 23.0. Severity graded using </w:t>
      </w:r>
      <w:r w:rsidR="000F0C12" w:rsidRPr="00AC6E74">
        <w:t>Common Terminology Criteria for Adverse Events;</w:t>
      </w:r>
      <w:r w:rsidR="000F0C12" w:rsidRPr="00AC6E74">
        <w:rPr>
          <w:rStyle w:val="FootnoteReference"/>
        </w:rPr>
        <w:footnoteReference w:id="17"/>
      </w:r>
      <w:r w:rsidR="000F0C12" w:rsidRPr="00AC6E74">
        <w:t xml:space="preserve"> </w:t>
      </w:r>
      <w:r w:rsidRPr="00AC6E74">
        <w:t>version 5.0.</w:t>
      </w:r>
    </w:p>
    <w:p w14:paraId="155F74A3" w14:textId="08F4E888" w:rsidR="00307400" w:rsidRPr="00AC6E74" w:rsidRDefault="00307400" w:rsidP="00BA0E87">
      <w:pPr>
        <w:pStyle w:val="TableDescription"/>
      </w:pPr>
      <w:r w:rsidRPr="00AC6E74">
        <w:t>Source: data extracted from the United States Food and Drug Administration Multi-Discipline Review and Evaluation for Lumakras (</w:t>
      </w:r>
      <w:proofErr w:type="spellStart"/>
      <w:r w:rsidRPr="00AC6E74">
        <w:t>sotorasib</w:t>
      </w:r>
      <w:proofErr w:type="spellEnd"/>
      <w:r w:rsidRPr="00AC6E74">
        <w:t>).</w:t>
      </w:r>
      <w:r w:rsidRPr="00AC6E74">
        <w:rPr>
          <w:vertAlign w:val="superscript"/>
        </w:rPr>
        <w:fldChar w:fldCharType="begin"/>
      </w:r>
      <w:r w:rsidRPr="00AC6E74">
        <w:rPr>
          <w:vertAlign w:val="superscript"/>
        </w:rPr>
        <w:instrText xml:space="preserve"> NOTEREF _Ref129869188 \h  \* MERGEFORMAT </w:instrText>
      </w:r>
      <w:r w:rsidRPr="00AC6E74">
        <w:rPr>
          <w:vertAlign w:val="superscript"/>
        </w:rPr>
      </w:r>
      <w:r w:rsidRPr="00AC6E74">
        <w:rPr>
          <w:vertAlign w:val="superscript"/>
        </w:rPr>
        <w:fldChar w:fldCharType="separate"/>
      </w:r>
      <w:r w:rsidR="009B21DC">
        <w:rPr>
          <w:vertAlign w:val="superscript"/>
        </w:rPr>
        <w:t>9</w:t>
      </w:r>
      <w:r w:rsidRPr="00AC6E74">
        <w:rPr>
          <w:vertAlign w:val="superscript"/>
        </w:rPr>
        <w:fldChar w:fldCharType="end"/>
      </w:r>
    </w:p>
    <w:p w14:paraId="524E4B98" w14:textId="0CBF101D" w:rsidR="00B83721" w:rsidRPr="00AC6E74" w:rsidRDefault="00E04ABD" w:rsidP="005C6FC9">
      <w:r w:rsidRPr="00AC6E74">
        <w:t>The most common adverse reactions were generally consistent across populations of patients with different tumour types.</w:t>
      </w:r>
      <w:r w:rsidR="002A2318" w:rsidRPr="00AC6E74">
        <w:t xml:space="preserve"> </w:t>
      </w:r>
      <w:r w:rsidRPr="00AC6E74">
        <w:t xml:space="preserve">TEAEs reported in </w:t>
      </w:r>
      <w:r w:rsidR="00B83721" w:rsidRPr="00AC6E74">
        <w:t xml:space="preserve">more than </w:t>
      </w:r>
      <w:r w:rsidRPr="00AC6E74">
        <w:t xml:space="preserve">10% of patients are outlined in </w:t>
      </w:r>
      <w:r w:rsidR="00B83721" w:rsidRPr="00AC6E74">
        <w:fldChar w:fldCharType="begin"/>
      </w:r>
      <w:r w:rsidR="00B83721" w:rsidRPr="00AC6E74">
        <w:instrText xml:space="preserve"> REF _Ref129877553 \h </w:instrText>
      </w:r>
      <w:r w:rsidR="00987863" w:rsidRPr="00AC6E74">
        <w:instrText xml:space="preserve"> \* MERGEFORMAT </w:instrText>
      </w:r>
      <w:r w:rsidR="00B83721" w:rsidRPr="00AC6E74">
        <w:fldChar w:fldCharType="separate"/>
      </w:r>
      <w:r w:rsidR="009B21DC" w:rsidRPr="00AC6E74">
        <w:t xml:space="preserve">Table </w:t>
      </w:r>
      <w:r w:rsidR="009B21DC">
        <w:rPr>
          <w:noProof/>
        </w:rPr>
        <w:t>15</w:t>
      </w:r>
      <w:r w:rsidR="00B83721" w:rsidRPr="00AC6E74">
        <w:fldChar w:fldCharType="end"/>
      </w:r>
      <w:r w:rsidR="00B83721" w:rsidRPr="00AC6E74">
        <w:t xml:space="preserve"> below.</w:t>
      </w:r>
    </w:p>
    <w:p w14:paraId="2FE6A006" w14:textId="6173EB76" w:rsidR="00304B6F" w:rsidRPr="00AC6E74" w:rsidRDefault="00B83721" w:rsidP="00633755">
      <w:pPr>
        <w:pStyle w:val="TableTitle"/>
      </w:pPr>
      <w:bookmarkStart w:id="75" w:name="_Ref129877553"/>
      <w:r w:rsidRPr="00AC6E74">
        <w:lastRenderedPageBreak/>
        <w:t xml:space="preserve">Table </w:t>
      </w:r>
      <w:fldSimple w:instr=" SEQ Table \* ARABIC ">
        <w:r w:rsidR="009B21DC">
          <w:rPr>
            <w:noProof/>
          </w:rPr>
          <w:t>15</w:t>
        </w:r>
      </w:fldSimple>
      <w:bookmarkEnd w:id="75"/>
      <w:r w:rsidRPr="00AC6E74">
        <w:t>:</w:t>
      </w:r>
      <w:r w:rsidR="00304B6F" w:rsidRPr="00AC6E74">
        <w:t xml:space="preserve"> </w:t>
      </w:r>
      <w:r w:rsidR="00633755" w:rsidRPr="00AC6E74">
        <w:t xml:space="preserve">Study 20170543 (CODEBREAK 100 trial) </w:t>
      </w:r>
      <w:r w:rsidR="00304B6F" w:rsidRPr="00AC6E74">
        <w:t xml:space="preserve">Adverse </w:t>
      </w:r>
      <w:r w:rsidR="001A33CD" w:rsidRPr="00AC6E74">
        <w:t xml:space="preserve">reactions occur in 10% or more in patients with non-small cell lung cancer who received 960 mg </w:t>
      </w:r>
      <w:proofErr w:type="spellStart"/>
      <w:r w:rsidR="001A33CD" w:rsidRPr="00AC6E74">
        <w:t>sotorasib</w:t>
      </w:r>
      <w:proofErr w:type="spellEnd"/>
    </w:p>
    <w:p w14:paraId="077547FF" w14:textId="60DB14EF" w:rsidR="00304B6F" w:rsidRPr="00AC6E74" w:rsidRDefault="00304B6F" w:rsidP="00633755">
      <w:r w:rsidRPr="00AC6E74">
        <w:rPr>
          <w:noProof/>
          <w:lang w:val="en-GB" w:eastAsia="en-GB"/>
        </w:rPr>
        <w:drawing>
          <wp:inline distT="0" distB="0" distL="0" distR="0" wp14:anchorId="0525DB93" wp14:editId="7C3DAFDA">
            <wp:extent cx="4144398" cy="4996281"/>
            <wp:effectExtent l="0" t="0" r="8890" b="0"/>
            <wp:docPr id="11" name="Picture 11" descr="Table 15: Study 20170543 (CODEBREAK 100 trial) Adverse reactions occur in 10% or more in patients with non-small cell lung cancer who received 960 mg sotora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15: Study 20170543 (CODEBREAK 100 trial) Adverse reactions occur in 10% or more in patients with non-small cell lung cancer who received 960 mg sotorasib"/>
                    <pic:cNvPicPr/>
                  </pic:nvPicPr>
                  <pic:blipFill>
                    <a:blip r:embed="rId39"/>
                    <a:stretch>
                      <a:fillRect/>
                    </a:stretch>
                  </pic:blipFill>
                  <pic:spPr>
                    <a:xfrm>
                      <a:off x="0" y="0"/>
                      <a:ext cx="4164476" cy="5020486"/>
                    </a:xfrm>
                    <a:prstGeom prst="rect">
                      <a:avLst/>
                    </a:prstGeom>
                  </pic:spPr>
                </pic:pic>
              </a:graphicData>
            </a:graphic>
          </wp:inline>
        </w:drawing>
      </w:r>
    </w:p>
    <w:p w14:paraId="0DE24FE5" w14:textId="1CA88629" w:rsidR="00BA0E87" w:rsidRPr="00DB11B7" w:rsidRDefault="00BA0E87" w:rsidP="000B7E3A">
      <w:pPr>
        <w:pStyle w:val="TableDescription"/>
        <w:rPr>
          <w:sz w:val="18"/>
        </w:rPr>
      </w:pPr>
      <w:r w:rsidRPr="00DB11B7">
        <w:rPr>
          <w:sz w:val="18"/>
        </w:rPr>
        <w:t xml:space="preserve">Abbreviations: GT = </w:t>
      </w:r>
      <w:r w:rsidR="000B7E3A" w:rsidRPr="00DB11B7">
        <w:rPr>
          <w:sz w:val="18"/>
        </w:rPr>
        <w:t xml:space="preserve">grouped term; </w:t>
      </w:r>
      <w:r w:rsidRPr="00DB11B7">
        <w:rPr>
          <w:sz w:val="18"/>
        </w:rPr>
        <w:t>N = total number of subjects; TEAE = treatment-emergent adverse event.</w:t>
      </w:r>
    </w:p>
    <w:p w14:paraId="536C7E28" w14:textId="183EBBA6" w:rsidR="00304B6F" w:rsidRPr="00DB11B7" w:rsidRDefault="00304B6F" w:rsidP="000B7E3A">
      <w:pPr>
        <w:pStyle w:val="TableDescription"/>
        <w:rPr>
          <w:sz w:val="18"/>
        </w:rPr>
      </w:pPr>
      <w:r w:rsidRPr="00DB11B7">
        <w:rPr>
          <w:sz w:val="18"/>
        </w:rPr>
        <w:t xml:space="preserve">Abdominal </w:t>
      </w:r>
      <w:r w:rsidR="000B7E3A" w:rsidRPr="00DB11B7">
        <w:rPr>
          <w:sz w:val="18"/>
        </w:rPr>
        <w:t>pain</w:t>
      </w:r>
      <w:r w:rsidRPr="00DB11B7">
        <w:rPr>
          <w:sz w:val="18"/>
        </w:rPr>
        <w:t xml:space="preserve"> (GT) </w:t>
      </w:r>
      <w:proofErr w:type="gramStart"/>
      <w:r w:rsidR="000B7E3A" w:rsidRPr="00DB11B7">
        <w:rPr>
          <w:sz w:val="18"/>
        </w:rPr>
        <w:t>includes:</w:t>
      </w:r>
      <w:proofErr w:type="gramEnd"/>
      <w:r w:rsidR="000B7E3A" w:rsidRPr="00DB11B7">
        <w:rPr>
          <w:sz w:val="18"/>
        </w:rPr>
        <w:t xml:space="preserve"> abdominal discomfort, abdominal pain, abdominal pain lower, and abdominal pain upper.</w:t>
      </w:r>
    </w:p>
    <w:p w14:paraId="41E7B007" w14:textId="308E8F34" w:rsidR="00304B6F" w:rsidRPr="00DB11B7" w:rsidRDefault="00304B6F" w:rsidP="000B7E3A">
      <w:pPr>
        <w:pStyle w:val="TableDescription"/>
        <w:rPr>
          <w:sz w:val="18"/>
        </w:rPr>
      </w:pPr>
      <w:r w:rsidRPr="00DB11B7">
        <w:rPr>
          <w:sz w:val="18"/>
        </w:rPr>
        <w:t xml:space="preserve">Cough (GT) </w:t>
      </w:r>
      <w:proofErr w:type="gramStart"/>
      <w:r w:rsidR="000B7E3A" w:rsidRPr="00DB11B7">
        <w:rPr>
          <w:sz w:val="18"/>
        </w:rPr>
        <w:t>includes:</w:t>
      </w:r>
      <w:proofErr w:type="gramEnd"/>
      <w:r w:rsidR="000B7E3A" w:rsidRPr="00DB11B7">
        <w:rPr>
          <w:sz w:val="18"/>
        </w:rPr>
        <w:t xml:space="preserve"> cough, productive cough, and upper-airway cough syndrome.</w:t>
      </w:r>
    </w:p>
    <w:p w14:paraId="0B056DA5" w14:textId="5A56CF34" w:rsidR="00304B6F" w:rsidRPr="00DB11B7" w:rsidRDefault="00304B6F" w:rsidP="000B7E3A">
      <w:pPr>
        <w:pStyle w:val="TableDescription"/>
        <w:rPr>
          <w:sz w:val="18"/>
        </w:rPr>
      </w:pPr>
      <w:r w:rsidRPr="00DB11B7">
        <w:rPr>
          <w:sz w:val="18"/>
        </w:rPr>
        <w:t xml:space="preserve">Diarrhea (GT) </w:t>
      </w:r>
      <w:proofErr w:type="gramStart"/>
      <w:r w:rsidR="000B7E3A" w:rsidRPr="00DB11B7">
        <w:rPr>
          <w:sz w:val="18"/>
        </w:rPr>
        <w:t>includes:</w:t>
      </w:r>
      <w:proofErr w:type="gramEnd"/>
      <w:r w:rsidR="000B7E3A" w:rsidRPr="00DB11B7">
        <w:rPr>
          <w:sz w:val="18"/>
        </w:rPr>
        <w:t xml:space="preserve"> colitis, colitis microscopic, diarrhea, and frequent bowel movements</w:t>
      </w:r>
      <w:r w:rsidRPr="00DB11B7">
        <w:rPr>
          <w:sz w:val="18"/>
        </w:rPr>
        <w:t>.</w:t>
      </w:r>
    </w:p>
    <w:p w14:paraId="57D762A7" w14:textId="7A37F8DE" w:rsidR="00304B6F" w:rsidRPr="00DB11B7" w:rsidRDefault="00304B6F" w:rsidP="000B7E3A">
      <w:pPr>
        <w:pStyle w:val="TableDescription"/>
        <w:rPr>
          <w:sz w:val="18"/>
        </w:rPr>
      </w:pPr>
      <w:proofErr w:type="spellStart"/>
      <w:r w:rsidRPr="00DB11B7">
        <w:rPr>
          <w:sz w:val="18"/>
        </w:rPr>
        <w:t>Dyspnea</w:t>
      </w:r>
      <w:proofErr w:type="spellEnd"/>
      <w:r w:rsidRPr="00DB11B7">
        <w:rPr>
          <w:sz w:val="18"/>
        </w:rPr>
        <w:t xml:space="preserve"> (GT) </w:t>
      </w:r>
      <w:proofErr w:type="gramStart"/>
      <w:r w:rsidRPr="00DB11B7">
        <w:rPr>
          <w:sz w:val="18"/>
        </w:rPr>
        <w:t>includes:</w:t>
      </w:r>
      <w:proofErr w:type="gramEnd"/>
      <w:r w:rsidRPr="00DB11B7">
        <w:rPr>
          <w:sz w:val="18"/>
        </w:rPr>
        <w:t xml:space="preserve"> </w:t>
      </w:r>
      <w:proofErr w:type="spellStart"/>
      <w:r w:rsidR="000B7E3A" w:rsidRPr="00DB11B7">
        <w:rPr>
          <w:sz w:val="18"/>
        </w:rPr>
        <w:t>dyspnea</w:t>
      </w:r>
      <w:proofErr w:type="spellEnd"/>
      <w:r w:rsidR="000B7E3A" w:rsidRPr="00DB11B7">
        <w:rPr>
          <w:sz w:val="18"/>
        </w:rPr>
        <w:t xml:space="preserve">, and </w:t>
      </w:r>
      <w:proofErr w:type="spellStart"/>
      <w:r w:rsidR="000B7E3A" w:rsidRPr="00DB11B7">
        <w:rPr>
          <w:sz w:val="18"/>
        </w:rPr>
        <w:t>dyspnea</w:t>
      </w:r>
      <w:proofErr w:type="spellEnd"/>
      <w:r w:rsidR="000B7E3A" w:rsidRPr="00DB11B7">
        <w:rPr>
          <w:sz w:val="18"/>
        </w:rPr>
        <w:t xml:space="preserve"> exertional</w:t>
      </w:r>
      <w:r w:rsidRPr="00DB11B7">
        <w:rPr>
          <w:sz w:val="18"/>
        </w:rPr>
        <w:t>.</w:t>
      </w:r>
    </w:p>
    <w:p w14:paraId="164229B6" w14:textId="26E1E29B" w:rsidR="00304B6F" w:rsidRPr="00DB11B7" w:rsidRDefault="00304B6F" w:rsidP="000B7E3A">
      <w:pPr>
        <w:pStyle w:val="TableDescription"/>
        <w:rPr>
          <w:sz w:val="18"/>
        </w:rPr>
      </w:pPr>
      <w:r w:rsidRPr="00DB11B7">
        <w:rPr>
          <w:sz w:val="18"/>
        </w:rPr>
        <w:t xml:space="preserve">Fatigue (GT) </w:t>
      </w:r>
      <w:proofErr w:type="gramStart"/>
      <w:r w:rsidRPr="00DB11B7">
        <w:rPr>
          <w:sz w:val="18"/>
        </w:rPr>
        <w:t>includes:</w:t>
      </w:r>
      <w:proofErr w:type="gramEnd"/>
      <w:r w:rsidRPr="00DB11B7">
        <w:rPr>
          <w:sz w:val="18"/>
        </w:rPr>
        <w:t xml:space="preserve"> </w:t>
      </w:r>
      <w:r w:rsidR="000B7E3A" w:rsidRPr="00DB11B7">
        <w:rPr>
          <w:sz w:val="18"/>
        </w:rPr>
        <w:t>asthenia and fatigue</w:t>
      </w:r>
      <w:r w:rsidRPr="00DB11B7">
        <w:rPr>
          <w:sz w:val="18"/>
        </w:rPr>
        <w:t>.</w:t>
      </w:r>
    </w:p>
    <w:p w14:paraId="698F46EA" w14:textId="6EF3EB5C" w:rsidR="009D146F" w:rsidRPr="00DB11B7" w:rsidRDefault="00304B6F" w:rsidP="000B7E3A">
      <w:pPr>
        <w:pStyle w:val="TableDescription"/>
        <w:rPr>
          <w:sz w:val="18"/>
        </w:rPr>
      </w:pPr>
      <w:r w:rsidRPr="00DB11B7">
        <w:rPr>
          <w:sz w:val="18"/>
        </w:rPr>
        <w:t xml:space="preserve">Hepatotoxicity (GT) </w:t>
      </w:r>
      <w:proofErr w:type="gramStart"/>
      <w:r w:rsidR="000B7E3A" w:rsidRPr="00DB11B7">
        <w:rPr>
          <w:sz w:val="18"/>
        </w:rPr>
        <w:t>includes:</w:t>
      </w:r>
      <w:proofErr w:type="gramEnd"/>
      <w:r w:rsidR="000B7E3A" w:rsidRPr="00DB11B7">
        <w:rPr>
          <w:sz w:val="18"/>
        </w:rPr>
        <w:t xml:space="preserve"> alanine aminotransferase increased, aspartate aminotransferase increased, blood bilirubin increased, drug-induced liver injury, hepatitis, hepatotoxicity, transaminases abnormal, transaminases increased.</w:t>
      </w:r>
    </w:p>
    <w:p w14:paraId="634C76A8" w14:textId="3998CB47" w:rsidR="009D146F" w:rsidRPr="00DB11B7" w:rsidRDefault="00304B6F" w:rsidP="000B7E3A">
      <w:pPr>
        <w:pStyle w:val="TableDescription"/>
        <w:rPr>
          <w:sz w:val="18"/>
        </w:rPr>
      </w:pPr>
      <w:r w:rsidRPr="00DB11B7">
        <w:rPr>
          <w:sz w:val="18"/>
        </w:rPr>
        <w:t xml:space="preserve">Musculoskeletal </w:t>
      </w:r>
      <w:r w:rsidR="000B7E3A" w:rsidRPr="00DB11B7">
        <w:rPr>
          <w:sz w:val="18"/>
        </w:rPr>
        <w:t xml:space="preserve">pain </w:t>
      </w:r>
      <w:r w:rsidRPr="00DB11B7">
        <w:rPr>
          <w:sz w:val="18"/>
        </w:rPr>
        <w:t xml:space="preserve">(GT) </w:t>
      </w:r>
      <w:proofErr w:type="gramStart"/>
      <w:r w:rsidR="000B7E3A" w:rsidRPr="00DB11B7">
        <w:rPr>
          <w:sz w:val="18"/>
        </w:rPr>
        <w:t>includes:</w:t>
      </w:r>
      <w:proofErr w:type="gramEnd"/>
      <w:r w:rsidR="000B7E3A" w:rsidRPr="00DB11B7">
        <w:rPr>
          <w:sz w:val="18"/>
        </w:rPr>
        <w:t xml:space="preserve"> back pain, bone pain, musculoskeletal chest pain, musculoskeletal discomfort, musculoskeletal pain, myalgia, neck pain, non-cardiac chest pain, and pain in extremity</w:t>
      </w:r>
      <w:r w:rsidRPr="00DB11B7">
        <w:rPr>
          <w:sz w:val="18"/>
        </w:rPr>
        <w:t>.</w:t>
      </w:r>
    </w:p>
    <w:p w14:paraId="1405AE49" w14:textId="2C7377D1" w:rsidR="009D146F" w:rsidRPr="00DB11B7" w:rsidRDefault="00304B6F" w:rsidP="000B7E3A">
      <w:pPr>
        <w:pStyle w:val="TableDescription"/>
        <w:rPr>
          <w:sz w:val="18"/>
        </w:rPr>
      </w:pPr>
      <w:proofErr w:type="spellStart"/>
      <w:r w:rsidRPr="00DB11B7">
        <w:rPr>
          <w:sz w:val="18"/>
        </w:rPr>
        <w:t>Edema</w:t>
      </w:r>
      <w:proofErr w:type="spellEnd"/>
      <w:r w:rsidRPr="00DB11B7">
        <w:rPr>
          <w:sz w:val="18"/>
        </w:rPr>
        <w:t xml:space="preserve"> (GT) </w:t>
      </w:r>
      <w:proofErr w:type="gramStart"/>
      <w:r w:rsidRPr="00DB11B7">
        <w:rPr>
          <w:sz w:val="18"/>
        </w:rPr>
        <w:t>includes</w:t>
      </w:r>
      <w:r w:rsidR="000B7E3A" w:rsidRPr="00DB11B7">
        <w:rPr>
          <w:sz w:val="18"/>
        </w:rPr>
        <w:t>:</w:t>
      </w:r>
      <w:proofErr w:type="gramEnd"/>
      <w:r w:rsidR="000B7E3A" w:rsidRPr="00DB11B7">
        <w:rPr>
          <w:sz w:val="18"/>
        </w:rPr>
        <w:t xml:space="preserve"> generalised </w:t>
      </w:r>
      <w:proofErr w:type="spellStart"/>
      <w:r w:rsidR="000B7E3A" w:rsidRPr="00DB11B7">
        <w:rPr>
          <w:sz w:val="18"/>
        </w:rPr>
        <w:t>edema</w:t>
      </w:r>
      <w:proofErr w:type="spellEnd"/>
      <w:r w:rsidR="000B7E3A" w:rsidRPr="00DB11B7">
        <w:rPr>
          <w:sz w:val="18"/>
        </w:rPr>
        <w:t xml:space="preserve">, localised </w:t>
      </w:r>
      <w:proofErr w:type="spellStart"/>
      <w:r w:rsidR="000B7E3A" w:rsidRPr="00DB11B7">
        <w:rPr>
          <w:sz w:val="18"/>
        </w:rPr>
        <w:t>edema</w:t>
      </w:r>
      <w:proofErr w:type="spellEnd"/>
      <w:r w:rsidR="000B7E3A" w:rsidRPr="00DB11B7">
        <w:rPr>
          <w:sz w:val="18"/>
        </w:rPr>
        <w:t xml:space="preserve">, </w:t>
      </w:r>
      <w:proofErr w:type="spellStart"/>
      <w:r w:rsidR="000B7E3A" w:rsidRPr="00DB11B7">
        <w:rPr>
          <w:sz w:val="18"/>
        </w:rPr>
        <w:t>edema</w:t>
      </w:r>
      <w:proofErr w:type="spellEnd"/>
      <w:r w:rsidR="000B7E3A" w:rsidRPr="00DB11B7">
        <w:rPr>
          <w:sz w:val="18"/>
        </w:rPr>
        <w:t xml:space="preserve">, </w:t>
      </w:r>
      <w:proofErr w:type="spellStart"/>
      <w:r w:rsidR="000B7E3A" w:rsidRPr="00DB11B7">
        <w:rPr>
          <w:sz w:val="18"/>
        </w:rPr>
        <w:t>edema</w:t>
      </w:r>
      <w:proofErr w:type="spellEnd"/>
      <w:r w:rsidR="000B7E3A" w:rsidRPr="00DB11B7">
        <w:rPr>
          <w:sz w:val="18"/>
        </w:rPr>
        <w:t xml:space="preserve"> peripheral, periorbital </w:t>
      </w:r>
      <w:proofErr w:type="spellStart"/>
      <w:r w:rsidR="000B7E3A" w:rsidRPr="00DB11B7">
        <w:rPr>
          <w:sz w:val="18"/>
        </w:rPr>
        <w:t>edema</w:t>
      </w:r>
      <w:proofErr w:type="spellEnd"/>
      <w:r w:rsidR="000B7E3A" w:rsidRPr="00DB11B7">
        <w:rPr>
          <w:sz w:val="18"/>
        </w:rPr>
        <w:t xml:space="preserve">, and testicular </w:t>
      </w:r>
      <w:proofErr w:type="spellStart"/>
      <w:r w:rsidR="000B7E3A" w:rsidRPr="00DB11B7">
        <w:rPr>
          <w:sz w:val="18"/>
        </w:rPr>
        <w:t>edema</w:t>
      </w:r>
      <w:proofErr w:type="spellEnd"/>
      <w:r w:rsidRPr="00DB11B7">
        <w:rPr>
          <w:sz w:val="18"/>
        </w:rPr>
        <w:t>.</w:t>
      </w:r>
    </w:p>
    <w:p w14:paraId="334841E4" w14:textId="64C8480B" w:rsidR="009D146F" w:rsidRPr="00DB11B7" w:rsidRDefault="00304B6F" w:rsidP="000B7E3A">
      <w:pPr>
        <w:pStyle w:val="TableDescription"/>
        <w:rPr>
          <w:sz w:val="18"/>
        </w:rPr>
      </w:pPr>
      <w:r w:rsidRPr="00DB11B7">
        <w:rPr>
          <w:sz w:val="18"/>
        </w:rPr>
        <w:t xml:space="preserve">Pneumonia (GT) </w:t>
      </w:r>
      <w:proofErr w:type="gramStart"/>
      <w:r w:rsidRPr="00DB11B7">
        <w:rPr>
          <w:sz w:val="18"/>
        </w:rPr>
        <w:t>includes</w:t>
      </w:r>
      <w:r w:rsidR="000B7E3A" w:rsidRPr="00DB11B7">
        <w:rPr>
          <w:sz w:val="18"/>
        </w:rPr>
        <w:t>:</w:t>
      </w:r>
      <w:proofErr w:type="gramEnd"/>
      <w:r w:rsidR="000B7E3A" w:rsidRPr="00DB11B7">
        <w:rPr>
          <w:sz w:val="18"/>
        </w:rPr>
        <w:t xml:space="preserve"> pneumonia, pneumonia aspiration, pneumonia bacterial, and pneumonia staphylococcal.</w:t>
      </w:r>
    </w:p>
    <w:p w14:paraId="4FBF11A7" w14:textId="3843ECAA" w:rsidR="00304B6F" w:rsidRPr="00DB11B7" w:rsidRDefault="00304B6F" w:rsidP="000B7E3A">
      <w:pPr>
        <w:pStyle w:val="TableDescription"/>
        <w:rPr>
          <w:sz w:val="18"/>
        </w:rPr>
      </w:pPr>
      <w:r w:rsidRPr="00DB11B7">
        <w:rPr>
          <w:sz w:val="18"/>
        </w:rPr>
        <w:t xml:space="preserve">Rash (GT) </w:t>
      </w:r>
      <w:proofErr w:type="gramStart"/>
      <w:r w:rsidRPr="00DB11B7">
        <w:rPr>
          <w:sz w:val="18"/>
        </w:rPr>
        <w:t>includes:</w:t>
      </w:r>
      <w:proofErr w:type="gramEnd"/>
      <w:r w:rsidRPr="00DB11B7">
        <w:rPr>
          <w:sz w:val="18"/>
        </w:rPr>
        <w:t xml:space="preserve"> </w:t>
      </w:r>
      <w:r w:rsidR="000B7E3A" w:rsidRPr="00DB11B7">
        <w:rPr>
          <w:sz w:val="18"/>
        </w:rPr>
        <w:t>dermatitis, dermatitis acneiform, rash, rash-maculopapular, rash pustular</w:t>
      </w:r>
    </w:p>
    <w:p w14:paraId="3E59F419" w14:textId="794A4BB7" w:rsidR="009D146F" w:rsidRPr="00DB11B7" w:rsidRDefault="009D146F" w:rsidP="000B7E3A">
      <w:pPr>
        <w:pStyle w:val="TableDescription"/>
        <w:rPr>
          <w:sz w:val="18"/>
        </w:rPr>
      </w:pPr>
      <w:r w:rsidRPr="00DB11B7">
        <w:rPr>
          <w:sz w:val="18"/>
        </w:rPr>
        <w:t>Source: data extracted from the United States Food and Drug Administration Multi-Discipline Review and Evaluation for Lumakras (</w:t>
      </w:r>
      <w:proofErr w:type="spellStart"/>
      <w:r w:rsidRPr="00DB11B7">
        <w:rPr>
          <w:sz w:val="18"/>
        </w:rPr>
        <w:t>sotorasib</w:t>
      </w:r>
      <w:proofErr w:type="spellEnd"/>
      <w:r w:rsidRPr="00DB11B7">
        <w:rPr>
          <w:sz w:val="18"/>
        </w:rPr>
        <w:t>).</w:t>
      </w:r>
      <w:r w:rsidRPr="00E701E8">
        <w:rPr>
          <w:sz w:val="18"/>
          <w:vertAlign w:val="superscript"/>
        </w:rPr>
        <w:fldChar w:fldCharType="begin"/>
      </w:r>
      <w:r w:rsidRPr="00DB11B7">
        <w:rPr>
          <w:sz w:val="18"/>
          <w:vertAlign w:val="superscript"/>
        </w:rPr>
        <w:instrText xml:space="preserve"> NOTEREF _Ref129869188 \h  \* MERGEFORMAT </w:instrText>
      </w:r>
      <w:r w:rsidRPr="00E701E8">
        <w:rPr>
          <w:sz w:val="18"/>
          <w:vertAlign w:val="superscript"/>
        </w:rPr>
      </w:r>
      <w:r w:rsidRPr="00E701E8">
        <w:rPr>
          <w:sz w:val="18"/>
          <w:vertAlign w:val="superscript"/>
        </w:rPr>
        <w:fldChar w:fldCharType="separate"/>
      </w:r>
      <w:r w:rsidR="009B21DC">
        <w:rPr>
          <w:sz w:val="18"/>
          <w:vertAlign w:val="superscript"/>
        </w:rPr>
        <w:t>9</w:t>
      </w:r>
      <w:r w:rsidRPr="00E701E8">
        <w:rPr>
          <w:sz w:val="18"/>
          <w:vertAlign w:val="superscript"/>
        </w:rPr>
        <w:fldChar w:fldCharType="end"/>
      </w:r>
    </w:p>
    <w:p w14:paraId="13894F66" w14:textId="77777777" w:rsidR="00E04ABD" w:rsidRPr="00AC6E74" w:rsidRDefault="00E04ABD" w:rsidP="00B83721">
      <w:pPr>
        <w:pStyle w:val="Heading6"/>
      </w:pPr>
      <w:r w:rsidRPr="00AC6E74">
        <w:lastRenderedPageBreak/>
        <w:t>Laboratory findings</w:t>
      </w:r>
    </w:p>
    <w:p w14:paraId="15B7BC6C" w14:textId="773AA6C0" w:rsidR="00E04ABD" w:rsidRPr="00AC6E74" w:rsidRDefault="00E04ABD" w:rsidP="005C6FC9">
      <w:r w:rsidRPr="00AC6E74">
        <w:t xml:space="preserve">Increases in ALT and AST </w:t>
      </w:r>
      <w:r w:rsidR="00E701E8">
        <w:t xml:space="preserve">concentrations </w:t>
      </w:r>
      <w:r w:rsidRPr="00AC6E74">
        <w:t>of all grades were the most common lab abnormalities, occurring in 39% and 38% of patients respectively.</w:t>
      </w:r>
      <w:r w:rsidR="002A2318" w:rsidRPr="00AC6E74">
        <w:t xml:space="preserve"> </w:t>
      </w:r>
      <w:r w:rsidRPr="00AC6E74">
        <w:t>Grade 3 to 4 abnormalities of AST and ALT occurred in 9% and 11% of patients, respectively.</w:t>
      </w:r>
      <w:r w:rsidR="002A2318" w:rsidRPr="00AC6E74">
        <w:t xml:space="preserve"> </w:t>
      </w:r>
      <w:r w:rsidRPr="00AC6E74">
        <w:t xml:space="preserve">A total of </w:t>
      </w:r>
      <w:r w:rsidR="00B83721" w:rsidRPr="00AC6E74">
        <w:t xml:space="preserve">50 </w:t>
      </w:r>
      <w:r w:rsidRPr="00AC6E74">
        <w:t xml:space="preserve">patients </w:t>
      </w:r>
      <w:r w:rsidR="00B83721" w:rsidRPr="00AC6E74">
        <w:t xml:space="preserve">(23%) </w:t>
      </w:r>
      <w:r w:rsidRPr="00AC6E74">
        <w:t xml:space="preserve">were noted to have an </w:t>
      </w:r>
      <w:r w:rsidR="00A4069E" w:rsidRPr="00AC6E74">
        <w:t>activated partial thromboplastin time (</w:t>
      </w:r>
      <w:proofErr w:type="spellStart"/>
      <w:r w:rsidRPr="00AC6E74">
        <w:t>aPTT</w:t>
      </w:r>
      <w:proofErr w:type="spellEnd"/>
      <w:r w:rsidR="00A4069E" w:rsidRPr="00AC6E74">
        <w:t>)</w:t>
      </w:r>
      <w:r w:rsidRPr="00AC6E74">
        <w:t xml:space="preserve"> that was increased from baseline.</w:t>
      </w:r>
      <w:r w:rsidR="002A2318" w:rsidRPr="00AC6E74">
        <w:t xml:space="preserve"> </w:t>
      </w:r>
      <w:r w:rsidRPr="00AC6E74">
        <w:t xml:space="preserve">The </w:t>
      </w:r>
      <w:r w:rsidR="00226918" w:rsidRPr="00AC6E74">
        <w:t>sponsor</w:t>
      </w:r>
      <w:r w:rsidRPr="00AC6E74">
        <w:t xml:space="preserve"> stated that 30 of the 50 patients had an </w:t>
      </w:r>
      <w:proofErr w:type="spellStart"/>
      <w:r w:rsidRPr="00AC6E74">
        <w:t>aPTT</w:t>
      </w:r>
      <w:proofErr w:type="spellEnd"/>
      <w:r w:rsidRPr="00AC6E74">
        <w:t xml:space="preserve"> increase from baseline noted at only one laboratory assessment during the patients’ time on study; the patients’ </w:t>
      </w:r>
      <w:proofErr w:type="spellStart"/>
      <w:r w:rsidRPr="00AC6E74">
        <w:t>aPTT</w:t>
      </w:r>
      <w:proofErr w:type="spellEnd"/>
      <w:r w:rsidRPr="00AC6E74">
        <w:t xml:space="preserve"> values subsequently normalised without intervention; and </w:t>
      </w:r>
      <w:proofErr w:type="gramStart"/>
      <w:r w:rsidRPr="00AC6E74">
        <w:t>also</w:t>
      </w:r>
      <w:proofErr w:type="gramEnd"/>
      <w:r w:rsidRPr="00AC6E74">
        <w:t xml:space="preserve"> that there is no additional clinical or laboratory evidence to indicate that </w:t>
      </w:r>
      <w:proofErr w:type="spellStart"/>
      <w:r w:rsidRPr="00AC6E74">
        <w:t>sotorasib</w:t>
      </w:r>
      <w:proofErr w:type="spellEnd"/>
      <w:r w:rsidRPr="00AC6E74">
        <w:t xml:space="preserve"> is associated with coagulopathy.</w:t>
      </w:r>
    </w:p>
    <w:p w14:paraId="356BEBDA" w14:textId="4681F49F" w:rsidR="00E04ABD" w:rsidRPr="00AC6E74" w:rsidRDefault="00F53329" w:rsidP="005C6FC9">
      <w:pPr>
        <w:pStyle w:val="Heading6"/>
      </w:pPr>
      <w:r w:rsidRPr="00AC6E74">
        <w:t>Electrocardiogram</w:t>
      </w:r>
      <w:r w:rsidR="00E04ABD" w:rsidRPr="00AC6E74">
        <w:t>s</w:t>
      </w:r>
      <w:r w:rsidRPr="00AC6E74">
        <w:t xml:space="preserve"> and </w:t>
      </w:r>
      <w:r w:rsidR="00E04ABD" w:rsidRPr="00AC6E74">
        <w:t>QT</w:t>
      </w:r>
      <w:r w:rsidRPr="00AC6E74">
        <w:t xml:space="preserve"> studies</w:t>
      </w:r>
    </w:p>
    <w:p w14:paraId="0843CC23" w14:textId="016A1792" w:rsidR="00E04ABD" w:rsidRPr="00AC6E74" w:rsidRDefault="00E04ABD" w:rsidP="005C6FC9">
      <w:r w:rsidRPr="00AC6E74">
        <w:t xml:space="preserve">The evaluator concluded that no dedicated QT studies were conducted and that no evidence of an increased risk of QT prolongation was observed with </w:t>
      </w:r>
      <w:proofErr w:type="spellStart"/>
      <w:r w:rsidRPr="00AC6E74">
        <w:t>sotorasib</w:t>
      </w:r>
      <w:proofErr w:type="spellEnd"/>
      <w:r w:rsidRPr="00AC6E74">
        <w:t xml:space="preserve"> treatment.</w:t>
      </w:r>
      <w:r w:rsidR="00E701E8" w:rsidRPr="00DB11B7">
        <w:rPr>
          <w:vertAlign w:val="superscript"/>
        </w:rPr>
        <w:fldChar w:fldCharType="begin"/>
      </w:r>
      <w:r w:rsidR="00E701E8" w:rsidRPr="00DB11B7">
        <w:rPr>
          <w:vertAlign w:val="superscript"/>
        </w:rPr>
        <w:instrText xml:space="preserve"> NOTEREF _Ref135910331 \h </w:instrText>
      </w:r>
      <w:r w:rsidR="00E701E8">
        <w:rPr>
          <w:vertAlign w:val="superscript"/>
        </w:rPr>
        <w:instrText xml:space="preserve"> \* MERGEFORMAT </w:instrText>
      </w:r>
      <w:r w:rsidR="00E701E8" w:rsidRPr="00DB11B7">
        <w:rPr>
          <w:vertAlign w:val="superscript"/>
        </w:rPr>
      </w:r>
      <w:r w:rsidR="00E701E8" w:rsidRPr="00DB11B7">
        <w:rPr>
          <w:vertAlign w:val="superscript"/>
        </w:rPr>
        <w:fldChar w:fldCharType="separate"/>
      </w:r>
      <w:r w:rsidR="009B21DC">
        <w:rPr>
          <w:vertAlign w:val="superscript"/>
        </w:rPr>
        <w:t>8</w:t>
      </w:r>
      <w:r w:rsidR="00E701E8" w:rsidRPr="00DB11B7">
        <w:rPr>
          <w:vertAlign w:val="superscript"/>
        </w:rPr>
        <w:fldChar w:fldCharType="end"/>
      </w:r>
    </w:p>
    <w:p w14:paraId="587649D1" w14:textId="65BA9D1C" w:rsidR="00E04ABD" w:rsidRPr="00AC6E74" w:rsidRDefault="008B6E00" w:rsidP="00B83721">
      <w:pPr>
        <w:pStyle w:val="Heading6"/>
      </w:pPr>
      <w:r w:rsidRPr="00AC6E74">
        <w:t>Adverse events</w:t>
      </w:r>
      <w:r w:rsidR="00E04ABD" w:rsidRPr="00AC6E74">
        <w:t xml:space="preserve"> of special interest</w:t>
      </w:r>
    </w:p>
    <w:p w14:paraId="4CFAC718" w14:textId="77777777" w:rsidR="00E04ABD" w:rsidRPr="00AC6E74" w:rsidRDefault="00E04ABD" w:rsidP="005C6FC9">
      <w:pPr>
        <w:pStyle w:val="Heading7"/>
        <w:rPr>
          <w:sz w:val="22"/>
          <w:szCs w:val="28"/>
        </w:rPr>
      </w:pPr>
      <w:r w:rsidRPr="00AC6E74">
        <w:rPr>
          <w:sz w:val="22"/>
          <w:szCs w:val="28"/>
        </w:rPr>
        <w:t>Hepatotoxicity</w:t>
      </w:r>
    </w:p>
    <w:p w14:paraId="5FB7015D" w14:textId="235D0EBE" w:rsidR="008B6E00" w:rsidRPr="00AC6E74" w:rsidRDefault="00E04ABD" w:rsidP="005C6FC9">
      <w:r w:rsidRPr="00AC6E74">
        <w:t xml:space="preserve">A grouped term for hepatotoxicity including </w:t>
      </w:r>
      <w:r w:rsidR="008B6E00" w:rsidRPr="00AC6E74">
        <w:t>‘</w:t>
      </w:r>
      <w:r w:rsidRPr="00AC6E74">
        <w:t>ALT increased, AST increased, blood bilirubin increased, drug-induced liver injury, hepatitis, hepatotoxicity, liver function test increased, and transaminases increased</w:t>
      </w:r>
      <w:r w:rsidR="008B6E00" w:rsidRPr="00AC6E74">
        <w:t>’</w:t>
      </w:r>
      <w:r w:rsidRPr="00AC6E74">
        <w:t xml:space="preserve"> was developed </w:t>
      </w:r>
      <w:r w:rsidR="008B6E00" w:rsidRPr="00AC6E74">
        <w:t xml:space="preserve">in the </w:t>
      </w:r>
      <w:r w:rsidR="00506F08" w:rsidRPr="00AC6E74">
        <w:t>evaluation</w:t>
      </w:r>
      <w:r w:rsidRPr="00AC6E74">
        <w:t>.</w:t>
      </w:r>
      <w:r w:rsidR="002A2318" w:rsidRPr="00AC6E74">
        <w:t xml:space="preserve"> </w:t>
      </w:r>
      <w:r w:rsidRPr="00AC6E74">
        <w:t>Overall, 50 patients (25%) had an event of hepatotoxicity and 12% of patients had a grade 3 or 4 event of hepatotoxicity.</w:t>
      </w:r>
    </w:p>
    <w:p w14:paraId="6586B82F" w14:textId="0C4F4ADF" w:rsidR="008B6E00" w:rsidRPr="00AC6E74" w:rsidRDefault="008B6E00" w:rsidP="00633755">
      <w:pPr>
        <w:pStyle w:val="Tabletitle0"/>
      </w:pPr>
      <w:r w:rsidRPr="00AC6E74">
        <w:t xml:space="preserve">Table </w:t>
      </w:r>
      <w:fldSimple w:instr=" SEQ Table \* ARABIC ">
        <w:r w:rsidR="009B21DC">
          <w:rPr>
            <w:noProof/>
          </w:rPr>
          <w:t>16</w:t>
        </w:r>
      </w:fldSimple>
      <w:r w:rsidRPr="00AC6E74">
        <w:t>:</w:t>
      </w:r>
      <w:r w:rsidR="00307400" w:rsidRPr="00AC6E74">
        <w:t xml:space="preserve"> </w:t>
      </w:r>
      <w:r w:rsidR="00633755" w:rsidRPr="00AC6E74">
        <w:t xml:space="preserve">Study 20170543 (CODEBREAK 100 trial) </w:t>
      </w:r>
      <w:r w:rsidR="00307400" w:rsidRPr="00AC6E74">
        <w:t xml:space="preserve">Hepatotoxicity in patients with </w:t>
      </w:r>
      <w:r w:rsidR="001A33CD" w:rsidRPr="00AC6E74">
        <w:t>non-small cell lung cancer</w:t>
      </w:r>
      <w:r w:rsidR="00307400" w:rsidRPr="00AC6E74">
        <w:t xml:space="preserve"> who received </w:t>
      </w:r>
      <w:r w:rsidR="001A33CD" w:rsidRPr="00AC6E74">
        <w:t xml:space="preserve">960 mg </w:t>
      </w:r>
      <w:proofErr w:type="spellStart"/>
      <w:r w:rsidR="00307400" w:rsidRPr="00AC6E74">
        <w:t>sotorasib</w:t>
      </w:r>
      <w:proofErr w:type="spellEnd"/>
      <w:r w:rsidR="00307400" w:rsidRPr="00AC6E74">
        <w:t xml:space="preserve"> </w:t>
      </w:r>
      <w:r w:rsidR="001A33CD" w:rsidRPr="00AC6E74">
        <w:t>once daily</w:t>
      </w:r>
    </w:p>
    <w:p w14:paraId="15B7365C" w14:textId="1DC44ECA" w:rsidR="00307400" w:rsidRPr="00AC6E74" w:rsidRDefault="00307400" w:rsidP="00633755">
      <w:r w:rsidRPr="00AC6E74">
        <w:rPr>
          <w:noProof/>
          <w:lang w:val="en-GB" w:eastAsia="en-GB"/>
        </w:rPr>
        <w:drawing>
          <wp:inline distT="0" distB="0" distL="0" distR="0" wp14:anchorId="0F0F5262" wp14:editId="78D29094">
            <wp:extent cx="5006340" cy="2868167"/>
            <wp:effectExtent l="0" t="0" r="3810" b="8890"/>
            <wp:docPr id="15" name="Picture 15" descr="Table 16: Study 20170543 (CODEBREAK 100 trial) Hepatotoxicity in patients with non-small cell lung cancer who received 960 mg sotorasib onc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16: Study 20170543 (CODEBREAK 100 trial) Hepatotoxicity in patients with non-small cell lung cancer who received 960 mg sotorasib once daily"/>
                    <pic:cNvPicPr/>
                  </pic:nvPicPr>
                  <pic:blipFill>
                    <a:blip r:embed="rId40"/>
                    <a:stretch>
                      <a:fillRect/>
                    </a:stretch>
                  </pic:blipFill>
                  <pic:spPr>
                    <a:xfrm>
                      <a:off x="0" y="0"/>
                      <a:ext cx="5011570" cy="2871164"/>
                    </a:xfrm>
                    <a:prstGeom prst="rect">
                      <a:avLst/>
                    </a:prstGeom>
                  </pic:spPr>
                </pic:pic>
              </a:graphicData>
            </a:graphic>
          </wp:inline>
        </w:drawing>
      </w:r>
    </w:p>
    <w:p w14:paraId="491A9233" w14:textId="77E80F86" w:rsidR="00B22B43" w:rsidRPr="00AC6E74" w:rsidRDefault="00B22B43" w:rsidP="00B22B43">
      <w:pPr>
        <w:pStyle w:val="TableDescription"/>
      </w:pPr>
      <w:r w:rsidRPr="00AC6E74">
        <w:t>Abbreviations: ALT = alanine aminotransferase; AST = aspartate aminotransferase; N = total number of subjects; QD = once daily.</w:t>
      </w:r>
    </w:p>
    <w:p w14:paraId="603B1187" w14:textId="3B999FB5" w:rsidR="00307400" w:rsidRPr="00AC6E74" w:rsidRDefault="00307400" w:rsidP="00B22B43">
      <w:pPr>
        <w:pStyle w:val="TableDescription"/>
      </w:pPr>
      <w:r w:rsidRPr="00AC6E74">
        <w:t>Source: data extracted from the United States Food and Drug Administration Multi-Discipline Review and Evaluation for Lumakras (</w:t>
      </w:r>
      <w:proofErr w:type="spellStart"/>
      <w:r w:rsidRPr="00AC6E74">
        <w:t>sotorasib</w:t>
      </w:r>
      <w:proofErr w:type="spellEnd"/>
      <w:r w:rsidRPr="00AC6E74">
        <w:t>).</w:t>
      </w:r>
      <w:r w:rsidRPr="00AC6E74">
        <w:rPr>
          <w:vertAlign w:val="superscript"/>
        </w:rPr>
        <w:fldChar w:fldCharType="begin"/>
      </w:r>
      <w:r w:rsidRPr="00AC6E74">
        <w:rPr>
          <w:vertAlign w:val="superscript"/>
        </w:rPr>
        <w:instrText xml:space="preserve"> NOTEREF _Ref129869188 \h  \* MERGEFORMAT </w:instrText>
      </w:r>
      <w:r w:rsidRPr="00AC6E74">
        <w:rPr>
          <w:vertAlign w:val="superscript"/>
        </w:rPr>
      </w:r>
      <w:r w:rsidRPr="00AC6E74">
        <w:rPr>
          <w:vertAlign w:val="superscript"/>
        </w:rPr>
        <w:fldChar w:fldCharType="separate"/>
      </w:r>
      <w:r w:rsidR="009B21DC">
        <w:rPr>
          <w:vertAlign w:val="superscript"/>
        </w:rPr>
        <w:t>9</w:t>
      </w:r>
      <w:r w:rsidRPr="00AC6E74">
        <w:rPr>
          <w:vertAlign w:val="superscript"/>
        </w:rPr>
        <w:fldChar w:fldCharType="end"/>
      </w:r>
    </w:p>
    <w:p w14:paraId="6F5D4E2E" w14:textId="1DB1E0C6" w:rsidR="00E04ABD" w:rsidRPr="00AC6E74" w:rsidRDefault="00E04ABD" w:rsidP="005C6FC9">
      <w:r w:rsidRPr="00AC6E74">
        <w:t xml:space="preserve">Of the 50 patients who experienced an event of hepatotoxicity, </w:t>
      </w:r>
      <w:r w:rsidR="00B83721" w:rsidRPr="00AC6E74">
        <w:t>23 patients (</w:t>
      </w:r>
      <w:r w:rsidRPr="00AC6E74">
        <w:t>46%</w:t>
      </w:r>
      <w:r w:rsidR="00B83721" w:rsidRPr="00AC6E74">
        <w:t>)</w:t>
      </w:r>
      <w:r w:rsidRPr="00AC6E74">
        <w:t xml:space="preserve"> required either a dose reduction or interruption.</w:t>
      </w:r>
      <w:r w:rsidR="002A2318" w:rsidRPr="00AC6E74">
        <w:t xml:space="preserve"> </w:t>
      </w:r>
      <w:r w:rsidRPr="00AC6E74">
        <w:t>Hepatotoxicity events resolved in 71 of 78 (91%) of patients following dose reduction or interruption.</w:t>
      </w:r>
      <w:r w:rsidR="002A2318" w:rsidRPr="00AC6E74">
        <w:t xml:space="preserve"> </w:t>
      </w:r>
      <w:r w:rsidRPr="00AC6E74">
        <w:t>No events of hepatotoxicity or elevated liver enzymes met Hy’s law criteria and there were no cases of liver failure or fatal cases of hepatotoxicity.</w:t>
      </w:r>
    </w:p>
    <w:p w14:paraId="67D82ED2" w14:textId="77777777" w:rsidR="00E04ABD" w:rsidRPr="00AC6E74" w:rsidRDefault="00E04ABD" w:rsidP="005C6FC9">
      <w:pPr>
        <w:pStyle w:val="Heading7"/>
        <w:rPr>
          <w:sz w:val="22"/>
          <w:szCs w:val="28"/>
        </w:rPr>
      </w:pPr>
      <w:r w:rsidRPr="00AC6E74">
        <w:rPr>
          <w:sz w:val="22"/>
          <w:szCs w:val="28"/>
        </w:rPr>
        <w:lastRenderedPageBreak/>
        <w:t>Renal toxicity</w:t>
      </w:r>
    </w:p>
    <w:p w14:paraId="6B892C51" w14:textId="710E6064" w:rsidR="00E04ABD" w:rsidRPr="00AC6E74" w:rsidRDefault="00E04ABD" w:rsidP="005C6FC9">
      <w:r w:rsidRPr="00AC6E74">
        <w:t xml:space="preserve">Events of renal toxicity were mild to moderate and did not lead to </w:t>
      </w:r>
      <w:proofErr w:type="spellStart"/>
      <w:r w:rsidRPr="00AC6E74">
        <w:t>sotorasib</w:t>
      </w:r>
      <w:proofErr w:type="spellEnd"/>
      <w:r w:rsidRPr="00AC6E74">
        <w:t xml:space="preserve"> dose reduction or discontinuation.</w:t>
      </w:r>
      <w:r w:rsidR="002A2318" w:rsidRPr="00AC6E74">
        <w:t xml:space="preserve"> </w:t>
      </w:r>
      <w:r w:rsidRPr="00AC6E74">
        <w:t xml:space="preserve">The single case of </w:t>
      </w:r>
      <w:r w:rsidR="00A4069E" w:rsidRPr="00AC6E74">
        <w:t xml:space="preserve">acute kidney injury </w:t>
      </w:r>
      <w:r w:rsidRPr="00AC6E74">
        <w:t xml:space="preserve">that occurred in a patient in the primary safety population that led to </w:t>
      </w:r>
      <w:proofErr w:type="spellStart"/>
      <w:r w:rsidRPr="00AC6E74">
        <w:t>sotorasib</w:t>
      </w:r>
      <w:proofErr w:type="spellEnd"/>
      <w:r w:rsidRPr="00AC6E74">
        <w:t xml:space="preserve"> interruption occurred in the setting of significant diarrhoea; both conditions resolved with </w:t>
      </w:r>
      <w:proofErr w:type="spellStart"/>
      <w:r w:rsidRPr="00AC6E74">
        <w:t>sotorasib</w:t>
      </w:r>
      <w:proofErr w:type="spellEnd"/>
      <w:r w:rsidRPr="00AC6E74">
        <w:t xml:space="preserve"> interruption.</w:t>
      </w:r>
      <w:r w:rsidR="002A2318" w:rsidRPr="00AC6E74">
        <w:t xml:space="preserve"> </w:t>
      </w:r>
      <w:r w:rsidRPr="00AC6E74">
        <w:t xml:space="preserve">In the evaluation report, it was concluded that while preclinical data was concerning for nephrotoxicity, review of AE reporting, patient narratives and laboratory data did not reveal an association between </w:t>
      </w:r>
      <w:proofErr w:type="spellStart"/>
      <w:r w:rsidRPr="00AC6E74">
        <w:t>sotorasib</w:t>
      </w:r>
      <w:proofErr w:type="spellEnd"/>
      <w:r w:rsidRPr="00AC6E74">
        <w:t xml:space="preserve"> and nephrotoxicity.</w:t>
      </w:r>
    </w:p>
    <w:p w14:paraId="33E5150D" w14:textId="03FB21D0" w:rsidR="00E04ABD" w:rsidRPr="00AC6E74" w:rsidRDefault="00E04ABD" w:rsidP="005C6FC9">
      <w:pPr>
        <w:pStyle w:val="Heading7"/>
        <w:rPr>
          <w:sz w:val="22"/>
          <w:szCs w:val="28"/>
        </w:rPr>
      </w:pPr>
      <w:r w:rsidRPr="00AC6E74">
        <w:rPr>
          <w:sz w:val="22"/>
          <w:szCs w:val="28"/>
        </w:rPr>
        <w:t xml:space="preserve">Interstitial lung disease </w:t>
      </w:r>
      <w:r w:rsidR="00C54AB8" w:rsidRPr="00AC6E74">
        <w:rPr>
          <w:sz w:val="22"/>
          <w:szCs w:val="28"/>
        </w:rPr>
        <w:t xml:space="preserve">or </w:t>
      </w:r>
      <w:r w:rsidRPr="00AC6E74">
        <w:rPr>
          <w:sz w:val="22"/>
          <w:szCs w:val="28"/>
        </w:rPr>
        <w:t>pneumonitis</w:t>
      </w:r>
    </w:p>
    <w:p w14:paraId="76655E0C" w14:textId="39ED593D" w:rsidR="00E04ABD" w:rsidRPr="00AC6E74" w:rsidRDefault="00E04ABD" w:rsidP="005C6FC9">
      <w:r w:rsidRPr="00AC6E74">
        <w:t xml:space="preserve">An independent analysis was performed of events of </w:t>
      </w:r>
      <w:r w:rsidR="00C54AB8" w:rsidRPr="00AC6E74">
        <w:t>interstitial lung disease</w:t>
      </w:r>
      <w:r w:rsidRPr="00AC6E74">
        <w:t xml:space="preserve"> and pneumonitis in the 357 patients who received </w:t>
      </w:r>
      <w:proofErr w:type="spellStart"/>
      <w:r w:rsidRPr="00AC6E74">
        <w:t>sotorasib</w:t>
      </w:r>
      <w:proofErr w:type="spellEnd"/>
      <w:r w:rsidRPr="00AC6E74">
        <w:t xml:space="preserve"> in Study 20170534, given the known </w:t>
      </w:r>
      <w:r w:rsidR="00A4069E" w:rsidRPr="00AC6E74">
        <w:t xml:space="preserve">tyrosine kinase inhibitor </w:t>
      </w:r>
      <w:r w:rsidRPr="00AC6E74">
        <w:t>class effect of pneumonitis.</w:t>
      </w:r>
      <w:r w:rsidR="002A2318" w:rsidRPr="00AC6E74">
        <w:t xml:space="preserve"> </w:t>
      </w:r>
      <w:r w:rsidRPr="00AC6E74">
        <w:t xml:space="preserve">Three cases of </w:t>
      </w:r>
      <w:r w:rsidR="00C54AB8" w:rsidRPr="00AC6E74">
        <w:t xml:space="preserve">interstitial lung disease or </w:t>
      </w:r>
      <w:r w:rsidRPr="00AC6E74">
        <w:t>pneumonitis (0.8%) were identified, all of which occurred in patients with NSCLC.</w:t>
      </w:r>
      <w:r w:rsidR="002A2318" w:rsidRPr="00AC6E74">
        <w:t xml:space="preserve"> </w:t>
      </w:r>
      <w:r w:rsidRPr="00AC6E74">
        <w:t xml:space="preserve">All cases were grade 3 or 4, and </w:t>
      </w:r>
      <w:r w:rsidR="00C54AB8" w:rsidRPr="00AC6E74">
        <w:t>one</w:t>
      </w:r>
      <w:r w:rsidRPr="00AC6E74">
        <w:t xml:space="preserve"> case was fatal.</w:t>
      </w:r>
      <w:r w:rsidR="002A2318" w:rsidRPr="00AC6E74">
        <w:t xml:space="preserve"> </w:t>
      </w:r>
      <w:r w:rsidRPr="00AC6E74">
        <w:t>The case of fatal pneumonitis occurred in a patient who death was attributed to disease progression but for which pneumonitis cannot be excluded as a causative factor.</w:t>
      </w:r>
    </w:p>
    <w:p w14:paraId="29D5F9C2" w14:textId="61280188" w:rsidR="00E04ABD" w:rsidRPr="00AC6E74" w:rsidRDefault="00C54AB8" w:rsidP="005C6FC9">
      <w:r w:rsidRPr="00AC6E74">
        <w:t xml:space="preserve">Interstitial lung disease or </w:t>
      </w:r>
      <w:r w:rsidR="00E04ABD" w:rsidRPr="00AC6E74">
        <w:t>pneumonitis leading to dose interruption or reduction occurred in 0.2% of patients in Study 20170543.</w:t>
      </w:r>
      <w:r w:rsidR="002A2318" w:rsidRPr="00AC6E74">
        <w:t xml:space="preserve"> </w:t>
      </w:r>
      <w:r w:rsidR="00E04ABD" w:rsidRPr="00AC6E74">
        <w:t xml:space="preserve">Sotorasib was discontinued due to </w:t>
      </w:r>
      <w:r w:rsidRPr="00AC6E74">
        <w:t xml:space="preserve">interstitial lung disease or </w:t>
      </w:r>
      <w:r w:rsidR="00E04ABD" w:rsidRPr="00AC6E74">
        <w:t>pneumonitis in 0.6% of patients in this study.</w:t>
      </w:r>
      <w:r w:rsidR="002A2318" w:rsidRPr="00AC6E74">
        <w:t xml:space="preserve"> </w:t>
      </w:r>
      <w:r w:rsidR="00E04ABD" w:rsidRPr="00AC6E74">
        <w:t xml:space="preserve">Given that pneumonitis is a serious and potentially fatal event, dose modification guidelines in the </w:t>
      </w:r>
      <w:r w:rsidR="00A4069E" w:rsidRPr="00AC6E74">
        <w:t>Product Information</w:t>
      </w:r>
      <w:r w:rsidR="00E04ABD" w:rsidRPr="00AC6E74">
        <w:t xml:space="preserve"> should clearly state that </w:t>
      </w:r>
      <w:proofErr w:type="spellStart"/>
      <w:r w:rsidR="00E04ABD" w:rsidRPr="00AC6E74">
        <w:t>sotorasib</w:t>
      </w:r>
      <w:proofErr w:type="spellEnd"/>
      <w:r w:rsidR="00E04ABD" w:rsidRPr="00AC6E74">
        <w:t xml:space="preserve"> should be permanently discontinued for any event of </w:t>
      </w:r>
      <w:r w:rsidRPr="00AC6E74">
        <w:t xml:space="preserve">interstitial lung disease or </w:t>
      </w:r>
      <w:r w:rsidR="00E04ABD" w:rsidRPr="00AC6E74">
        <w:t>pneumonitis.</w:t>
      </w:r>
    </w:p>
    <w:p w14:paraId="46BEE550" w14:textId="77777777" w:rsidR="00E04ABD" w:rsidRPr="00AC6E74" w:rsidRDefault="00E04ABD" w:rsidP="005C6FC9">
      <w:pPr>
        <w:pStyle w:val="Heading6"/>
      </w:pPr>
      <w:r w:rsidRPr="00AC6E74">
        <w:t>Other safety explorations</w:t>
      </w:r>
    </w:p>
    <w:p w14:paraId="246FF5C5" w14:textId="75D98997" w:rsidR="00E04ABD" w:rsidRPr="00AC6E74" w:rsidRDefault="00E04ABD" w:rsidP="005C6FC9">
      <w:pPr>
        <w:pStyle w:val="ListBullet"/>
      </w:pPr>
      <w:r w:rsidRPr="00AC6E74">
        <w:rPr>
          <w:i/>
          <w:iCs/>
        </w:rPr>
        <w:t xml:space="preserve">Human </w:t>
      </w:r>
      <w:r w:rsidR="00C54AB8" w:rsidRPr="00AC6E74">
        <w:rPr>
          <w:i/>
          <w:iCs/>
        </w:rPr>
        <w:t>reproduction and pregnancy</w:t>
      </w:r>
      <w:r w:rsidRPr="00AC6E74">
        <w:t xml:space="preserve">: There </w:t>
      </w:r>
      <w:r w:rsidR="00A4069E" w:rsidRPr="00AC6E74">
        <w:t>are</w:t>
      </w:r>
      <w:r w:rsidRPr="00AC6E74">
        <w:t xml:space="preserve"> no data available in pregnant women.</w:t>
      </w:r>
      <w:r w:rsidR="002A2318" w:rsidRPr="00AC6E74">
        <w:t xml:space="preserve"> </w:t>
      </w:r>
      <w:r w:rsidRPr="00AC6E74">
        <w:t xml:space="preserve">It is not known if </w:t>
      </w:r>
      <w:proofErr w:type="spellStart"/>
      <w:r w:rsidRPr="00AC6E74">
        <w:t>sotorasib</w:t>
      </w:r>
      <w:proofErr w:type="spellEnd"/>
      <w:r w:rsidRPr="00AC6E74">
        <w:t xml:space="preserve"> or its metabolites are present in human milk; because of the potential risk for </w:t>
      </w:r>
      <w:proofErr w:type="spellStart"/>
      <w:r w:rsidRPr="00AC6E74">
        <w:t>sotorasib</w:t>
      </w:r>
      <w:proofErr w:type="spellEnd"/>
      <w:r w:rsidRPr="00AC6E74">
        <w:t xml:space="preserve"> to cause adverse effects in breastfed children, a decision must be made to discontinue breast feeding or discontinue </w:t>
      </w:r>
      <w:proofErr w:type="spellStart"/>
      <w:r w:rsidRPr="00AC6E74">
        <w:t>sotorasib</w:t>
      </w:r>
      <w:proofErr w:type="spellEnd"/>
      <w:r w:rsidRPr="00AC6E74">
        <w:t xml:space="preserve"> while breast feeding.</w:t>
      </w:r>
      <w:r w:rsidR="002A2318" w:rsidRPr="00AC6E74">
        <w:t xml:space="preserve"> </w:t>
      </w:r>
      <w:r w:rsidRPr="00AC6E74">
        <w:t xml:space="preserve">There are no clinical studies to evaluate the effect of </w:t>
      </w:r>
      <w:proofErr w:type="spellStart"/>
      <w:r w:rsidRPr="00AC6E74">
        <w:t>sotorasib</w:t>
      </w:r>
      <w:proofErr w:type="spellEnd"/>
      <w:r w:rsidRPr="00AC6E74">
        <w:t xml:space="preserve"> on fertility.</w:t>
      </w:r>
    </w:p>
    <w:p w14:paraId="763459E2" w14:textId="5B20F1C6" w:rsidR="00E04ABD" w:rsidRPr="00AC6E74" w:rsidRDefault="00C54AB8" w:rsidP="005C6FC9">
      <w:pPr>
        <w:pStyle w:val="ListBullet"/>
      </w:pPr>
      <w:r w:rsidRPr="00AC6E74">
        <w:rPr>
          <w:i/>
          <w:iCs/>
        </w:rPr>
        <w:t>Paediatrics and assessment of effects on growth</w:t>
      </w:r>
      <w:r w:rsidR="00E04ABD" w:rsidRPr="00AC6E74">
        <w:t xml:space="preserve">: Sotorasib was not studied in </w:t>
      </w:r>
      <w:r w:rsidR="00A4069E" w:rsidRPr="00AC6E74">
        <w:t>paediatric</w:t>
      </w:r>
      <w:r w:rsidR="00E04ABD" w:rsidRPr="00AC6E74">
        <w:t xml:space="preserve"> patients.</w:t>
      </w:r>
    </w:p>
    <w:p w14:paraId="516932B4" w14:textId="2150C904" w:rsidR="00E04ABD" w:rsidRPr="00AC6E74" w:rsidRDefault="00C54AB8" w:rsidP="005C6FC9">
      <w:pPr>
        <w:pStyle w:val="ListBullet"/>
      </w:pPr>
      <w:r w:rsidRPr="00AC6E74">
        <w:rPr>
          <w:i/>
          <w:iCs/>
        </w:rPr>
        <w:t>Overdose, drug abuse potential, withdrawal, and rebound</w:t>
      </w:r>
      <w:r w:rsidR="00E04ABD" w:rsidRPr="00AC6E74">
        <w:t xml:space="preserve">: There is no clinical experience with overdose with </w:t>
      </w:r>
      <w:proofErr w:type="spellStart"/>
      <w:r w:rsidR="00E04ABD" w:rsidRPr="00AC6E74">
        <w:t>sotorasib</w:t>
      </w:r>
      <w:proofErr w:type="spellEnd"/>
      <w:r w:rsidR="00E04ABD" w:rsidRPr="00AC6E74">
        <w:t>.</w:t>
      </w:r>
    </w:p>
    <w:p w14:paraId="474FFBDC" w14:textId="77777777" w:rsidR="00E04ABD" w:rsidRPr="00AC6E74" w:rsidRDefault="00E04ABD" w:rsidP="005C6FC9">
      <w:pPr>
        <w:pStyle w:val="Heading5"/>
      </w:pPr>
      <w:r w:rsidRPr="00AC6E74">
        <w:t>Integrated safety assessment</w:t>
      </w:r>
    </w:p>
    <w:p w14:paraId="627E1464" w14:textId="1FE778C7" w:rsidR="00E04ABD" w:rsidRPr="00AC6E74" w:rsidRDefault="00E04ABD" w:rsidP="005C6FC9">
      <w:r w:rsidRPr="00AC6E74">
        <w:t xml:space="preserve">Following </w:t>
      </w:r>
      <w:r w:rsidR="00E701E8">
        <w:t xml:space="preserve">the TGA’s </w:t>
      </w:r>
      <w:r w:rsidRPr="00AC6E74">
        <w:t xml:space="preserve">clinical evaluation, it was concluded that </w:t>
      </w:r>
      <w:proofErr w:type="spellStart"/>
      <w:r w:rsidRPr="00AC6E74">
        <w:t>sotorasib</w:t>
      </w:r>
      <w:proofErr w:type="spellEnd"/>
      <w:r w:rsidRPr="00AC6E74">
        <w:t xml:space="preserve"> is generally well</w:t>
      </w:r>
      <w:r w:rsidR="00C54AB8" w:rsidRPr="00AC6E74">
        <w:t xml:space="preserve"> </w:t>
      </w:r>
      <w:r w:rsidRPr="00AC6E74">
        <w:t xml:space="preserve">tolerated with a relatively small number of patients requiring permanent discontinuation of </w:t>
      </w:r>
      <w:proofErr w:type="spellStart"/>
      <w:r w:rsidRPr="00AC6E74">
        <w:t>sotorasib</w:t>
      </w:r>
      <w:proofErr w:type="spellEnd"/>
      <w:r w:rsidRPr="00AC6E74">
        <w:t xml:space="preserve"> due to an AE (9%</w:t>
      </w:r>
      <w:proofErr w:type="gramStart"/>
      <w:r w:rsidRPr="00AC6E74">
        <w:t>), and</w:t>
      </w:r>
      <w:proofErr w:type="gramEnd"/>
      <w:r w:rsidRPr="00AC6E74">
        <w:t xml:space="preserve"> agreed with the identification of hepatotoxicity as an adverse reaction.</w:t>
      </w:r>
      <w:r w:rsidR="002A2318" w:rsidRPr="00AC6E74">
        <w:t xml:space="preserve"> </w:t>
      </w:r>
      <w:r w:rsidRPr="00AC6E74">
        <w:t xml:space="preserve">The </w:t>
      </w:r>
      <w:r w:rsidR="008C12AD" w:rsidRPr="00AC6E74">
        <w:t>Delegate</w:t>
      </w:r>
      <w:r w:rsidRPr="00AC6E74">
        <w:t xml:space="preserve"> notes that the current version of the proposed </w:t>
      </w:r>
      <w:r w:rsidR="00A13739" w:rsidRPr="00AC6E74">
        <w:t>Product Information (</w:t>
      </w:r>
      <w:r w:rsidRPr="00AC6E74">
        <w:t>PI</w:t>
      </w:r>
      <w:r w:rsidR="00A13739" w:rsidRPr="00AC6E74">
        <w:t>)</w:t>
      </w:r>
      <w:r w:rsidRPr="00AC6E74">
        <w:t xml:space="preserve"> includes an appropriate description of hepatotoxicity and dose modification guidelines.</w:t>
      </w:r>
      <w:r w:rsidR="002A2318" w:rsidRPr="00AC6E74">
        <w:t xml:space="preserve"> </w:t>
      </w:r>
      <w:r w:rsidR="00E701E8">
        <w:t>I</w:t>
      </w:r>
      <w:r w:rsidR="00C54AB8" w:rsidRPr="00AC6E74">
        <w:t xml:space="preserve">nterstitial lung disease or </w:t>
      </w:r>
      <w:r w:rsidRPr="00AC6E74">
        <w:t>pneumonitis should be included in the PI as a serious adverse reaction and dose modification guidelines should be provided.</w:t>
      </w:r>
    </w:p>
    <w:p w14:paraId="2A4C64D1" w14:textId="77777777" w:rsidR="008E7846" w:rsidRPr="00AC6E74" w:rsidRDefault="00386150" w:rsidP="007B6132">
      <w:pPr>
        <w:pStyle w:val="Heading3"/>
        <w:rPr>
          <w:lang w:eastAsia="en-AU"/>
        </w:rPr>
      </w:pPr>
      <w:bookmarkStart w:id="76" w:name="_Toc314842514"/>
      <w:bookmarkStart w:id="77" w:name="_Toc136358063"/>
      <w:r w:rsidRPr="00AC6E74">
        <w:rPr>
          <w:lang w:eastAsia="en-AU"/>
        </w:rPr>
        <w:t>Risk m</w:t>
      </w:r>
      <w:r w:rsidR="008E7846" w:rsidRPr="00AC6E74">
        <w:rPr>
          <w:lang w:eastAsia="en-AU"/>
        </w:rPr>
        <w:t xml:space="preserve">anagement </w:t>
      </w:r>
      <w:r w:rsidRPr="00AC6E74">
        <w:rPr>
          <w:lang w:eastAsia="en-AU"/>
        </w:rPr>
        <w:t>p</w:t>
      </w:r>
      <w:r w:rsidR="008E7846" w:rsidRPr="00AC6E74">
        <w:rPr>
          <w:lang w:eastAsia="en-AU"/>
        </w:rPr>
        <w:t>lan</w:t>
      </w:r>
      <w:bookmarkEnd w:id="76"/>
      <w:bookmarkEnd w:id="77"/>
    </w:p>
    <w:p w14:paraId="23517A78" w14:textId="3E556204" w:rsidR="008E74DA" w:rsidRPr="00AC6E74" w:rsidRDefault="008E74DA" w:rsidP="008E74DA">
      <w:bookmarkStart w:id="78" w:name="_Toc247691531"/>
      <w:bookmarkStart w:id="79" w:name="_Toc314842515"/>
      <w:bookmarkStart w:id="80" w:name="_Toc196046505"/>
      <w:bookmarkStart w:id="81" w:name="_Toc196046949"/>
      <w:r w:rsidRPr="00AC6E74">
        <w:t xml:space="preserve">The sponsor has submitted </w:t>
      </w:r>
      <w:r w:rsidR="00171934" w:rsidRPr="00AC6E74">
        <w:t>European Union (</w:t>
      </w:r>
      <w:r w:rsidRPr="00AC6E74">
        <w:t>EU</w:t>
      </w:r>
      <w:r w:rsidR="00171934" w:rsidRPr="00AC6E74">
        <w:t>)</w:t>
      </w:r>
      <w:r w:rsidRPr="00AC6E74">
        <w:t>-</w:t>
      </w:r>
      <w:r w:rsidR="00171934" w:rsidRPr="00AC6E74">
        <w:t>risk management plan (</w:t>
      </w:r>
      <w:r w:rsidRPr="00AC6E74">
        <w:t>RMP</w:t>
      </w:r>
      <w:r w:rsidR="00171934" w:rsidRPr="00AC6E74">
        <w:t>)</w:t>
      </w:r>
      <w:r w:rsidRPr="00AC6E74">
        <w:t xml:space="preserve"> version 0.1 (dated 4 December 2020; </w:t>
      </w:r>
      <w:r w:rsidR="00171934" w:rsidRPr="00AC6E74">
        <w:t>data lock point (</w:t>
      </w:r>
      <w:r w:rsidRPr="00AC6E74">
        <w:t>DLP</w:t>
      </w:r>
      <w:r w:rsidR="00171934" w:rsidRPr="00AC6E74">
        <w:t>)</w:t>
      </w:r>
      <w:r w:rsidRPr="00AC6E74">
        <w:t xml:space="preserve"> 1</w:t>
      </w:r>
      <w:r w:rsidR="00C54AB8" w:rsidRPr="00AC6E74">
        <w:t> </w:t>
      </w:r>
      <w:r w:rsidRPr="00AC6E74">
        <w:t xml:space="preserve">September 2020) and </w:t>
      </w:r>
      <w:r w:rsidR="00171934" w:rsidRPr="00AC6E74">
        <w:t>Australia specific annex (</w:t>
      </w:r>
      <w:r w:rsidRPr="00AC6E74">
        <w:t>ASA</w:t>
      </w:r>
      <w:r w:rsidR="00171934" w:rsidRPr="00AC6E74">
        <w:t>)</w:t>
      </w:r>
      <w:r w:rsidRPr="00AC6E74">
        <w:t xml:space="preserve"> version 1.0 (dated 21 January 2021) in support of this application. In response</w:t>
      </w:r>
      <w:r w:rsidR="00171934" w:rsidRPr="00AC6E74">
        <w:t xml:space="preserve"> to questions raised by TGA</w:t>
      </w:r>
      <w:r w:rsidRPr="00AC6E74">
        <w:t>, the sponsor has submitted EU-RMP version</w:t>
      </w:r>
      <w:r w:rsidR="00C54AB8" w:rsidRPr="00AC6E74">
        <w:t> </w:t>
      </w:r>
      <w:r w:rsidRPr="00AC6E74">
        <w:t>0.2 (dated 25 June 2021; DLP 1 September 2020) and ASA version 2.0 (dated 18 August 2021) in support of this application.</w:t>
      </w:r>
    </w:p>
    <w:p w14:paraId="3FD3BA79" w14:textId="38F67903" w:rsidR="0074163C" w:rsidRPr="00AC6E74" w:rsidRDefault="0074163C" w:rsidP="0074163C">
      <w:r w:rsidRPr="00AC6E74">
        <w:lastRenderedPageBreak/>
        <w:t xml:space="preserve">The summary of safety concerns and their associated risk monitoring and mitigation strategies are summarised in </w:t>
      </w:r>
      <w:r w:rsidR="00C54AB8" w:rsidRPr="00AC6E74">
        <w:fldChar w:fldCharType="begin"/>
      </w:r>
      <w:r w:rsidR="00C54AB8" w:rsidRPr="00AC6E74">
        <w:instrText xml:space="preserve"> REF _Ref97629131 \h </w:instrText>
      </w:r>
      <w:r w:rsidR="00987863" w:rsidRPr="00AC6E74">
        <w:instrText xml:space="preserve"> \* MERGEFORMAT </w:instrText>
      </w:r>
      <w:r w:rsidR="00C54AB8" w:rsidRPr="00AC6E74">
        <w:fldChar w:fldCharType="separate"/>
      </w:r>
      <w:r w:rsidR="009B21DC" w:rsidRPr="00AC6E74">
        <w:t xml:space="preserve">Table </w:t>
      </w:r>
      <w:r w:rsidR="009B21DC">
        <w:rPr>
          <w:noProof/>
        </w:rPr>
        <w:t>17</w:t>
      </w:r>
      <w:r w:rsidR="00C54AB8" w:rsidRPr="00AC6E74">
        <w:fldChar w:fldCharType="end"/>
      </w:r>
      <w:r w:rsidRPr="00AC6E74">
        <w:t xml:space="preserve">. Further information regarding </w:t>
      </w:r>
      <w:r w:rsidR="00CC5044" w:rsidRPr="00AC6E74">
        <w:t>the TGA</w:t>
      </w:r>
      <w:r w:rsidR="00BF7063" w:rsidRPr="00AC6E74">
        <w:t>’</w:t>
      </w:r>
      <w:r w:rsidR="00CC5044" w:rsidRPr="00AC6E74">
        <w:t>s r</w:t>
      </w:r>
      <w:r w:rsidRPr="00AC6E74">
        <w:t xml:space="preserve">isk management approach can be found in </w:t>
      </w:r>
      <w:hyperlink r:id="rId41" w:history="1">
        <w:r w:rsidRPr="00AC6E74">
          <w:rPr>
            <w:rStyle w:val="Hyperlink"/>
          </w:rPr>
          <w:t>risk management plans for medicines and biologicals</w:t>
        </w:r>
      </w:hyperlink>
      <w:r w:rsidRPr="00AC6E74">
        <w:t xml:space="preserve"> and </w:t>
      </w:r>
      <w:hyperlink r:id="rId42" w:history="1">
        <w:r w:rsidRPr="00AC6E74">
          <w:rPr>
            <w:rStyle w:val="Hyperlink"/>
          </w:rPr>
          <w:t>the TGA's risk management approach</w:t>
        </w:r>
      </w:hyperlink>
      <w:r w:rsidRPr="00AC6E74">
        <w:t>.</w:t>
      </w:r>
    </w:p>
    <w:p w14:paraId="38A57957" w14:textId="33C09233" w:rsidR="0074163C" w:rsidRPr="00AC6E74" w:rsidRDefault="0074163C" w:rsidP="0074163C">
      <w:pPr>
        <w:pStyle w:val="TableTitle"/>
      </w:pPr>
      <w:bookmarkStart w:id="82" w:name="_Ref97629131"/>
      <w:r w:rsidRPr="00AC6E74">
        <w:t xml:space="preserve">Table </w:t>
      </w:r>
      <w:fldSimple w:instr=" SEQ Table \* ARABIC ">
        <w:r w:rsidR="009B21DC">
          <w:rPr>
            <w:noProof/>
          </w:rPr>
          <w:t>17</w:t>
        </w:r>
      </w:fldSimple>
      <w:bookmarkEnd w:id="82"/>
      <w:r w:rsidRPr="00AC6E74">
        <w:t>: Summary of safety concerns</w:t>
      </w:r>
    </w:p>
    <w:tbl>
      <w:tblPr>
        <w:tblStyle w:val="TableTGAblue"/>
        <w:tblW w:w="8495" w:type="dxa"/>
        <w:tblLayout w:type="fixed"/>
        <w:tblLook w:val="04A0" w:firstRow="1" w:lastRow="0" w:firstColumn="1" w:lastColumn="0" w:noHBand="0" w:noVBand="1"/>
      </w:tblPr>
      <w:tblGrid>
        <w:gridCol w:w="1327"/>
        <w:gridCol w:w="2916"/>
        <w:gridCol w:w="992"/>
        <w:gridCol w:w="1134"/>
        <w:gridCol w:w="992"/>
        <w:gridCol w:w="1134"/>
      </w:tblGrid>
      <w:tr w:rsidR="008E74DA" w:rsidRPr="00AC6E74" w14:paraId="5EFEFDB0" w14:textId="77777777" w:rsidTr="008E74DA">
        <w:trPr>
          <w:cnfStyle w:val="100000000000" w:firstRow="1" w:lastRow="0" w:firstColumn="0" w:lastColumn="0" w:oddVBand="0" w:evenVBand="0" w:oddHBand="0" w:evenHBand="0" w:firstRowFirstColumn="0" w:firstRowLastColumn="0" w:lastRowFirstColumn="0" w:lastRowLastColumn="0"/>
          <w:trHeight w:val="131"/>
        </w:trPr>
        <w:tc>
          <w:tcPr>
            <w:tcW w:w="4243" w:type="dxa"/>
            <w:gridSpan w:val="2"/>
            <w:vMerge w:val="restart"/>
            <w:tcBorders>
              <w:top w:val="single" w:sz="8" w:space="0" w:color="auto"/>
              <w:left w:val="single" w:sz="8" w:space="0" w:color="auto"/>
              <w:bottom w:val="single" w:sz="8" w:space="0" w:color="auto"/>
              <w:right w:val="single" w:sz="8" w:space="0" w:color="auto"/>
            </w:tcBorders>
          </w:tcPr>
          <w:p w14:paraId="601E135C" w14:textId="77777777" w:rsidR="008E74DA" w:rsidRPr="00AC6E74" w:rsidRDefault="008E74DA" w:rsidP="008E74DA">
            <w:pPr>
              <w:pStyle w:val="Tabletext"/>
              <w:ind w:left="0" w:right="0"/>
            </w:pPr>
            <w:r w:rsidRPr="00AC6E74">
              <w:t>Summary of safety concerns</w:t>
            </w:r>
          </w:p>
        </w:tc>
        <w:tc>
          <w:tcPr>
            <w:tcW w:w="2126" w:type="dxa"/>
            <w:gridSpan w:val="2"/>
            <w:tcBorders>
              <w:top w:val="single" w:sz="8" w:space="0" w:color="auto"/>
              <w:left w:val="single" w:sz="8" w:space="0" w:color="auto"/>
              <w:bottom w:val="single" w:sz="8" w:space="0" w:color="auto"/>
              <w:right w:val="single" w:sz="8" w:space="0" w:color="auto"/>
            </w:tcBorders>
          </w:tcPr>
          <w:p w14:paraId="7CD98829" w14:textId="77777777" w:rsidR="008E74DA" w:rsidRPr="00AC6E74" w:rsidRDefault="008E74DA" w:rsidP="008E74DA">
            <w:pPr>
              <w:pStyle w:val="Tabletext"/>
              <w:ind w:left="0" w:right="0"/>
              <w:rPr>
                <w:sz w:val="18"/>
              </w:rPr>
            </w:pPr>
            <w:r w:rsidRPr="00AC6E74">
              <w:rPr>
                <w:sz w:val="18"/>
              </w:rPr>
              <w:t>Pharmacovigilance</w:t>
            </w:r>
          </w:p>
        </w:tc>
        <w:tc>
          <w:tcPr>
            <w:tcW w:w="2126" w:type="dxa"/>
            <w:gridSpan w:val="2"/>
            <w:tcBorders>
              <w:top w:val="single" w:sz="8" w:space="0" w:color="auto"/>
              <w:left w:val="single" w:sz="8" w:space="0" w:color="auto"/>
              <w:bottom w:val="single" w:sz="8" w:space="0" w:color="auto"/>
              <w:right w:val="single" w:sz="8" w:space="0" w:color="auto"/>
            </w:tcBorders>
          </w:tcPr>
          <w:p w14:paraId="404981A2" w14:textId="7C24C919" w:rsidR="008E74DA" w:rsidRPr="00AC6E74" w:rsidRDefault="008E74DA" w:rsidP="008E74DA">
            <w:pPr>
              <w:pStyle w:val="Tabletext"/>
              <w:ind w:left="0" w:right="0"/>
              <w:rPr>
                <w:sz w:val="18"/>
              </w:rPr>
            </w:pPr>
            <w:r w:rsidRPr="00AC6E74">
              <w:rPr>
                <w:sz w:val="18"/>
              </w:rPr>
              <w:t>Risk minimisation</w:t>
            </w:r>
          </w:p>
        </w:tc>
      </w:tr>
      <w:tr w:rsidR="008E74DA" w:rsidRPr="00AC6E74" w14:paraId="7D1AEECE" w14:textId="77777777" w:rsidTr="008E74DA">
        <w:trPr>
          <w:trHeight w:val="150"/>
        </w:trPr>
        <w:tc>
          <w:tcPr>
            <w:tcW w:w="4243" w:type="dxa"/>
            <w:gridSpan w:val="2"/>
            <w:vMerge/>
            <w:tcBorders>
              <w:top w:val="single" w:sz="8" w:space="0" w:color="auto"/>
              <w:left w:val="single" w:sz="8" w:space="0" w:color="auto"/>
              <w:bottom w:val="single" w:sz="8" w:space="0" w:color="auto"/>
              <w:right w:val="single" w:sz="8" w:space="0" w:color="auto"/>
            </w:tcBorders>
            <w:shd w:val="clear" w:color="auto" w:fill="006DA7"/>
          </w:tcPr>
          <w:p w14:paraId="775740F8" w14:textId="77777777" w:rsidR="008E74DA" w:rsidRPr="00AC6E74" w:rsidRDefault="008E74DA" w:rsidP="008E74DA">
            <w:pPr>
              <w:pStyle w:val="Tabletext"/>
              <w:ind w:left="0" w:right="0"/>
              <w:rPr>
                <w:b/>
                <w:color w:val="FFFFFF" w:themeColor="background1"/>
              </w:rPr>
            </w:pPr>
          </w:p>
        </w:tc>
        <w:tc>
          <w:tcPr>
            <w:tcW w:w="992" w:type="dxa"/>
            <w:tcBorders>
              <w:top w:val="single" w:sz="8" w:space="0" w:color="auto"/>
              <w:left w:val="single" w:sz="8" w:space="0" w:color="auto"/>
              <w:bottom w:val="single" w:sz="8" w:space="0" w:color="auto"/>
              <w:right w:val="single" w:sz="8" w:space="0" w:color="auto"/>
            </w:tcBorders>
            <w:shd w:val="clear" w:color="auto" w:fill="006DA7"/>
          </w:tcPr>
          <w:p w14:paraId="696469D8" w14:textId="77777777" w:rsidR="008E74DA" w:rsidRPr="00AC6E74" w:rsidRDefault="008E74DA" w:rsidP="008E74DA">
            <w:pPr>
              <w:pStyle w:val="Tabletext"/>
              <w:ind w:left="0" w:right="0"/>
              <w:rPr>
                <w:b/>
                <w:color w:val="FFFFFF" w:themeColor="background1"/>
                <w:sz w:val="18"/>
              </w:rPr>
            </w:pPr>
            <w:r w:rsidRPr="00AC6E74">
              <w:rPr>
                <w:b/>
                <w:color w:val="FFFFFF" w:themeColor="background1"/>
                <w:sz w:val="18"/>
              </w:rPr>
              <w:t>Routine</w:t>
            </w:r>
          </w:p>
        </w:tc>
        <w:tc>
          <w:tcPr>
            <w:tcW w:w="1134" w:type="dxa"/>
            <w:tcBorders>
              <w:top w:val="single" w:sz="8" w:space="0" w:color="auto"/>
              <w:left w:val="single" w:sz="8" w:space="0" w:color="auto"/>
              <w:bottom w:val="single" w:sz="8" w:space="0" w:color="auto"/>
              <w:right w:val="single" w:sz="8" w:space="0" w:color="auto"/>
            </w:tcBorders>
            <w:shd w:val="clear" w:color="auto" w:fill="006DA7"/>
          </w:tcPr>
          <w:p w14:paraId="4C3D7822" w14:textId="77777777" w:rsidR="008E74DA" w:rsidRPr="00AC6E74" w:rsidRDefault="008E74DA" w:rsidP="008E74DA">
            <w:pPr>
              <w:pStyle w:val="Tabletext"/>
              <w:ind w:left="0" w:right="0"/>
              <w:rPr>
                <w:b/>
                <w:color w:val="FFFFFF" w:themeColor="background1"/>
                <w:sz w:val="18"/>
              </w:rPr>
            </w:pPr>
            <w:r w:rsidRPr="00AC6E74">
              <w:rPr>
                <w:b/>
                <w:color w:val="FFFFFF" w:themeColor="background1"/>
                <w:sz w:val="18"/>
              </w:rPr>
              <w:t>Additional</w:t>
            </w:r>
          </w:p>
        </w:tc>
        <w:tc>
          <w:tcPr>
            <w:tcW w:w="992" w:type="dxa"/>
            <w:tcBorders>
              <w:top w:val="single" w:sz="8" w:space="0" w:color="auto"/>
              <w:left w:val="single" w:sz="8" w:space="0" w:color="auto"/>
              <w:bottom w:val="single" w:sz="8" w:space="0" w:color="auto"/>
              <w:right w:val="single" w:sz="8" w:space="0" w:color="auto"/>
            </w:tcBorders>
            <w:shd w:val="clear" w:color="auto" w:fill="006DA7"/>
          </w:tcPr>
          <w:p w14:paraId="6D368312" w14:textId="77777777" w:rsidR="008E74DA" w:rsidRPr="00AC6E74" w:rsidRDefault="008E74DA" w:rsidP="008E74DA">
            <w:pPr>
              <w:pStyle w:val="Tabletext"/>
              <w:ind w:left="0" w:right="0"/>
              <w:rPr>
                <w:b/>
                <w:color w:val="FFFFFF" w:themeColor="background1"/>
                <w:sz w:val="18"/>
              </w:rPr>
            </w:pPr>
            <w:r w:rsidRPr="00AC6E74">
              <w:rPr>
                <w:b/>
                <w:color w:val="FFFFFF" w:themeColor="background1"/>
                <w:sz w:val="18"/>
              </w:rPr>
              <w:t>Routine</w:t>
            </w:r>
          </w:p>
        </w:tc>
        <w:tc>
          <w:tcPr>
            <w:tcW w:w="1134" w:type="dxa"/>
            <w:tcBorders>
              <w:top w:val="single" w:sz="8" w:space="0" w:color="auto"/>
              <w:left w:val="single" w:sz="8" w:space="0" w:color="auto"/>
              <w:bottom w:val="single" w:sz="8" w:space="0" w:color="auto"/>
              <w:right w:val="single" w:sz="8" w:space="0" w:color="auto"/>
            </w:tcBorders>
            <w:shd w:val="clear" w:color="auto" w:fill="006DA7"/>
          </w:tcPr>
          <w:p w14:paraId="5F4F37C2" w14:textId="77777777" w:rsidR="008E74DA" w:rsidRPr="00AC6E74" w:rsidRDefault="008E74DA" w:rsidP="008E74DA">
            <w:pPr>
              <w:pStyle w:val="Tabletext"/>
              <w:ind w:left="0" w:right="0"/>
              <w:rPr>
                <w:b/>
                <w:color w:val="FFFFFF" w:themeColor="background1"/>
                <w:sz w:val="18"/>
              </w:rPr>
            </w:pPr>
            <w:r w:rsidRPr="00AC6E74">
              <w:rPr>
                <w:b/>
                <w:color w:val="FFFFFF" w:themeColor="background1"/>
                <w:sz w:val="18"/>
              </w:rPr>
              <w:t>Additional</w:t>
            </w:r>
          </w:p>
        </w:tc>
      </w:tr>
      <w:tr w:rsidR="008E74DA" w:rsidRPr="00AC6E74" w14:paraId="6EF3382C" w14:textId="77777777" w:rsidTr="008E74DA">
        <w:trPr>
          <w:trHeight w:val="137"/>
        </w:trPr>
        <w:tc>
          <w:tcPr>
            <w:tcW w:w="1327" w:type="dxa"/>
            <w:tcBorders>
              <w:top w:val="single" w:sz="8" w:space="0" w:color="auto"/>
            </w:tcBorders>
          </w:tcPr>
          <w:p w14:paraId="0D48532B" w14:textId="77777777" w:rsidR="008E74DA" w:rsidRPr="00AC6E74" w:rsidRDefault="008E74DA" w:rsidP="008E74DA">
            <w:pPr>
              <w:pStyle w:val="Tabletext"/>
              <w:ind w:left="0" w:right="0"/>
              <w:rPr>
                <w:b/>
              </w:rPr>
            </w:pPr>
            <w:r w:rsidRPr="00AC6E74">
              <w:rPr>
                <w:b/>
              </w:rPr>
              <w:t>Important identified risks</w:t>
            </w:r>
          </w:p>
        </w:tc>
        <w:tc>
          <w:tcPr>
            <w:tcW w:w="2916" w:type="dxa"/>
            <w:tcBorders>
              <w:top w:val="single" w:sz="8" w:space="0" w:color="auto"/>
            </w:tcBorders>
          </w:tcPr>
          <w:p w14:paraId="2AAB55B0" w14:textId="77777777" w:rsidR="008E74DA" w:rsidRPr="00AC6E74" w:rsidRDefault="008E74DA" w:rsidP="008E74DA">
            <w:pPr>
              <w:pStyle w:val="Tabletext"/>
              <w:ind w:left="0" w:right="0"/>
            </w:pPr>
            <w:r w:rsidRPr="00AC6E74">
              <w:t>None</w:t>
            </w:r>
          </w:p>
        </w:tc>
        <w:tc>
          <w:tcPr>
            <w:tcW w:w="992" w:type="dxa"/>
            <w:tcBorders>
              <w:top w:val="single" w:sz="8" w:space="0" w:color="auto"/>
            </w:tcBorders>
          </w:tcPr>
          <w:p w14:paraId="0A031C34" w14:textId="77777777" w:rsidR="008E74DA" w:rsidRPr="00AC6E74" w:rsidRDefault="008E74DA" w:rsidP="008E74DA">
            <w:pPr>
              <w:pStyle w:val="Tabletext"/>
              <w:ind w:left="0" w:right="0"/>
              <w:jc w:val="center"/>
            </w:pPr>
            <w:r w:rsidRPr="00AC6E74">
              <w:t>–</w:t>
            </w:r>
          </w:p>
        </w:tc>
        <w:tc>
          <w:tcPr>
            <w:tcW w:w="1134" w:type="dxa"/>
            <w:tcBorders>
              <w:top w:val="single" w:sz="8" w:space="0" w:color="auto"/>
            </w:tcBorders>
          </w:tcPr>
          <w:p w14:paraId="345DB382" w14:textId="77777777" w:rsidR="008E74DA" w:rsidRPr="00AC6E74" w:rsidRDefault="008E74DA" w:rsidP="008E74DA">
            <w:pPr>
              <w:pStyle w:val="Tabletext"/>
              <w:ind w:left="0" w:right="0"/>
              <w:jc w:val="center"/>
            </w:pPr>
            <w:r w:rsidRPr="00AC6E74">
              <w:t>–</w:t>
            </w:r>
          </w:p>
        </w:tc>
        <w:tc>
          <w:tcPr>
            <w:tcW w:w="992" w:type="dxa"/>
            <w:tcBorders>
              <w:top w:val="single" w:sz="8" w:space="0" w:color="auto"/>
            </w:tcBorders>
          </w:tcPr>
          <w:p w14:paraId="09BC5A0C" w14:textId="77777777" w:rsidR="008E74DA" w:rsidRPr="00AC6E74" w:rsidRDefault="008E74DA" w:rsidP="008E74DA">
            <w:pPr>
              <w:pStyle w:val="Tabletext"/>
              <w:ind w:left="0" w:right="0"/>
              <w:jc w:val="center"/>
            </w:pPr>
            <w:r w:rsidRPr="00AC6E74">
              <w:t>–</w:t>
            </w:r>
          </w:p>
        </w:tc>
        <w:tc>
          <w:tcPr>
            <w:tcW w:w="1134" w:type="dxa"/>
            <w:tcBorders>
              <w:top w:val="single" w:sz="8" w:space="0" w:color="auto"/>
            </w:tcBorders>
          </w:tcPr>
          <w:p w14:paraId="19D72D58" w14:textId="77777777" w:rsidR="008E74DA" w:rsidRPr="00AC6E74" w:rsidRDefault="008E74DA" w:rsidP="008E74DA">
            <w:pPr>
              <w:pStyle w:val="Tabletext"/>
              <w:ind w:left="0" w:right="0"/>
              <w:jc w:val="center"/>
            </w:pPr>
            <w:r w:rsidRPr="00AC6E74">
              <w:t>–</w:t>
            </w:r>
          </w:p>
        </w:tc>
      </w:tr>
      <w:tr w:rsidR="008E74DA" w:rsidRPr="00AC6E74" w14:paraId="7EBD5CCE" w14:textId="77777777" w:rsidTr="008E74DA">
        <w:trPr>
          <w:trHeight w:val="159"/>
        </w:trPr>
        <w:tc>
          <w:tcPr>
            <w:tcW w:w="1327" w:type="dxa"/>
          </w:tcPr>
          <w:p w14:paraId="03BEDA76" w14:textId="77777777" w:rsidR="008E74DA" w:rsidRPr="00AC6E74" w:rsidRDefault="008E74DA" w:rsidP="008E74DA">
            <w:pPr>
              <w:pStyle w:val="Tabletext"/>
              <w:ind w:left="0" w:right="0"/>
              <w:rPr>
                <w:b/>
              </w:rPr>
            </w:pPr>
            <w:r w:rsidRPr="00AC6E74">
              <w:rPr>
                <w:b/>
              </w:rPr>
              <w:t>Important potential risks</w:t>
            </w:r>
          </w:p>
        </w:tc>
        <w:tc>
          <w:tcPr>
            <w:tcW w:w="2916" w:type="dxa"/>
          </w:tcPr>
          <w:p w14:paraId="4BCF98B0" w14:textId="77777777" w:rsidR="008E74DA" w:rsidRPr="00AC6E74" w:rsidRDefault="008E74DA" w:rsidP="008E74DA">
            <w:pPr>
              <w:pStyle w:val="Tabletext"/>
              <w:ind w:left="0" w:right="0"/>
            </w:pPr>
            <w:r w:rsidRPr="00AC6E74">
              <w:t>None</w:t>
            </w:r>
          </w:p>
        </w:tc>
        <w:tc>
          <w:tcPr>
            <w:tcW w:w="992" w:type="dxa"/>
          </w:tcPr>
          <w:p w14:paraId="76217E23" w14:textId="77777777" w:rsidR="008E74DA" w:rsidRPr="00AC6E74" w:rsidRDefault="008E74DA" w:rsidP="008E74DA">
            <w:pPr>
              <w:pStyle w:val="Tabletext"/>
              <w:ind w:left="0" w:right="0"/>
              <w:jc w:val="center"/>
            </w:pPr>
            <w:r w:rsidRPr="00AC6E74">
              <w:t>–</w:t>
            </w:r>
          </w:p>
        </w:tc>
        <w:tc>
          <w:tcPr>
            <w:tcW w:w="1134" w:type="dxa"/>
          </w:tcPr>
          <w:p w14:paraId="7DF0FB9F" w14:textId="77777777" w:rsidR="008E74DA" w:rsidRPr="00AC6E74" w:rsidRDefault="008E74DA" w:rsidP="008E74DA">
            <w:pPr>
              <w:pStyle w:val="Tabletext"/>
              <w:ind w:left="0" w:right="0"/>
              <w:jc w:val="center"/>
            </w:pPr>
            <w:r w:rsidRPr="00AC6E74">
              <w:t>–</w:t>
            </w:r>
          </w:p>
        </w:tc>
        <w:tc>
          <w:tcPr>
            <w:tcW w:w="992" w:type="dxa"/>
          </w:tcPr>
          <w:p w14:paraId="20F20D28" w14:textId="77777777" w:rsidR="008E74DA" w:rsidRPr="00AC6E74" w:rsidRDefault="008E74DA" w:rsidP="008E74DA">
            <w:pPr>
              <w:pStyle w:val="Tabletext"/>
              <w:ind w:left="0" w:right="0"/>
              <w:jc w:val="center"/>
            </w:pPr>
            <w:r w:rsidRPr="00AC6E74">
              <w:t>–</w:t>
            </w:r>
          </w:p>
        </w:tc>
        <w:tc>
          <w:tcPr>
            <w:tcW w:w="1134" w:type="dxa"/>
          </w:tcPr>
          <w:p w14:paraId="00EF7DE5" w14:textId="77777777" w:rsidR="008E74DA" w:rsidRPr="00AC6E74" w:rsidRDefault="008E74DA" w:rsidP="008E74DA">
            <w:pPr>
              <w:pStyle w:val="Tabletext"/>
              <w:ind w:left="0" w:right="0"/>
              <w:jc w:val="center"/>
            </w:pPr>
            <w:r w:rsidRPr="00AC6E74">
              <w:t>–</w:t>
            </w:r>
          </w:p>
        </w:tc>
      </w:tr>
      <w:tr w:rsidR="008E74DA" w:rsidRPr="00AC6E74" w14:paraId="508E18A3" w14:textId="77777777" w:rsidTr="008E74DA">
        <w:trPr>
          <w:trHeight w:val="178"/>
        </w:trPr>
        <w:tc>
          <w:tcPr>
            <w:tcW w:w="1327" w:type="dxa"/>
          </w:tcPr>
          <w:p w14:paraId="419E47E5" w14:textId="77777777" w:rsidR="008E74DA" w:rsidRPr="00AC6E74" w:rsidRDefault="008E74DA" w:rsidP="008E74DA">
            <w:pPr>
              <w:pStyle w:val="Tabletext"/>
              <w:ind w:left="0" w:right="0"/>
              <w:rPr>
                <w:b/>
              </w:rPr>
            </w:pPr>
            <w:r w:rsidRPr="00AC6E74">
              <w:rPr>
                <w:b/>
              </w:rPr>
              <w:t>Missing information</w:t>
            </w:r>
          </w:p>
        </w:tc>
        <w:tc>
          <w:tcPr>
            <w:tcW w:w="2916" w:type="dxa"/>
          </w:tcPr>
          <w:p w14:paraId="7038E159" w14:textId="77777777" w:rsidR="008E74DA" w:rsidRPr="00AC6E74" w:rsidRDefault="008E74DA" w:rsidP="008E74DA">
            <w:pPr>
              <w:pStyle w:val="Tabletext"/>
              <w:ind w:left="0" w:right="0"/>
            </w:pPr>
            <w:r w:rsidRPr="00AC6E74">
              <w:t>Use in patients with hepatic impairment</w:t>
            </w:r>
          </w:p>
        </w:tc>
        <w:tc>
          <w:tcPr>
            <w:tcW w:w="992" w:type="dxa"/>
          </w:tcPr>
          <w:p w14:paraId="512A0645" w14:textId="77777777" w:rsidR="008E74DA" w:rsidRPr="00AC6E74" w:rsidRDefault="008E74DA" w:rsidP="008E74DA">
            <w:pPr>
              <w:pStyle w:val="Tabletext"/>
              <w:ind w:left="0" w:right="0"/>
              <w:jc w:val="center"/>
            </w:pPr>
            <w:r w:rsidRPr="00AC6E74">
              <w:sym w:font="Wingdings" w:char="F0FC"/>
            </w:r>
          </w:p>
        </w:tc>
        <w:tc>
          <w:tcPr>
            <w:tcW w:w="1134" w:type="dxa"/>
          </w:tcPr>
          <w:p w14:paraId="543F777B" w14:textId="77777777" w:rsidR="008E74DA" w:rsidRPr="00AC6E74" w:rsidRDefault="008E74DA" w:rsidP="008E74DA">
            <w:pPr>
              <w:pStyle w:val="Tabletext"/>
              <w:ind w:left="0" w:right="0"/>
              <w:jc w:val="center"/>
            </w:pPr>
            <w:r w:rsidRPr="00AC6E74">
              <w:sym w:font="Wingdings" w:char="F0FC"/>
            </w:r>
            <w:r w:rsidRPr="00AC6E74">
              <w:t>*</w:t>
            </w:r>
          </w:p>
        </w:tc>
        <w:tc>
          <w:tcPr>
            <w:tcW w:w="992" w:type="dxa"/>
          </w:tcPr>
          <w:p w14:paraId="21D79189" w14:textId="77777777" w:rsidR="008E74DA" w:rsidRPr="00AC6E74" w:rsidRDefault="008E74DA" w:rsidP="008E74DA">
            <w:pPr>
              <w:pStyle w:val="Tabletext"/>
              <w:ind w:left="0" w:right="0"/>
              <w:jc w:val="center"/>
            </w:pPr>
            <w:r w:rsidRPr="00AC6E74">
              <w:sym w:font="Wingdings" w:char="F0FC"/>
            </w:r>
          </w:p>
        </w:tc>
        <w:tc>
          <w:tcPr>
            <w:tcW w:w="1134" w:type="dxa"/>
          </w:tcPr>
          <w:p w14:paraId="65F7052A" w14:textId="77777777" w:rsidR="008E74DA" w:rsidRPr="00AC6E74" w:rsidRDefault="008E74DA" w:rsidP="008E74DA">
            <w:pPr>
              <w:pStyle w:val="Tabletext"/>
              <w:ind w:left="0" w:right="0"/>
              <w:jc w:val="center"/>
            </w:pPr>
            <w:r w:rsidRPr="00AC6E74">
              <w:t>–</w:t>
            </w:r>
          </w:p>
        </w:tc>
      </w:tr>
    </w:tbl>
    <w:p w14:paraId="76541322" w14:textId="6A922605" w:rsidR="008E74DA" w:rsidRPr="00AC6E74" w:rsidRDefault="008E74DA" w:rsidP="008E74DA">
      <w:pPr>
        <w:pStyle w:val="Standard"/>
        <w:spacing w:after="0"/>
        <w:rPr>
          <w:kern w:val="0"/>
          <w:sz w:val="20"/>
          <w:szCs w:val="20"/>
        </w:rPr>
      </w:pPr>
      <w:r w:rsidRPr="00AC6E74">
        <w:rPr>
          <w:kern w:val="0"/>
          <w:sz w:val="20"/>
          <w:szCs w:val="20"/>
        </w:rPr>
        <w:t>*</w:t>
      </w:r>
      <w:r w:rsidRPr="00AC6E74">
        <w:rPr>
          <w:rFonts w:cs="Arial"/>
          <w:sz w:val="20"/>
          <w:szCs w:val="20"/>
        </w:rPr>
        <w:t>Study 20200362 Post</w:t>
      </w:r>
      <w:r w:rsidR="00C54AB8" w:rsidRPr="00AC6E74">
        <w:rPr>
          <w:rFonts w:cs="Arial"/>
          <w:sz w:val="20"/>
          <w:szCs w:val="20"/>
        </w:rPr>
        <w:t>-authorisation safety study</w:t>
      </w:r>
    </w:p>
    <w:p w14:paraId="126EEB1A" w14:textId="0E11408A" w:rsidR="008E74DA" w:rsidRPr="00AC6E74" w:rsidRDefault="008E74DA" w:rsidP="008E74DA">
      <w:pPr>
        <w:pStyle w:val="TableDescription"/>
      </w:pPr>
      <w:r w:rsidRPr="00AC6E74">
        <w:t xml:space="preserve">Note: Studies 20170543 and 20200426 have also been included as additional pharmacovigilance activities in the </w:t>
      </w:r>
      <w:r w:rsidR="00E701E8">
        <w:t>Australia-specific annex</w:t>
      </w:r>
      <w:r w:rsidRPr="00AC6E74">
        <w:t>.</w:t>
      </w:r>
    </w:p>
    <w:p w14:paraId="1987DCF6" w14:textId="78E532AF" w:rsidR="008E74DA" w:rsidRPr="00AC6E74" w:rsidRDefault="008E74DA" w:rsidP="008E74DA">
      <w:pPr>
        <w:pStyle w:val="ListBullet"/>
      </w:pPr>
      <w:r w:rsidRPr="00AC6E74">
        <w:t xml:space="preserve">The summary of safety concerns </w:t>
      </w:r>
      <w:r w:rsidR="00C54AB8" w:rsidRPr="00AC6E74">
        <w:t>is</w:t>
      </w:r>
      <w:r w:rsidRPr="00AC6E74">
        <w:t xml:space="preserve"> </w:t>
      </w:r>
      <w:proofErr w:type="gramStart"/>
      <w:r w:rsidRPr="00AC6E74">
        <w:t>adequate</w:t>
      </w:r>
      <w:proofErr w:type="gramEnd"/>
      <w:r w:rsidRPr="00AC6E74">
        <w:t xml:space="preserve"> and no further additions are required as the sponsor has adequately addressed the RMP </w:t>
      </w:r>
      <w:r w:rsidR="00C54AB8" w:rsidRPr="00AC6E74">
        <w:t>e</w:t>
      </w:r>
      <w:r w:rsidRPr="00AC6E74">
        <w:t>valuat</w:t>
      </w:r>
      <w:r w:rsidR="00C54AB8" w:rsidRPr="00AC6E74">
        <w:t>ion</w:t>
      </w:r>
      <w:r w:rsidRPr="00AC6E74">
        <w:t>’s recommendations</w:t>
      </w:r>
      <w:r w:rsidR="00C54AB8" w:rsidRPr="00AC6E74">
        <w:t>.</w:t>
      </w:r>
    </w:p>
    <w:p w14:paraId="0C3475CE" w14:textId="791F1CE4" w:rsidR="008E74DA" w:rsidRPr="00AC6E74" w:rsidRDefault="008E74DA" w:rsidP="008E74DA">
      <w:pPr>
        <w:pStyle w:val="ListBullet"/>
      </w:pPr>
      <w:r w:rsidRPr="00AC6E74">
        <w:t>Routine and additional pharmacovigilance activities have been proposed. Two additional pharmacovigilance activities have been added which were recommended by the FDA as additional post</w:t>
      </w:r>
      <w:r w:rsidR="00C54AB8" w:rsidRPr="00AC6E74">
        <w:t>-</w:t>
      </w:r>
      <w:r w:rsidRPr="00AC6E74">
        <w:t>market requirements.</w:t>
      </w:r>
    </w:p>
    <w:p w14:paraId="32F2D93B" w14:textId="448B83DF" w:rsidR="0074163C" w:rsidRPr="00AC6E74" w:rsidRDefault="008E74DA" w:rsidP="008E74DA">
      <w:pPr>
        <w:pStyle w:val="ListBullet"/>
      </w:pPr>
      <w:r w:rsidRPr="00AC6E74">
        <w:t>Routine risk minimisation activities only have been proposed which is adequate.</w:t>
      </w:r>
    </w:p>
    <w:p w14:paraId="29847A83" w14:textId="77777777" w:rsidR="008E7846" w:rsidRPr="00AC6E74" w:rsidRDefault="00AA0ED0" w:rsidP="008E7846">
      <w:pPr>
        <w:pStyle w:val="Heading3"/>
      </w:pPr>
      <w:bookmarkStart w:id="83" w:name="_Toc136358064"/>
      <w:r w:rsidRPr="00AC6E74">
        <w:t>Risk-benefit a</w:t>
      </w:r>
      <w:r w:rsidR="008E7846" w:rsidRPr="00AC6E74">
        <w:t>nalysis</w:t>
      </w:r>
      <w:bookmarkEnd w:id="78"/>
      <w:bookmarkEnd w:id="79"/>
      <w:bookmarkEnd w:id="83"/>
    </w:p>
    <w:p w14:paraId="5A5CB168" w14:textId="77777777" w:rsidR="0074163C" w:rsidRPr="00AC6E74" w:rsidRDefault="0074163C" w:rsidP="0074163C">
      <w:pPr>
        <w:pStyle w:val="Heading4"/>
      </w:pPr>
      <w:bookmarkStart w:id="84" w:name="_Toc98931932"/>
      <w:r w:rsidRPr="00AC6E74">
        <w:t>Delegate’s considerations</w:t>
      </w:r>
      <w:bookmarkEnd w:id="84"/>
    </w:p>
    <w:p w14:paraId="02AA599F" w14:textId="481C7BF2" w:rsidR="00E04ABD" w:rsidRPr="00AC6E74" w:rsidRDefault="00E04ABD" w:rsidP="001F0DDC">
      <w:r w:rsidRPr="00AC6E74">
        <w:t xml:space="preserve">Metastatic </w:t>
      </w:r>
      <w:r w:rsidR="00EB463D" w:rsidRPr="00AC6E74">
        <w:rPr>
          <w:i/>
          <w:iCs/>
        </w:rPr>
        <w:t>KRAS G12C</w:t>
      </w:r>
      <w:r w:rsidR="003E7696" w:rsidRPr="00AC6E74">
        <w:t>-</w:t>
      </w:r>
      <w:r w:rsidRPr="00AC6E74">
        <w:t>mutated NSCLC is a life threatening condition with poor survival.</w:t>
      </w:r>
      <w:r w:rsidR="002A2318" w:rsidRPr="00AC6E74">
        <w:t xml:space="preserve"> </w:t>
      </w:r>
      <w:r w:rsidRPr="00AC6E74">
        <w:t>The median overall survival observed in this patient population treated with immunotherapy is approximately 21</w:t>
      </w:r>
      <w:r w:rsidR="00C54AB8" w:rsidRPr="00AC6E74">
        <w:t xml:space="preserve"> to </w:t>
      </w:r>
      <w:r w:rsidRPr="00AC6E74">
        <w:t>28 months compared to 10</w:t>
      </w:r>
      <w:r w:rsidR="00C54AB8" w:rsidRPr="00AC6E74">
        <w:t xml:space="preserve"> to </w:t>
      </w:r>
      <w:r w:rsidRPr="00AC6E74">
        <w:t>20 months with chemotherapy alone.</w:t>
      </w:r>
      <w:r w:rsidR="002A2318" w:rsidRPr="00AC6E74">
        <w:t xml:space="preserve"> </w:t>
      </w:r>
      <w:r w:rsidRPr="00AC6E74">
        <w:t>There are no approved therapies targeting this oncogenic driver mutation in Australia.</w:t>
      </w:r>
    </w:p>
    <w:p w14:paraId="5C3CD0B2" w14:textId="30EDD49D" w:rsidR="00E04ABD" w:rsidRPr="00AC6E74" w:rsidRDefault="00E04ABD" w:rsidP="001F0DDC">
      <w:r w:rsidRPr="00AC6E74">
        <w:t xml:space="preserve">The standard of care of patients with advanced </w:t>
      </w:r>
      <w:r w:rsidR="00EB463D" w:rsidRPr="00AC6E74">
        <w:rPr>
          <w:i/>
          <w:iCs/>
        </w:rPr>
        <w:t>KRAS G12C</w:t>
      </w:r>
      <w:r w:rsidR="003E7696" w:rsidRPr="00AC6E74">
        <w:t>-</w:t>
      </w:r>
      <w:r w:rsidRPr="00AC6E74">
        <w:t>mutated NSCLC (</w:t>
      </w:r>
      <w:r w:rsidR="00566CF6" w:rsidRPr="00AC6E74">
        <w:t>that is,</w:t>
      </w:r>
      <w:r w:rsidRPr="00AC6E74">
        <w:t xml:space="preserve"> no targetable mutation) includes platinum</w:t>
      </w:r>
      <w:r w:rsidR="00C54AB8" w:rsidRPr="00AC6E74">
        <w:t xml:space="preserve"> </w:t>
      </w:r>
      <w:r w:rsidRPr="00AC6E74">
        <w:t>based chemotherapy with or without an immune checkpoint inhibitor in the first line setting.</w:t>
      </w:r>
      <w:r w:rsidR="002A2318" w:rsidRPr="00AC6E74">
        <w:t xml:space="preserve"> </w:t>
      </w:r>
      <w:r w:rsidRPr="00AC6E74">
        <w:t>Approved second line options in Australia include immune checkpoint inhibitors (if not previously given), pemetrexed (if not previously given), docetaxel, or gemcitabine.</w:t>
      </w:r>
    </w:p>
    <w:p w14:paraId="241F35C1" w14:textId="77777777" w:rsidR="00E04ABD" w:rsidRPr="00AC6E74" w:rsidRDefault="00E04ABD" w:rsidP="001F0DDC">
      <w:pPr>
        <w:pStyle w:val="Heading5"/>
      </w:pPr>
      <w:r w:rsidRPr="00AC6E74">
        <w:t>Proposed indication</w:t>
      </w:r>
    </w:p>
    <w:p w14:paraId="3C84B522" w14:textId="77777777" w:rsidR="00C54AB8" w:rsidRPr="00AC6E74" w:rsidRDefault="00E04ABD" w:rsidP="001F0DDC">
      <w:r w:rsidRPr="00AC6E74">
        <w:t xml:space="preserve">The </w:t>
      </w:r>
      <w:r w:rsidR="00226918" w:rsidRPr="00AC6E74">
        <w:t>sponsor</w:t>
      </w:r>
      <w:r w:rsidRPr="00AC6E74">
        <w:t xml:space="preserve"> proposes to register a new therapeutic entity for the following indication:</w:t>
      </w:r>
    </w:p>
    <w:p w14:paraId="199791D2" w14:textId="44E77C8A" w:rsidR="00C54AB8" w:rsidRPr="00AC6E74" w:rsidRDefault="00E04ABD" w:rsidP="00C54AB8">
      <w:pPr>
        <w:ind w:left="720"/>
        <w:rPr>
          <w:i/>
          <w:iCs/>
        </w:rPr>
      </w:pPr>
      <w:r w:rsidRPr="00022E61">
        <w:rPr>
          <w:i/>
          <w:iCs/>
        </w:rPr>
        <w:t xml:space="preserve">for the treatment of patients with previously treated KRAS </w:t>
      </w:r>
      <w:r w:rsidR="00350D27" w:rsidRPr="00022E61">
        <w:rPr>
          <w:i/>
          <w:iCs/>
        </w:rPr>
        <w:t>G</w:t>
      </w:r>
      <w:r w:rsidRPr="00022E61">
        <w:rPr>
          <w:i/>
          <w:iCs/>
        </w:rPr>
        <w:t>12C-mutated locally advanced or metastatic non-small cell lung cancer (NSCLC).</w:t>
      </w:r>
    </w:p>
    <w:p w14:paraId="5C5DE59C" w14:textId="200276E2" w:rsidR="00E04ABD" w:rsidRPr="00AC6E74" w:rsidRDefault="00E04ABD" w:rsidP="001F0DDC">
      <w:r w:rsidRPr="00AC6E74">
        <w:lastRenderedPageBreak/>
        <w:t xml:space="preserve">The proposed recommended </w:t>
      </w:r>
      <w:proofErr w:type="spellStart"/>
      <w:r w:rsidRPr="00AC6E74">
        <w:t>sotorasib</w:t>
      </w:r>
      <w:proofErr w:type="spellEnd"/>
      <w:r w:rsidRPr="00AC6E74">
        <w:t xml:space="preserve"> dose and treatment schedule is 96</w:t>
      </w:r>
      <w:r w:rsidR="000348AE" w:rsidRPr="00AC6E74">
        <w:t>0 mg</w:t>
      </w:r>
      <w:r w:rsidRPr="00AC6E74">
        <w:t xml:space="preserve"> (as eight </w:t>
      </w:r>
      <w:r w:rsidR="00F108EA" w:rsidRPr="00AC6E74">
        <w:t>Lumakras</w:t>
      </w:r>
      <w:r w:rsidRPr="00AC6E74">
        <w:t xml:space="preserve"> 12</w:t>
      </w:r>
      <w:r w:rsidR="000348AE" w:rsidRPr="00AC6E74">
        <w:t>0 mg</w:t>
      </w:r>
      <w:r w:rsidRPr="00AC6E74">
        <w:t xml:space="preserve"> tablets) taken orally, once daily, until disease progression or unacceptable toxicity.</w:t>
      </w:r>
    </w:p>
    <w:p w14:paraId="193E69DD" w14:textId="1A502127" w:rsidR="00E04ABD" w:rsidRPr="00AC6E74" w:rsidRDefault="00E04ABD" w:rsidP="001F0DDC">
      <w:pPr>
        <w:pStyle w:val="Heading5"/>
        <w:rPr>
          <w:lang w:eastAsia="en-AU"/>
        </w:rPr>
      </w:pPr>
      <w:r w:rsidRPr="00AC6E74">
        <w:rPr>
          <w:lang w:eastAsia="en-AU"/>
        </w:rPr>
        <w:t>Benefits</w:t>
      </w:r>
    </w:p>
    <w:p w14:paraId="0A70151C" w14:textId="6E0F07AB" w:rsidR="00E04ABD" w:rsidRPr="00AC6E74" w:rsidRDefault="00E04ABD" w:rsidP="001F0DDC">
      <w:r w:rsidRPr="00AC6E74">
        <w:t xml:space="preserve">The sponsor has provided substantial evidence of effectiveness to support provisional approval of </w:t>
      </w:r>
      <w:proofErr w:type="spellStart"/>
      <w:r w:rsidRPr="00AC6E74">
        <w:t>sotorasib</w:t>
      </w:r>
      <w:proofErr w:type="spellEnd"/>
      <w:r w:rsidRPr="00AC6E74">
        <w:t xml:space="preserve"> for the treatment of patients with locally advanced or metastatic NSCLC with </w:t>
      </w:r>
      <w:r w:rsidR="00EB463D" w:rsidRPr="00AC6E74">
        <w:rPr>
          <w:i/>
          <w:iCs/>
        </w:rPr>
        <w:t>KRAS G12C</w:t>
      </w:r>
      <w:r w:rsidRPr="00AC6E74">
        <w:t xml:space="preserve"> mutation following at least one prior systemic therapy.</w:t>
      </w:r>
      <w:r w:rsidR="002A2318" w:rsidRPr="00AC6E74">
        <w:t xml:space="preserve"> </w:t>
      </w:r>
      <w:r w:rsidRPr="00AC6E74">
        <w:t xml:space="preserve">The </w:t>
      </w:r>
      <w:r w:rsidR="00022E61">
        <w:t>0</w:t>
      </w:r>
      <w:r w:rsidRPr="00AC6E74">
        <w:t>recommendation for provisional approval is supported by results from Study</w:t>
      </w:r>
      <w:r w:rsidR="00C54AB8" w:rsidRPr="00AC6E74">
        <w:t> </w:t>
      </w:r>
      <w:r w:rsidRPr="00AC6E74">
        <w:t>20170543 (</w:t>
      </w:r>
      <w:r w:rsidR="00C54AB8" w:rsidRPr="00AC6E74">
        <w:t xml:space="preserve">the </w:t>
      </w:r>
      <w:r w:rsidR="00A13739" w:rsidRPr="00AC6E74">
        <w:t>CODEBREAK</w:t>
      </w:r>
      <w:r w:rsidRPr="00AC6E74">
        <w:t xml:space="preserve"> 100</w:t>
      </w:r>
      <w:r w:rsidR="00C54AB8" w:rsidRPr="00AC6E74">
        <w:t xml:space="preserve"> trial</w:t>
      </w:r>
      <w:r w:rsidRPr="00AC6E74">
        <w:t xml:space="preserve">), a global multicentre, open label single arm </w:t>
      </w:r>
      <w:r w:rsidR="000C30B5" w:rsidRPr="00AC6E74">
        <w:t>Phase</w:t>
      </w:r>
      <w:r w:rsidRPr="00AC6E74">
        <w:t xml:space="preserve"> I/II study for patients with advanced </w:t>
      </w:r>
      <w:r w:rsidR="00EB463D" w:rsidRPr="00AC6E74">
        <w:rPr>
          <w:i/>
          <w:iCs/>
        </w:rPr>
        <w:t>KRAS G12C</w:t>
      </w:r>
      <w:r w:rsidR="003E7696" w:rsidRPr="00AC6E74">
        <w:t>-</w:t>
      </w:r>
      <w:r w:rsidRPr="00AC6E74">
        <w:t>mutated solid tumours (n</w:t>
      </w:r>
      <w:r w:rsidR="00C54AB8" w:rsidRPr="00AC6E74">
        <w:t xml:space="preserve"> </w:t>
      </w:r>
      <w:r w:rsidRPr="00AC6E74">
        <w:t>=</w:t>
      </w:r>
      <w:r w:rsidR="00C54AB8" w:rsidRPr="00AC6E74">
        <w:t xml:space="preserve"> </w:t>
      </w:r>
      <w:r w:rsidRPr="00AC6E74">
        <w:t>427).</w:t>
      </w:r>
      <w:r w:rsidR="002A2318" w:rsidRPr="00AC6E74">
        <w:t xml:space="preserve"> </w:t>
      </w:r>
      <w:proofErr w:type="gramStart"/>
      <w:r w:rsidRPr="00AC6E74">
        <w:t>The majority of</w:t>
      </w:r>
      <w:proofErr w:type="gramEnd"/>
      <w:r w:rsidRPr="00AC6E74">
        <w:t xml:space="preserve"> these patients had NSCLC (n</w:t>
      </w:r>
      <w:r w:rsidR="00C54AB8" w:rsidRPr="00AC6E74">
        <w:t xml:space="preserve"> </w:t>
      </w:r>
      <w:r w:rsidRPr="00AC6E74">
        <w:t>=</w:t>
      </w:r>
      <w:r w:rsidR="00C54AB8" w:rsidRPr="00AC6E74">
        <w:t xml:space="preserve"> </w:t>
      </w:r>
      <w:r w:rsidRPr="00AC6E74">
        <w:t xml:space="preserve">261); 124 patients with advanced </w:t>
      </w:r>
      <w:r w:rsidR="00EB463D" w:rsidRPr="00AC6E74">
        <w:rPr>
          <w:i/>
          <w:iCs/>
        </w:rPr>
        <w:t>KRAS G12C</w:t>
      </w:r>
      <w:r w:rsidR="003E7696" w:rsidRPr="00AC6E74">
        <w:t>-</w:t>
      </w:r>
      <w:r w:rsidRPr="00AC6E74">
        <w:t xml:space="preserve">mutated NSCLC in the dose expansion portion of </w:t>
      </w:r>
      <w:r w:rsidR="0093644B" w:rsidRPr="00AC6E74">
        <w:t xml:space="preserve">the </w:t>
      </w:r>
      <w:r w:rsidR="00A13739" w:rsidRPr="00AC6E74">
        <w:t xml:space="preserve">Study 20170543 (the </w:t>
      </w:r>
      <w:r w:rsidR="00EE2DEE" w:rsidRPr="00AC6E74">
        <w:t>CODEBREAK</w:t>
      </w:r>
      <w:r w:rsidRPr="00AC6E74">
        <w:t xml:space="preserve"> 100 </w:t>
      </w:r>
      <w:r w:rsidR="0093644B" w:rsidRPr="00AC6E74">
        <w:t>trial</w:t>
      </w:r>
      <w:r w:rsidR="00A13739" w:rsidRPr="00AC6E74">
        <w:t>)</w:t>
      </w:r>
      <w:r w:rsidR="0093644B" w:rsidRPr="00AC6E74">
        <w:t xml:space="preserve"> </w:t>
      </w:r>
      <w:r w:rsidRPr="00AC6E74">
        <w:t xml:space="preserve">received </w:t>
      </w:r>
      <w:proofErr w:type="spellStart"/>
      <w:r w:rsidRPr="00AC6E74">
        <w:t>sotorasib</w:t>
      </w:r>
      <w:proofErr w:type="spellEnd"/>
      <w:r w:rsidRPr="00AC6E74">
        <w:t xml:space="preserve"> at the 96</w:t>
      </w:r>
      <w:r w:rsidR="000348AE" w:rsidRPr="00AC6E74">
        <w:t>0 mg</w:t>
      </w:r>
      <w:r w:rsidRPr="00AC6E74">
        <w:t xml:space="preserve"> daily </w:t>
      </w:r>
      <w:r w:rsidR="00082781" w:rsidRPr="00AC6E74">
        <w:t>recommended Phase II dose</w:t>
      </w:r>
      <w:r w:rsidRPr="00AC6E74">
        <w:t>.</w:t>
      </w:r>
      <w:r w:rsidR="002A2318" w:rsidRPr="00AC6E74">
        <w:t xml:space="preserve"> </w:t>
      </w:r>
      <w:r w:rsidRPr="00AC6E74">
        <w:t xml:space="preserve">Sotorasib provides a clinically meaningful </w:t>
      </w:r>
      <w:r w:rsidR="007F4EEA" w:rsidRPr="00AC6E74">
        <w:t>objective response rate</w:t>
      </w:r>
      <w:r w:rsidRPr="00AC6E74">
        <w:t xml:space="preserve"> and duration of response, which is reasonably likely to predict clinical benefit in the proposed population:</w:t>
      </w:r>
    </w:p>
    <w:p w14:paraId="08E69423" w14:textId="1EE7D854" w:rsidR="00E04ABD" w:rsidRPr="00AC6E74" w:rsidRDefault="00E04ABD" w:rsidP="001F0DDC">
      <w:pPr>
        <w:pStyle w:val="ListBullet"/>
      </w:pPr>
      <w:r w:rsidRPr="00AC6E74">
        <w:t xml:space="preserve">The </w:t>
      </w:r>
      <w:r w:rsidR="007F4EEA" w:rsidRPr="00AC6E74">
        <w:t>objective response rate</w:t>
      </w:r>
      <w:r w:rsidRPr="00AC6E74">
        <w:t xml:space="preserve"> (per Blinded Independent Review Committee) was 36% (95% CI: 28, 45).</w:t>
      </w:r>
    </w:p>
    <w:p w14:paraId="10CDC8B3" w14:textId="72353E08" w:rsidR="00E04ABD" w:rsidRPr="00AC6E74" w:rsidRDefault="00E04ABD" w:rsidP="001F0DDC">
      <w:pPr>
        <w:pStyle w:val="ListBullet"/>
      </w:pPr>
      <w:r w:rsidRPr="00AC6E74">
        <w:t xml:space="preserve">The median </w:t>
      </w:r>
      <w:r w:rsidR="000C30B5" w:rsidRPr="00AC6E74">
        <w:t>duration of response</w:t>
      </w:r>
      <w:r w:rsidRPr="00AC6E74">
        <w:t xml:space="preserve"> was 10.0 months (range</w:t>
      </w:r>
      <w:r w:rsidR="0093644B" w:rsidRPr="00AC6E74">
        <w:t>:</w:t>
      </w:r>
      <w:r w:rsidRPr="00AC6E74">
        <w:t xml:space="preserve"> 1.3+, 11.1); 58% of patients had a </w:t>
      </w:r>
      <w:r w:rsidR="000C30B5" w:rsidRPr="00AC6E74">
        <w:t>duration of response</w:t>
      </w:r>
      <w:r w:rsidRPr="00AC6E74">
        <w:t xml:space="preserve"> of at least 6 months.</w:t>
      </w:r>
    </w:p>
    <w:p w14:paraId="41994788" w14:textId="7F99B489" w:rsidR="00E04ABD" w:rsidRPr="00AC6E74" w:rsidRDefault="00E04ABD" w:rsidP="001F0DDC">
      <w:pPr>
        <w:pStyle w:val="Heading6"/>
        <w:rPr>
          <w:lang w:eastAsia="en-AU"/>
        </w:rPr>
      </w:pPr>
      <w:r w:rsidRPr="00AC6E74">
        <w:rPr>
          <w:lang w:eastAsia="en-AU"/>
        </w:rPr>
        <w:t>Uncertainties of benefit</w:t>
      </w:r>
    </w:p>
    <w:p w14:paraId="3059F157" w14:textId="2FB0D61B" w:rsidR="00E04ABD" w:rsidRPr="00AC6E74" w:rsidRDefault="00E04ABD" w:rsidP="001F0DDC">
      <w:r w:rsidRPr="00AC6E74">
        <w:t>There are limitations to deriving inference from a small, single</w:t>
      </w:r>
      <w:r w:rsidR="0093644B" w:rsidRPr="00AC6E74">
        <w:t xml:space="preserve"> </w:t>
      </w:r>
      <w:r w:rsidRPr="00AC6E74">
        <w:t xml:space="preserve">arm </w:t>
      </w:r>
      <w:r w:rsidR="0093644B" w:rsidRPr="00AC6E74">
        <w:t xml:space="preserve">or </w:t>
      </w:r>
      <w:r w:rsidRPr="00AC6E74">
        <w:t>non-randomised study such as Study 20170543.</w:t>
      </w:r>
      <w:r w:rsidR="002A2318" w:rsidRPr="00AC6E74">
        <w:t xml:space="preserve"> </w:t>
      </w:r>
      <w:r w:rsidRPr="00AC6E74">
        <w:t>The study follow-up is not considered sufficiently mature to characterise the upper limit of the 95% confidence interval of duration of response.</w:t>
      </w:r>
      <w:r w:rsidR="002A2318" w:rsidRPr="00AC6E74">
        <w:t xml:space="preserve"> </w:t>
      </w:r>
      <w:r w:rsidRPr="00AC6E74">
        <w:t xml:space="preserve">In addition, the analyses of </w:t>
      </w:r>
      <w:r w:rsidR="007F4EEA" w:rsidRPr="00AC6E74">
        <w:t>progression free survival</w:t>
      </w:r>
      <w:r w:rsidRPr="00AC6E74">
        <w:t xml:space="preserve"> and </w:t>
      </w:r>
      <w:r w:rsidR="007F4EEA" w:rsidRPr="00AC6E74">
        <w:t>overall survival</w:t>
      </w:r>
      <w:r w:rsidRPr="00AC6E74">
        <w:t xml:space="preserve"> are considered uninterpretable in the absence of a comparative arm.</w:t>
      </w:r>
      <w:r w:rsidR="002A2318" w:rsidRPr="00AC6E74">
        <w:t xml:space="preserve"> </w:t>
      </w:r>
      <w:proofErr w:type="gramStart"/>
      <w:r w:rsidRPr="00AC6E74">
        <w:t>In order to</w:t>
      </w:r>
      <w:proofErr w:type="gramEnd"/>
      <w:r w:rsidRPr="00AC6E74">
        <w:t xml:space="preserve"> address the latter, results of the ongoing confirmatory study (</w:t>
      </w:r>
      <w:r w:rsidR="00A13739" w:rsidRPr="00AC6E74">
        <w:t xml:space="preserve">Study 20190009, also known as </w:t>
      </w:r>
      <w:r w:rsidR="0093644B" w:rsidRPr="00AC6E74">
        <w:t xml:space="preserve">the </w:t>
      </w:r>
      <w:r w:rsidR="00EE2DEE" w:rsidRPr="00AC6E74">
        <w:t>CODEBREAK</w:t>
      </w:r>
      <w:r w:rsidRPr="00AC6E74">
        <w:t xml:space="preserve"> 200</w:t>
      </w:r>
      <w:r w:rsidR="0093644B" w:rsidRPr="00AC6E74">
        <w:t xml:space="preserve"> trial</w:t>
      </w:r>
      <w:r w:rsidRPr="00AC6E74">
        <w:t xml:space="preserve">), a randomised study comparing </w:t>
      </w:r>
      <w:proofErr w:type="spellStart"/>
      <w:r w:rsidRPr="00AC6E74">
        <w:t>sotorasib</w:t>
      </w:r>
      <w:proofErr w:type="spellEnd"/>
      <w:r w:rsidRPr="00AC6E74">
        <w:t xml:space="preserve"> to docetaxel in patients with </w:t>
      </w:r>
      <w:r w:rsidR="00EB463D" w:rsidRPr="00AC6E74">
        <w:rPr>
          <w:i/>
          <w:iCs/>
        </w:rPr>
        <w:t>KRAS G12C</w:t>
      </w:r>
      <w:r w:rsidR="003E7696" w:rsidRPr="00AC6E74">
        <w:t>-</w:t>
      </w:r>
      <w:r w:rsidRPr="00AC6E74">
        <w:t xml:space="preserve">mutated NSCLC who have received at least one line of prior therapy, will be submitted as a post-marketing requirement to confirm the clinical benefit of </w:t>
      </w:r>
      <w:proofErr w:type="spellStart"/>
      <w:r w:rsidRPr="00AC6E74">
        <w:t>sotorasib</w:t>
      </w:r>
      <w:proofErr w:type="spellEnd"/>
      <w:r w:rsidRPr="00AC6E74">
        <w:t>.</w:t>
      </w:r>
    </w:p>
    <w:p w14:paraId="058C74A5" w14:textId="5CDCDF06" w:rsidR="00E04ABD" w:rsidRPr="00AC6E74" w:rsidRDefault="00E04ABD" w:rsidP="001F0DDC">
      <w:r w:rsidRPr="00AC6E74">
        <w:t xml:space="preserve">Outcomes in patients with </w:t>
      </w:r>
      <w:r w:rsidR="00EB463D" w:rsidRPr="00AC6E74">
        <w:rPr>
          <w:i/>
          <w:iCs/>
        </w:rPr>
        <w:t>KRAS G12C</w:t>
      </w:r>
      <w:r w:rsidR="003E7696" w:rsidRPr="00AC6E74">
        <w:t>-</w:t>
      </w:r>
      <w:r w:rsidRPr="00AC6E74">
        <w:t xml:space="preserve">mutated advanced NSCLC with active cerebral metastases, and in those with ECOG performance status </w:t>
      </w:r>
      <w:r w:rsidR="00A4069E" w:rsidRPr="00AC6E74">
        <w:t xml:space="preserve">of </w:t>
      </w:r>
      <w:r w:rsidRPr="00AC6E74">
        <w:t>2</w:t>
      </w:r>
      <w:r w:rsidR="00A4069E" w:rsidRPr="00AC6E74">
        <w:t xml:space="preserve"> or higher</w:t>
      </w:r>
      <w:r w:rsidR="00E701E8">
        <w:t>;</w:t>
      </w:r>
      <w:r w:rsidR="00E701E8" w:rsidRPr="00DB11B7">
        <w:rPr>
          <w:vertAlign w:val="superscript"/>
        </w:rPr>
        <w:fldChar w:fldCharType="begin"/>
      </w:r>
      <w:r w:rsidR="00E701E8" w:rsidRPr="00DB11B7">
        <w:rPr>
          <w:vertAlign w:val="superscript"/>
        </w:rPr>
        <w:instrText xml:space="preserve"> NOTEREF _Ref135910555 \h </w:instrText>
      </w:r>
      <w:r w:rsidR="00E701E8">
        <w:rPr>
          <w:vertAlign w:val="superscript"/>
        </w:rPr>
        <w:instrText xml:space="preserve"> \* MERGEFORMAT </w:instrText>
      </w:r>
      <w:r w:rsidR="00E701E8" w:rsidRPr="00DB11B7">
        <w:rPr>
          <w:vertAlign w:val="superscript"/>
        </w:rPr>
      </w:r>
      <w:r w:rsidR="00E701E8" w:rsidRPr="00DB11B7">
        <w:rPr>
          <w:vertAlign w:val="superscript"/>
        </w:rPr>
        <w:fldChar w:fldCharType="separate"/>
      </w:r>
      <w:r w:rsidR="009B21DC">
        <w:rPr>
          <w:vertAlign w:val="superscript"/>
        </w:rPr>
        <w:t>11</w:t>
      </w:r>
      <w:r w:rsidR="00E701E8" w:rsidRPr="00DB11B7">
        <w:rPr>
          <w:vertAlign w:val="superscript"/>
        </w:rPr>
        <w:fldChar w:fldCharType="end"/>
      </w:r>
      <w:r w:rsidRPr="00AC6E74">
        <w:t xml:space="preserve"> remain uncertain as these patients were excluded from the pivotal study.</w:t>
      </w:r>
      <w:r w:rsidR="002A2318" w:rsidRPr="00AC6E74">
        <w:t xml:space="preserve"> </w:t>
      </w:r>
      <w:r w:rsidRPr="00AC6E74">
        <w:t>These patient subpopulations are being investigated in ongoing studies.</w:t>
      </w:r>
    </w:p>
    <w:p w14:paraId="78638FD7" w14:textId="713142F5" w:rsidR="00E04ABD" w:rsidRPr="00AC6E74" w:rsidRDefault="00E04ABD" w:rsidP="001F0DDC">
      <w:r w:rsidRPr="00AC6E74">
        <w:t xml:space="preserve">In the </w:t>
      </w:r>
      <w:r w:rsidR="0093644B" w:rsidRPr="00AC6E74">
        <w:t xml:space="preserve">clinical </w:t>
      </w:r>
      <w:r w:rsidRPr="00AC6E74">
        <w:t xml:space="preserve">evaluation report, it was identified that dose optimisation of </w:t>
      </w:r>
      <w:proofErr w:type="spellStart"/>
      <w:r w:rsidRPr="00AC6E74">
        <w:t>sotorasib</w:t>
      </w:r>
      <w:proofErr w:type="spellEnd"/>
      <w:r w:rsidRPr="00AC6E74">
        <w:t xml:space="preserve"> remains incomplete; </w:t>
      </w:r>
      <w:r w:rsidR="007F4EEA" w:rsidRPr="00AC6E74">
        <w:t>objective response rate</w:t>
      </w:r>
      <w:r w:rsidRPr="00AC6E74">
        <w:t>s ranging from 25</w:t>
      </w:r>
      <w:r w:rsidR="0093644B" w:rsidRPr="00AC6E74">
        <w:t xml:space="preserve">% to </w:t>
      </w:r>
      <w:r w:rsidRPr="00AC6E74">
        <w:t xml:space="preserve">50% were observed in patients with NSCLC receiving lower doses of </w:t>
      </w:r>
      <w:proofErr w:type="spellStart"/>
      <w:r w:rsidRPr="00AC6E74">
        <w:t>sotorasib</w:t>
      </w:r>
      <w:proofErr w:type="spellEnd"/>
      <w:r w:rsidRPr="00AC6E74">
        <w:t xml:space="preserve">, with pharmacokinetic data showing similar systemic exposures at steady state </w:t>
      </w:r>
      <w:proofErr w:type="spellStart"/>
      <w:r w:rsidRPr="00AC6E74">
        <w:t>sotorasib</w:t>
      </w:r>
      <w:proofErr w:type="spellEnd"/>
      <w:r w:rsidRPr="00AC6E74">
        <w:t xml:space="preserve"> levels across dosing levels from ranging from 18</w:t>
      </w:r>
      <w:r w:rsidR="000348AE" w:rsidRPr="00AC6E74">
        <w:t>0 mg</w:t>
      </w:r>
      <w:r w:rsidRPr="00AC6E74">
        <w:t xml:space="preserve"> to 96</w:t>
      </w:r>
      <w:r w:rsidR="000348AE" w:rsidRPr="00AC6E74">
        <w:t>0 mg</w:t>
      </w:r>
      <w:r w:rsidRPr="00AC6E74">
        <w:t>.</w:t>
      </w:r>
      <w:r w:rsidR="002A2318" w:rsidRPr="00AC6E74">
        <w:t xml:space="preserve"> </w:t>
      </w:r>
      <w:proofErr w:type="gramStart"/>
      <w:r w:rsidRPr="00AC6E74">
        <w:t>In order to</w:t>
      </w:r>
      <w:proofErr w:type="gramEnd"/>
      <w:r w:rsidRPr="00AC6E74">
        <w:t xml:space="preserve"> address this issue, a dose finding study comparing 24</w:t>
      </w:r>
      <w:r w:rsidR="000348AE" w:rsidRPr="00AC6E74">
        <w:t>0 mg</w:t>
      </w:r>
      <w:r w:rsidRPr="00AC6E74">
        <w:t xml:space="preserve"> and 96</w:t>
      </w:r>
      <w:r w:rsidR="000348AE" w:rsidRPr="00AC6E74">
        <w:t>0 mg</w:t>
      </w:r>
      <w:r w:rsidRPr="00AC6E74">
        <w:t xml:space="preserve"> daily of </w:t>
      </w:r>
      <w:proofErr w:type="spellStart"/>
      <w:r w:rsidRPr="00AC6E74">
        <w:t>sotorasib</w:t>
      </w:r>
      <w:proofErr w:type="spellEnd"/>
      <w:r w:rsidRPr="00AC6E74">
        <w:t xml:space="preserve"> will be conducted as a post-marketing requirement.</w:t>
      </w:r>
    </w:p>
    <w:p w14:paraId="1E922A43" w14:textId="09E2B10F" w:rsidR="00E04ABD" w:rsidRPr="00AC6E74" w:rsidRDefault="00E04ABD" w:rsidP="001F0DDC">
      <w:pPr>
        <w:pStyle w:val="Heading5"/>
        <w:rPr>
          <w:lang w:eastAsia="en-AU"/>
        </w:rPr>
      </w:pPr>
      <w:r w:rsidRPr="00AC6E74">
        <w:rPr>
          <w:lang w:eastAsia="en-AU"/>
        </w:rPr>
        <w:t>Risks</w:t>
      </w:r>
    </w:p>
    <w:p w14:paraId="686C0941" w14:textId="5D95ECAA" w:rsidR="00E04ABD" w:rsidRPr="00AC6E74" w:rsidRDefault="00E04ABD" w:rsidP="001F0DDC">
      <w:r w:rsidRPr="00AC6E74">
        <w:t xml:space="preserve">The primary safety population included patients with </w:t>
      </w:r>
      <w:r w:rsidR="00EB463D" w:rsidRPr="00AC6E74">
        <w:rPr>
          <w:i/>
          <w:iCs/>
        </w:rPr>
        <w:t>KRAS G12C</w:t>
      </w:r>
      <w:r w:rsidR="003E7696" w:rsidRPr="00AC6E74">
        <w:t>-</w:t>
      </w:r>
      <w:r w:rsidRPr="00AC6E74">
        <w:t xml:space="preserve">mutated advanced NSCLC who received at least one dose of </w:t>
      </w:r>
      <w:proofErr w:type="spellStart"/>
      <w:r w:rsidRPr="00AC6E74">
        <w:t>sotorasib</w:t>
      </w:r>
      <w:proofErr w:type="spellEnd"/>
      <w:r w:rsidRPr="00AC6E74">
        <w:t xml:space="preserve"> 96</w:t>
      </w:r>
      <w:r w:rsidR="000348AE" w:rsidRPr="00AC6E74">
        <w:t>0 mg</w:t>
      </w:r>
      <w:r w:rsidRPr="00AC6E74">
        <w:t xml:space="preserve"> daily in </w:t>
      </w:r>
      <w:r w:rsidR="00A13739" w:rsidRPr="00AC6E74">
        <w:t xml:space="preserve">Study 20170543 (the CODEBREAK 100 trial, </w:t>
      </w:r>
      <w:r w:rsidRPr="00AC6E74">
        <w:t>n</w:t>
      </w:r>
      <w:r w:rsidR="0093644B" w:rsidRPr="00AC6E74">
        <w:t> </w:t>
      </w:r>
      <w:r w:rsidRPr="00AC6E74">
        <w:t>=</w:t>
      </w:r>
      <w:r w:rsidR="0093644B" w:rsidRPr="00AC6E74">
        <w:t> </w:t>
      </w:r>
      <w:r w:rsidRPr="00AC6E74">
        <w:t>204).</w:t>
      </w:r>
    </w:p>
    <w:p w14:paraId="13ABF64E" w14:textId="281A2FAE" w:rsidR="00E04ABD" w:rsidRPr="00AC6E74" w:rsidRDefault="00E04ABD" w:rsidP="001F0DDC">
      <w:pPr>
        <w:pStyle w:val="ListBullet"/>
        <w:rPr>
          <w:lang w:eastAsia="en-AU"/>
        </w:rPr>
      </w:pPr>
      <w:r w:rsidRPr="00AC6E74">
        <w:rPr>
          <w:lang w:eastAsia="en-AU"/>
        </w:rPr>
        <w:t>The commonest (</w:t>
      </w:r>
      <w:r w:rsidR="0093644B" w:rsidRPr="00AC6E74">
        <w:rPr>
          <w:lang w:eastAsia="en-AU"/>
        </w:rPr>
        <w:t xml:space="preserve">in </w:t>
      </w:r>
      <w:r w:rsidRPr="00AC6E74">
        <w:rPr>
          <w:lang w:eastAsia="en-AU"/>
        </w:rPr>
        <w:t>20%</w:t>
      </w:r>
      <w:r w:rsidR="0093644B" w:rsidRPr="00AC6E74">
        <w:rPr>
          <w:lang w:eastAsia="en-AU"/>
        </w:rPr>
        <w:t xml:space="preserve"> or more patients</w:t>
      </w:r>
      <w:r w:rsidRPr="00AC6E74">
        <w:rPr>
          <w:lang w:eastAsia="en-AU"/>
        </w:rPr>
        <w:t>) treatment emergent AEs were diarrhoea, musculoskeletal pain, nausea, fatigue, hepatotoxicity, cough, vomiting, constipation, dyspnoea, and abdominal pain.</w:t>
      </w:r>
    </w:p>
    <w:p w14:paraId="4714D332" w14:textId="4132E5D5" w:rsidR="00E04ABD" w:rsidRPr="00AC6E74" w:rsidRDefault="0093644B" w:rsidP="001F0DDC">
      <w:pPr>
        <w:pStyle w:val="ListBullet"/>
        <w:rPr>
          <w:lang w:eastAsia="en-AU"/>
        </w:rPr>
      </w:pPr>
      <w:r w:rsidRPr="00AC6E74">
        <w:rPr>
          <w:lang w:eastAsia="en-AU"/>
        </w:rPr>
        <w:lastRenderedPageBreak/>
        <w:t>Serious adverse events</w:t>
      </w:r>
      <w:r w:rsidR="00E04ABD" w:rsidRPr="00AC6E74">
        <w:rPr>
          <w:lang w:eastAsia="en-AU"/>
        </w:rPr>
        <w:t xml:space="preserve"> occurred in 50% of patients; those occurring in 2%</w:t>
      </w:r>
      <w:r w:rsidRPr="00AC6E74">
        <w:rPr>
          <w:lang w:eastAsia="en-AU"/>
        </w:rPr>
        <w:t xml:space="preserve"> or more</w:t>
      </w:r>
      <w:r w:rsidR="00E04ABD" w:rsidRPr="00AC6E74">
        <w:rPr>
          <w:lang w:eastAsia="en-AU"/>
        </w:rPr>
        <w:t xml:space="preserve"> of patients were pneumonia, musculoskeletal pain, </w:t>
      </w:r>
      <w:proofErr w:type="gramStart"/>
      <w:r w:rsidR="00E04ABD" w:rsidRPr="00AC6E74">
        <w:rPr>
          <w:lang w:eastAsia="en-AU"/>
        </w:rPr>
        <w:t>hepatotoxicity</w:t>
      </w:r>
      <w:proofErr w:type="gramEnd"/>
      <w:r w:rsidR="00E04ABD" w:rsidRPr="00AC6E74">
        <w:rPr>
          <w:lang w:eastAsia="en-AU"/>
        </w:rPr>
        <w:t xml:space="preserve"> and diarrhoea</w:t>
      </w:r>
      <w:r w:rsidRPr="00AC6E74">
        <w:rPr>
          <w:lang w:eastAsia="en-AU"/>
        </w:rPr>
        <w:t>.</w:t>
      </w:r>
    </w:p>
    <w:p w14:paraId="04F6FC3C" w14:textId="58A7FDC9" w:rsidR="00E04ABD" w:rsidRPr="00AC6E74" w:rsidRDefault="00E04ABD" w:rsidP="001F0DDC">
      <w:pPr>
        <w:pStyle w:val="ListBullet"/>
        <w:rPr>
          <w:lang w:eastAsia="en-AU"/>
        </w:rPr>
      </w:pPr>
      <w:r w:rsidRPr="00AC6E74">
        <w:rPr>
          <w:lang w:eastAsia="en-AU"/>
        </w:rPr>
        <w:t>Fatal adverse reactions occurred in 3.4% of patients</w:t>
      </w:r>
      <w:r w:rsidR="0093644B" w:rsidRPr="00AC6E74">
        <w:rPr>
          <w:lang w:eastAsia="en-AU"/>
        </w:rPr>
        <w:t>, including</w:t>
      </w:r>
      <w:r w:rsidRPr="00AC6E74">
        <w:rPr>
          <w:lang w:eastAsia="en-AU"/>
        </w:rPr>
        <w:t xml:space="preserve"> respiratory failure (0.8%), pneumonitis (0.4%), cardiac arrest (0.4%), cardiac failure (0.4%), gastric ulcer (0.4%) and pneumonia (0.4%)</w:t>
      </w:r>
      <w:r w:rsidR="0093644B" w:rsidRPr="00AC6E74">
        <w:rPr>
          <w:lang w:eastAsia="en-AU"/>
        </w:rPr>
        <w:t>.</w:t>
      </w:r>
    </w:p>
    <w:p w14:paraId="12373FD3" w14:textId="3FBFE6F4" w:rsidR="00E04ABD" w:rsidRPr="00AC6E74" w:rsidRDefault="00E04ABD" w:rsidP="001F0DDC">
      <w:pPr>
        <w:pStyle w:val="ListBullet"/>
        <w:rPr>
          <w:lang w:eastAsia="en-AU"/>
        </w:rPr>
      </w:pPr>
      <w:r w:rsidRPr="00AC6E74">
        <w:rPr>
          <w:lang w:eastAsia="en-AU"/>
        </w:rPr>
        <w:t xml:space="preserve">Permanent discontinuation of </w:t>
      </w:r>
      <w:proofErr w:type="spellStart"/>
      <w:r w:rsidRPr="00AC6E74">
        <w:rPr>
          <w:lang w:eastAsia="en-AU"/>
        </w:rPr>
        <w:t>sotorasib</w:t>
      </w:r>
      <w:proofErr w:type="spellEnd"/>
      <w:r w:rsidRPr="00AC6E74">
        <w:rPr>
          <w:lang w:eastAsia="en-AU"/>
        </w:rPr>
        <w:t xml:space="preserve"> occurred in 9% of patients (primarily due to hepatotoxicity 4.9%)</w:t>
      </w:r>
      <w:r w:rsidR="0093644B" w:rsidRPr="00AC6E74">
        <w:rPr>
          <w:lang w:eastAsia="en-AU"/>
        </w:rPr>
        <w:t>.</w:t>
      </w:r>
    </w:p>
    <w:p w14:paraId="6C9833B4" w14:textId="400BFDCD" w:rsidR="00E04ABD" w:rsidRPr="00AC6E74" w:rsidRDefault="00E04ABD" w:rsidP="001F0DDC">
      <w:pPr>
        <w:pStyle w:val="ListBullet"/>
        <w:rPr>
          <w:lang w:eastAsia="en-AU"/>
        </w:rPr>
      </w:pPr>
      <w:r w:rsidRPr="00AC6E74">
        <w:rPr>
          <w:lang w:eastAsia="en-AU"/>
        </w:rPr>
        <w:t xml:space="preserve">Dose interruptions due to an AE occurred in 34% of patients (due to hepatotoxicity, diarrhoea, musculoskeletal pain, </w:t>
      </w:r>
      <w:proofErr w:type="gramStart"/>
      <w:r w:rsidRPr="00AC6E74">
        <w:rPr>
          <w:lang w:eastAsia="en-AU"/>
        </w:rPr>
        <w:t>nausea</w:t>
      </w:r>
      <w:proofErr w:type="gramEnd"/>
      <w:r w:rsidRPr="00AC6E74">
        <w:rPr>
          <w:lang w:eastAsia="en-AU"/>
        </w:rPr>
        <w:t xml:space="preserve"> and pneumonia)</w:t>
      </w:r>
      <w:r w:rsidR="0093644B" w:rsidRPr="00AC6E74">
        <w:rPr>
          <w:lang w:eastAsia="en-AU"/>
        </w:rPr>
        <w:t>.</w:t>
      </w:r>
    </w:p>
    <w:p w14:paraId="2604671F" w14:textId="27146F2D" w:rsidR="00E04ABD" w:rsidRPr="00AC6E74" w:rsidRDefault="00E04ABD" w:rsidP="001F0DDC">
      <w:pPr>
        <w:pStyle w:val="ListBullet"/>
        <w:rPr>
          <w:lang w:eastAsia="en-AU"/>
        </w:rPr>
      </w:pPr>
      <w:r w:rsidRPr="00AC6E74">
        <w:rPr>
          <w:lang w:eastAsia="en-AU"/>
        </w:rPr>
        <w:t>Dose reductions due to an AE occurred in 5% of patients (primarily due to elevated ALT or AST)</w:t>
      </w:r>
      <w:r w:rsidR="0093644B" w:rsidRPr="00AC6E74">
        <w:rPr>
          <w:lang w:eastAsia="en-AU"/>
        </w:rPr>
        <w:t>.</w:t>
      </w:r>
    </w:p>
    <w:p w14:paraId="11F4C4F0" w14:textId="55F9D2AF" w:rsidR="00E04ABD" w:rsidRPr="00AC6E74" w:rsidRDefault="00E04ABD" w:rsidP="001F0DDC">
      <w:pPr>
        <w:pStyle w:val="Heading6"/>
      </w:pPr>
      <w:r w:rsidRPr="00AC6E74">
        <w:rPr>
          <w:lang w:eastAsia="en-AU"/>
        </w:rPr>
        <w:t>Uncertainties of risk</w:t>
      </w:r>
    </w:p>
    <w:p w14:paraId="7633F943" w14:textId="063C74D4" w:rsidR="00E04ABD" w:rsidRPr="00AC6E74" w:rsidRDefault="00E04ABD" w:rsidP="001F0DDC">
      <w:r w:rsidRPr="00AC6E74">
        <w:t>The relatively small number of participants in Study 20170543 limits the ability to fully characterise rare adverse events, however, the observed safety profile is acceptable when considered in the context of a life-threatening disease such as that per proposed indication.</w:t>
      </w:r>
      <w:r w:rsidR="002A2318" w:rsidRPr="00AC6E74">
        <w:t xml:space="preserve"> </w:t>
      </w:r>
      <w:r w:rsidRPr="00AC6E74">
        <w:t xml:space="preserve">Although </w:t>
      </w:r>
      <w:proofErr w:type="spellStart"/>
      <w:r w:rsidRPr="00AC6E74">
        <w:t>sotorasib</w:t>
      </w:r>
      <w:proofErr w:type="spellEnd"/>
      <w:r w:rsidRPr="00AC6E74">
        <w:t xml:space="preserve"> can cause severe toxicities, information in the </w:t>
      </w:r>
      <w:r w:rsidRPr="00DB11B7">
        <w:rPr>
          <w:i/>
        </w:rPr>
        <w:t>Warnings and Precautions</w:t>
      </w:r>
      <w:r w:rsidRPr="00AC6E74">
        <w:t xml:space="preserve"> and </w:t>
      </w:r>
      <w:r w:rsidRPr="00DB11B7">
        <w:rPr>
          <w:i/>
        </w:rPr>
        <w:t>Dosage and Administration</w:t>
      </w:r>
      <w:r w:rsidRPr="00AC6E74">
        <w:t xml:space="preserve"> sections of the PI should be able to address these safety issues adequately.</w:t>
      </w:r>
      <w:r w:rsidR="002A2318" w:rsidRPr="00AC6E74">
        <w:t xml:space="preserve"> </w:t>
      </w:r>
      <w:proofErr w:type="gramStart"/>
      <w:r w:rsidRPr="00AC6E74">
        <w:t>In particular, hepatotoxicity</w:t>
      </w:r>
      <w:proofErr w:type="gramEnd"/>
      <w:r w:rsidRPr="00AC6E74">
        <w:t xml:space="preserve"> and pneumonitis</w:t>
      </w:r>
      <w:r w:rsidR="00876ADD" w:rsidRPr="00AC6E74">
        <w:t xml:space="preserve"> or </w:t>
      </w:r>
      <w:r w:rsidR="00C54AB8" w:rsidRPr="00AC6E74">
        <w:t>interstitial lung disease</w:t>
      </w:r>
      <w:r w:rsidRPr="00AC6E74">
        <w:t xml:space="preserve"> are potentially serious adverse reactions identified during review.</w:t>
      </w:r>
      <w:r w:rsidR="002A2318" w:rsidRPr="00AC6E74">
        <w:t xml:space="preserve"> </w:t>
      </w:r>
      <w:r w:rsidR="00C54AB8" w:rsidRPr="00AC6E74">
        <w:t xml:space="preserve">interstitial lung disease </w:t>
      </w:r>
      <w:r w:rsidR="00876ADD" w:rsidRPr="00AC6E74">
        <w:t xml:space="preserve">or </w:t>
      </w:r>
      <w:r w:rsidRPr="00AC6E74">
        <w:t>pneumonitis occurred in three patients, with one fatal case reported; 25% of patients developed hepatotoxicity, with no related fatalities.</w:t>
      </w:r>
      <w:r w:rsidR="002A2318" w:rsidRPr="00AC6E74">
        <w:t xml:space="preserve"> </w:t>
      </w:r>
      <w:r w:rsidRPr="00AC6E74">
        <w:t xml:space="preserve">These should be outlined in the </w:t>
      </w:r>
      <w:r w:rsidRPr="00DB11B7">
        <w:rPr>
          <w:i/>
        </w:rPr>
        <w:t>Warnings and Precautions</w:t>
      </w:r>
      <w:r w:rsidRPr="00AC6E74">
        <w:t xml:space="preserve"> section of the PI.</w:t>
      </w:r>
    </w:p>
    <w:p w14:paraId="42EE6385" w14:textId="1EAF0520" w:rsidR="00E04ABD" w:rsidRPr="00AC6E74" w:rsidRDefault="00E04ABD" w:rsidP="001F0DDC">
      <w:r w:rsidRPr="00AC6E74">
        <w:t xml:space="preserve">No significant safety concerns were identified following </w:t>
      </w:r>
      <w:r w:rsidR="00FE6F48">
        <w:t xml:space="preserve">the TGA’s </w:t>
      </w:r>
      <w:r w:rsidRPr="00AC6E74">
        <w:t xml:space="preserve">clinical evaluation that will require risk management beyond labelling or warranting consideration for </w:t>
      </w:r>
      <w:r w:rsidR="00A13739" w:rsidRPr="00AC6E74">
        <w:t>Risk Evaluation and Mitigation Strategies</w:t>
      </w:r>
      <w:r w:rsidRPr="00AC6E74">
        <w:t>.</w:t>
      </w:r>
      <w:r w:rsidR="00FE6F48">
        <w:rPr>
          <w:rStyle w:val="FootnoteReference"/>
        </w:rPr>
        <w:footnoteReference w:id="18"/>
      </w:r>
    </w:p>
    <w:p w14:paraId="4E6CB99C" w14:textId="4F93C667" w:rsidR="00E04ABD" w:rsidRPr="00AC6E74" w:rsidRDefault="00E04ABD" w:rsidP="001F0DDC">
      <w:r w:rsidRPr="00AC6E74">
        <w:t>Finally, the 96</w:t>
      </w:r>
      <w:r w:rsidR="000348AE" w:rsidRPr="00AC6E74">
        <w:t>0 mg</w:t>
      </w:r>
      <w:r w:rsidRPr="00AC6E74">
        <w:t xml:space="preserve"> dose of </w:t>
      </w:r>
      <w:proofErr w:type="spellStart"/>
      <w:r w:rsidRPr="00AC6E74">
        <w:t>sotorasib</w:t>
      </w:r>
      <w:proofErr w:type="spellEnd"/>
      <w:r w:rsidRPr="00AC6E74">
        <w:t xml:space="preserve"> may not be optimised following clinical pharmacology evaluation (see above)</w:t>
      </w:r>
      <w:r w:rsidR="00876ADD" w:rsidRPr="00AC6E74">
        <w:t>. A</w:t>
      </w:r>
      <w:r w:rsidRPr="00AC6E74">
        <w:t xml:space="preserve"> post-marketing requirement study to assess the efficacy and safety of </w:t>
      </w:r>
      <w:proofErr w:type="spellStart"/>
      <w:r w:rsidRPr="00AC6E74">
        <w:t>sotorasib</w:t>
      </w:r>
      <w:proofErr w:type="spellEnd"/>
      <w:r w:rsidRPr="00AC6E74">
        <w:t xml:space="preserve"> at a lower dose (24</w:t>
      </w:r>
      <w:r w:rsidR="000348AE" w:rsidRPr="00AC6E74">
        <w:t>0 mg</w:t>
      </w:r>
      <w:r w:rsidRPr="00AC6E74">
        <w:t>) is recommended, in alignment with that of the FDA</w:t>
      </w:r>
      <w:r w:rsidR="00876ADD" w:rsidRPr="00AC6E74">
        <w:t>.</w:t>
      </w:r>
      <w:r w:rsidR="00307400" w:rsidRPr="00AC6E74">
        <w:rPr>
          <w:rStyle w:val="FootnoteReference"/>
        </w:rPr>
        <w:footnoteReference w:id="19"/>
      </w:r>
    </w:p>
    <w:p w14:paraId="3C197CC6" w14:textId="2B87732C" w:rsidR="00E04ABD" w:rsidRPr="00AC6E74" w:rsidRDefault="00E04ABD" w:rsidP="001F0DDC">
      <w:pPr>
        <w:pStyle w:val="Heading5"/>
        <w:rPr>
          <w:lang w:eastAsia="en-AU"/>
        </w:rPr>
      </w:pPr>
      <w:r w:rsidRPr="00AC6E74">
        <w:rPr>
          <w:lang w:eastAsia="en-AU"/>
        </w:rPr>
        <w:t>Benefit</w:t>
      </w:r>
      <w:r w:rsidR="00876ADD" w:rsidRPr="00AC6E74">
        <w:rPr>
          <w:lang w:eastAsia="en-AU"/>
        </w:rPr>
        <w:t>-risk balance</w:t>
      </w:r>
    </w:p>
    <w:p w14:paraId="38D48F5F" w14:textId="4EC142A2" w:rsidR="00E04ABD" w:rsidRPr="00AC6E74" w:rsidRDefault="00E04ABD" w:rsidP="001F0DDC">
      <w:r w:rsidRPr="00AC6E74">
        <w:t xml:space="preserve">Overall, the benefit-risk assessment for </w:t>
      </w:r>
      <w:proofErr w:type="spellStart"/>
      <w:r w:rsidRPr="00AC6E74">
        <w:t>sotorasib</w:t>
      </w:r>
      <w:proofErr w:type="spellEnd"/>
      <w:r w:rsidRPr="00AC6E74">
        <w:t xml:space="preserve"> </w:t>
      </w:r>
      <w:proofErr w:type="gramStart"/>
      <w:r w:rsidRPr="00AC6E74">
        <w:t>is considered to be</w:t>
      </w:r>
      <w:proofErr w:type="gramEnd"/>
      <w:r w:rsidRPr="00AC6E74">
        <w:t xml:space="preserve"> favourable to support provisional registration.</w:t>
      </w:r>
      <w:r w:rsidR="002A2318" w:rsidRPr="00AC6E74">
        <w:t xml:space="preserve"> </w:t>
      </w:r>
      <w:r w:rsidRPr="00AC6E74">
        <w:t xml:space="preserve">The </w:t>
      </w:r>
      <w:r w:rsidR="007F4EEA" w:rsidRPr="00AC6E74">
        <w:t>objective response rate</w:t>
      </w:r>
      <w:r w:rsidRPr="00AC6E74">
        <w:t xml:space="preserve"> and duration of response from Study</w:t>
      </w:r>
      <w:r w:rsidR="00876ADD" w:rsidRPr="00AC6E74">
        <w:t> </w:t>
      </w:r>
      <w:r w:rsidRPr="00AC6E74">
        <w:t xml:space="preserve">20170543 </w:t>
      </w:r>
      <w:proofErr w:type="gramStart"/>
      <w:r w:rsidRPr="00AC6E74">
        <w:t>are considered to be</w:t>
      </w:r>
      <w:proofErr w:type="gramEnd"/>
      <w:r w:rsidRPr="00AC6E74">
        <w:t xml:space="preserve"> clinically meaningful and reasonably likely to predict clinical benefit in the proposed population.</w:t>
      </w:r>
      <w:r w:rsidR="002A2318" w:rsidRPr="00AC6E74">
        <w:t xml:space="preserve"> </w:t>
      </w:r>
      <w:r w:rsidRPr="00AC6E74">
        <w:t xml:space="preserve">Although </w:t>
      </w:r>
      <w:proofErr w:type="spellStart"/>
      <w:r w:rsidRPr="00AC6E74">
        <w:t>sotorasib</w:t>
      </w:r>
      <w:proofErr w:type="spellEnd"/>
      <w:r w:rsidRPr="00AC6E74">
        <w:t xml:space="preserve"> can cause serious toxicities, the safety profile demonstrated is acceptable when considered in the context of a life-threatening disease (</w:t>
      </w:r>
      <w:r w:rsidR="00566CF6" w:rsidRPr="00AC6E74">
        <w:t>that is,</w:t>
      </w:r>
      <w:r w:rsidRPr="00AC6E74">
        <w:t xml:space="preserve"> advanced NSCLC), the significant unmet need in the intended patient population, and the lack of available targeted therapy options in Australia at present.</w:t>
      </w:r>
    </w:p>
    <w:p w14:paraId="4D8D0860" w14:textId="71302950" w:rsidR="00E04ABD" w:rsidRPr="00AC6E74" w:rsidRDefault="00E04ABD" w:rsidP="001F0DDC">
      <w:r w:rsidRPr="00AC6E74">
        <w:t xml:space="preserve">The study design limits interpretation of survival; although available evidence supports provisional approval, further data is required </w:t>
      </w:r>
      <w:proofErr w:type="gramStart"/>
      <w:r w:rsidRPr="00AC6E74">
        <w:t>in order to</w:t>
      </w:r>
      <w:proofErr w:type="gramEnd"/>
      <w:r w:rsidRPr="00AC6E74">
        <w:t xml:space="preserve"> confirm clinical benefit.</w:t>
      </w:r>
      <w:r w:rsidR="002A2318" w:rsidRPr="00AC6E74">
        <w:t xml:space="preserve"> </w:t>
      </w:r>
      <w:r w:rsidRPr="00AC6E74">
        <w:t>The sponsor will be required to submit final reports of post-marketing requirement studies.</w:t>
      </w:r>
    </w:p>
    <w:p w14:paraId="1C8F5B23" w14:textId="77777777" w:rsidR="0074163C" w:rsidRPr="00AC6E74" w:rsidRDefault="0074163C" w:rsidP="0074163C">
      <w:pPr>
        <w:pStyle w:val="Heading4"/>
      </w:pPr>
      <w:bookmarkStart w:id="85" w:name="_Toc98931933"/>
      <w:r w:rsidRPr="00AC6E74">
        <w:lastRenderedPageBreak/>
        <w:t>Proposed action</w:t>
      </w:r>
      <w:bookmarkEnd w:id="85"/>
    </w:p>
    <w:p w14:paraId="27B5CC97" w14:textId="2568C756" w:rsidR="00E04ABD" w:rsidRDefault="00E04ABD" w:rsidP="001F0DDC">
      <w:r w:rsidRPr="00AC6E74">
        <w:t xml:space="preserve">The benefit risk assessment for </w:t>
      </w:r>
      <w:proofErr w:type="spellStart"/>
      <w:r w:rsidRPr="00AC6E74">
        <w:t>sotorasib</w:t>
      </w:r>
      <w:proofErr w:type="spellEnd"/>
      <w:r w:rsidRPr="00AC6E74">
        <w:t xml:space="preserve"> </w:t>
      </w:r>
      <w:proofErr w:type="gramStart"/>
      <w:r w:rsidRPr="00AC6E74">
        <w:t>is considered to be</w:t>
      </w:r>
      <w:proofErr w:type="gramEnd"/>
      <w:r w:rsidRPr="00AC6E74">
        <w:t xml:space="preserve"> favourable.</w:t>
      </w:r>
      <w:r w:rsidR="00876ADD" w:rsidRPr="00AC6E74">
        <w:t xml:space="preserve"> </w:t>
      </w:r>
      <w:r w:rsidRPr="00AC6E74">
        <w:t xml:space="preserve">Provisional approval of </w:t>
      </w:r>
      <w:proofErr w:type="spellStart"/>
      <w:r w:rsidRPr="00AC6E74">
        <w:t>sotorasib</w:t>
      </w:r>
      <w:proofErr w:type="spellEnd"/>
      <w:r w:rsidRPr="00AC6E74">
        <w:t xml:space="preserve"> for the intended population is therefore recommended for the indication as follows:</w:t>
      </w:r>
    </w:p>
    <w:p w14:paraId="033AEA9B" w14:textId="689184C3" w:rsidR="00E64FAC" w:rsidRPr="00AC6E74" w:rsidRDefault="00E04ABD" w:rsidP="00DB11B7">
      <w:pPr>
        <w:ind w:left="720"/>
        <w:rPr>
          <w:i/>
          <w:iCs/>
        </w:rPr>
      </w:pPr>
      <w:r w:rsidRPr="00AC6E74">
        <w:rPr>
          <w:i/>
          <w:iCs/>
        </w:rPr>
        <w:t xml:space="preserve">This medicine has provisional approval in Australia for the treatment of adult patients with </w:t>
      </w:r>
      <w:r w:rsidR="00EB463D" w:rsidRPr="00AC6E74">
        <w:rPr>
          <w:i/>
          <w:iCs/>
        </w:rPr>
        <w:t>KRAS G12C</w:t>
      </w:r>
      <w:r w:rsidRPr="00AC6E74">
        <w:rPr>
          <w:i/>
          <w:iCs/>
        </w:rPr>
        <w:t xml:space="preserve"> mutated locally advanced or metastatic non-small cell lung cancer (NSCLC) who have received at least one prior systemic therapy for advanced disease.</w:t>
      </w:r>
      <w:r w:rsidR="002A2318" w:rsidRPr="00AC6E74">
        <w:rPr>
          <w:i/>
          <w:iCs/>
        </w:rPr>
        <w:t xml:space="preserve"> </w:t>
      </w:r>
      <w:r w:rsidRPr="00AC6E74">
        <w:rPr>
          <w:i/>
          <w:iCs/>
        </w:rPr>
        <w:t xml:space="preserve">The decision to approve this indication has been made </w:t>
      </w:r>
      <w:proofErr w:type="gramStart"/>
      <w:r w:rsidRPr="00AC6E74">
        <w:rPr>
          <w:i/>
          <w:iCs/>
        </w:rPr>
        <w:t>on the basis of</w:t>
      </w:r>
      <w:proofErr w:type="gramEnd"/>
      <w:r w:rsidRPr="00AC6E74">
        <w:rPr>
          <w:i/>
          <w:iCs/>
        </w:rPr>
        <w:t xml:space="preserve"> overall response rate (ORR) and duration of response (DOR).</w:t>
      </w:r>
      <w:r w:rsidR="002A2318" w:rsidRPr="00AC6E74">
        <w:rPr>
          <w:i/>
          <w:iCs/>
        </w:rPr>
        <w:t xml:space="preserve"> </w:t>
      </w:r>
      <w:r w:rsidRPr="00AC6E74">
        <w:rPr>
          <w:i/>
          <w:iCs/>
        </w:rPr>
        <w:t>Continued approval of this indication depends on verification and description of benefit in confirmatory trials.</w:t>
      </w:r>
    </w:p>
    <w:p w14:paraId="2E03A92A" w14:textId="77777777" w:rsidR="0074163C" w:rsidRPr="00AC6E74" w:rsidRDefault="0074163C" w:rsidP="0074163C">
      <w:pPr>
        <w:pStyle w:val="Heading4"/>
      </w:pPr>
      <w:bookmarkStart w:id="86" w:name="_Toc98931936"/>
      <w:bookmarkStart w:id="87" w:name="_Toc247691532"/>
      <w:bookmarkStart w:id="88" w:name="_Toc314842516"/>
      <w:bookmarkEnd w:id="37"/>
      <w:bookmarkEnd w:id="80"/>
      <w:bookmarkEnd w:id="81"/>
      <w:r w:rsidRPr="00AC6E74">
        <w:t>Advisory Committee considerations</w:t>
      </w:r>
      <w:bookmarkEnd w:id="86"/>
    </w:p>
    <w:p w14:paraId="5D7D7ACF" w14:textId="2064D4C7" w:rsidR="0074163C" w:rsidRPr="00AC6E74" w:rsidRDefault="0074163C" w:rsidP="0074163C">
      <w:pPr>
        <w:rPr>
          <w:bCs/>
        </w:rPr>
      </w:pPr>
      <w:r w:rsidRPr="00AC6E74">
        <w:rPr>
          <w:bCs/>
        </w:rPr>
        <w:t xml:space="preserve">The </w:t>
      </w:r>
      <w:hyperlink r:id="rId43" w:history="1">
        <w:r w:rsidRPr="00AC6E74">
          <w:rPr>
            <w:rStyle w:val="Hyperlink"/>
            <w:szCs w:val="21"/>
          </w:rPr>
          <w:t>Advisory Committee on Medicines (ACM)</w:t>
        </w:r>
      </w:hyperlink>
      <w:r w:rsidRPr="00AC6E74">
        <w:rPr>
          <w:szCs w:val="21"/>
        </w:rPr>
        <w:t>,</w:t>
      </w:r>
      <w:r w:rsidRPr="00AC6E74">
        <w:rPr>
          <w:bCs/>
        </w:rPr>
        <w:t xml:space="preserve"> having considered the evaluations and the Delegate’s overview, as well as the sponsor’s response to these documents, advised the following.</w:t>
      </w:r>
    </w:p>
    <w:p w14:paraId="31DD4D23" w14:textId="77777777" w:rsidR="0074163C" w:rsidRPr="00AC6E74" w:rsidRDefault="0074163C" w:rsidP="0074163C">
      <w:pPr>
        <w:pStyle w:val="Heading5"/>
      </w:pPr>
      <w:r w:rsidRPr="00AC6E74">
        <w:t>Specific advice to the Delegate</w:t>
      </w:r>
    </w:p>
    <w:p w14:paraId="613171F7" w14:textId="0E21E956" w:rsidR="00E04ABD" w:rsidRPr="00AC6E74" w:rsidRDefault="00E04ABD" w:rsidP="009D146F">
      <w:pPr>
        <w:pStyle w:val="Numberbullet0"/>
        <w:numPr>
          <w:ilvl w:val="0"/>
          <w:numId w:val="6"/>
        </w:numPr>
        <w:rPr>
          <w:b/>
          <w:bCs/>
          <w:i/>
          <w:iCs/>
        </w:rPr>
      </w:pPr>
      <w:r w:rsidRPr="00AC6E74">
        <w:rPr>
          <w:b/>
          <w:bCs/>
          <w:i/>
          <w:iCs/>
        </w:rPr>
        <w:t xml:space="preserve">Does the available data from </w:t>
      </w:r>
      <w:r w:rsidR="00A13739" w:rsidRPr="00AC6E74">
        <w:rPr>
          <w:b/>
          <w:bCs/>
          <w:i/>
          <w:iCs/>
        </w:rPr>
        <w:t>Study 20170543 (the CODEBREAK 100 trial)</w:t>
      </w:r>
      <w:r w:rsidR="00876ADD" w:rsidRPr="00AC6E74">
        <w:rPr>
          <w:b/>
          <w:bCs/>
          <w:i/>
          <w:iCs/>
        </w:rPr>
        <w:t xml:space="preserve"> </w:t>
      </w:r>
      <w:r w:rsidRPr="00AC6E74">
        <w:rPr>
          <w:b/>
          <w:bCs/>
          <w:i/>
          <w:iCs/>
        </w:rPr>
        <w:t xml:space="preserve">support the use of </w:t>
      </w:r>
      <w:proofErr w:type="spellStart"/>
      <w:r w:rsidRPr="00AC6E74">
        <w:rPr>
          <w:b/>
          <w:bCs/>
          <w:i/>
          <w:iCs/>
        </w:rPr>
        <w:t>sotorasib</w:t>
      </w:r>
      <w:proofErr w:type="spellEnd"/>
      <w:r w:rsidRPr="00AC6E74">
        <w:rPr>
          <w:b/>
          <w:bCs/>
          <w:i/>
          <w:iCs/>
        </w:rPr>
        <w:t xml:space="preserve"> at the 96</w:t>
      </w:r>
      <w:r w:rsidR="000348AE" w:rsidRPr="00AC6E74">
        <w:rPr>
          <w:b/>
          <w:bCs/>
          <w:i/>
          <w:iCs/>
        </w:rPr>
        <w:t>0 mg</w:t>
      </w:r>
      <w:r w:rsidRPr="00AC6E74">
        <w:rPr>
          <w:b/>
          <w:bCs/>
          <w:i/>
          <w:iCs/>
        </w:rPr>
        <w:t xml:space="preserve"> once daily dose in the proposed population, despite incomplete dose optimisation?</w:t>
      </w:r>
    </w:p>
    <w:p w14:paraId="40EE06D1" w14:textId="77777777" w:rsidR="00E04ABD" w:rsidRPr="00AC6E74" w:rsidRDefault="00E04ABD" w:rsidP="001F0DDC">
      <w:r w:rsidRPr="00AC6E74">
        <w:t xml:space="preserve">The ACM was of the view that the overall benefit-risk profile for </w:t>
      </w:r>
      <w:proofErr w:type="spellStart"/>
      <w:r w:rsidRPr="00AC6E74">
        <w:t>sotorasib</w:t>
      </w:r>
      <w:proofErr w:type="spellEnd"/>
      <w:r w:rsidRPr="00AC6E74">
        <w:t xml:space="preserve"> is considered favourable to support provisional registration of the 960 mg once daily dose in the proposed population.</w:t>
      </w:r>
    </w:p>
    <w:p w14:paraId="068863F5" w14:textId="30CA05F0" w:rsidR="00E04ABD" w:rsidRPr="00AC6E74" w:rsidRDefault="00E04ABD" w:rsidP="001F0DDC">
      <w:r w:rsidRPr="00AC6E74">
        <w:t>The ACM stated that the overall response rate and duration of response using the 960</w:t>
      </w:r>
      <w:r w:rsidR="00876ADD" w:rsidRPr="00AC6E74">
        <w:t> </w:t>
      </w:r>
      <w:r w:rsidRPr="00AC6E74">
        <w:t>mg dose are clinically meaningful and predictive of a clinical benefit in the proposed population, noting the small data package consisting of a single arm, non-comparative study.</w:t>
      </w:r>
    </w:p>
    <w:p w14:paraId="396F744A" w14:textId="77777777" w:rsidR="00E04ABD" w:rsidRPr="00AC6E74" w:rsidRDefault="00E04ABD" w:rsidP="001F0DDC">
      <w:r w:rsidRPr="00AC6E74">
        <w:t xml:space="preserve">While the ACM acknowledged that </w:t>
      </w:r>
      <w:proofErr w:type="spellStart"/>
      <w:r w:rsidRPr="00AC6E74">
        <w:t>sotorasib</w:t>
      </w:r>
      <w:proofErr w:type="spellEnd"/>
      <w:r w:rsidRPr="00AC6E74">
        <w:t xml:space="preserve"> can cause serious toxicities, on balance, the safety profile of the 960 mg dose appears acceptable. The ACM was of the view that the data also indicates that the 960 mg dose appears generally tolerable.</w:t>
      </w:r>
    </w:p>
    <w:p w14:paraId="03CCFCE6" w14:textId="0A50B6B1" w:rsidR="00E04ABD" w:rsidRPr="00AC6E74" w:rsidRDefault="00E04ABD" w:rsidP="001F0DDC">
      <w:r w:rsidRPr="00AC6E74">
        <w:t xml:space="preserve">The ACM considered the severity of advanced </w:t>
      </w:r>
      <w:r w:rsidR="00A13739" w:rsidRPr="00AC6E74">
        <w:t>non-small cell lung cancer</w:t>
      </w:r>
      <w:r w:rsidR="00987863" w:rsidRPr="00AC6E74">
        <w:t xml:space="preserve"> </w:t>
      </w:r>
      <w:r w:rsidRPr="00AC6E74">
        <w:t>and that there is currently a lack of targeted therapy options available within Australia. The ACM highlighted that there is a clear unmet clinical need for efficacious treatment options within this population.</w:t>
      </w:r>
    </w:p>
    <w:p w14:paraId="6A0EB801" w14:textId="3B751688" w:rsidR="00E04ABD" w:rsidRPr="00AC6E74" w:rsidRDefault="00155BA2" w:rsidP="001F0DDC">
      <w:pPr>
        <w:pStyle w:val="Numberbullet0"/>
        <w:rPr>
          <w:b/>
          <w:bCs/>
          <w:i/>
          <w:iCs/>
        </w:rPr>
      </w:pPr>
      <w:r>
        <w:rPr>
          <w:b/>
          <w:bCs/>
          <w:i/>
          <w:iCs/>
        </w:rPr>
        <w:t>The ACM is requested to provide any o</w:t>
      </w:r>
      <w:r w:rsidR="00E04ABD" w:rsidRPr="00AC6E74">
        <w:rPr>
          <w:b/>
          <w:bCs/>
          <w:i/>
          <w:iCs/>
        </w:rPr>
        <w:t>ther advice</w:t>
      </w:r>
      <w:r>
        <w:rPr>
          <w:b/>
          <w:bCs/>
          <w:i/>
          <w:iCs/>
        </w:rPr>
        <w:t xml:space="preserve"> relevant to this submission.</w:t>
      </w:r>
    </w:p>
    <w:p w14:paraId="51B5DDE5" w14:textId="583EF3E0" w:rsidR="00E04ABD" w:rsidRPr="00AC6E74" w:rsidRDefault="00E04ABD" w:rsidP="001F0DDC">
      <w:r w:rsidRPr="00AC6E74">
        <w:t xml:space="preserve">The ACM noted that the randomised data from </w:t>
      </w:r>
      <w:r w:rsidR="00A13739" w:rsidRPr="00AC6E74">
        <w:t>Study 20190009 (</w:t>
      </w:r>
      <w:r w:rsidR="00876ADD" w:rsidRPr="00AC6E74">
        <w:t xml:space="preserve">the </w:t>
      </w:r>
      <w:r w:rsidR="00A13739" w:rsidRPr="00AC6E74">
        <w:t>CODEBREAK</w:t>
      </w:r>
      <w:r w:rsidRPr="00AC6E74">
        <w:t xml:space="preserve"> 200</w:t>
      </w:r>
      <w:r w:rsidR="00876ADD" w:rsidRPr="00AC6E74">
        <w:t xml:space="preserve"> trial</w:t>
      </w:r>
      <w:r w:rsidR="00A13739" w:rsidRPr="00AC6E74">
        <w:t>)</w:t>
      </w:r>
      <w:r w:rsidRPr="00AC6E74">
        <w:t xml:space="preserve">, which will be available shortly, will be important to confirm the clinical benefit of </w:t>
      </w:r>
      <w:proofErr w:type="spellStart"/>
      <w:r w:rsidRPr="00AC6E74">
        <w:t>sotorasib</w:t>
      </w:r>
      <w:proofErr w:type="spellEnd"/>
      <w:r w:rsidRPr="00AC6E74">
        <w:t xml:space="preserve"> and to understand the efficacy and safety within organ impaired patients (liver</w:t>
      </w:r>
      <w:r w:rsidR="00876ADD" w:rsidRPr="00AC6E74">
        <w:t xml:space="preserve"> and</w:t>
      </w:r>
      <w:r w:rsidRPr="00AC6E74">
        <w:t xml:space="preserve"> renal).</w:t>
      </w:r>
    </w:p>
    <w:p w14:paraId="002A9AA1" w14:textId="77777777" w:rsidR="00E04ABD" w:rsidRPr="00AC6E74" w:rsidRDefault="00E04ABD" w:rsidP="00E04ABD">
      <w:pPr>
        <w:pStyle w:val="Heading5"/>
      </w:pPr>
      <w:r w:rsidRPr="00AC6E74">
        <w:t>Conclusion</w:t>
      </w:r>
    </w:p>
    <w:p w14:paraId="1CFCAA2D" w14:textId="77777777" w:rsidR="00E04ABD" w:rsidRPr="00AC6E74" w:rsidRDefault="00E04ABD" w:rsidP="001F0DDC">
      <w:r w:rsidRPr="00AC6E74">
        <w:t>The ACM considered this product to have an overall positive benefit-risk profile for the provisional indication:</w:t>
      </w:r>
    </w:p>
    <w:p w14:paraId="24192F08" w14:textId="7084F8FF" w:rsidR="00E04ABD" w:rsidRPr="00AC6E74" w:rsidRDefault="00EE2DEE" w:rsidP="001F0DDC">
      <w:pPr>
        <w:ind w:left="720"/>
        <w:rPr>
          <w:i/>
          <w:iCs/>
        </w:rPr>
      </w:pPr>
      <w:r w:rsidRPr="00AC6E74">
        <w:rPr>
          <w:i/>
          <w:iCs/>
        </w:rPr>
        <w:t>f</w:t>
      </w:r>
      <w:r w:rsidR="00E04ABD" w:rsidRPr="00AC6E74">
        <w:rPr>
          <w:i/>
          <w:iCs/>
        </w:rPr>
        <w:t xml:space="preserve">or the treatment of adult patients with </w:t>
      </w:r>
      <w:r w:rsidR="00EB463D" w:rsidRPr="00AC6E74">
        <w:rPr>
          <w:i/>
          <w:iCs/>
        </w:rPr>
        <w:t>KRAS G12C</w:t>
      </w:r>
      <w:r w:rsidR="00E04ABD" w:rsidRPr="00AC6E74">
        <w:rPr>
          <w:i/>
          <w:iCs/>
        </w:rPr>
        <w:t xml:space="preserve"> mutated locally advanced or metastatic non-small cell lung cancer (NSCLC) who have received at least one prior systemic therapy for advanced disease.</w:t>
      </w:r>
    </w:p>
    <w:p w14:paraId="752DFF99" w14:textId="19CB0672" w:rsidR="00E04ABD" w:rsidRPr="00AC6E74" w:rsidRDefault="00E04ABD" w:rsidP="001F0DDC">
      <w:pPr>
        <w:ind w:left="720"/>
        <w:rPr>
          <w:i/>
          <w:iCs/>
        </w:rPr>
      </w:pPr>
      <w:r w:rsidRPr="00AC6E74">
        <w:rPr>
          <w:i/>
          <w:iCs/>
        </w:rPr>
        <w:t xml:space="preserve">The decision to approve this indication has been made </w:t>
      </w:r>
      <w:proofErr w:type="gramStart"/>
      <w:r w:rsidRPr="00AC6E74">
        <w:rPr>
          <w:i/>
          <w:iCs/>
        </w:rPr>
        <w:t>on the basis of</w:t>
      </w:r>
      <w:proofErr w:type="gramEnd"/>
      <w:r w:rsidRPr="00AC6E74">
        <w:rPr>
          <w:i/>
          <w:iCs/>
        </w:rPr>
        <w:t xml:space="preserve"> objective response rate (ORR) and duration of response (DOR).</w:t>
      </w:r>
      <w:r w:rsidR="002A2318" w:rsidRPr="00AC6E74">
        <w:rPr>
          <w:i/>
          <w:iCs/>
        </w:rPr>
        <w:t xml:space="preserve"> </w:t>
      </w:r>
      <w:r w:rsidRPr="00AC6E74">
        <w:rPr>
          <w:i/>
          <w:iCs/>
        </w:rPr>
        <w:t>Continued approval of this indication depends on verification and description of benefit in confirmatory trials.</w:t>
      </w:r>
    </w:p>
    <w:p w14:paraId="326C3A6E" w14:textId="1E9BEBCF" w:rsidR="002810C0" w:rsidRPr="00AC6E74" w:rsidRDefault="003D0DD6" w:rsidP="00EE2DEE">
      <w:pPr>
        <w:pStyle w:val="Heading4"/>
      </w:pPr>
      <w:r>
        <w:lastRenderedPageBreak/>
        <w:t>Updated</w:t>
      </w:r>
      <w:r w:rsidR="00620953">
        <w:t xml:space="preserve"> </w:t>
      </w:r>
      <w:r w:rsidR="00155BA2">
        <w:t>r</w:t>
      </w:r>
      <w:r w:rsidR="002810C0" w:rsidRPr="00AC6E74">
        <w:t>isk</w:t>
      </w:r>
      <w:r w:rsidR="00155BA2">
        <w:t>-</w:t>
      </w:r>
      <w:r w:rsidR="002810C0" w:rsidRPr="00AC6E74">
        <w:t xml:space="preserve">benefit </w:t>
      </w:r>
      <w:r>
        <w:t>analysis</w:t>
      </w:r>
    </w:p>
    <w:p w14:paraId="2DD0E6FC" w14:textId="36F2D1CE" w:rsidR="00CE0393" w:rsidRPr="00AC6E74" w:rsidRDefault="00E04ABD" w:rsidP="00CE0393">
      <w:r w:rsidRPr="00AC6E74">
        <w:t xml:space="preserve">At the time of </w:t>
      </w:r>
      <w:r w:rsidR="00C83534">
        <w:t>the Advisory Committee meeting</w:t>
      </w:r>
      <w:r w:rsidR="00620953">
        <w:t xml:space="preserve"> (2 and 3 December 2021), as</w:t>
      </w:r>
      <w:r w:rsidR="00C83534">
        <w:t xml:space="preserve"> described above</w:t>
      </w:r>
      <w:r w:rsidR="00620953">
        <w:t>,</w:t>
      </w:r>
      <w:r w:rsidR="00C83534" w:rsidRPr="00AC6E74">
        <w:t xml:space="preserve"> </w:t>
      </w:r>
      <w:r w:rsidR="00CE0393" w:rsidRPr="00AC6E74">
        <w:t xml:space="preserve">the </w:t>
      </w:r>
      <w:r w:rsidR="00C83534">
        <w:t xml:space="preserve">TGA’s </w:t>
      </w:r>
      <w:r w:rsidR="00CE0393" w:rsidRPr="00AC6E74">
        <w:t>nonclinical evaluation</w:t>
      </w:r>
      <w:r w:rsidR="00C83534">
        <w:t xml:space="preserve"> for this submission</w:t>
      </w:r>
      <w:r w:rsidR="00CE0393" w:rsidRPr="00AC6E74">
        <w:t xml:space="preserve"> remained in progress. </w:t>
      </w:r>
      <w:r w:rsidR="00C83534">
        <w:t xml:space="preserve">It is a TGA requirement that </w:t>
      </w:r>
      <w:r w:rsidR="00620953">
        <w:t xml:space="preserve">any </w:t>
      </w:r>
      <w:r w:rsidR="00CE0393" w:rsidRPr="00AC6E74">
        <w:t xml:space="preserve">outstanding issues that </w:t>
      </w:r>
      <w:r w:rsidR="00C83534">
        <w:t>may arise</w:t>
      </w:r>
      <w:r w:rsidR="00C83534" w:rsidRPr="00AC6E74">
        <w:t xml:space="preserve"> </w:t>
      </w:r>
      <w:r w:rsidR="00CE0393" w:rsidRPr="00AC6E74">
        <w:t xml:space="preserve">from the nonclinical evaluation </w:t>
      </w:r>
      <w:r w:rsidR="00C83534">
        <w:t>must</w:t>
      </w:r>
      <w:r w:rsidR="00CE0393" w:rsidRPr="00AC6E74">
        <w:t xml:space="preserve"> be addressed before a </w:t>
      </w:r>
      <w:r w:rsidR="00C83534">
        <w:t xml:space="preserve">regulatory </w:t>
      </w:r>
      <w:r w:rsidR="00CE0393" w:rsidRPr="00AC6E74">
        <w:t>decision regarding approval is finalised.</w:t>
      </w:r>
    </w:p>
    <w:p w14:paraId="4745E6B8" w14:textId="72537C70" w:rsidR="00E04ABD" w:rsidRPr="00AC6E74" w:rsidRDefault="00E04ABD" w:rsidP="001F0DDC">
      <w:r w:rsidRPr="00AC6E74">
        <w:t xml:space="preserve">The </w:t>
      </w:r>
      <w:r w:rsidR="008C12AD" w:rsidRPr="00AC6E74">
        <w:t>Delegate</w:t>
      </w:r>
      <w:r w:rsidRPr="00AC6E74">
        <w:t xml:space="preserve"> note</w:t>
      </w:r>
      <w:r w:rsidR="00C83534">
        <w:t>d</w:t>
      </w:r>
      <w:r w:rsidRPr="00AC6E74">
        <w:t xml:space="preserve"> the following </w:t>
      </w:r>
      <w:r w:rsidR="00EB0E16" w:rsidRPr="00AC6E74">
        <w:t xml:space="preserve">regarding impurities </w:t>
      </w:r>
      <w:r w:rsidRPr="00AC6E74">
        <w:t xml:space="preserve">from the </w:t>
      </w:r>
      <w:r w:rsidR="00CE0393" w:rsidRPr="00AC6E74">
        <w:t>second round of non</w:t>
      </w:r>
      <w:r w:rsidRPr="00AC6E74">
        <w:t>clinical evaluation</w:t>
      </w:r>
      <w:r w:rsidR="00EF3A80" w:rsidRPr="00AC6E74">
        <w:t>:</w:t>
      </w:r>
    </w:p>
    <w:p w14:paraId="3DFD36FC" w14:textId="631DC9CC" w:rsidR="00EF3A80" w:rsidRPr="00AC6E74" w:rsidRDefault="00EF3A80" w:rsidP="00EF3A80">
      <w:pPr>
        <w:pStyle w:val="ListBullet"/>
      </w:pPr>
      <w:r w:rsidRPr="00AC6E74">
        <w:t>The proposed specifications for impurities in the drug substance</w:t>
      </w:r>
      <w:r w:rsidR="00EB0E16" w:rsidRPr="00AC6E74">
        <w:t xml:space="preserve"> or </w:t>
      </w:r>
      <w:r w:rsidRPr="00AC6E74">
        <w:t>product have not been adequately qualifi</w:t>
      </w:r>
      <w:r w:rsidRPr="00BA038A">
        <w:t xml:space="preserve">ed. The </w:t>
      </w:r>
      <w:proofErr w:type="spellStart"/>
      <w:r w:rsidRPr="00BA038A">
        <w:t>clastogenicity</w:t>
      </w:r>
      <w:proofErr w:type="spellEnd"/>
      <w:r w:rsidRPr="00BA038A">
        <w:t xml:space="preserve"> of impurities </w:t>
      </w:r>
      <w:r w:rsidR="008E44B8" w:rsidRPr="00BA038A">
        <w:t>[Information redacted]</w:t>
      </w:r>
      <w:r w:rsidRPr="00AC6E74">
        <w:t xml:space="preserve"> needs to be assessed by an </w:t>
      </w:r>
      <w:r w:rsidRPr="00AC6E74">
        <w:rPr>
          <w:i/>
          <w:iCs/>
        </w:rPr>
        <w:t>in vitro</w:t>
      </w:r>
      <w:r w:rsidRPr="00AC6E74">
        <w:t xml:space="preserve"> or </w:t>
      </w:r>
      <w:r w:rsidRPr="00AC6E74">
        <w:rPr>
          <w:i/>
          <w:iCs/>
        </w:rPr>
        <w:t>in vivo</w:t>
      </w:r>
      <w:r w:rsidRPr="00AC6E74">
        <w:t xml:space="preserve"> </w:t>
      </w:r>
      <w:proofErr w:type="spellStart"/>
      <w:r w:rsidRPr="00AC6E74">
        <w:t>clastogenicity</w:t>
      </w:r>
      <w:proofErr w:type="spellEnd"/>
      <w:r w:rsidRPr="00AC6E74">
        <w:t xml:space="preserve"> study (these studies can be provided post-registration). The </w:t>
      </w:r>
      <w:r w:rsidR="00EB0E16" w:rsidRPr="00AC6E74">
        <w:t>s</w:t>
      </w:r>
      <w:r w:rsidRPr="00AC6E74">
        <w:t>ponsor may alternatively decrease the specification for the impurities to 0.1%</w:t>
      </w:r>
      <w:r w:rsidR="00C83534">
        <w:t>,</w:t>
      </w:r>
      <w:r w:rsidRPr="00AC6E74">
        <w:t xml:space="preserve"> to yield an impurity dose of less than 1 mg/day.</w:t>
      </w:r>
    </w:p>
    <w:p w14:paraId="5FB10878" w14:textId="79172C11" w:rsidR="00E04ABD" w:rsidRPr="00AC6E74" w:rsidRDefault="00EF3A80" w:rsidP="00EF3A80">
      <w:pPr>
        <w:pStyle w:val="ListBullet"/>
        <w:numPr>
          <w:ilvl w:val="0"/>
          <w:numId w:val="0"/>
        </w:numPr>
        <w:ind w:left="360"/>
      </w:pPr>
      <w:r w:rsidRPr="00AC6E74">
        <w:t xml:space="preserve">All mutagenic or potential mutagenic impurities should be controlled, in the final product, to the </w:t>
      </w:r>
      <w:r w:rsidR="00A13739" w:rsidRPr="00AC6E74">
        <w:t xml:space="preserve">threshold of toxicological concern </w:t>
      </w:r>
      <w:r w:rsidRPr="00AC6E74">
        <w:t xml:space="preserve">of 10 </w:t>
      </w:r>
      <w:proofErr w:type="spellStart"/>
      <w:r w:rsidRPr="00AC6E74">
        <w:t>μg</w:t>
      </w:r>
      <w:proofErr w:type="spellEnd"/>
      <w:r w:rsidRPr="00AC6E74">
        <w:t xml:space="preserve"> for a duration of exposure of 1</w:t>
      </w:r>
      <w:r w:rsidR="00EB0E16" w:rsidRPr="00AC6E74">
        <w:t xml:space="preserve"> to </w:t>
      </w:r>
      <w:r w:rsidRPr="00AC6E74">
        <w:t xml:space="preserve">10 years (noting that the range of duration of exposure to </w:t>
      </w:r>
      <w:r w:rsidR="00EB0E16" w:rsidRPr="00AC6E74">
        <w:t xml:space="preserve">Lumakras </w:t>
      </w:r>
      <w:r w:rsidRPr="00AC6E74">
        <w:t>in clinical trials was 0.2 to 17 months).</w:t>
      </w:r>
    </w:p>
    <w:p w14:paraId="29917E54" w14:textId="4B3BFB67" w:rsidR="00E04ABD" w:rsidRPr="00AC6E74" w:rsidRDefault="00E04ABD" w:rsidP="001F0DDC">
      <w:r w:rsidRPr="00AC6E74">
        <w:t xml:space="preserve">The </w:t>
      </w:r>
      <w:r w:rsidR="00C83534">
        <w:t xml:space="preserve">conclusion of the </w:t>
      </w:r>
      <w:r w:rsidRPr="00AC6E74">
        <w:t>nonclinical evaluation include</w:t>
      </w:r>
      <w:r w:rsidR="00C83534">
        <w:t>d</w:t>
      </w:r>
      <w:r w:rsidRPr="00AC6E74">
        <w:t xml:space="preserve"> the following:</w:t>
      </w:r>
    </w:p>
    <w:p w14:paraId="47BEA3CD" w14:textId="2B40E6B6" w:rsidR="00E04ABD" w:rsidRPr="00AC6E74" w:rsidRDefault="00E04ABD" w:rsidP="001F0DDC">
      <w:pPr>
        <w:pStyle w:val="ListBullet"/>
      </w:pPr>
      <w:r w:rsidRPr="00AC6E74">
        <w:t>The proposed limit for several impurities in the drug substance and drug product have not been adequately qualified by submitted toxicity data.</w:t>
      </w:r>
    </w:p>
    <w:p w14:paraId="779ECFC1" w14:textId="2FC0CBB7" w:rsidR="00E04ABD" w:rsidRPr="00AC6E74" w:rsidRDefault="00E04ABD" w:rsidP="001F0DDC">
      <w:pPr>
        <w:pStyle w:val="ListBullet"/>
      </w:pPr>
      <w:r w:rsidRPr="00AC6E74">
        <w:t xml:space="preserve">There are no objections on nonclinical grounds to the proposed registration of Lumakras for the proposed indication provided the </w:t>
      </w:r>
      <w:proofErr w:type="spellStart"/>
      <w:r w:rsidRPr="00AC6E74">
        <w:t>clastogenicity</w:t>
      </w:r>
      <w:proofErr w:type="spellEnd"/>
      <w:r w:rsidRPr="00AC6E74">
        <w:t xml:space="preserve"> of impurities </w:t>
      </w:r>
      <w:r w:rsidR="008E44B8" w:rsidRPr="00AC6E74">
        <w:t xml:space="preserve">[Information redacted] </w:t>
      </w:r>
      <w:r w:rsidRPr="00AC6E74">
        <w:t>will be studied post-approval.</w:t>
      </w:r>
    </w:p>
    <w:p w14:paraId="4A783F48" w14:textId="45DF760E" w:rsidR="00E04ABD" w:rsidRPr="00AC6E74" w:rsidRDefault="00E04ABD" w:rsidP="001F0DDC">
      <w:r w:rsidRPr="00AC6E74">
        <w:t xml:space="preserve">The </w:t>
      </w:r>
      <w:r w:rsidR="008C12AD" w:rsidRPr="00AC6E74">
        <w:t>Delegate</w:t>
      </w:r>
      <w:r w:rsidRPr="00AC6E74">
        <w:t xml:space="preserve"> note</w:t>
      </w:r>
      <w:r w:rsidR="00C83534">
        <w:t>d</w:t>
      </w:r>
      <w:r w:rsidRPr="00AC6E74">
        <w:t xml:space="preserve"> the </w:t>
      </w:r>
      <w:r w:rsidR="00226918" w:rsidRPr="00AC6E74">
        <w:t>sponsor</w:t>
      </w:r>
      <w:r w:rsidRPr="00AC6E74">
        <w:t>’s response, received on 21 December 2021</w:t>
      </w:r>
      <w:r w:rsidR="00EF3A80" w:rsidRPr="00AC6E74">
        <w:t>.</w:t>
      </w:r>
      <w:r w:rsidR="002A2318" w:rsidRPr="00AC6E74">
        <w:t xml:space="preserve"> </w:t>
      </w:r>
      <w:r w:rsidRPr="00AC6E74">
        <w:t xml:space="preserve">The </w:t>
      </w:r>
      <w:r w:rsidR="00226918" w:rsidRPr="00AC6E74">
        <w:t>sponsor</w:t>
      </w:r>
      <w:r w:rsidRPr="00AC6E74">
        <w:t xml:space="preserve"> states that genotoxicity studies were conducted according to the principles of ICH</w:t>
      </w:r>
      <w:r w:rsidR="00C83534">
        <w:t xml:space="preserve"> guideline </w:t>
      </w:r>
      <w:r w:rsidRPr="00AC6E74">
        <w:t>S9</w:t>
      </w:r>
      <w:r w:rsidR="007E1660" w:rsidRPr="00AC6E74">
        <w:t>;</w:t>
      </w:r>
      <w:bookmarkStart w:id="89" w:name="_Ref135914987"/>
      <w:r w:rsidR="007E1660" w:rsidRPr="00AC6E74">
        <w:rPr>
          <w:rStyle w:val="FootnoteReference"/>
        </w:rPr>
        <w:footnoteReference w:id="20"/>
      </w:r>
      <w:bookmarkEnd w:id="89"/>
      <w:r w:rsidRPr="00AC6E74">
        <w:t xml:space="preserve"> and the S9 </w:t>
      </w:r>
      <w:r w:rsidR="007E5498" w:rsidRPr="00AC6E74">
        <w:t xml:space="preserve">questions and answers </w:t>
      </w:r>
      <w:r w:rsidRPr="00AC6E74">
        <w:t>document,</w:t>
      </w:r>
      <w:bookmarkStart w:id="90" w:name="_Ref135914991"/>
      <w:r w:rsidR="007E1660" w:rsidRPr="00AC6E74">
        <w:rPr>
          <w:rStyle w:val="FootnoteReference"/>
        </w:rPr>
        <w:footnoteReference w:id="21"/>
      </w:r>
      <w:bookmarkEnd w:id="90"/>
      <w:r w:rsidRPr="00AC6E74">
        <w:t xml:space="preserve"> with reference to ICH </w:t>
      </w:r>
      <w:r w:rsidR="00C83534">
        <w:t xml:space="preserve">guideline </w:t>
      </w:r>
      <w:r w:rsidRPr="00AC6E74">
        <w:t>Q3A/B.</w:t>
      </w:r>
      <w:bookmarkStart w:id="91" w:name="_Ref135914994"/>
      <w:r w:rsidR="007E1660" w:rsidRPr="00AC6E74">
        <w:rPr>
          <w:rStyle w:val="FootnoteReference"/>
        </w:rPr>
        <w:footnoteReference w:id="22"/>
      </w:r>
      <w:bookmarkEnd w:id="91"/>
      <w:r w:rsidR="002A2318" w:rsidRPr="00AC6E74">
        <w:t xml:space="preserve"> </w:t>
      </w:r>
      <w:r w:rsidRPr="00AC6E74">
        <w:t xml:space="preserve">The sponsor believes that the necessary studies </w:t>
      </w:r>
      <w:r w:rsidR="00EF3A80" w:rsidRPr="00AC6E74">
        <w:t xml:space="preserve">have already completed </w:t>
      </w:r>
      <w:r w:rsidRPr="00AC6E74">
        <w:t>following ICH guidance.</w:t>
      </w:r>
    </w:p>
    <w:p w14:paraId="37FE32BF" w14:textId="21C4DA0B" w:rsidR="00E04ABD" w:rsidRPr="00AC6E74" w:rsidRDefault="00E04ABD" w:rsidP="001F0DDC">
      <w:r w:rsidRPr="00AC6E74">
        <w:t xml:space="preserve">Following </w:t>
      </w:r>
      <w:r w:rsidR="00192684">
        <w:t xml:space="preserve">a TGA </w:t>
      </w:r>
      <w:r w:rsidRPr="00AC6E74">
        <w:t xml:space="preserve">review of the </w:t>
      </w:r>
      <w:r w:rsidR="00192684">
        <w:t xml:space="preserve">sponsor’s </w:t>
      </w:r>
      <w:r w:rsidR="00EF3A80" w:rsidRPr="00AC6E74">
        <w:t>response</w:t>
      </w:r>
      <w:r w:rsidR="00192684">
        <w:t>s</w:t>
      </w:r>
      <w:r w:rsidR="00EF3A80" w:rsidRPr="00AC6E74">
        <w:t xml:space="preserve"> </w:t>
      </w:r>
      <w:r w:rsidR="00192684">
        <w:t xml:space="preserve">to the </w:t>
      </w:r>
      <w:r w:rsidR="00EF3A80" w:rsidRPr="00AC6E74">
        <w:t xml:space="preserve">second round </w:t>
      </w:r>
      <w:r w:rsidR="00192684">
        <w:t xml:space="preserve">nonclinical </w:t>
      </w:r>
      <w:r w:rsidR="00EF3A80" w:rsidRPr="00AC6E74">
        <w:t>evaluation</w:t>
      </w:r>
      <w:r w:rsidRPr="00AC6E74">
        <w:t xml:space="preserve">, approval </w:t>
      </w:r>
      <w:r w:rsidR="00192684">
        <w:t>could not</w:t>
      </w:r>
      <w:r w:rsidR="00192684" w:rsidRPr="00AC6E74">
        <w:t xml:space="preserve"> </w:t>
      </w:r>
      <w:r w:rsidRPr="00AC6E74">
        <w:t xml:space="preserve">be recommended from </w:t>
      </w:r>
      <w:r w:rsidR="00EF3A80" w:rsidRPr="00AC6E74">
        <w:t xml:space="preserve">the nonclinical </w:t>
      </w:r>
      <w:r w:rsidRPr="00AC6E74">
        <w:t xml:space="preserve">perspective based on the outstanding issue relating to drug substance impurities, and that </w:t>
      </w:r>
      <w:r w:rsidR="00EF3A80" w:rsidRPr="00AC6E74">
        <w:t xml:space="preserve">the nonclinical </w:t>
      </w:r>
      <w:r w:rsidR="00192684" w:rsidRPr="00AC6E74">
        <w:t>ev</w:t>
      </w:r>
      <w:r w:rsidR="00192684">
        <w:t>a</w:t>
      </w:r>
      <w:r w:rsidR="00192684" w:rsidRPr="00AC6E74">
        <w:t>luation</w:t>
      </w:r>
      <w:r w:rsidR="00EF3A80" w:rsidRPr="00AC6E74">
        <w:t xml:space="preserve"> </w:t>
      </w:r>
      <w:r w:rsidR="00E267EE">
        <w:t>wasn’t in</w:t>
      </w:r>
      <w:r w:rsidR="00192684">
        <w:t xml:space="preserve"> agreement</w:t>
      </w:r>
      <w:r w:rsidRPr="00AC6E74">
        <w:t xml:space="preserve"> with the sponsor’s interpretation of the ICH guidelines S9 </w:t>
      </w:r>
      <w:r w:rsidR="007E5498" w:rsidRPr="00AC6E74">
        <w:t xml:space="preserve">questions and answers </w:t>
      </w:r>
      <w:r w:rsidRPr="00AC6E74">
        <w:t>regarding the qualification of impurities</w:t>
      </w:r>
      <w:r w:rsidR="00EF3A80" w:rsidRPr="00AC6E74">
        <w:t>;</w:t>
      </w:r>
      <w:r w:rsidRPr="00AC6E74">
        <w:t xml:space="preserve"> and </w:t>
      </w:r>
      <w:proofErr w:type="spellStart"/>
      <w:r w:rsidRPr="00AC6E74">
        <w:t>clastogenicity</w:t>
      </w:r>
      <w:proofErr w:type="spellEnd"/>
      <w:r w:rsidRPr="00AC6E74">
        <w:t xml:space="preserve"> of the impurities should be studied, preferably in an </w:t>
      </w:r>
      <w:r w:rsidRPr="00AC6E74">
        <w:rPr>
          <w:i/>
          <w:iCs/>
        </w:rPr>
        <w:t>in</w:t>
      </w:r>
      <w:r w:rsidR="00EB0E16" w:rsidRPr="00AC6E74">
        <w:rPr>
          <w:i/>
          <w:iCs/>
        </w:rPr>
        <w:t> </w:t>
      </w:r>
      <w:r w:rsidRPr="00AC6E74">
        <w:rPr>
          <w:i/>
          <w:iCs/>
        </w:rPr>
        <w:t>vivo</w:t>
      </w:r>
      <w:r w:rsidRPr="00AC6E74">
        <w:t xml:space="preserve"> chromosome aberration assay.</w:t>
      </w:r>
    </w:p>
    <w:p w14:paraId="0D6E5559" w14:textId="4F42537D" w:rsidR="00E04ABD" w:rsidRPr="00AC6E74" w:rsidRDefault="00E04ABD" w:rsidP="001F0DDC">
      <w:r w:rsidRPr="00AC6E74">
        <w:t xml:space="preserve">In view of this, the </w:t>
      </w:r>
      <w:r w:rsidR="00192684">
        <w:t xml:space="preserve">TGA </w:t>
      </w:r>
      <w:r w:rsidR="008C12AD" w:rsidRPr="00AC6E74">
        <w:t>Delegate</w:t>
      </w:r>
      <w:r w:rsidRPr="00AC6E74">
        <w:t xml:space="preserve"> amend</w:t>
      </w:r>
      <w:r w:rsidR="00192684">
        <w:t>ed</w:t>
      </w:r>
      <w:r w:rsidRPr="00AC6E74">
        <w:t xml:space="preserve"> </w:t>
      </w:r>
      <w:r w:rsidR="00EB0E16" w:rsidRPr="00AC6E74">
        <w:t>the</w:t>
      </w:r>
      <w:r w:rsidRPr="00AC6E74">
        <w:t xml:space="preserve"> preliminary view </w:t>
      </w:r>
      <w:r w:rsidR="00192684">
        <w:t>to the following:</w:t>
      </w:r>
      <w:r w:rsidRPr="00AC6E74">
        <w:t xml:space="preserve"> whilst a decision is yet to be made, the </w:t>
      </w:r>
      <w:r w:rsidR="008C12AD" w:rsidRPr="00AC6E74">
        <w:t>Delegate</w:t>
      </w:r>
      <w:r w:rsidRPr="00AC6E74">
        <w:t xml:space="preserve"> is not currently </w:t>
      </w:r>
      <w:proofErr w:type="gramStart"/>
      <w:r w:rsidRPr="00AC6E74">
        <w:t>in a position</w:t>
      </w:r>
      <w:proofErr w:type="gramEnd"/>
      <w:r w:rsidRPr="00AC6E74">
        <w:t xml:space="preserve"> to approve </w:t>
      </w:r>
      <w:proofErr w:type="spellStart"/>
      <w:r w:rsidRPr="00AC6E74">
        <w:t>sotorasib</w:t>
      </w:r>
      <w:proofErr w:type="spellEnd"/>
      <w:r w:rsidRPr="00AC6E74">
        <w:t xml:space="preserve"> for the proposed indication as outstanding issues relating to </w:t>
      </w:r>
      <w:r w:rsidR="00EB0E16" w:rsidRPr="00AC6E74">
        <w:t>manufacturing and quality control remain unresolved.</w:t>
      </w:r>
    </w:p>
    <w:p w14:paraId="7B7CF975" w14:textId="43128239" w:rsidR="00E04ABD" w:rsidRPr="00AC6E74" w:rsidRDefault="00E04ABD" w:rsidP="001F0DDC">
      <w:r w:rsidRPr="00AC6E74">
        <w:t xml:space="preserve">As these matters have arisen following the previous consideration of the submission by </w:t>
      </w:r>
      <w:r w:rsidR="00EB0E16" w:rsidRPr="00AC6E74">
        <w:t xml:space="preserve">the </w:t>
      </w:r>
      <w:r w:rsidRPr="00AC6E74">
        <w:t xml:space="preserve">ACM (and were not before the </w:t>
      </w:r>
      <w:r w:rsidR="008C12AD" w:rsidRPr="00AC6E74">
        <w:t>Delegate</w:t>
      </w:r>
      <w:r w:rsidRPr="00AC6E74">
        <w:t xml:space="preserve"> when it was considered in December 2021), </w:t>
      </w:r>
      <w:r w:rsidRPr="00AC6E74">
        <w:lastRenderedPageBreak/>
        <w:t xml:space="preserve">the submission will be returned to the </w:t>
      </w:r>
      <w:r w:rsidR="00EB0E16" w:rsidRPr="00AC6E74">
        <w:t xml:space="preserve">Advisory Committee </w:t>
      </w:r>
      <w:r w:rsidRPr="00AC6E74">
        <w:t>for further advice.</w:t>
      </w:r>
      <w:r w:rsidR="00EB0E16" w:rsidRPr="00AC6E74">
        <w:t xml:space="preserve"> </w:t>
      </w:r>
      <w:r w:rsidRPr="00AC6E74">
        <w:t xml:space="preserve">The </w:t>
      </w:r>
      <w:r w:rsidR="008C12AD" w:rsidRPr="00AC6E74">
        <w:t>Delegate</w:t>
      </w:r>
      <w:r w:rsidRPr="00AC6E74">
        <w:t xml:space="preserve"> therefore requests further advice from ACM in relation to the question below</w:t>
      </w:r>
      <w:r w:rsidR="00EB0E16" w:rsidRPr="00AC6E74">
        <w:t>.</w:t>
      </w:r>
    </w:p>
    <w:p w14:paraId="10B07281" w14:textId="3E89AF49" w:rsidR="002810C0" w:rsidRDefault="002810C0" w:rsidP="002810C0">
      <w:pPr>
        <w:pStyle w:val="Heading4"/>
      </w:pPr>
      <w:r w:rsidRPr="00AC6E74">
        <w:t>Advisory Committee considerations (additional questions)</w:t>
      </w:r>
    </w:p>
    <w:p w14:paraId="3CEC678E" w14:textId="5743A9D6" w:rsidR="00192684" w:rsidRDefault="00192684" w:rsidP="00DB11B7">
      <w:r w:rsidRPr="00AC6E74">
        <w:rPr>
          <w:bCs/>
        </w:rPr>
        <w:t xml:space="preserve">The </w:t>
      </w:r>
      <w:hyperlink r:id="rId44" w:history="1">
        <w:r w:rsidRPr="00AC6E74">
          <w:rPr>
            <w:rStyle w:val="Hyperlink"/>
            <w:szCs w:val="21"/>
          </w:rPr>
          <w:t>Advisory Committee on Medicines (ACM)</w:t>
        </w:r>
      </w:hyperlink>
      <w:r w:rsidRPr="00AC6E74">
        <w:rPr>
          <w:szCs w:val="21"/>
        </w:rPr>
        <w:t>,</w:t>
      </w:r>
      <w:r w:rsidRPr="00AC6E74">
        <w:rPr>
          <w:bCs/>
        </w:rPr>
        <w:t xml:space="preserve"> having </w:t>
      </w:r>
      <w:r w:rsidR="00E267EE">
        <w:rPr>
          <w:bCs/>
        </w:rPr>
        <w:t>considered the post-ACM risk</w:t>
      </w:r>
      <w:r w:rsidR="00E267EE">
        <w:rPr>
          <w:bCs/>
        </w:rPr>
        <w:noBreakHyphen/>
        <w:t xml:space="preserve">benefit assessment (described above), including the sponsor’s response; in addition to reconsidering </w:t>
      </w:r>
      <w:r w:rsidRPr="00AC6E74">
        <w:rPr>
          <w:bCs/>
        </w:rPr>
        <w:t>the evaluations and the Delegate’s overview, as well as the sponsor’s response to these do</w:t>
      </w:r>
      <w:r>
        <w:rPr>
          <w:bCs/>
        </w:rPr>
        <w:t>cuments, advised the following.</w:t>
      </w:r>
    </w:p>
    <w:p w14:paraId="30E35DC6" w14:textId="2116DB7D" w:rsidR="00E267EE" w:rsidRPr="00DB11B7" w:rsidRDefault="00E267EE" w:rsidP="00DB11B7">
      <w:pPr>
        <w:pStyle w:val="Heading5"/>
      </w:pPr>
      <w:r>
        <w:t>Specific advice to the Delegate</w:t>
      </w:r>
    </w:p>
    <w:p w14:paraId="3D458555" w14:textId="6BF0EB2A" w:rsidR="00E04ABD" w:rsidRPr="00AC6E74" w:rsidRDefault="00E04ABD" w:rsidP="009D146F">
      <w:pPr>
        <w:pStyle w:val="Numberbullet0"/>
        <w:numPr>
          <w:ilvl w:val="0"/>
          <w:numId w:val="8"/>
        </w:numPr>
        <w:rPr>
          <w:b/>
          <w:bCs/>
          <w:i/>
          <w:iCs/>
        </w:rPr>
      </w:pPr>
      <w:r w:rsidRPr="00AC6E74">
        <w:rPr>
          <w:b/>
          <w:bCs/>
          <w:i/>
          <w:iCs/>
        </w:rPr>
        <w:t xml:space="preserve">Does the benefit-risk profile of </w:t>
      </w:r>
      <w:proofErr w:type="spellStart"/>
      <w:r w:rsidRPr="00AC6E74">
        <w:rPr>
          <w:b/>
          <w:bCs/>
          <w:i/>
          <w:iCs/>
        </w:rPr>
        <w:t>sotorasib</w:t>
      </w:r>
      <w:proofErr w:type="spellEnd"/>
      <w:r w:rsidRPr="00AC6E74">
        <w:rPr>
          <w:b/>
          <w:bCs/>
          <w:i/>
          <w:iCs/>
        </w:rPr>
        <w:t xml:space="preserve"> support its approval for use in the proposed provisional indication, in view of the unresolved toxicology issue relating to the presence of impurities</w:t>
      </w:r>
      <w:r w:rsidR="00EB0E16" w:rsidRPr="00AC6E74">
        <w:rPr>
          <w:b/>
          <w:bCs/>
          <w:i/>
          <w:iCs/>
        </w:rPr>
        <w:t xml:space="preserve"> or </w:t>
      </w:r>
      <w:r w:rsidRPr="00AC6E74">
        <w:rPr>
          <w:b/>
          <w:bCs/>
          <w:i/>
          <w:iCs/>
        </w:rPr>
        <w:t xml:space="preserve">degradants in the </w:t>
      </w:r>
      <w:proofErr w:type="spellStart"/>
      <w:r w:rsidRPr="00AC6E74">
        <w:rPr>
          <w:b/>
          <w:bCs/>
          <w:i/>
          <w:iCs/>
        </w:rPr>
        <w:t>sotorasib</w:t>
      </w:r>
      <w:proofErr w:type="spellEnd"/>
      <w:r w:rsidRPr="00AC6E74">
        <w:rPr>
          <w:b/>
          <w:bCs/>
          <w:i/>
          <w:iCs/>
        </w:rPr>
        <w:t xml:space="preserve"> product?</w:t>
      </w:r>
    </w:p>
    <w:p w14:paraId="2F18E15A" w14:textId="4A7B88B6" w:rsidR="00E04ABD" w:rsidRPr="00AC6E74" w:rsidRDefault="00E04ABD" w:rsidP="001F0DDC">
      <w:r w:rsidRPr="00AC6E74">
        <w:t xml:space="preserve">The ACM agreed that the safety profile demonstrated for </w:t>
      </w:r>
      <w:proofErr w:type="spellStart"/>
      <w:r w:rsidRPr="00AC6E74">
        <w:t>sotorasib</w:t>
      </w:r>
      <w:proofErr w:type="spellEnd"/>
      <w:r w:rsidRPr="00AC6E74">
        <w:t xml:space="preserve"> is acceptable when considered in the context of a life-threatening disease (advanced </w:t>
      </w:r>
      <w:r w:rsidR="00987863" w:rsidRPr="00AC6E74">
        <w:t>non-small cell lung cancer</w:t>
      </w:r>
      <w:r w:rsidRPr="00AC6E74">
        <w:t>), the significant unmet need in the intended patient population, and the current lack of available targeted therapy options for these patients in Australia.</w:t>
      </w:r>
    </w:p>
    <w:p w14:paraId="6889FA82" w14:textId="6765CE97" w:rsidR="00E04ABD" w:rsidRPr="00AC6E74" w:rsidRDefault="00E04ABD" w:rsidP="001F0DDC">
      <w:r w:rsidRPr="00AC6E74">
        <w:t>The ACM noted that in this instance</w:t>
      </w:r>
      <w:r w:rsidR="00E267EE">
        <w:t>,</w:t>
      </w:r>
      <w:r w:rsidRPr="00AC6E74">
        <w:t xml:space="preserve"> further studies of impurities</w:t>
      </w:r>
      <w:r w:rsidR="00EB0E16" w:rsidRPr="00AC6E74">
        <w:t xml:space="preserve"> or </w:t>
      </w:r>
      <w:r w:rsidRPr="00AC6E74">
        <w:t>degradants are unlikely to influence the positive overall benefit-risk assessment and the presence of the impurities</w:t>
      </w:r>
      <w:r w:rsidR="00EB0E16" w:rsidRPr="00AC6E74">
        <w:t xml:space="preserve"> or </w:t>
      </w:r>
      <w:r w:rsidRPr="00AC6E74">
        <w:t xml:space="preserve">degradants in the drug product should not preclude provisional registration of </w:t>
      </w:r>
      <w:proofErr w:type="spellStart"/>
      <w:r w:rsidRPr="00AC6E74">
        <w:t>sotorasib</w:t>
      </w:r>
      <w:proofErr w:type="spellEnd"/>
      <w:r w:rsidRPr="00AC6E74">
        <w:t xml:space="preserve"> in this context and given the unmet clinical need. The ACM was however supportive of these studies being provided post-approval in line with relevant ICH guidance.</w:t>
      </w:r>
      <w:r w:rsidR="00E267EE" w:rsidRPr="00DB11B7">
        <w:rPr>
          <w:vertAlign w:val="superscript"/>
        </w:rPr>
        <w:fldChar w:fldCharType="begin"/>
      </w:r>
      <w:r w:rsidR="00E267EE" w:rsidRPr="00DB11B7">
        <w:rPr>
          <w:vertAlign w:val="superscript"/>
        </w:rPr>
        <w:instrText xml:space="preserve"> NOTEREF _Ref135914987 \h </w:instrText>
      </w:r>
      <w:r w:rsidR="00E267EE">
        <w:rPr>
          <w:vertAlign w:val="superscript"/>
        </w:rPr>
        <w:instrText xml:space="preserve"> \* MERGEFORMAT </w:instrText>
      </w:r>
      <w:r w:rsidR="00E267EE" w:rsidRPr="00DB11B7">
        <w:rPr>
          <w:vertAlign w:val="superscript"/>
        </w:rPr>
      </w:r>
      <w:r w:rsidR="00E267EE" w:rsidRPr="00DB11B7">
        <w:rPr>
          <w:vertAlign w:val="superscript"/>
        </w:rPr>
        <w:fldChar w:fldCharType="separate"/>
      </w:r>
      <w:r w:rsidR="009B21DC">
        <w:rPr>
          <w:vertAlign w:val="superscript"/>
        </w:rPr>
        <w:t>20</w:t>
      </w:r>
      <w:r w:rsidR="00E267EE" w:rsidRPr="00DB11B7">
        <w:rPr>
          <w:vertAlign w:val="superscript"/>
        </w:rPr>
        <w:fldChar w:fldCharType="end"/>
      </w:r>
      <w:r w:rsidR="00E267EE" w:rsidRPr="00DB11B7">
        <w:rPr>
          <w:vertAlign w:val="superscript"/>
        </w:rPr>
        <w:t>,</w:t>
      </w:r>
      <w:r w:rsidR="00E267EE" w:rsidRPr="00DB11B7">
        <w:rPr>
          <w:vertAlign w:val="superscript"/>
        </w:rPr>
        <w:fldChar w:fldCharType="begin"/>
      </w:r>
      <w:r w:rsidR="00E267EE" w:rsidRPr="00DB11B7">
        <w:rPr>
          <w:vertAlign w:val="superscript"/>
        </w:rPr>
        <w:instrText xml:space="preserve"> NOTEREF _Ref135914991 \h </w:instrText>
      </w:r>
      <w:r w:rsidR="00E267EE">
        <w:rPr>
          <w:vertAlign w:val="superscript"/>
        </w:rPr>
        <w:instrText xml:space="preserve"> \* MERGEFORMAT </w:instrText>
      </w:r>
      <w:r w:rsidR="00E267EE" w:rsidRPr="00DB11B7">
        <w:rPr>
          <w:vertAlign w:val="superscript"/>
        </w:rPr>
      </w:r>
      <w:r w:rsidR="00E267EE" w:rsidRPr="00DB11B7">
        <w:rPr>
          <w:vertAlign w:val="superscript"/>
        </w:rPr>
        <w:fldChar w:fldCharType="separate"/>
      </w:r>
      <w:r w:rsidR="009B21DC">
        <w:rPr>
          <w:vertAlign w:val="superscript"/>
        </w:rPr>
        <w:t>21</w:t>
      </w:r>
      <w:r w:rsidR="00E267EE" w:rsidRPr="00DB11B7">
        <w:rPr>
          <w:vertAlign w:val="superscript"/>
        </w:rPr>
        <w:fldChar w:fldCharType="end"/>
      </w:r>
      <w:r w:rsidR="00E267EE" w:rsidRPr="00DB11B7">
        <w:rPr>
          <w:vertAlign w:val="superscript"/>
        </w:rPr>
        <w:t>,</w:t>
      </w:r>
      <w:r w:rsidR="00E267EE" w:rsidRPr="00DB11B7">
        <w:rPr>
          <w:vertAlign w:val="superscript"/>
        </w:rPr>
        <w:fldChar w:fldCharType="begin"/>
      </w:r>
      <w:r w:rsidR="00E267EE" w:rsidRPr="00DB11B7">
        <w:rPr>
          <w:vertAlign w:val="superscript"/>
        </w:rPr>
        <w:instrText xml:space="preserve"> NOTEREF _Ref135914994 \h </w:instrText>
      </w:r>
      <w:r w:rsidR="00E267EE">
        <w:rPr>
          <w:vertAlign w:val="superscript"/>
        </w:rPr>
        <w:instrText xml:space="preserve"> \* MERGEFORMAT </w:instrText>
      </w:r>
      <w:r w:rsidR="00E267EE" w:rsidRPr="00DB11B7">
        <w:rPr>
          <w:vertAlign w:val="superscript"/>
        </w:rPr>
      </w:r>
      <w:r w:rsidR="00E267EE" w:rsidRPr="00DB11B7">
        <w:rPr>
          <w:vertAlign w:val="superscript"/>
        </w:rPr>
        <w:fldChar w:fldCharType="separate"/>
      </w:r>
      <w:r w:rsidR="009B21DC">
        <w:rPr>
          <w:vertAlign w:val="superscript"/>
        </w:rPr>
        <w:t>22</w:t>
      </w:r>
      <w:r w:rsidR="00E267EE" w:rsidRPr="00DB11B7">
        <w:rPr>
          <w:vertAlign w:val="superscript"/>
        </w:rPr>
        <w:fldChar w:fldCharType="end"/>
      </w:r>
    </w:p>
    <w:p w14:paraId="105C2BA4" w14:textId="2F830571" w:rsidR="00E04ABD" w:rsidRPr="00AC6E74" w:rsidRDefault="00E267EE" w:rsidP="001F0DDC">
      <w:pPr>
        <w:pStyle w:val="Numberbullet0"/>
        <w:rPr>
          <w:b/>
          <w:bCs/>
          <w:i/>
          <w:iCs/>
        </w:rPr>
      </w:pPr>
      <w:r>
        <w:rPr>
          <w:b/>
          <w:bCs/>
          <w:i/>
          <w:iCs/>
        </w:rPr>
        <w:t>The ACM is requested to provide any o</w:t>
      </w:r>
      <w:r w:rsidRPr="00AC6E74">
        <w:rPr>
          <w:b/>
          <w:bCs/>
          <w:i/>
          <w:iCs/>
        </w:rPr>
        <w:t>ther advice</w:t>
      </w:r>
      <w:r>
        <w:rPr>
          <w:b/>
          <w:bCs/>
          <w:i/>
          <w:iCs/>
        </w:rPr>
        <w:t xml:space="preserve"> relevant to this submission.</w:t>
      </w:r>
    </w:p>
    <w:p w14:paraId="3B02E0F6" w14:textId="249FA72B" w:rsidR="00E04ABD" w:rsidRPr="00AC6E74" w:rsidRDefault="00E04ABD" w:rsidP="001F0DDC">
      <w:r w:rsidRPr="00AC6E74">
        <w:t xml:space="preserve">The ACM agreed that that the proposed warnings as well as recommendations for liver enzyme monitoring in patients included in the draft </w:t>
      </w:r>
      <w:r w:rsidR="00987863" w:rsidRPr="00AC6E74">
        <w:t>Product Information</w:t>
      </w:r>
      <w:r w:rsidRPr="00AC6E74">
        <w:t xml:space="preserve"> are appropriate and sufficient measures.</w:t>
      </w:r>
    </w:p>
    <w:p w14:paraId="724CDE01" w14:textId="77777777" w:rsidR="00E04ABD" w:rsidRPr="00AC6E74" w:rsidRDefault="00E04ABD" w:rsidP="00E04ABD">
      <w:pPr>
        <w:pStyle w:val="Heading5"/>
      </w:pPr>
      <w:r w:rsidRPr="00AC6E74">
        <w:t>Conclusion</w:t>
      </w:r>
    </w:p>
    <w:p w14:paraId="032F2520" w14:textId="77777777" w:rsidR="00E04ABD" w:rsidRPr="00AC6E74" w:rsidRDefault="00E04ABD" w:rsidP="001F0DDC">
      <w:r w:rsidRPr="00AC6E74">
        <w:t>The ACM considered that this product to have an overall positive benefit-risk profile and supported the December 2021 ACM recommendation for the proposed indication:</w:t>
      </w:r>
    </w:p>
    <w:p w14:paraId="42AFE95B" w14:textId="0284DD6B" w:rsidR="00E04ABD" w:rsidRPr="00AC6E74" w:rsidRDefault="00E04ABD" w:rsidP="001F0DDC">
      <w:pPr>
        <w:ind w:left="720"/>
        <w:rPr>
          <w:i/>
          <w:iCs/>
        </w:rPr>
      </w:pPr>
      <w:r w:rsidRPr="00AC6E74">
        <w:rPr>
          <w:i/>
          <w:iCs/>
        </w:rPr>
        <w:t xml:space="preserve">For the treatment of adult patients with </w:t>
      </w:r>
      <w:r w:rsidR="00EB463D" w:rsidRPr="00AC6E74">
        <w:rPr>
          <w:i/>
          <w:iCs/>
        </w:rPr>
        <w:t>KRAS G12C</w:t>
      </w:r>
      <w:r w:rsidRPr="00AC6E74">
        <w:rPr>
          <w:i/>
          <w:iCs/>
        </w:rPr>
        <w:t xml:space="preserve"> mutated locally advanced or metastatic non-small cell lung cancer (NSCLC) who have received at least one prior systemic therapy for advanced disease.</w:t>
      </w:r>
    </w:p>
    <w:p w14:paraId="719832C2" w14:textId="77777777" w:rsidR="00E04ABD" w:rsidRPr="00AC6E74" w:rsidRDefault="00E04ABD" w:rsidP="001F0DDC">
      <w:pPr>
        <w:ind w:left="720"/>
        <w:rPr>
          <w:i/>
          <w:iCs/>
        </w:rPr>
      </w:pPr>
      <w:r w:rsidRPr="00AC6E74">
        <w:rPr>
          <w:i/>
          <w:iCs/>
        </w:rPr>
        <w:t xml:space="preserve">The decision to approve this indication has been made </w:t>
      </w:r>
      <w:proofErr w:type="gramStart"/>
      <w:r w:rsidRPr="00AC6E74">
        <w:rPr>
          <w:i/>
          <w:iCs/>
        </w:rPr>
        <w:t>on the basis of</w:t>
      </w:r>
      <w:proofErr w:type="gramEnd"/>
      <w:r w:rsidRPr="00AC6E74">
        <w:rPr>
          <w:i/>
          <w:iCs/>
        </w:rPr>
        <w:t xml:space="preserve"> objective response rate (ORR) and duration of response (DOR). Continued approval of this indication depends on verification and description of benefit in confirmatory trials.</w:t>
      </w:r>
    </w:p>
    <w:p w14:paraId="7FDC6C24" w14:textId="2C793C49" w:rsidR="008E7846" w:rsidRPr="00AC6E74" w:rsidRDefault="008E7846" w:rsidP="00D212F3">
      <w:pPr>
        <w:pStyle w:val="Heading2"/>
      </w:pPr>
      <w:bookmarkStart w:id="92" w:name="_Toc136358065"/>
      <w:r w:rsidRPr="00AC6E74">
        <w:t>Outcome</w:t>
      </w:r>
      <w:bookmarkEnd w:id="87"/>
      <w:bookmarkEnd w:id="88"/>
      <w:bookmarkEnd w:id="92"/>
    </w:p>
    <w:p w14:paraId="462D9764" w14:textId="1DF4BED4" w:rsidR="0074163C" w:rsidRPr="00AC6E74" w:rsidRDefault="0074163C" w:rsidP="0074163C">
      <w:bookmarkStart w:id="93" w:name="_Toc247691533"/>
      <w:bookmarkStart w:id="94" w:name="_Toc314842517"/>
      <w:r w:rsidRPr="00AC6E74">
        <w:t xml:space="preserve">Based on a review of quality, </w:t>
      </w:r>
      <w:r w:rsidR="00CC5044" w:rsidRPr="00AC6E74">
        <w:t>safety,</w:t>
      </w:r>
      <w:r w:rsidRPr="00AC6E74">
        <w:t xml:space="preserve"> and efficacy, the TGA approved the registration of </w:t>
      </w:r>
      <w:r w:rsidR="001E0F3E" w:rsidRPr="00AC6E74">
        <w:t>Lumakras (</w:t>
      </w:r>
      <w:proofErr w:type="spellStart"/>
      <w:r w:rsidR="001E0F3E" w:rsidRPr="00AC6E74">
        <w:t>sotorasib</w:t>
      </w:r>
      <w:proofErr w:type="spellEnd"/>
      <w:r w:rsidR="001E0F3E" w:rsidRPr="00AC6E74">
        <w:t>) 120 mg, film coated tablet, blister pack</w:t>
      </w:r>
      <w:r w:rsidRPr="00AC6E74">
        <w:t xml:space="preserve">, indicated </w:t>
      </w:r>
      <w:r w:rsidR="001E0F3E" w:rsidRPr="00AC6E74">
        <w:t>for</w:t>
      </w:r>
      <w:r w:rsidRPr="00AC6E74">
        <w:t>:</w:t>
      </w:r>
    </w:p>
    <w:p w14:paraId="7C8D5681" w14:textId="6156B218" w:rsidR="001E0F3E" w:rsidRPr="00AC6E74" w:rsidRDefault="00F108EA" w:rsidP="001E0F3E">
      <w:pPr>
        <w:ind w:left="720"/>
        <w:rPr>
          <w:i/>
          <w:iCs/>
        </w:rPr>
      </w:pPr>
      <w:r w:rsidRPr="00AC6E74">
        <w:rPr>
          <w:i/>
          <w:iCs/>
        </w:rPr>
        <w:t>Lumakras</w:t>
      </w:r>
      <w:r w:rsidR="001E0F3E" w:rsidRPr="00AC6E74">
        <w:rPr>
          <w:i/>
          <w:iCs/>
        </w:rPr>
        <w:t xml:space="preserve"> has provisional approval in Australia for the treatment of adult patients with KRAS</w:t>
      </w:r>
      <w:r w:rsidR="008408C3" w:rsidRPr="00AC6E74">
        <w:rPr>
          <w:i/>
          <w:iCs/>
        </w:rPr>
        <w:t xml:space="preserve"> </w:t>
      </w:r>
      <w:r w:rsidR="001E0F3E" w:rsidRPr="00AC6E74">
        <w:rPr>
          <w:i/>
          <w:iCs/>
        </w:rPr>
        <w:t>G12C-mutated locally advanced or metastatic non-small cell lung cancer (NSCLC) who have received at least one prior systemic therapy for advanced disease.</w:t>
      </w:r>
    </w:p>
    <w:p w14:paraId="5E15A9F9" w14:textId="553C9730" w:rsidR="0074163C" w:rsidRPr="00AC6E74" w:rsidRDefault="001E0F3E" w:rsidP="001E0F3E">
      <w:pPr>
        <w:ind w:left="720"/>
      </w:pPr>
      <w:r w:rsidRPr="00AC6E74">
        <w:rPr>
          <w:i/>
          <w:iCs/>
        </w:rPr>
        <w:t xml:space="preserve">The decision to approve this indication has been made </w:t>
      </w:r>
      <w:proofErr w:type="gramStart"/>
      <w:r w:rsidRPr="00AC6E74">
        <w:rPr>
          <w:i/>
          <w:iCs/>
        </w:rPr>
        <w:t>on the basis of</w:t>
      </w:r>
      <w:proofErr w:type="gramEnd"/>
      <w:r w:rsidRPr="00AC6E74">
        <w:rPr>
          <w:i/>
          <w:iCs/>
        </w:rPr>
        <w:t xml:space="preserve"> the objective response rate (ORR) and the duration of response (DOR). Continued approval of this indication depends on the verification and description of benefit in confirmatory trials.</w:t>
      </w:r>
    </w:p>
    <w:p w14:paraId="58458192" w14:textId="77777777" w:rsidR="00D23139" w:rsidRPr="00AC6E74" w:rsidRDefault="00D23139" w:rsidP="00D212F3">
      <w:pPr>
        <w:pStyle w:val="Heading3"/>
      </w:pPr>
      <w:bookmarkStart w:id="95" w:name="_Toc136358066"/>
      <w:r w:rsidRPr="00AC6E74">
        <w:lastRenderedPageBreak/>
        <w:t>Specific conditions of registration applying to these goods</w:t>
      </w:r>
      <w:bookmarkEnd w:id="95"/>
    </w:p>
    <w:p w14:paraId="49FE8B89" w14:textId="63A8DADB" w:rsidR="006D2195" w:rsidRPr="00AC6E74" w:rsidRDefault="00F108EA" w:rsidP="006D2195">
      <w:pPr>
        <w:pStyle w:val="ListBullet"/>
      </w:pPr>
      <w:r w:rsidRPr="00AC6E74">
        <w:t>Lumakras</w:t>
      </w:r>
      <w:r w:rsidR="006D2195" w:rsidRPr="00AC6E74">
        <w:t xml:space="preserve"> (</w:t>
      </w:r>
      <w:proofErr w:type="spellStart"/>
      <w:r w:rsidR="006D2195" w:rsidRPr="00AC6E74">
        <w:t>sotorasib</w:t>
      </w:r>
      <w:proofErr w:type="spellEnd"/>
      <w:r w:rsidR="006D2195" w:rsidRPr="00AC6E74">
        <w:t xml:space="preserve">) is to be included in the Black Triangle Scheme. The PI and CMI </w:t>
      </w:r>
      <w:r w:rsidR="00987863" w:rsidRPr="00AC6E74">
        <w:t xml:space="preserve">[Consumer Medicines Information] </w:t>
      </w:r>
      <w:r w:rsidR="006D2195" w:rsidRPr="00AC6E74">
        <w:t xml:space="preserve">for </w:t>
      </w:r>
      <w:r w:rsidRPr="00AC6E74">
        <w:t>Lumakras</w:t>
      </w:r>
      <w:r w:rsidR="006D2195" w:rsidRPr="00AC6E74">
        <w:t xml:space="preserve"> must include the black triangle symbol and mandatory accompanying text for the products entire period of provisional registration.</w:t>
      </w:r>
    </w:p>
    <w:p w14:paraId="453BDAB0" w14:textId="550AFB07" w:rsidR="006D2195" w:rsidRPr="00AC6E74" w:rsidRDefault="006D2195" w:rsidP="006D2195">
      <w:pPr>
        <w:pStyle w:val="ListBullet"/>
      </w:pPr>
      <w:r w:rsidRPr="00AC6E74">
        <w:t xml:space="preserve">The </w:t>
      </w:r>
      <w:r w:rsidR="00F108EA" w:rsidRPr="00AC6E74">
        <w:t>Lumakras</w:t>
      </w:r>
      <w:r w:rsidRPr="00AC6E74">
        <w:t xml:space="preserve"> EU-</w:t>
      </w:r>
      <w:r w:rsidR="00EB0E16" w:rsidRPr="00AC6E74">
        <w:t xml:space="preserve">risk management plan </w:t>
      </w:r>
      <w:r w:rsidRPr="00AC6E74">
        <w:t xml:space="preserve">(RMP) (version 0.2, dated 25 June 2021, data lock point 1 September 2020), with Australian </w:t>
      </w:r>
      <w:r w:rsidR="00EB0E16" w:rsidRPr="00AC6E74">
        <w:t>specific annex</w:t>
      </w:r>
      <w:r w:rsidRPr="00AC6E74">
        <w:t xml:space="preserve"> (version 2.0, dated 18</w:t>
      </w:r>
      <w:r w:rsidR="00EB0E16" w:rsidRPr="00AC6E74">
        <w:t> </w:t>
      </w:r>
      <w:r w:rsidRPr="00AC6E74">
        <w:t xml:space="preserve">August 2021), included with </w:t>
      </w:r>
      <w:r w:rsidR="00EB0E16" w:rsidRPr="00AC6E74">
        <w:t xml:space="preserve">Submission </w:t>
      </w:r>
      <w:r w:rsidRPr="00AC6E74">
        <w:t>PM-2021-00026-1-4, and any subsequent revisions, as agreed with the TGA will be implemented in Australia.</w:t>
      </w:r>
    </w:p>
    <w:p w14:paraId="1632AFAE" w14:textId="3DD215AE" w:rsidR="006D2195" w:rsidRPr="00AC6E74" w:rsidRDefault="006D2195" w:rsidP="006D2195">
      <w:pPr>
        <w:pStyle w:val="ListBullet"/>
        <w:numPr>
          <w:ilvl w:val="0"/>
          <w:numId w:val="0"/>
        </w:numPr>
        <w:ind w:left="360"/>
      </w:pPr>
      <w:r w:rsidRPr="00AC6E74">
        <w:t xml:space="preserve">Unless agreed separately between the supplier who is the recipient of the approval and the TGA, the first report must be submitted to TGA no later than 15 calendar months after the date of </w:t>
      </w:r>
      <w:r w:rsidR="00EB0E16" w:rsidRPr="00AC6E74">
        <w:t>the</w:t>
      </w:r>
      <w:r w:rsidRPr="00AC6E74">
        <w:t xml:space="preserve"> approval letter. The subsequent reports must be submitted no less frequently than annually from the date of the first submitted report until the period covered by such reports is not less than three years from the date of </w:t>
      </w:r>
      <w:r w:rsidR="00EB0E16" w:rsidRPr="00AC6E74">
        <w:t>the</w:t>
      </w:r>
      <w:r w:rsidRPr="00AC6E74">
        <w:t xml:space="preserve"> approval letter, or the entire period of provisional registration, whichever is longer.</w:t>
      </w:r>
    </w:p>
    <w:p w14:paraId="318A6D9E" w14:textId="242ECD35" w:rsidR="006D2195" w:rsidRPr="00AC6E74" w:rsidRDefault="006D2195" w:rsidP="006D2195">
      <w:pPr>
        <w:pStyle w:val="ListBullet"/>
        <w:numPr>
          <w:ilvl w:val="0"/>
          <w:numId w:val="0"/>
        </w:numPr>
        <w:ind w:left="360"/>
      </w:pPr>
      <w:r w:rsidRPr="00AC6E74">
        <w:t xml:space="preserve">The reports are to at least meet the requirements for PSURs as described in the European Medicines Agency’s Guideline on </w:t>
      </w:r>
      <w:r w:rsidR="00EB0E16" w:rsidRPr="00AC6E74">
        <w:t xml:space="preserve">Good Pharmacovigilance Practices </w:t>
      </w:r>
      <w:r w:rsidRPr="00AC6E74">
        <w:t xml:space="preserve">(GVP) Module VII-periodic safety update report </w:t>
      </w:r>
      <w:r w:rsidR="00987863" w:rsidRPr="00AC6E74">
        <w:t>[</w:t>
      </w:r>
      <w:r w:rsidRPr="00AC6E74">
        <w:t>Rev</w:t>
      </w:r>
      <w:r w:rsidR="00987863" w:rsidRPr="00AC6E74">
        <w:t>ision</w:t>
      </w:r>
      <w:r w:rsidRPr="00AC6E74">
        <w:t xml:space="preserve"> 1</w:t>
      </w:r>
      <w:r w:rsidR="00987863" w:rsidRPr="00AC6E74">
        <w:t>]</w:t>
      </w:r>
      <w:r w:rsidRPr="00AC6E74">
        <w:t>, Part VII.B Structures and processes. Note that submission of a PSUR does not constitute an application to vary the registration. Each report must have been prepared within ninety calendar days of the data lock point for that report.</w:t>
      </w:r>
    </w:p>
    <w:p w14:paraId="4F25EEFA" w14:textId="6AB6687C" w:rsidR="006D2195" w:rsidRPr="00AC6E74" w:rsidRDefault="006D2195" w:rsidP="006D2195">
      <w:pPr>
        <w:pStyle w:val="ListBullet"/>
      </w:pPr>
      <w:r w:rsidRPr="00AC6E74">
        <w:t xml:space="preserve">Confirmatory trial data (as identified in the sponsor’s plan to submit </w:t>
      </w:r>
      <w:r w:rsidR="000C30B5" w:rsidRPr="00AC6E74">
        <w:t>comprehensive clinical</w:t>
      </w:r>
      <w:r w:rsidRPr="00AC6E74">
        <w:t xml:space="preserve"> data on the safety and efficacy of the medicine before the end of the 6 years </w:t>
      </w:r>
      <w:r w:rsidR="000C30B5" w:rsidRPr="00AC6E74">
        <w:t>that would</w:t>
      </w:r>
      <w:r w:rsidRPr="00AC6E74">
        <w:t xml:space="preserve"> start on the day that registration would commence) must be provided. Specifically the sponsor must conduct studies as described in the clinical study plan inversion x2.0 (dated 18 August 2021) of the Australia-</w:t>
      </w:r>
      <w:r w:rsidR="00EB0E16" w:rsidRPr="00AC6E74">
        <w:t>specific annex</w:t>
      </w:r>
      <w:r w:rsidRPr="00AC6E74">
        <w:t>.</w:t>
      </w:r>
    </w:p>
    <w:p w14:paraId="7D4DD1F8" w14:textId="29CD3458" w:rsidR="006D2195" w:rsidRPr="00AC6E74" w:rsidRDefault="006D2195" w:rsidP="006D2195">
      <w:pPr>
        <w:pStyle w:val="ListBullet"/>
        <w:numPr>
          <w:ilvl w:val="0"/>
          <w:numId w:val="0"/>
        </w:numPr>
        <w:ind w:left="360"/>
      </w:pPr>
      <w:r w:rsidRPr="00AC6E74">
        <w:t>The following study report should be submitted to TGA:</w:t>
      </w:r>
    </w:p>
    <w:p w14:paraId="2D7D1F8A" w14:textId="68F8FAA8" w:rsidR="006D2195" w:rsidRPr="00AC6E74" w:rsidRDefault="006D2195" w:rsidP="006D2195">
      <w:pPr>
        <w:pStyle w:val="ListBullet2"/>
      </w:pPr>
      <w:r w:rsidRPr="00AC6E74">
        <w:t>Study 20190009 by 28 March 2028</w:t>
      </w:r>
    </w:p>
    <w:p w14:paraId="35D7D6BE" w14:textId="3B8EB3F0" w:rsidR="006D2195" w:rsidRPr="00AC6E74" w:rsidRDefault="006D2195" w:rsidP="006D2195">
      <w:pPr>
        <w:pStyle w:val="ListBullet"/>
      </w:pPr>
      <w:r w:rsidRPr="00AC6E74">
        <w:t>Conduct and submit results of a multi-</w:t>
      </w:r>
      <w:r w:rsidR="000C30B5" w:rsidRPr="00AC6E74">
        <w:t>centre</w:t>
      </w:r>
      <w:r w:rsidRPr="00AC6E74">
        <w:t>, randomi</w:t>
      </w:r>
      <w:r w:rsidR="000C30B5" w:rsidRPr="00AC6E74">
        <w:t>s</w:t>
      </w:r>
      <w:r w:rsidRPr="00AC6E74">
        <w:t>ed clinical trial to further characteri</w:t>
      </w:r>
      <w:r w:rsidR="000C30B5" w:rsidRPr="00AC6E74">
        <w:t>s</w:t>
      </w:r>
      <w:r w:rsidRPr="00AC6E74">
        <w:t xml:space="preserve">e serious adverse events, including gastro-intestinal toxicity and compare the safety and efficacy of </w:t>
      </w:r>
      <w:proofErr w:type="spellStart"/>
      <w:r w:rsidRPr="00AC6E74">
        <w:t>sotorasib</w:t>
      </w:r>
      <w:proofErr w:type="spellEnd"/>
      <w:r w:rsidRPr="00AC6E74">
        <w:t xml:space="preserve"> 96</w:t>
      </w:r>
      <w:r w:rsidR="000348AE" w:rsidRPr="00AC6E74">
        <w:t>0 mg</w:t>
      </w:r>
      <w:r w:rsidRPr="00AC6E74">
        <w:t xml:space="preserve"> daily versus a lower daily dose in patients with locally advanced or metastatic, </w:t>
      </w:r>
      <w:r w:rsidR="00EB463D" w:rsidRPr="00AC6E74">
        <w:rPr>
          <w:i/>
          <w:iCs/>
        </w:rPr>
        <w:t>KRAS G12C</w:t>
      </w:r>
      <w:r w:rsidR="003E7696" w:rsidRPr="00AC6E74">
        <w:t>-</w:t>
      </w:r>
      <w:r w:rsidRPr="00AC6E74">
        <w:t>mutated, non-small cell lung cancer who have received at least one prior systemic therapy.</w:t>
      </w:r>
    </w:p>
    <w:p w14:paraId="61FD608C" w14:textId="130FF6B7" w:rsidR="006D2195" w:rsidRPr="00AC6E74" w:rsidRDefault="006D2195" w:rsidP="006D2195">
      <w:pPr>
        <w:pStyle w:val="ListBullet"/>
      </w:pPr>
      <w:r w:rsidRPr="00AC6E74">
        <w:t xml:space="preserve">Conduct and submit results of a hepatic impairment clinical trial to determine a safe and appropriate dose of </w:t>
      </w:r>
      <w:proofErr w:type="spellStart"/>
      <w:r w:rsidRPr="00AC6E74">
        <w:t>sotorasib</w:t>
      </w:r>
      <w:proofErr w:type="spellEnd"/>
      <w:r w:rsidRPr="00AC6E74">
        <w:t xml:space="preserve"> in patients with moderate and severe hepatic impairment. Design and conduct the trial in accordance with the FDA Guidance for Industry titled </w:t>
      </w:r>
      <w:r w:rsidR="008B6E00" w:rsidRPr="00AC6E74">
        <w:t>‘</w:t>
      </w:r>
      <w:r w:rsidRPr="00AC6E74">
        <w:t xml:space="preserve">Pharmacokinetics in Patients with Impaired Hepatic Function: Study Design, Data Analysis, and Impact on Dosing and </w:t>
      </w:r>
      <w:proofErr w:type="spellStart"/>
      <w:r w:rsidRPr="00AC6E74">
        <w:t>Labeling</w:t>
      </w:r>
      <w:proofErr w:type="spellEnd"/>
      <w:r w:rsidRPr="00AC6E74">
        <w:t>.</w:t>
      </w:r>
      <w:proofErr w:type="gramStart"/>
      <w:r w:rsidR="00340066" w:rsidRPr="00AC6E74">
        <w:t>’</w:t>
      </w:r>
      <w:r w:rsidR="007E5498" w:rsidRPr="00AC6E74">
        <w:rPr>
          <w:vertAlign w:val="superscript"/>
        </w:rPr>
        <w:t>[</w:t>
      </w:r>
      <w:proofErr w:type="gramEnd"/>
      <w:r w:rsidR="007E5498" w:rsidRPr="00AC6E74">
        <w:rPr>
          <w:rStyle w:val="FootnoteReference"/>
        </w:rPr>
        <w:footnoteReference w:id="23"/>
      </w:r>
      <w:r w:rsidR="007E5498" w:rsidRPr="00AC6E74">
        <w:rPr>
          <w:vertAlign w:val="superscript"/>
        </w:rPr>
        <w:t>]</w:t>
      </w:r>
    </w:p>
    <w:p w14:paraId="1E0980C9" w14:textId="106C76FD" w:rsidR="006D2195" w:rsidRPr="00AC6E74" w:rsidRDefault="006D2195" w:rsidP="006D2195">
      <w:pPr>
        <w:pStyle w:val="ListBullet"/>
      </w:pPr>
      <w:r w:rsidRPr="00AC6E74">
        <w:t xml:space="preserve">Conduct and submit results of a clinical drug interaction study to assess the effect of concomitant </w:t>
      </w:r>
      <w:proofErr w:type="spellStart"/>
      <w:r w:rsidRPr="00AC6E74">
        <w:t>sotorasib</w:t>
      </w:r>
      <w:proofErr w:type="spellEnd"/>
      <w:r w:rsidRPr="00AC6E74">
        <w:t xml:space="preserve"> administration on the systemic exposure of BCRP</w:t>
      </w:r>
      <w:r w:rsidR="00987863" w:rsidRPr="00AC6E74">
        <w:t xml:space="preserve"> [breast cancer resistance protein]</w:t>
      </w:r>
      <w:r w:rsidRPr="00AC6E74">
        <w:t xml:space="preserve"> transporter substrates. Refer to FDA Guidance for Industry for additional details: </w:t>
      </w:r>
      <w:r w:rsidR="008B6E00" w:rsidRPr="00AC6E74">
        <w:t>‘</w:t>
      </w:r>
      <w:r w:rsidRPr="00AC6E74">
        <w:t xml:space="preserve">Clinical Drug Interaction Studies </w:t>
      </w:r>
      <w:r w:rsidR="00340066" w:rsidRPr="00AC6E74">
        <w:t>-</w:t>
      </w:r>
      <w:r w:rsidRPr="00AC6E74">
        <w:t xml:space="preserve"> Cytochrome P450 Enzyme and Transporter-Mediated Drug-Drug Interactions.</w:t>
      </w:r>
      <w:proofErr w:type="gramStart"/>
      <w:r w:rsidR="008B6E00" w:rsidRPr="00AC6E74">
        <w:t>’</w:t>
      </w:r>
      <w:r w:rsidR="007E5498" w:rsidRPr="00AC6E74">
        <w:rPr>
          <w:vertAlign w:val="superscript"/>
        </w:rPr>
        <w:t>[</w:t>
      </w:r>
      <w:proofErr w:type="gramEnd"/>
      <w:r w:rsidR="007E5498" w:rsidRPr="00AC6E74">
        <w:rPr>
          <w:rStyle w:val="FootnoteReference"/>
        </w:rPr>
        <w:footnoteReference w:id="24"/>
      </w:r>
      <w:r w:rsidR="007E5498" w:rsidRPr="00AC6E74">
        <w:rPr>
          <w:vertAlign w:val="superscript"/>
        </w:rPr>
        <w:t>]</w:t>
      </w:r>
    </w:p>
    <w:p w14:paraId="37A4C229" w14:textId="5D55B67F" w:rsidR="006D2195" w:rsidRPr="00AC6E74" w:rsidRDefault="006D2195" w:rsidP="006D2195">
      <w:pPr>
        <w:pStyle w:val="ListBullet"/>
      </w:pPr>
      <w:r w:rsidRPr="00AC6E74">
        <w:lastRenderedPageBreak/>
        <w:t xml:space="preserve">Conduct and submit results of </w:t>
      </w:r>
      <w:proofErr w:type="spellStart"/>
      <w:r w:rsidRPr="00AC6E74">
        <w:t>clastogenicity</w:t>
      </w:r>
      <w:proofErr w:type="spellEnd"/>
      <w:r w:rsidRPr="00AC6E74">
        <w:t xml:space="preserve"> studies (to be assessed by an </w:t>
      </w:r>
      <w:r w:rsidRPr="00AC6E74">
        <w:rPr>
          <w:i/>
          <w:iCs/>
        </w:rPr>
        <w:t>in vitro</w:t>
      </w:r>
      <w:r w:rsidRPr="00AC6E74">
        <w:t xml:space="preserve"> or </w:t>
      </w:r>
      <w:r w:rsidRPr="00AC6E74">
        <w:rPr>
          <w:i/>
          <w:iCs/>
        </w:rPr>
        <w:t>in</w:t>
      </w:r>
      <w:r w:rsidR="00340066" w:rsidRPr="00AC6E74">
        <w:rPr>
          <w:i/>
          <w:iCs/>
        </w:rPr>
        <w:t> </w:t>
      </w:r>
      <w:r w:rsidRPr="00AC6E74">
        <w:rPr>
          <w:i/>
          <w:iCs/>
        </w:rPr>
        <w:t>vivo</w:t>
      </w:r>
      <w:r w:rsidRPr="00AC6E74">
        <w:t xml:space="preserve"> </w:t>
      </w:r>
      <w:proofErr w:type="spellStart"/>
      <w:r w:rsidRPr="00AC6E74">
        <w:t>clastogen</w:t>
      </w:r>
      <w:r w:rsidR="00547D5B">
        <w:t>i</w:t>
      </w:r>
      <w:r w:rsidRPr="00AC6E74">
        <w:t>city</w:t>
      </w:r>
      <w:proofErr w:type="spellEnd"/>
      <w:r w:rsidRPr="00AC6E74">
        <w:t xml:space="preserve"> study, preferably by </w:t>
      </w:r>
      <w:r w:rsidRPr="00AC6E74">
        <w:rPr>
          <w:i/>
          <w:iCs/>
        </w:rPr>
        <w:t>in vivo</w:t>
      </w:r>
      <w:r w:rsidRPr="00AC6E74">
        <w:t xml:space="preserve"> chromosome aberration assay) of impurities </w:t>
      </w:r>
      <w:r w:rsidR="008E44B8" w:rsidRPr="00AC6E74">
        <w:t>[Information redacted],</w:t>
      </w:r>
      <w:r w:rsidRPr="00AC6E74">
        <w:t xml:space="preserve"> these results will need to be submitted before full registration of </w:t>
      </w:r>
      <w:proofErr w:type="spellStart"/>
      <w:r w:rsidRPr="00AC6E74">
        <w:t>sotorasib</w:t>
      </w:r>
      <w:proofErr w:type="spellEnd"/>
      <w:r w:rsidRPr="00AC6E74">
        <w:t xml:space="preserve"> is granted.</w:t>
      </w:r>
    </w:p>
    <w:p w14:paraId="068F0368" w14:textId="30357142" w:rsidR="008E7846" w:rsidRPr="00AC6E74" w:rsidRDefault="00A80B5B" w:rsidP="00D23139">
      <w:pPr>
        <w:pStyle w:val="Heading2"/>
      </w:pPr>
      <w:bookmarkStart w:id="96" w:name="_Toc136358067"/>
      <w:r w:rsidRPr="00AC6E74">
        <w:t xml:space="preserve">Attachment 1. </w:t>
      </w:r>
      <w:r w:rsidR="008E7846" w:rsidRPr="00AC6E74">
        <w:t xml:space="preserve">Product </w:t>
      </w:r>
      <w:r w:rsidR="00AA0ED0" w:rsidRPr="00AC6E74">
        <w:t>I</w:t>
      </w:r>
      <w:r w:rsidR="008E7846" w:rsidRPr="00AC6E74">
        <w:t>nformation</w:t>
      </w:r>
      <w:bookmarkEnd w:id="93"/>
      <w:bookmarkEnd w:id="94"/>
      <w:bookmarkEnd w:id="96"/>
    </w:p>
    <w:p w14:paraId="37826D25" w14:textId="06BCFB86" w:rsidR="00523A21" w:rsidRPr="00AC6E74" w:rsidRDefault="006136D7" w:rsidP="00C80137">
      <w:r w:rsidRPr="00AC6E74">
        <w:t xml:space="preserve">The PI for </w:t>
      </w:r>
      <w:r w:rsidR="00340066" w:rsidRPr="00AC6E74">
        <w:t xml:space="preserve">Lumakras </w:t>
      </w:r>
      <w:r w:rsidRPr="00AC6E74">
        <w:t>approved with the submission which is described in this AusPAR is at Attachment 1.</w:t>
      </w:r>
      <w:r w:rsidR="00CC5044" w:rsidRPr="00AC6E74">
        <w:t xml:space="preserve"> </w:t>
      </w:r>
      <w:r w:rsidR="0074163C" w:rsidRPr="00AC6E74">
        <w:t xml:space="preserve">For the most recent PI, please refer to the TGA </w:t>
      </w:r>
      <w:hyperlink r:id="rId45" w:history="1">
        <w:r w:rsidR="0074163C" w:rsidRPr="00AC6E74">
          <w:rPr>
            <w:rStyle w:val="Hyperlink"/>
          </w:rPr>
          <w:t>PI/CMI search facility</w:t>
        </w:r>
        <w:r w:rsidR="0074163C" w:rsidRPr="00AC6E74">
          <w:rPr>
            <w:rStyle w:val="Hyperlink"/>
            <w:color w:val="auto"/>
            <w:u w:val="none"/>
          </w:rPr>
          <w:t>.</w:t>
        </w:r>
      </w:hyperlink>
    </w:p>
    <w:p w14:paraId="1154AB65" w14:textId="51498BAE" w:rsidR="00744121" w:rsidRPr="00AC6E74" w:rsidRDefault="008E7846" w:rsidP="00744121">
      <w:r w:rsidRPr="00AC6E74">
        <w:br w:type="page"/>
      </w:r>
    </w:p>
    <w:p w14:paraId="783FF444" w14:textId="77777777" w:rsidR="00C80137" w:rsidRPr="00AC6E74" w:rsidRDefault="00C80137" w:rsidP="003A7F6C">
      <w:pPr>
        <w:pStyle w:val="TableTitle"/>
        <w:sectPr w:rsidR="00C80137" w:rsidRPr="00AC6E74" w:rsidSect="00B452CE">
          <w:headerReference w:type="even" r:id="rId46"/>
          <w:headerReference w:type="default" r:id="rId47"/>
          <w:headerReference w:type="first" r:id="rId48"/>
          <w:footerReference w:type="first" r:id="rId4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AC6E74" w14:paraId="0ED4D41A" w14:textId="77777777" w:rsidTr="00A05FA4">
        <w:trPr>
          <w:trHeight w:hRule="exact" w:val="704"/>
        </w:trPr>
        <w:tc>
          <w:tcPr>
            <w:tcW w:w="9175" w:type="dxa"/>
          </w:tcPr>
          <w:p w14:paraId="488AC5D8" w14:textId="77777777" w:rsidR="001C32CD" w:rsidRPr="00AC6E74" w:rsidRDefault="001C32CD" w:rsidP="00A05FA4">
            <w:pPr>
              <w:pStyle w:val="TGASignoff"/>
            </w:pPr>
            <w:r w:rsidRPr="00AC6E74">
              <w:lastRenderedPageBreak/>
              <w:t>Therapeutic Goods Administration</w:t>
            </w:r>
          </w:p>
        </w:tc>
      </w:tr>
      <w:tr w:rsidR="001C32CD" w:rsidRPr="004C239D" w14:paraId="4CE49654" w14:textId="77777777" w:rsidTr="00A05FA4">
        <w:trPr>
          <w:trHeight w:val="1221"/>
        </w:trPr>
        <w:tc>
          <w:tcPr>
            <w:tcW w:w="9175" w:type="dxa"/>
            <w:tcMar>
              <w:top w:w="28" w:type="dxa"/>
            </w:tcMar>
          </w:tcPr>
          <w:p w14:paraId="15D99AC0" w14:textId="77777777" w:rsidR="001C32CD" w:rsidRPr="00AC6E74" w:rsidRDefault="001C32CD" w:rsidP="00A05FA4">
            <w:pPr>
              <w:pStyle w:val="Address"/>
            </w:pPr>
            <w:r w:rsidRPr="00AC6E74">
              <w:t>PO Box 100 Woden ACT 2606 Australia</w:t>
            </w:r>
          </w:p>
          <w:p w14:paraId="58127F28" w14:textId="1B0A0039" w:rsidR="001C32CD" w:rsidRPr="00AC6E74" w:rsidRDefault="001C32CD" w:rsidP="00A05FA4">
            <w:pPr>
              <w:pStyle w:val="Address"/>
            </w:pPr>
            <w:r w:rsidRPr="00AC6E74">
              <w:t xml:space="preserve">Email: </w:t>
            </w:r>
            <w:hyperlink r:id="rId50" w:history="1">
              <w:r w:rsidRPr="00AC6E74">
                <w:rPr>
                  <w:rStyle w:val="Hyperlink"/>
                </w:rPr>
                <w:t>info@tga.gov.au</w:t>
              </w:r>
            </w:hyperlink>
            <w:r w:rsidRPr="00AC6E74">
              <w:t xml:space="preserve">  Phone: 1800 020 </w:t>
            </w:r>
            <w:proofErr w:type="gramStart"/>
            <w:r w:rsidRPr="00AC6E74">
              <w:t>653  Fax</w:t>
            </w:r>
            <w:proofErr w:type="gramEnd"/>
            <w:r w:rsidRPr="00AC6E74">
              <w:t>: 02 6232 8605</w:t>
            </w:r>
          </w:p>
          <w:p w14:paraId="58A4FF57" w14:textId="69B75B8D" w:rsidR="001C32CD" w:rsidRPr="004C239D" w:rsidRDefault="004E662D" w:rsidP="00A05FA4">
            <w:pPr>
              <w:pStyle w:val="Address"/>
              <w:spacing w:line="260" w:lineRule="atLeast"/>
              <w:rPr>
                <w:b/>
                <w:color w:val="0000FF"/>
                <w:u w:val="single"/>
              </w:rPr>
            </w:pPr>
            <w:hyperlink r:id="rId51" w:history="1">
              <w:r w:rsidR="007C6B9B" w:rsidRPr="00AC6E74">
                <w:rPr>
                  <w:rStyle w:val="Hyperlink"/>
                  <w:b/>
                </w:rPr>
                <w:t>https://www.tga.gov.au</w:t>
              </w:r>
            </w:hyperlink>
          </w:p>
        </w:tc>
      </w:tr>
    </w:tbl>
    <w:p w14:paraId="7867F9AA" w14:textId="77777777" w:rsidR="00774E1D" w:rsidRPr="008A5E0B" w:rsidRDefault="00774E1D" w:rsidP="004C239D"/>
    <w:sectPr w:rsidR="00774E1D" w:rsidRPr="008A5E0B" w:rsidSect="001C32CD">
      <w:headerReference w:type="even" r:id="rId52"/>
      <w:headerReference w:type="default" r:id="rId53"/>
      <w:footerReference w:type="default" r:id="rId54"/>
      <w:headerReference w:type="first" r:id="rId55"/>
      <w:footerReference w:type="first" r:id="rId5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B86E4" w14:textId="77777777" w:rsidR="00602F95" w:rsidRDefault="00602F95" w:rsidP="00C40A36">
      <w:pPr>
        <w:spacing w:after="0"/>
      </w:pPr>
      <w:r>
        <w:separator/>
      </w:r>
    </w:p>
  </w:endnote>
  <w:endnote w:type="continuationSeparator" w:id="0">
    <w:p w14:paraId="5140F46C" w14:textId="77777777" w:rsidR="00602F95" w:rsidRDefault="00602F9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D0DD6" w:rsidRPr="00487162" w14:paraId="555099F7" w14:textId="77777777" w:rsidTr="00DB750B">
      <w:trPr>
        <w:trHeight w:val="269"/>
      </w:trPr>
      <w:tc>
        <w:tcPr>
          <w:tcW w:w="7371" w:type="dxa"/>
          <w:tcMar>
            <w:top w:w="142" w:type="dxa"/>
            <w:bottom w:w="0" w:type="dxa"/>
          </w:tcMar>
        </w:tcPr>
        <w:p w14:paraId="6DB10EA4" w14:textId="14B7214A" w:rsidR="003D0DD6" w:rsidRPr="00487162" w:rsidRDefault="003D0DD6" w:rsidP="00460036">
          <w:pPr>
            <w:pStyle w:val="Footer"/>
          </w:pPr>
          <w:r w:rsidRPr="00487162">
            <w:t>AusPA</w:t>
          </w:r>
          <w:r>
            <w:t xml:space="preserve">R - </w:t>
          </w:r>
          <w:r w:rsidRPr="00FA7B45">
            <w:t xml:space="preserve">Lumakras </w:t>
          </w:r>
          <w:r>
            <w:t>-</w:t>
          </w:r>
          <w:r w:rsidRPr="00460036">
            <w:t xml:space="preserve"> </w:t>
          </w:r>
          <w:proofErr w:type="spellStart"/>
          <w:r w:rsidRPr="00FA7B45">
            <w:t>sotorasib</w:t>
          </w:r>
          <w:proofErr w:type="spellEnd"/>
          <w:r w:rsidRPr="00FA7B45">
            <w:t xml:space="preserve"> </w:t>
          </w:r>
          <w:r>
            <w:t xml:space="preserve">- </w:t>
          </w:r>
          <w:r w:rsidRPr="00FA7B45">
            <w:t xml:space="preserve">Amgen Australia Pty Ltd </w:t>
          </w:r>
          <w:r>
            <w:t xml:space="preserve">- </w:t>
          </w:r>
          <w:r w:rsidRPr="00340066">
            <w:t>PM-2021-00026-1-4</w:t>
          </w:r>
          <w:r>
            <w:br/>
          </w:r>
          <w:r w:rsidR="00DB11B7">
            <w:t>Final</w:t>
          </w:r>
          <w:r w:rsidRPr="00487162">
            <w:t xml:space="preserve"> </w:t>
          </w:r>
          <w:r w:rsidR="00DB11B7">
            <w:t>3</w:t>
          </w:r>
          <w:r w:rsidR="003070E8">
            <w:t>0</w:t>
          </w:r>
          <w:r>
            <w:t xml:space="preserve"> May 2023</w:t>
          </w:r>
        </w:p>
      </w:tc>
      <w:tc>
        <w:tcPr>
          <w:tcW w:w="1490" w:type="dxa"/>
          <w:tcMar>
            <w:top w:w="142" w:type="dxa"/>
            <w:bottom w:w="0" w:type="dxa"/>
          </w:tcMar>
        </w:tcPr>
        <w:p w14:paraId="3C8BABF5" w14:textId="0FEC2EBE" w:rsidR="003D0DD6" w:rsidRPr="00487162" w:rsidRDefault="003D0DD6" w:rsidP="00DB750B">
          <w:pPr>
            <w:pStyle w:val="Footer"/>
            <w:jc w:val="right"/>
          </w:pPr>
          <w:r w:rsidRPr="00487162">
            <w:t xml:space="preserve">Page </w:t>
          </w:r>
          <w:r>
            <w:fldChar w:fldCharType="begin"/>
          </w:r>
          <w:r>
            <w:instrText xml:space="preserve"> PAGE  \* Arabic </w:instrText>
          </w:r>
          <w:r>
            <w:fldChar w:fldCharType="separate"/>
          </w:r>
          <w:r w:rsidR="00AE014A">
            <w:rPr>
              <w:noProof/>
            </w:rPr>
            <w:t>12</w:t>
          </w:r>
          <w:r>
            <w:fldChar w:fldCharType="end"/>
          </w:r>
          <w:r w:rsidRPr="00487162">
            <w:t xml:space="preserve"> of </w:t>
          </w:r>
          <w:fldSimple w:instr=" NUMPAGES  \* Arabic ">
            <w:r w:rsidR="00AE014A">
              <w:rPr>
                <w:noProof/>
              </w:rPr>
              <w:t>49</w:t>
            </w:r>
          </w:fldSimple>
        </w:p>
      </w:tc>
    </w:tr>
  </w:tbl>
  <w:p w14:paraId="102F68E8" w14:textId="77777777" w:rsidR="003D0DD6" w:rsidRDefault="003D0DD6"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D0DD6" w:rsidRPr="00487162" w14:paraId="0E0C6D69" w14:textId="77777777" w:rsidTr="00E45619">
      <w:trPr>
        <w:trHeight w:val="269"/>
      </w:trPr>
      <w:tc>
        <w:tcPr>
          <w:tcW w:w="4519" w:type="dxa"/>
          <w:tcBorders>
            <w:top w:val="single" w:sz="4" w:space="0" w:color="auto"/>
          </w:tcBorders>
          <w:tcMar>
            <w:top w:w="142" w:type="dxa"/>
            <w:bottom w:w="0" w:type="dxa"/>
          </w:tcMar>
        </w:tcPr>
        <w:p w14:paraId="06E4A023" w14:textId="77777777" w:rsidR="003D0DD6" w:rsidRPr="00487162" w:rsidRDefault="003D0DD6" w:rsidP="00FE1DEE">
          <w:pPr>
            <w:pStyle w:val="Footer"/>
          </w:pPr>
          <w:r w:rsidRPr="00487162">
            <w:t>Document title, Part #, Section # - Section title</w:t>
          </w:r>
        </w:p>
        <w:p w14:paraId="0BE01019" w14:textId="77777777" w:rsidR="003D0DD6" w:rsidRPr="00487162" w:rsidRDefault="003D0DD6" w:rsidP="00FE1DEE">
          <w:pPr>
            <w:pStyle w:val="Footer"/>
          </w:pPr>
          <w:r w:rsidRPr="00487162">
            <w:t>V1.0 October 2010</w:t>
          </w:r>
        </w:p>
      </w:tc>
      <w:tc>
        <w:tcPr>
          <w:tcW w:w="4342" w:type="dxa"/>
          <w:tcBorders>
            <w:top w:val="single" w:sz="4" w:space="0" w:color="auto"/>
          </w:tcBorders>
          <w:tcMar>
            <w:top w:w="142" w:type="dxa"/>
            <w:bottom w:w="0" w:type="dxa"/>
          </w:tcMar>
        </w:tcPr>
        <w:p w14:paraId="2DD63718" w14:textId="77777777" w:rsidR="003D0DD6" w:rsidRPr="00487162" w:rsidRDefault="003D0DD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0DCE18E2" w14:textId="77777777" w:rsidR="003D0DD6" w:rsidRDefault="003D0DD6">
    <w:pPr>
      <w:pStyle w:val="Footer"/>
    </w:pPr>
  </w:p>
  <w:p w14:paraId="4D567988" w14:textId="77777777" w:rsidR="003D0DD6" w:rsidRDefault="003D0D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F14A" w14:textId="3483B6F8" w:rsidR="003D0DD6" w:rsidRPr="001C32CD" w:rsidRDefault="003D0DD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D0DD6" w14:paraId="78527175" w14:textId="77777777" w:rsidTr="0010601F">
      <w:trPr>
        <w:trHeight w:val="108"/>
      </w:trPr>
      <w:tc>
        <w:tcPr>
          <w:tcW w:w="8875" w:type="dxa"/>
          <w:gridSpan w:val="2"/>
          <w:tcBorders>
            <w:bottom w:val="single" w:sz="4" w:space="0" w:color="auto"/>
          </w:tcBorders>
          <w:tcMar>
            <w:right w:w="284" w:type="dxa"/>
          </w:tcMar>
        </w:tcPr>
        <w:p w14:paraId="6A4CD745" w14:textId="033C1F26" w:rsidR="003D0DD6" w:rsidRDefault="003D0DD6" w:rsidP="006E08B3">
          <w:pPr>
            <w:pStyle w:val="Heading3"/>
          </w:pPr>
          <w:r>
            <w:t>Copyright</w:t>
          </w:r>
        </w:p>
        <w:p w14:paraId="20EB6250" w14:textId="77777777" w:rsidR="003D0DD6" w:rsidRDefault="003D0DD6" w:rsidP="006E08B3">
          <w:r>
            <w:rPr>
              <w:rFonts w:cs="Arial"/>
            </w:rPr>
            <w:t>©</w:t>
          </w:r>
          <w:r>
            <w:t xml:space="preserve"> Commonwealth of Australia [add year]</w:t>
          </w:r>
        </w:p>
        <w:p w14:paraId="01274E4A" w14:textId="77777777" w:rsidR="003D0DD6" w:rsidRDefault="003D0DD6" w:rsidP="006E08B3"/>
        <w:p w14:paraId="5BF31B56" w14:textId="77777777" w:rsidR="003D0DD6" w:rsidRDefault="003D0DD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86CA3C3" w14:textId="77777777" w:rsidR="003D0DD6" w:rsidRDefault="003D0DD6" w:rsidP="006E08B3"/>
        <w:p w14:paraId="1AD335E7" w14:textId="77777777" w:rsidR="003D0DD6" w:rsidRDefault="003D0DD6" w:rsidP="006E08B3">
          <w:pPr>
            <w:pStyle w:val="Heading3"/>
          </w:pPr>
          <w:r>
            <w:t>Confidentiality</w:t>
          </w:r>
        </w:p>
        <w:p w14:paraId="33C78C07" w14:textId="77777777" w:rsidR="003D0DD6" w:rsidRDefault="003D0DD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953A95C" w14:textId="77777777" w:rsidR="003D0DD6" w:rsidRDefault="003D0DD6" w:rsidP="006E08B3"/>
        <w:p w14:paraId="6994E677" w14:textId="77777777" w:rsidR="003D0DD6" w:rsidRDefault="003D0DD6" w:rsidP="006E08B3">
          <w:r>
            <w:t>For submission made by individuals, all personal details, other than your name, will be removed from your submission before it is published on the TGA’s Internet site.</w:t>
          </w:r>
        </w:p>
        <w:p w14:paraId="105A5E57" w14:textId="77777777" w:rsidR="003D0DD6" w:rsidRDefault="003D0DD6" w:rsidP="006E08B3"/>
        <w:p w14:paraId="75E1F3CA" w14:textId="77777777" w:rsidR="003D0DD6" w:rsidRDefault="003D0DD6" w:rsidP="006E08B3">
          <w:r>
            <w:t>In addition, a list of parties making submissions will be published. If you do not wish to be identified with your submission you must specifically request this in the space provided in the submission coversheet.</w:t>
          </w:r>
        </w:p>
      </w:tc>
    </w:tr>
    <w:tr w:rsidR="003D0DD6" w14:paraId="122B9DAE" w14:textId="77777777" w:rsidTr="0010601F">
      <w:trPr>
        <w:trHeight w:val="417"/>
      </w:trPr>
      <w:tc>
        <w:tcPr>
          <w:tcW w:w="4519" w:type="dxa"/>
          <w:tcBorders>
            <w:top w:val="single" w:sz="4" w:space="0" w:color="auto"/>
          </w:tcBorders>
          <w:tcMar>
            <w:top w:w="142" w:type="dxa"/>
            <w:bottom w:w="0" w:type="dxa"/>
          </w:tcMar>
        </w:tcPr>
        <w:p w14:paraId="0DD7970F" w14:textId="77777777" w:rsidR="003D0DD6" w:rsidRDefault="003D0DD6" w:rsidP="006E08B3">
          <w:r>
            <w:t>Document title, Part #, Section # - Section title</w:t>
          </w:r>
        </w:p>
        <w:p w14:paraId="22CAD02D" w14:textId="77777777" w:rsidR="003D0DD6" w:rsidRDefault="003D0DD6" w:rsidP="006E08B3">
          <w:r>
            <w:t>V1.0 October 2010</w:t>
          </w:r>
        </w:p>
      </w:tc>
      <w:tc>
        <w:tcPr>
          <w:tcW w:w="4356" w:type="dxa"/>
          <w:tcBorders>
            <w:top w:val="single" w:sz="4" w:space="0" w:color="auto"/>
          </w:tcBorders>
          <w:tcMar>
            <w:top w:w="142" w:type="dxa"/>
            <w:bottom w:w="0" w:type="dxa"/>
          </w:tcMar>
        </w:tcPr>
        <w:p w14:paraId="59A10AE3" w14:textId="77777777" w:rsidR="003D0DD6" w:rsidRDefault="003D0DD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2E4CCF50" w14:textId="77777777" w:rsidR="003D0DD6" w:rsidRDefault="003D0D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52569" w14:textId="77777777" w:rsidR="00602F95" w:rsidRDefault="00602F95" w:rsidP="00C40A36">
      <w:pPr>
        <w:spacing w:after="0"/>
      </w:pPr>
      <w:r>
        <w:separator/>
      </w:r>
    </w:p>
  </w:footnote>
  <w:footnote w:type="continuationSeparator" w:id="0">
    <w:p w14:paraId="6EF710DE" w14:textId="77777777" w:rsidR="00602F95" w:rsidRDefault="00602F95" w:rsidP="00C40A36">
      <w:pPr>
        <w:spacing w:after="0"/>
      </w:pPr>
      <w:r>
        <w:continuationSeparator/>
      </w:r>
    </w:p>
  </w:footnote>
  <w:footnote w:id="1">
    <w:p w14:paraId="1873AEED" w14:textId="0A559D29" w:rsidR="003D0DD6" w:rsidRDefault="003D0DD6" w:rsidP="00EB5910">
      <w:r>
        <w:rPr>
          <w:rStyle w:val="FootnoteReference"/>
        </w:rPr>
        <w:footnoteRef/>
      </w:r>
      <w:r w:rsidRPr="00E243C4">
        <w:rPr>
          <w:rStyle w:val="FootnoteTextChar"/>
        </w:rPr>
        <w:t xml:space="preserve"> Cancer Australia, Australian Government, Lung Cancer </w:t>
      </w:r>
      <w:r>
        <w:rPr>
          <w:rStyle w:val="FootnoteTextChar"/>
        </w:rPr>
        <w:t>i</w:t>
      </w:r>
      <w:r w:rsidRPr="00E243C4">
        <w:rPr>
          <w:rStyle w:val="FootnoteTextChar"/>
        </w:rPr>
        <w:t>n Australia Statistics, updated on 18 August 2022</w:t>
      </w:r>
      <w:r>
        <w:rPr>
          <w:rStyle w:val="FootnoteTextChar"/>
        </w:rPr>
        <w:t>, Available at:</w:t>
      </w:r>
      <w:r w:rsidRPr="00E243C4">
        <w:t xml:space="preserve"> </w:t>
      </w:r>
      <w:hyperlink r:id="rId1" w:history="1">
        <w:r w:rsidRPr="0099020F">
          <w:rPr>
            <w:rStyle w:val="Hyperlink"/>
            <w:sz w:val="18"/>
            <w:szCs w:val="20"/>
          </w:rPr>
          <w:t>https://www.canceraustralia.gov.au/cancer-types/lung-cancer/statistics</w:t>
        </w:r>
      </w:hyperlink>
      <w:r>
        <w:rPr>
          <w:rStyle w:val="FootnoteTextChar"/>
        </w:rPr>
        <w:t>.</w:t>
      </w:r>
    </w:p>
  </w:footnote>
  <w:footnote w:id="2">
    <w:p w14:paraId="75C0CE78" w14:textId="756E5BB3" w:rsidR="003D0DD6" w:rsidRDefault="003D0DD6" w:rsidP="00CC340F">
      <w:pPr>
        <w:pStyle w:val="FootnoteText"/>
      </w:pPr>
      <w:r>
        <w:rPr>
          <w:rStyle w:val="FootnoteReference"/>
        </w:rPr>
        <w:footnoteRef/>
      </w:r>
      <w:r>
        <w:t xml:space="preserve"> Stage 4 non-</w:t>
      </w:r>
      <w:r w:rsidRPr="00CC340F">
        <w:t>small cell lung cancer</w:t>
      </w:r>
      <w:r>
        <w:t xml:space="preserve"> (NSCLC), also called </w:t>
      </w:r>
      <w:r w:rsidRPr="00CC340F">
        <w:t>metastati</w:t>
      </w:r>
      <w:r>
        <w:t>c (advanced) lung cancer, is subdivided in Stage 4A and Stage 4B cancer:</w:t>
      </w:r>
    </w:p>
    <w:p w14:paraId="656979FC" w14:textId="2F0F823F" w:rsidR="003D0DD6" w:rsidRDefault="003D0DD6" w:rsidP="00CC340F">
      <w:pPr>
        <w:pStyle w:val="FootnoteText"/>
      </w:pPr>
      <w:r>
        <w:t>Stage 4A cancer refers to a tumour of any size that may or may not involve nearby lymph nodes or structure, that has either spread within the chest; and/or, has spread to one area outside the chest cavity.</w:t>
      </w:r>
    </w:p>
    <w:p w14:paraId="0705C6B5" w14:textId="77777777" w:rsidR="003D0DD6" w:rsidRDefault="003D0DD6" w:rsidP="00DB11B7">
      <w:pPr>
        <w:pStyle w:val="FootnoteText"/>
        <w:numPr>
          <w:ilvl w:val="0"/>
          <w:numId w:val="11"/>
        </w:numPr>
      </w:pPr>
      <w:r>
        <w:t>Spread within the chest refers to tumours that may have spread to the other lung; the layers covering the lung (the pleura) or the heart (pericardium); or/and the presence of cancer cells in the fluid between the two layers covering the lung (pleural effusion) or the heart (pericardial effusion).</w:t>
      </w:r>
    </w:p>
    <w:p w14:paraId="64B16E2D" w14:textId="397D73F8" w:rsidR="003D0DD6" w:rsidRDefault="003D0DD6" w:rsidP="00DB11B7">
      <w:pPr>
        <w:pStyle w:val="FootnoteText"/>
        <w:numPr>
          <w:ilvl w:val="0"/>
          <w:numId w:val="11"/>
        </w:numPr>
      </w:pPr>
      <w:r>
        <w:t xml:space="preserve">Spread outside of the chest refers to the presence of a single area of cancer </w:t>
      </w:r>
      <w:r w:rsidRPr="00B70B90">
        <w:t xml:space="preserve">outside the chest to a distant lymph node or to an organ such as the liver, </w:t>
      </w:r>
      <w:r w:rsidRPr="00B70B90">
        <w:t>bones or the brain</w:t>
      </w:r>
      <w:r>
        <w:t>.</w:t>
      </w:r>
    </w:p>
    <w:p w14:paraId="32D535CF" w14:textId="4B7FE108" w:rsidR="003D0DD6" w:rsidRPr="00594BB6" w:rsidRDefault="003D0DD6" w:rsidP="00CC340F">
      <w:pPr>
        <w:pStyle w:val="FootnoteText"/>
      </w:pPr>
      <w:r>
        <w:t>Stage 4B cancer refers to cancer that has spread to more than one place in the same organ, or to multiple organs of the body.</w:t>
      </w:r>
    </w:p>
  </w:footnote>
  <w:footnote w:id="3">
    <w:p w14:paraId="290A7EE2" w14:textId="3DC55E63" w:rsidR="003D0DD6" w:rsidRDefault="003D0DD6" w:rsidP="00581DAE">
      <w:r>
        <w:rPr>
          <w:rStyle w:val="FootnoteReference"/>
        </w:rPr>
        <w:footnoteRef/>
      </w:r>
      <w:r w:rsidRPr="00581DAE">
        <w:rPr>
          <w:rStyle w:val="FootnoteTextChar"/>
        </w:rPr>
        <w:t xml:space="preserve"> </w:t>
      </w:r>
      <w:r>
        <w:rPr>
          <w:rStyle w:val="FootnoteTextChar"/>
        </w:rPr>
        <w:t xml:space="preserve">National Cancer Control Indicators (NCCI) </w:t>
      </w:r>
      <w:r w:rsidRPr="00581DAE">
        <w:rPr>
          <w:rStyle w:val="FootnoteTextChar"/>
        </w:rPr>
        <w:t xml:space="preserve">Relative Survival </w:t>
      </w:r>
      <w:r>
        <w:rPr>
          <w:rStyle w:val="FootnoteTextChar"/>
        </w:rPr>
        <w:t>b</w:t>
      </w:r>
      <w:r w:rsidRPr="00581DAE">
        <w:rPr>
          <w:rStyle w:val="FootnoteTextChar"/>
        </w:rPr>
        <w:t xml:space="preserve">y Stage </w:t>
      </w:r>
      <w:r>
        <w:rPr>
          <w:rStyle w:val="FootnoteTextChar"/>
        </w:rPr>
        <w:t>a</w:t>
      </w:r>
      <w:r w:rsidRPr="00581DAE">
        <w:rPr>
          <w:rStyle w:val="FootnoteTextChar"/>
        </w:rPr>
        <w:t>t Diagnosis (Lung Cancer)</w:t>
      </w:r>
      <w:r>
        <w:rPr>
          <w:rStyle w:val="FootnoteTextChar"/>
        </w:rPr>
        <w:t>,</w:t>
      </w:r>
      <w:r w:rsidRPr="00581DAE">
        <w:t xml:space="preserve"> </w:t>
      </w:r>
      <w:r w:rsidRPr="00581DAE">
        <w:rPr>
          <w:rStyle w:val="FootnoteTextChar"/>
        </w:rPr>
        <w:t xml:space="preserve">Published </w:t>
      </w:r>
      <w:r>
        <w:rPr>
          <w:rStyle w:val="FootnoteTextChar"/>
        </w:rPr>
        <w:t xml:space="preserve">on </w:t>
      </w:r>
      <w:r w:rsidRPr="00581DAE">
        <w:rPr>
          <w:rStyle w:val="FootnoteTextChar"/>
        </w:rPr>
        <w:t>1</w:t>
      </w:r>
      <w:r>
        <w:rPr>
          <w:rStyle w:val="FootnoteTextChar"/>
        </w:rPr>
        <w:t> </w:t>
      </w:r>
      <w:r w:rsidRPr="00581DAE">
        <w:rPr>
          <w:rStyle w:val="FootnoteTextChar"/>
        </w:rPr>
        <w:t>Apr</w:t>
      </w:r>
      <w:r>
        <w:rPr>
          <w:rStyle w:val="FootnoteTextChar"/>
        </w:rPr>
        <w:t>il </w:t>
      </w:r>
      <w:r w:rsidRPr="00581DAE">
        <w:rPr>
          <w:rStyle w:val="FootnoteTextChar"/>
        </w:rPr>
        <w:t>2019</w:t>
      </w:r>
      <w:r>
        <w:rPr>
          <w:rStyle w:val="FootnoteTextChar"/>
        </w:rPr>
        <w:t>. Available at: </w:t>
      </w:r>
      <w:hyperlink r:id="rId2" w:history="1">
        <w:r w:rsidRPr="0099020F">
          <w:rPr>
            <w:rStyle w:val="Hyperlink"/>
            <w:sz w:val="18"/>
            <w:szCs w:val="20"/>
          </w:rPr>
          <w:t>https://ncci.canceraustralia.gov.au/outcomes/relative-survival-rate/relative-survival-stage-diagnosis-lung-cancer</w:t>
        </w:r>
      </w:hyperlink>
      <w:r>
        <w:rPr>
          <w:rStyle w:val="FootnoteTextChar"/>
        </w:rPr>
        <w:t>.</w:t>
      </w:r>
    </w:p>
  </w:footnote>
  <w:footnote w:id="4">
    <w:p w14:paraId="12B27434" w14:textId="4E161A69" w:rsidR="003D0DD6" w:rsidRPr="00F720D7" w:rsidRDefault="003D0DD6" w:rsidP="00EB5910">
      <w:pPr>
        <w:rPr>
          <w:sz w:val="18"/>
          <w:szCs w:val="18"/>
        </w:rPr>
      </w:pPr>
      <w:r>
        <w:rPr>
          <w:rStyle w:val="FootnoteReference"/>
        </w:rPr>
        <w:footnoteRef/>
      </w:r>
      <w:r>
        <w:t xml:space="preserve"> </w:t>
      </w:r>
      <w:r w:rsidRPr="00F720D7">
        <w:rPr>
          <w:sz w:val="18"/>
          <w:szCs w:val="18"/>
        </w:rPr>
        <w:t>National Comprehensive Cancer Network</w:t>
      </w:r>
      <w:r>
        <w:rPr>
          <w:sz w:val="18"/>
          <w:szCs w:val="18"/>
        </w:rPr>
        <w:t xml:space="preserve"> (NCCN), </w:t>
      </w:r>
      <w:r w:rsidRPr="00F720D7">
        <w:rPr>
          <w:sz w:val="18"/>
          <w:szCs w:val="18"/>
        </w:rPr>
        <w:t xml:space="preserve">NCCN Clinical Practice Guidelines </w:t>
      </w:r>
      <w:r>
        <w:rPr>
          <w:sz w:val="18"/>
          <w:szCs w:val="18"/>
        </w:rPr>
        <w:t>i</w:t>
      </w:r>
      <w:r w:rsidRPr="00F720D7">
        <w:rPr>
          <w:sz w:val="18"/>
          <w:szCs w:val="18"/>
        </w:rPr>
        <w:t>n Oncology: Non-</w:t>
      </w:r>
      <w:r>
        <w:rPr>
          <w:sz w:val="18"/>
          <w:szCs w:val="18"/>
        </w:rPr>
        <w:t>s</w:t>
      </w:r>
      <w:r w:rsidRPr="00F720D7">
        <w:rPr>
          <w:sz w:val="18"/>
          <w:szCs w:val="18"/>
        </w:rPr>
        <w:t>mall Cell Lung Cancer</w:t>
      </w:r>
      <w:r>
        <w:rPr>
          <w:sz w:val="18"/>
          <w:szCs w:val="18"/>
        </w:rPr>
        <w:t xml:space="preserve">, </w:t>
      </w:r>
      <w:r w:rsidRPr="00F720D7">
        <w:rPr>
          <w:sz w:val="18"/>
          <w:szCs w:val="18"/>
        </w:rPr>
        <w:t>Version 5.2021</w:t>
      </w:r>
      <w:r>
        <w:rPr>
          <w:sz w:val="18"/>
          <w:szCs w:val="18"/>
        </w:rPr>
        <w:t xml:space="preserve">,15 </w:t>
      </w:r>
      <w:r w:rsidRPr="00F720D7">
        <w:rPr>
          <w:sz w:val="18"/>
          <w:szCs w:val="18"/>
        </w:rPr>
        <w:t>June 15</w:t>
      </w:r>
      <w:r w:rsidRPr="00F720D7">
        <w:rPr>
          <w:sz w:val="18"/>
          <w:szCs w:val="18"/>
        </w:rPr>
        <w:t xml:space="preserve"> 2021.</w:t>
      </w:r>
      <w:r>
        <w:rPr>
          <w:sz w:val="18"/>
          <w:szCs w:val="18"/>
        </w:rPr>
        <w:t xml:space="preserve"> Available at: </w:t>
      </w:r>
      <w:hyperlink r:id="rId3" w:history="1">
        <w:r w:rsidRPr="0099020F">
          <w:rPr>
            <w:rStyle w:val="Hyperlink"/>
            <w:sz w:val="18"/>
            <w:szCs w:val="18"/>
          </w:rPr>
          <w:t>https://www.nccn.org/professionals/physician_gls/pdf/nscl.pdf</w:t>
        </w:r>
      </w:hyperlink>
      <w:r w:rsidRPr="00560348">
        <w:rPr>
          <w:sz w:val="18"/>
          <w:szCs w:val="18"/>
        </w:rPr>
        <w:t>.</w:t>
      </w:r>
    </w:p>
  </w:footnote>
  <w:footnote w:id="5">
    <w:p w14:paraId="7701964F" w14:textId="2F0A86CF" w:rsidR="003D0DD6" w:rsidRPr="0051034D" w:rsidRDefault="003D0DD6" w:rsidP="0051034D">
      <w:pPr>
        <w:rPr>
          <w:sz w:val="18"/>
          <w:szCs w:val="18"/>
        </w:rPr>
      </w:pPr>
      <w:r>
        <w:rPr>
          <w:rStyle w:val="FootnoteReference"/>
        </w:rPr>
        <w:footnoteRef/>
      </w:r>
      <w:r>
        <w:t xml:space="preserve"> </w:t>
      </w:r>
      <w:r w:rsidRPr="00F720D7">
        <w:rPr>
          <w:sz w:val="18"/>
          <w:szCs w:val="18"/>
        </w:rPr>
        <w:t>Metastatic Non-</w:t>
      </w:r>
      <w:r>
        <w:rPr>
          <w:sz w:val="18"/>
          <w:szCs w:val="18"/>
        </w:rPr>
        <w:t>s</w:t>
      </w:r>
      <w:r w:rsidRPr="00F720D7">
        <w:rPr>
          <w:sz w:val="18"/>
          <w:szCs w:val="18"/>
        </w:rPr>
        <w:t>mall Cell Lung Cancer: ESMO Clinical Practice Guidelines for Diagnosis, Treatment and Follow-Up</w:t>
      </w:r>
      <w:r>
        <w:rPr>
          <w:sz w:val="18"/>
          <w:szCs w:val="18"/>
        </w:rPr>
        <w:t xml:space="preserve">, </w:t>
      </w:r>
      <w:r w:rsidRPr="00560348">
        <w:rPr>
          <w:i/>
          <w:iCs/>
          <w:sz w:val="18"/>
          <w:szCs w:val="18"/>
        </w:rPr>
        <w:t>Ann Oncol</w:t>
      </w:r>
      <w:r>
        <w:rPr>
          <w:sz w:val="18"/>
          <w:szCs w:val="18"/>
        </w:rPr>
        <w:t xml:space="preserve">, </w:t>
      </w:r>
      <w:r w:rsidRPr="00F720D7">
        <w:rPr>
          <w:sz w:val="18"/>
          <w:szCs w:val="18"/>
        </w:rPr>
        <w:t>2018</w:t>
      </w:r>
      <w:r>
        <w:rPr>
          <w:sz w:val="18"/>
          <w:szCs w:val="18"/>
        </w:rPr>
        <w:t xml:space="preserve">; </w:t>
      </w:r>
      <w:r w:rsidRPr="00F720D7">
        <w:rPr>
          <w:sz w:val="18"/>
          <w:szCs w:val="18"/>
        </w:rPr>
        <w:t>29 (suppl 4): iv192-iv237.</w:t>
      </w:r>
    </w:p>
  </w:footnote>
  <w:footnote w:id="6">
    <w:p w14:paraId="4BA33891" w14:textId="77777777" w:rsidR="003D0DD6" w:rsidRDefault="003D0DD6" w:rsidP="00B24245">
      <w:pPr>
        <w:pStyle w:val="FootnoteText"/>
      </w:pPr>
      <w:r>
        <w:rPr>
          <w:rStyle w:val="FootnoteReference"/>
        </w:rPr>
        <w:footnoteRef/>
      </w:r>
      <w:r>
        <w:t xml:space="preserve"> </w:t>
      </w:r>
      <w:r w:rsidRPr="00B24245">
        <w:rPr>
          <w:b/>
          <w:bCs/>
        </w:rPr>
        <w:t>Cytochrome P450 (CYP)</w:t>
      </w:r>
      <w:r>
        <w:t xml:space="preserve">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790DB764" w14:textId="472C92D6" w:rsidR="003D0DD6" w:rsidRDefault="003D0DD6" w:rsidP="00B24245">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r>
        <w:t>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7">
    <w:p w14:paraId="15C69E77" w14:textId="63F9A25D" w:rsidR="003D0DD6" w:rsidRDefault="003D0DD6" w:rsidP="00870F86">
      <w:pPr>
        <w:pStyle w:val="FootnoteText"/>
      </w:pPr>
      <w:r>
        <w:rPr>
          <w:rStyle w:val="FootnoteReference"/>
        </w:rPr>
        <w:footnoteRef/>
      </w:r>
      <w:r>
        <w:t xml:space="preserve"> </w:t>
      </w:r>
      <w:r w:rsidRPr="00870F86">
        <w:rPr>
          <w:b/>
          <w:bCs/>
        </w:rPr>
        <w:t>Pregnancy Category B3</w:t>
      </w:r>
      <w:r>
        <w:rPr>
          <w:b/>
          <w:bCs/>
        </w:rPr>
        <w:t xml:space="preserve">: </w:t>
      </w:r>
      <w:r>
        <w:t xml:space="preserve">Drugs which have been taken by only a limited number of pregnant women and women of childbearing age, without an increase in the frequency of malformation or other direct or indirect harmful effects on the human </w:t>
      </w:r>
      <w:r>
        <w:t>fetus having been observed. Studies in animals have shown evidence of an increased occurrence of fetal damage, the significance of which is considered uncertain in humans.</w:t>
      </w:r>
    </w:p>
  </w:footnote>
  <w:footnote w:id="8">
    <w:p w14:paraId="0F35A93E" w14:textId="17C12054" w:rsidR="003D0DD6" w:rsidRDefault="003D0DD6">
      <w:pPr>
        <w:pStyle w:val="FootnoteText"/>
      </w:pPr>
      <w:r>
        <w:rPr>
          <w:rStyle w:val="FootnoteReference"/>
        </w:rPr>
        <w:footnoteRef/>
      </w:r>
      <w:r>
        <w:t xml:space="preserve"> </w:t>
      </w:r>
      <w:r w:rsidRPr="00870F86">
        <w:t xml:space="preserve">The </w:t>
      </w:r>
      <w:r w:rsidRPr="00870F86">
        <w:rPr>
          <w:b/>
          <w:bCs/>
        </w:rPr>
        <w:t>QT interval</w:t>
      </w:r>
      <w:r w:rsidRPr="00870F86">
        <w:t xml:space="preserve"> is the time from the start of the QRS wave complex to the end of the corresponding T wave. It approximates to the time taken for ventricular depolarisation and repolarisation</w:t>
      </w:r>
      <w:r w:rsidRPr="00870F86">
        <w:t>, that is to say, the period of ventricular systole from ventricular isovolumetric contraction to isovolumetric relaxation.</w:t>
      </w:r>
    </w:p>
  </w:footnote>
  <w:footnote w:id="9">
    <w:p w14:paraId="64429CD1" w14:textId="5940E137" w:rsidR="003D0DD6" w:rsidRDefault="003D0DD6">
      <w:pPr>
        <w:pStyle w:val="FootnoteText"/>
      </w:pPr>
      <w:r>
        <w:rPr>
          <w:rStyle w:val="FootnoteReference"/>
        </w:rPr>
        <w:footnoteRef/>
      </w:r>
      <w:r>
        <w:t xml:space="preserve"> </w:t>
      </w:r>
      <w:r w:rsidRPr="00026646">
        <w:t>United States Food and Drug Administration (FDA), Centre for Drug Evaluation and Research, Multi-Discipline Review and Evaluation for Lumakras (</w:t>
      </w:r>
      <w:r w:rsidRPr="00026646">
        <w:t>sotorasib), Application Number: 214665Orig1s000, January 2020. Available at:</w:t>
      </w:r>
      <w:r>
        <w:t xml:space="preserve"> </w:t>
      </w:r>
      <w:hyperlink r:id="rId4" w:history="1">
        <w:r w:rsidRPr="0008279B">
          <w:rPr>
            <w:rStyle w:val="Hyperlink"/>
          </w:rPr>
          <w:t>https://www.accessdata.fda.gov/drugsatfda_docs/nda/2021/214665Orig1s000MultidisciplineR.pdf</w:t>
        </w:r>
      </w:hyperlink>
      <w:r w:rsidRPr="00026646">
        <w:t>.</w:t>
      </w:r>
    </w:p>
  </w:footnote>
  <w:footnote w:id="10">
    <w:p w14:paraId="2F230DE4" w14:textId="4DAAEF53" w:rsidR="003D0DD6" w:rsidRDefault="003D0DD6">
      <w:pPr>
        <w:pStyle w:val="FootnoteText"/>
      </w:pPr>
      <w:r>
        <w:rPr>
          <w:rStyle w:val="FootnoteReference"/>
        </w:rPr>
        <w:footnoteRef/>
      </w:r>
      <w:r>
        <w:t xml:space="preserve"> </w:t>
      </w:r>
      <w:r w:rsidRPr="00B00281">
        <w:t xml:space="preserve">The </w:t>
      </w:r>
      <w:r w:rsidRPr="00B00281">
        <w:rPr>
          <w:b/>
          <w:bCs/>
        </w:rPr>
        <w:t>corrected QT interval (QTc)</w:t>
      </w:r>
      <w:r w:rsidRPr="00B00281">
        <w:t> estimates the QT interval at a standard heart rate. This allows comparison of QT values over time at different heart rates and improves detection of patients at increased risk of arrhythmias.</w:t>
      </w:r>
    </w:p>
  </w:footnote>
  <w:footnote w:id="11">
    <w:p w14:paraId="0F152A8A" w14:textId="7280B3E5" w:rsidR="003D0DD6" w:rsidRDefault="003D0DD6" w:rsidP="00B00281">
      <w:pPr>
        <w:pStyle w:val="FootnoteText"/>
      </w:pPr>
      <w:r>
        <w:rPr>
          <w:rStyle w:val="FootnoteReference"/>
        </w:rPr>
        <w:footnoteRef/>
      </w:r>
      <w:r>
        <w:t xml:space="preserve"> </w:t>
      </w:r>
      <w:r w:rsidRPr="00B00281">
        <w:rPr>
          <w:b/>
          <w:bCs/>
        </w:rPr>
        <w:t>ECOG Performance Status</w:t>
      </w:r>
      <w:r>
        <w:t>: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3A0DBB96" w14:textId="77777777" w:rsidR="003D0DD6" w:rsidRDefault="003D0DD6" w:rsidP="00B00281">
      <w:pPr>
        <w:pStyle w:val="FootnoteText"/>
      </w:pPr>
      <w:r>
        <w:t>0 - Fully active, able to carry on all pre-disease performance without restriction</w:t>
      </w:r>
    </w:p>
    <w:p w14:paraId="3BE23FF6" w14:textId="77777777" w:rsidR="003D0DD6" w:rsidRDefault="003D0DD6" w:rsidP="00B00281">
      <w:pPr>
        <w:pStyle w:val="FootnoteText"/>
      </w:pPr>
      <w:r>
        <w:t xml:space="preserve">1- Restricted in physically strenuous activity but ambulatory and able to carry out work of a light or sedentary nature, for example, light </w:t>
      </w:r>
      <w:r>
        <w:t>house work, office work</w:t>
      </w:r>
    </w:p>
    <w:p w14:paraId="71BC8B5E" w14:textId="77777777" w:rsidR="003D0DD6" w:rsidRDefault="003D0DD6" w:rsidP="00B00281">
      <w:pPr>
        <w:pStyle w:val="FootnoteText"/>
      </w:pPr>
      <w:r>
        <w:t>2 - Ambulatory and capable of all selfcare but unable to carry out any work activities. Up and about more than 50% of waking hours</w:t>
      </w:r>
    </w:p>
    <w:p w14:paraId="693B8E88" w14:textId="77777777" w:rsidR="003D0DD6" w:rsidRDefault="003D0DD6" w:rsidP="00B00281">
      <w:pPr>
        <w:pStyle w:val="FootnoteText"/>
      </w:pPr>
      <w:r>
        <w:t>3 - Capable of only limited selfcare, confined to bed or chair more than 50% of waking hours</w:t>
      </w:r>
    </w:p>
    <w:p w14:paraId="2CD7DB23" w14:textId="77777777" w:rsidR="003D0DD6" w:rsidRDefault="003D0DD6" w:rsidP="00B00281">
      <w:pPr>
        <w:pStyle w:val="FootnoteText"/>
      </w:pPr>
      <w:r>
        <w:t>4 - Completely disabled. Cannot carry on any selfcare. Totally confined to bed or chair</w:t>
      </w:r>
    </w:p>
    <w:p w14:paraId="5BAEC27C" w14:textId="6FFE9E7C" w:rsidR="003D0DD6" w:rsidRDefault="003D0DD6" w:rsidP="00B00281">
      <w:pPr>
        <w:pStyle w:val="FootnoteText"/>
      </w:pPr>
      <w:r>
        <w:t>5 – Dead</w:t>
      </w:r>
    </w:p>
  </w:footnote>
  <w:footnote w:id="12">
    <w:p w14:paraId="3D238770" w14:textId="079249EA" w:rsidR="003D0DD6" w:rsidRDefault="003D0DD6">
      <w:pPr>
        <w:pStyle w:val="FootnoteText"/>
      </w:pPr>
      <w:r>
        <w:rPr>
          <w:rStyle w:val="FootnoteReference"/>
        </w:rPr>
        <w:footnoteRef/>
      </w:r>
      <w:r>
        <w:t xml:space="preserve"> </w:t>
      </w:r>
      <w:r w:rsidRPr="00B00281">
        <w:t xml:space="preserve">The </w:t>
      </w:r>
      <w:r w:rsidRPr="00B00281">
        <w:rPr>
          <w:b/>
          <w:bCs/>
        </w:rPr>
        <w:t xml:space="preserve">Response Evaluation Criteria </w:t>
      </w:r>
      <w:r w:rsidRPr="00B00281">
        <w:rPr>
          <w:b/>
          <w:bCs/>
        </w:rPr>
        <w:t>In Solid Tumours (RECIST)</w:t>
      </w:r>
      <w:r w:rsidRPr="00B00281">
        <w:t xml:space="preserve">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the majority of clinical trials evaluating cancer treatments for objective response in solid tumours use RECIST. These criteria were developed and published in February 2000, and subsequently updated in 2009.</w:t>
      </w:r>
    </w:p>
  </w:footnote>
  <w:footnote w:id="13">
    <w:p w14:paraId="4E9CD032" w14:textId="33E46118" w:rsidR="003D0DD6" w:rsidRDefault="003D0DD6">
      <w:pPr>
        <w:pStyle w:val="FootnoteText"/>
      </w:pPr>
      <w:r>
        <w:rPr>
          <w:rStyle w:val="FootnoteReference"/>
        </w:rPr>
        <w:footnoteRef/>
      </w:r>
      <w:r>
        <w:t xml:space="preserve"> </w:t>
      </w:r>
      <w:r w:rsidRPr="00272684">
        <w:rPr>
          <w:b/>
          <w:bCs/>
        </w:rPr>
        <w:t>Good Clinical Practice (GCP)</w:t>
      </w:r>
      <w:r w:rsidRPr="00987863">
        <w:t xml:space="preserve"> is a code of international standards and guidance following the International Council on Harmonisation (ICH) concerning the design, conduct, performance, monitoring, auditing, recording, </w:t>
      </w:r>
      <w:r w:rsidRPr="00987863">
        <w:t>analysis and reporting of clinical trials. Good Clinical Practice provides assurance that a study’s results are credible and accurate and that the rights and confidentiality of the study subjects are protected.</w:t>
      </w:r>
    </w:p>
  </w:footnote>
  <w:footnote w:id="14">
    <w:p w14:paraId="570A26F6" w14:textId="2DAE7687" w:rsidR="003D0DD6" w:rsidRPr="00DB11B7" w:rsidRDefault="003D0DD6">
      <w:pPr>
        <w:pStyle w:val="FootnoteText"/>
        <w:rPr>
          <w:lang w:val="en-GB"/>
        </w:rPr>
      </w:pPr>
      <w:r>
        <w:rPr>
          <w:rStyle w:val="FootnoteReference"/>
        </w:rPr>
        <w:footnoteRef/>
      </w:r>
      <w:r>
        <w:t xml:space="preserve"> </w:t>
      </w:r>
      <w:r w:rsidRPr="001A6533">
        <w:t>Sebastian</w:t>
      </w:r>
      <w:r w:rsidR="00DB11B7">
        <w:t>,</w:t>
      </w:r>
      <w:r w:rsidRPr="001A6533">
        <w:t xml:space="preserve"> M</w:t>
      </w:r>
      <w:r w:rsidR="00DB11B7">
        <w:t>. et al.</w:t>
      </w:r>
      <w:r w:rsidRPr="001A6533">
        <w:t xml:space="preserve"> KRAS G12C-</w:t>
      </w:r>
      <w:r w:rsidR="00DB11B7" w:rsidRPr="001A6533">
        <w:t xml:space="preserve">Mutated Advanced </w:t>
      </w:r>
      <w:r w:rsidR="00DB11B7">
        <w:t>N</w:t>
      </w:r>
      <w:r w:rsidR="00DB11B7" w:rsidRPr="001A6533">
        <w:t>on-</w:t>
      </w:r>
      <w:r w:rsidR="00DB11B7">
        <w:t>s</w:t>
      </w:r>
      <w:r w:rsidR="00DB11B7" w:rsidRPr="001A6533">
        <w:t xml:space="preserve">mall Cell Lung Cancer: </w:t>
      </w:r>
      <w:r w:rsidR="00DB11B7">
        <w:t>a</w:t>
      </w:r>
      <w:r w:rsidRPr="001A6533">
        <w:t xml:space="preserve"> </w:t>
      </w:r>
      <w:r w:rsidR="00DB11B7" w:rsidRPr="001A6533">
        <w:t xml:space="preserve">Real-World Cohort </w:t>
      </w:r>
      <w:r w:rsidR="00DB11B7">
        <w:t>f</w:t>
      </w:r>
      <w:r w:rsidR="00DB11B7" w:rsidRPr="001A6533">
        <w:t xml:space="preserve">rom </w:t>
      </w:r>
      <w:r w:rsidR="00DB11B7">
        <w:t>t</w:t>
      </w:r>
      <w:r w:rsidR="00DB11B7" w:rsidRPr="001A6533">
        <w:t xml:space="preserve">he </w:t>
      </w:r>
      <w:r w:rsidRPr="001A6533">
        <w:t xml:space="preserve">German </w:t>
      </w:r>
      <w:r w:rsidR="00DB11B7" w:rsidRPr="001A6533">
        <w:t xml:space="preserve">Prospective, Observational, Nation-Wide </w:t>
      </w:r>
      <w:r w:rsidRPr="001A6533">
        <w:t>CRISP Registry (AIO-TRK-0315)</w:t>
      </w:r>
      <w:r w:rsidR="00DB11B7">
        <w:t>,</w:t>
      </w:r>
      <w:r w:rsidRPr="001A6533">
        <w:t xml:space="preserve"> </w:t>
      </w:r>
      <w:r w:rsidRPr="00DB11B7">
        <w:rPr>
          <w:i/>
        </w:rPr>
        <w:t>Lung Cancer.</w:t>
      </w:r>
      <w:r w:rsidRPr="001A6533">
        <w:t xml:space="preserve"> 2021;</w:t>
      </w:r>
      <w:r w:rsidR="00DB11B7">
        <w:t xml:space="preserve"> </w:t>
      </w:r>
      <w:r w:rsidRPr="001A6533">
        <w:t>154:</w:t>
      </w:r>
      <w:r w:rsidR="00DB11B7">
        <w:t xml:space="preserve"> </w:t>
      </w:r>
      <w:r w:rsidRPr="001A6533">
        <w:t>51-61.</w:t>
      </w:r>
    </w:p>
  </w:footnote>
  <w:footnote w:id="15">
    <w:p w14:paraId="4F8B267F" w14:textId="409E5F29" w:rsidR="003D0DD6" w:rsidRDefault="003D0DD6">
      <w:pPr>
        <w:pStyle w:val="FootnoteText"/>
      </w:pPr>
      <w:r>
        <w:rPr>
          <w:rStyle w:val="FootnoteReference"/>
        </w:rPr>
        <w:footnoteRef/>
      </w:r>
      <w:r>
        <w:t xml:space="preserve"> United States Food and Drug Administration (</w:t>
      </w:r>
      <w:r w:rsidRPr="008C12AD">
        <w:t>FDA</w:t>
      </w:r>
      <w:r>
        <w:t>), Guidance for Industry, Clinical Trial Endpoints for the Approval of Cancer Drugs and Biologics,</w:t>
      </w:r>
      <w:r w:rsidRPr="00272684">
        <w:t xml:space="preserve"> December 2018</w:t>
      </w:r>
      <w:r>
        <w:t>.</w:t>
      </w:r>
    </w:p>
  </w:footnote>
  <w:footnote w:id="16">
    <w:p w14:paraId="612D2549" w14:textId="4D15C1A8" w:rsidR="003D0DD6" w:rsidRDefault="003D0DD6">
      <w:pPr>
        <w:pStyle w:val="FootnoteText"/>
      </w:pPr>
      <w:r>
        <w:rPr>
          <w:rStyle w:val="FootnoteReference"/>
        </w:rPr>
        <w:footnoteRef/>
      </w:r>
      <w:r>
        <w:t xml:space="preserve"> </w:t>
      </w:r>
      <w:r w:rsidRPr="000F0C12">
        <w:t xml:space="preserve">The </w:t>
      </w:r>
      <w:r w:rsidRPr="000F0C12">
        <w:rPr>
          <w:b/>
          <w:bCs/>
        </w:rPr>
        <w:t>Medical Dictionary for Regulatory Activities (MedDRA)</w:t>
      </w:r>
      <w:r w:rsidRPr="000F0C12">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r w:rsidRPr="000F0C12">
        <w:t>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17">
    <w:p w14:paraId="565E6F69" w14:textId="4831CBAC" w:rsidR="003D0DD6" w:rsidRDefault="003D0DD6">
      <w:pPr>
        <w:pStyle w:val="FootnoteText"/>
      </w:pPr>
      <w:r>
        <w:rPr>
          <w:rStyle w:val="FootnoteReference"/>
        </w:rPr>
        <w:footnoteRef/>
      </w:r>
      <w:r>
        <w:t xml:space="preserve"> </w:t>
      </w:r>
      <w:r w:rsidRPr="000F0C12">
        <w:rPr>
          <w:b/>
          <w:bCs/>
        </w:rPr>
        <w:t>Common Terminology Criteria (CTC)</w:t>
      </w:r>
      <w:r w:rsidRPr="000F0C12">
        <w:t xml:space="preserve"> is a standardised classification of side effects used in assessing drugs for cancer </w:t>
      </w:r>
      <w:r w:rsidRPr="000F0C12">
        <w:t>therapy,</w:t>
      </w:r>
      <w:r>
        <w:t xml:space="preserve"> </w:t>
      </w:r>
      <w:r w:rsidRPr="000F0C12">
        <w:t>in particular. Specific conditions and symptoms may have values or descriptive comment for each level, but the general guideline is 1 – Mild, 2 – Moderate, 3 – Severe, 4 - Life threatening, 5 - Death.</w:t>
      </w:r>
    </w:p>
  </w:footnote>
  <w:footnote w:id="18">
    <w:p w14:paraId="3B64513A" w14:textId="78AA2089" w:rsidR="003D0DD6" w:rsidRPr="00DB11B7" w:rsidRDefault="003D0DD6">
      <w:pPr>
        <w:pStyle w:val="FootnoteText"/>
        <w:rPr>
          <w:lang w:val="en-GB"/>
        </w:rPr>
      </w:pPr>
      <w:r>
        <w:rPr>
          <w:rStyle w:val="FootnoteReference"/>
        </w:rPr>
        <w:footnoteRef/>
      </w:r>
      <w:r>
        <w:t xml:space="preserve"> United States Food and Drug Administration, Risk assessment and risk mitigation review(s) for Lumakras (</w:t>
      </w:r>
      <w:r>
        <w:t xml:space="preserve">sotorasib). Available at: </w:t>
      </w:r>
      <w:hyperlink r:id="rId5" w:history="1">
        <w:r w:rsidRPr="005A1738">
          <w:rPr>
            <w:rStyle w:val="Hyperlink"/>
          </w:rPr>
          <w:t>https://www.accessdata.fda.gov/drugsatfda_docs/nda/2021/214665Orig1s000RiskR.pdf</w:t>
        </w:r>
      </w:hyperlink>
      <w:r w:rsidR="005879B7">
        <w:t>.</w:t>
      </w:r>
    </w:p>
  </w:footnote>
  <w:footnote w:id="19">
    <w:p w14:paraId="732F48F0" w14:textId="45D151F4" w:rsidR="003D0DD6" w:rsidRDefault="003D0DD6">
      <w:pPr>
        <w:pStyle w:val="FootnoteText"/>
      </w:pPr>
      <w:r>
        <w:rPr>
          <w:rStyle w:val="FootnoteReference"/>
        </w:rPr>
        <w:footnoteRef/>
      </w:r>
      <w:r>
        <w:t xml:space="preserve"> United States Food and Drug Administration (FDA), </w:t>
      </w:r>
      <w:r w:rsidRPr="00272684">
        <w:t>Approval</w:t>
      </w:r>
      <w:r>
        <w:t xml:space="preserve"> letter for </w:t>
      </w:r>
      <w:r w:rsidRPr="00272684">
        <w:t>Lumakras (</w:t>
      </w:r>
      <w:r w:rsidRPr="00272684">
        <w:t>sotorasib)</w:t>
      </w:r>
      <w:r>
        <w:t xml:space="preserve">. Available at: </w:t>
      </w:r>
      <w:hyperlink r:id="rId6" w:history="1">
        <w:r w:rsidRPr="0099020F">
          <w:rPr>
            <w:rStyle w:val="Hyperlink"/>
          </w:rPr>
          <w:t>https://www.accessdata.fda.gov/drugsatfda_docs/appletter/2021/214665Orig1s000ltr.pdf</w:t>
        </w:r>
      </w:hyperlink>
      <w:r>
        <w:t>.</w:t>
      </w:r>
    </w:p>
  </w:footnote>
  <w:footnote w:id="20">
    <w:p w14:paraId="23A367D4" w14:textId="65B4A874" w:rsidR="003D0DD6" w:rsidRDefault="003D0DD6" w:rsidP="007E1660">
      <w:pPr>
        <w:pStyle w:val="FootnoteText"/>
      </w:pPr>
      <w:r>
        <w:rPr>
          <w:rStyle w:val="FootnoteReference"/>
        </w:rPr>
        <w:footnoteRef/>
      </w:r>
      <w:r>
        <w:t xml:space="preserve"> </w:t>
      </w:r>
      <w:r w:rsidRPr="007E1660">
        <w:t xml:space="preserve">European Medicines Agency </w:t>
      </w:r>
      <w:r>
        <w:t xml:space="preserve">(EMA), </w:t>
      </w:r>
      <w:r w:rsidRPr="007E1660">
        <w:t xml:space="preserve">Committee for Medicinal Products for Human Use </w:t>
      </w:r>
      <w:r>
        <w:t>(CHMP), ICH Guideline S9 on Nonclinical Evaluation for Anticancer</w:t>
      </w:r>
    </w:p>
    <w:p w14:paraId="08E2EA8C" w14:textId="1CBB4C12" w:rsidR="003D0DD6" w:rsidRDefault="003D0DD6" w:rsidP="007E1660">
      <w:pPr>
        <w:pStyle w:val="FootnoteText"/>
      </w:pPr>
      <w:r>
        <w:t xml:space="preserve">Pharmaceuticals, </w:t>
      </w:r>
      <w:r w:rsidRPr="007E1660">
        <w:t>EMA/CHMP/ICH/646107/2008</w:t>
      </w:r>
      <w:r>
        <w:t xml:space="preserve">, </w:t>
      </w:r>
      <w:r w:rsidRPr="007E1660">
        <w:t>May 2010</w:t>
      </w:r>
      <w:r>
        <w:t>.</w:t>
      </w:r>
    </w:p>
  </w:footnote>
  <w:footnote w:id="21">
    <w:p w14:paraId="2B0B3371" w14:textId="2A36609D" w:rsidR="003D0DD6" w:rsidRDefault="003D0DD6" w:rsidP="007E1660">
      <w:pPr>
        <w:pStyle w:val="FootnoteText"/>
      </w:pPr>
      <w:r>
        <w:rPr>
          <w:rStyle w:val="FootnoteReference"/>
        </w:rPr>
        <w:footnoteRef/>
      </w:r>
      <w:r>
        <w:t xml:space="preserve"> </w:t>
      </w:r>
      <w:r w:rsidRPr="007E1660">
        <w:t xml:space="preserve">European Medicines Agency (EMA), Committee for Medicinal Products for Human Use (CHMP), </w:t>
      </w:r>
      <w:r>
        <w:t xml:space="preserve">ICH S9 Guideline on Nonclinical Evaluation for Anticancer Pharmaceuticals - Questions and Answers, </w:t>
      </w:r>
      <w:r w:rsidRPr="007E1660">
        <w:t>EMA/CHMP/ICH/453684/2016</w:t>
      </w:r>
      <w:r>
        <w:t xml:space="preserve">, </w:t>
      </w:r>
      <w:r w:rsidRPr="007E1660">
        <w:t>16 May 2018</w:t>
      </w:r>
      <w:r>
        <w:t>.</w:t>
      </w:r>
    </w:p>
  </w:footnote>
  <w:footnote w:id="22">
    <w:p w14:paraId="342E6BDC" w14:textId="2975DF90" w:rsidR="003D0DD6" w:rsidRDefault="003D0DD6" w:rsidP="007E1660">
      <w:pPr>
        <w:pStyle w:val="FootnoteText"/>
      </w:pPr>
      <w:r>
        <w:rPr>
          <w:rStyle w:val="FootnoteReference"/>
        </w:rPr>
        <w:footnoteRef/>
      </w:r>
      <w:r>
        <w:t xml:space="preserve"> </w:t>
      </w:r>
      <w:r w:rsidRPr="007E1660">
        <w:t xml:space="preserve">European Medicines Evaluation Agency </w:t>
      </w:r>
      <w:r>
        <w:t xml:space="preserve">(EMEA), </w:t>
      </w:r>
      <w:r w:rsidRPr="007E1660">
        <w:t xml:space="preserve">Committee for Proprietary Medicinal Products </w:t>
      </w:r>
      <w:r>
        <w:t xml:space="preserve">(CPMP), ICH Topic Q 3 A (R2) Impurities in new Drug Substances, Note for Guidance on Impurities Testing: Impurities in New Drug Substances, </w:t>
      </w:r>
      <w:r w:rsidRPr="007E1660">
        <w:t>CPMP/ICH/2737/99</w:t>
      </w:r>
      <w:r>
        <w:t xml:space="preserve">, </w:t>
      </w:r>
      <w:r w:rsidRPr="007E1660">
        <w:t>October 2006</w:t>
      </w:r>
      <w:r>
        <w:t>.</w:t>
      </w:r>
    </w:p>
  </w:footnote>
  <w:footnote w:id="23">
    <w:p w14:paraId="0849812D" w14:textId="4D1D6096" w:rsidR="003D0DD6" w:rsidRDefault="003D0DD6">
      <w:pPr>
        <w:pStyle w:val="FootnoteText"/>
      </w:pPr>
      <w:r>
        <w:rPr>
          <w:rStyle w:val="FootnoteReference"/>
        </w:rPr>
        <w:footnoteRef/>
      </w:r>
      <w:r>
        <w:t xml:space="preserve"> </w:t>
      </w:r>
      <w:r w:rsidRPr="007E5498">
        <w:t xml:space="preserve">United States Food and Drug Administration, Guidance for Industry, Pharmacokinetics in Patients with Impaired Hepatic Function: Study Design, Data Analysis, and Impact on Dosing and </w:t>
      </w:r>
      <w:r w:rsidRPr="007E5498">
        <w:t>Labeling, May 2003.</w:t>
      </w:r>
    </w:p>
  </w:footnote>
  <w:footnote w:id="24">
    <w:p w14:paraId="2BFF4DB2" w14:textId="1231829D" w:rsidR="003D0DD6" w:rsidRDefault="003D0DD6">
      <w:pPr>
        <w:pStyle w:val="FootnoteText"/>
      </w:pPr>
      <w:r>
        <w:rPr>
          <w:rStyle w:val="FootnoteReference"/>
        </w:rPr>
        <w:footnoteRef/>
      </w:r>
      <w:r>
        <w:t xml:space="preserve"> </w:t>
      </w:r>
      <w:r w:rsidRPr="007E5498">
        <w:t>United States Food and Drug administration, Guidance for Industry, Clinical Drug Interaction Studies - Cytochrome P450 Enzyme and Transporter-Mediated Drug-Drug Interactions, January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B242" w14:textId="77777777" w:rsidR="003D0DD6" w:rsidRDefault="003D0DD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EF9C" w14:textId="77777777" w:rsidR="003D0DD6" w:rsidRDefault="003D0DD6">
    <w:pPr>
      <w:rPr>
        <w:noProof/>
        <w:lang w:eastAsia="en-AU"/>
      </w:rPr>
    </w:pPr>
    <w:r w:rsidRPr="00347824">
      <w:rPr>
        <w:noProof/>
        <w:lang w:val="en-GB" w:eastAsia="en-GB"/>
      </w:rPr>
      <w:drawing>
        <wp:anchor distT="0" distB="0" distL="114300" distR="114300" simplePos="0" relativeHeight="251659264" behindDoc="1" locked="0" layoutInCell="1" allowOverlap="1" wp14:anchorId="1D813907" wp14:editId="0175788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0495" w14:textId="77777777" w:rsidR="003D0DD6" w:rsidRDefault="003D0DD6">
    <w:pPr>
      <w:pStyle w:val="Header"/>
    </w:pPr>
  </w:p>
  <w:p w14:paraId="76B9C697" w14:textId="77777777" w:rsidR="003D0DD6" w:rsidRDefault="003D0DD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3653" w14:textId="77777777" w:rsidR="003D0DD6" w:rsidRDefault="003D0DD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04EE" w14:textId="77777777" w:rsidR="003D0DD6" w:rsidRDefault="003D0DD6">
    <w:pPr>
      <w:pStyle w:val="Header"/>
    </w:pPr>
    <w:r>
      <w:t>Therapeutic Goods Administration</w:t>
    </w:r>
  </w:p>
  <w:p w14:paraId="3922DD8D" w14:textId="77777777" w:rsidR="003D0DD6" w:rsidRDefault="003D0DD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76FD" w14:textId="77777777" w:rsidR="003D0DD6" w:rsidRDefault="003D0D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E094" w14:textId="77777777" w:rsidR="003D0DD6" w:rsidRDefault="003D0DD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229F" w14:textId="77777777" w:rsidR="003D0DD6" w:rsidRDefault="003D0DD6" w:rsidP="006E08B3">
    <w:r>
      <w:t>Therapeutic Goods Administration</w:t>
    </w:r>
  </w:p>
  <w:p w14:paraId="633F256C" w14:textId="77777777" w:rsidR="003D0DD6" w:rsidRDefault="003D0DD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20E7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8F13E9"/>
    <w:multiLevelType w:val="multilevel"/>
    <w:tmpl w:val="EA4E31A6"/>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E8756F"/>
    <w:multiLevelType w:val="hybridMultilevel"/>
    <w:tmpl w:val="C7D6EC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3500B46"/>
    <w:multiLevelType w:val="hybridMultilevel"/>
    <w:tmpl w:val="47AC1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91"/>
    <w:rsid w:val="00002031"/>
    <w:rsid w:val="00004734"/>
    <w:rsid w:val="000054EA"/>
    <w:rsid w:val="00006AC5"/>
    <w:rsid w:val="00006B22"/>
    <w:rsid w:val="00006FAB"/>
    <w:rsid w:val="0001276A"/>
    <w:rsid w:val="00022E61"/>
    <w:rsid w:val="000246AE"/>
    <w:rsid w:val="00025C67"/>
    <w:rsid w:val="00026646"/>
    <w:rsid w:val="00027E00"/>
    <w:rsid w:val="000348AE"/>
    <w:rsid w:val="00037374"/>
    <w:rsid w:val="00044772"/>
    <w:rsid w:val="0004541C"/>
    <w:rsid w:val="0005559E"/>
    <w:rsid w:val="000604D6"/>
    <w:rsid w:val="000734D8"/>
    <w:rsid w:val="00077775"/>
    <w:rsid w:val="00082781"/>
    <w:rsid w:val="00090471"/>
    <w:rsid w:val="00094142"/>
    <w:rsid w:val="00096AA7"/>
    <w:rsid w:val="000A2D01"/>
    <w:rsid w:val="000A3AED"/>
    <w:rsid w:val="000B30AE"/>
    <w:rsid w:val="000B3532"/>
    <w:rsid w:val="000B3A75"/>
    <w:rsid w:val="000B7E3A"/>
    <w:rsid w:val="000C00C2"/>
    <w:rsid w:val="000C30B5"/>
    <w:rsid w:val="000C690F"/>
    <w:rsid w:val="000D1295"/>
    <w:rsid w:val="000D1FF9"/>
    <w:rsid w:val="000D32B9"/>
    <w:rsid w:val="000D391B"/>
    <w:rsid w:val="000D3D6D"/>
    <w:rsid w:val="000D4FC7"/>
    <w:rsid w:val="000E6196"/>
    <w:rsid w:val="000F0C12"/>
    <w:rsid w:val="000F4869"/>
    <w:rsid w:val="000F5B42"/>
    <w:rsid w:val="000F6E6F"/>
    <w:rsid w:val="0010601F"/>
    <w:rsid w:val="00106EAF"/>
    <w:rsid w:val="0010788A"/>
    <w:rsid w:val="00107A31"/>
    <w:rsid w:val="00110EA5"/>
    <w:rsid w:val="00112F56"/>
    <w:rsid w:val="0011580E"/>
    <w:rsid w:val="00117C1F"/>
    <w:rsid w:val="00122C2E"/>
    <w:rsid w:val="00124ACD"/>
    <w:rsid w:val="00125318"/>
    <w:rsid w:val="001305A2"/>
    <w:rsid w:val="00130DF3"/>
    <w:rsid w:val="00133238"/>
    <w:rsid w:val="00133A1B"/>
    <w:rsid w:val="0014197B"/>
    <w:rsid w:val="001447CD"/>
    <w:rsid w:val="00146D63"/>
    <w:rsid w:val="001471FB"/>
    <w:rsid w:val="001510AA"/>
    <w:rsid w:val="001516B1"/>
    <w:rsid w:val="00154EBB"/>
    <w:rsid w:val="00155BA2"/>
    <w:rsid w:val="00156316"/>
    <w:rsid w:val="00161181"/>
    <w:rsid w:val="00161D56"/>
    <w:rsid w:val="00162AE3"/>
    <w:rsid w:val="00162D14"/>
    <w:rsid w:val="00163780"/>
    <w:rsid w:val="00165389"/>
    <w:rsid w:val="0017154E"/>
    <w:rsid w:val="00171934"/>
    <w:rsid w:val="00174A4D"/>
    <w:rsid w:val="0017693F"/>
    <w:rsid w:val="0018110E"/>
    <w:rsid w:val="00181684"/>
    <w:rsid w:val="001843C6"/>
    <w:rsid w:val="001850E0"/>
    <w:rsid w:val="00185407"/>
    <w:rsid w:val="001925D2"/>
    <w:rsid w:val="00192684"/>
    <w:rsid w:val="001A03AF"/>
    <w:rsid w:val="001A2158"/>
    <w:rsid w:val="001A33CD"/>
    <w:rsid w:val="001A525F"/>
    <w:rsid w:val="001A5A00"/>
    <w:rsid w:val="001A6533"/>
    <w:rsid w:val="001A66B8"/>
    <w:rsid w:val="001A78A1"/>
    <w:rsid w:val="001B09F9"/>
    <w:rsid w:val="001B1DA4"/>
    <w:rsid w:val="001B4240"/>
    <w:rsid w:val="001B5C90"/>
    <w:rsid w:val="001B6448"/>
    <w:rsid w:val="001C12C3"/>
    <w:rsid w:val="001C32CD"/>
    <w:rsid w:val="001C7B34"/>
    <w:rsid w:val="001D087C"/>
    <w:rsid w:val="001D2984"/>
    <w:rsid w:val="001D420C"/>
    <w:rsid w:val="001E07CF"/>
    <w:rsid w:val="001E0F3E"/>
    <w:rsid w:val="001E359E"/>
    <w:rsid w:val="001E55DF"/>
    <w:rsid w:val="001E59F1"/>
    <w:rsid w:val="001E7C28"/>
    <w:rsid w:val="001F0DDC"/>
    <w:rsid w:val="001F2CEE"/>
    <w:rsid w:val="001F49EB"/>
    <w:rsid w:val="001F6CBA"/>
    <w:rsid w:val="00201D4E"/>
    <w:rsid w:val="0020205B"/>
    <w:rsid w:val="002076C9"/>
    <w:rsid w:val="00220B8A"/>
    <w:rsid w:val="002257F3"/>
    <w:rsid w:val="00226918"/>
    <w:rsid w:val="002275F9"/>
    <w:rsid w:val="00230786"/>
    <w:rsid w:val="002314EA"/>
    <w:rsid w:val="00233456"/>
    <w:rsid w:val="002339A5"/>
    <w:rsid w:val="00240BCF"/>
    <w:rsid w:val="0024729F"/>
    <w:rsid w:val="00247AD2"/>
    <w:rsid w:val="00250271"/>
    <w:rsid w:val="00250F35"/>
    <w:rsid w:val="00256F62"/>
    <w:rsid w:val="00257848"/>
    <w:rsid w:val="002578E8"/>
    <w:rsid w:val="0027084A"/>
    <w:rsid w:val="00271E85"/>
    <w:rsid w:val="00272684"/>
    <w:rsid w:val="00280265"/>
    <w:rsid w:val="002810C0"/>
    <w:rsid w:val="00286434"/>
    <w:rsid w:val="00286C59"/>
    <w:rsid w:val="00291957"/>
    <w:rsid w:val="002942D1"/>
    <w:rsid w:val="0029501A"/>
    <w:rsid w:val="002A2318"/>
    <w:rsid w:val="002A3721"/>
    <w:rsid w:val="002B1638"/>
    <w:rsid w:val="002B3624"/>
    <w:rsid w:val="002B47B3"/>
    <w:rsid w:val="002C7167"/>
    <w:rsid w:val="002D0952"/>
    <w:rsid w:val="002D3779"/>
    <w:rsid w:val="002D384F"/>
    <w:rsid w:val="002E40B3"/>
    <w:rsid w:val="002E4C9A"/>
    <w:rsid w:val="002F11F8"/>
    <w:rsid w:val="002F3F56"/>
    <w:rsid w:val="002F44B5"/>
    <w:rsid w:val="002F5122"/>
    <w:rsid w:val="00304B6F"/>
    <w:rsid w:val="003070E8"/>
    <w:rsid w:val="00307400"/>
    <w:rsid w:val="00311AC0"/>
    <w:rsid w:val="0031530C"/>
    <w:rsid w:val="003176FC"/>
    <w:rsid w:val="0032230B"/>
    <w:rsid w:val="00324E45"/>
    <w:rsid w:val="0032583B"/>
    <w:rsid w:val="00327883"/>
    <w:rsid w:val="00332715"/>
    <w:rsid w:val="00335504"/>
    <w:rsid w:val="00340066"/>
    <w:rsid w:val="00340C18"/>
    <w:rsid w:val="003442FD"/>
    <w:rsid w:val="00344667"/>
    <w:rsid w:val="00347824"/>
    <w:rsid w:val="00350567"/>
    <w:rsid w:val="00350D27"/>
    <w:rsid w:val="003521E8"/>
    <w:rsid w:val="003567BB"/>
    <w:rsid w:val="00361F9E"/>
    <w:rsid w:val="00370CE3"/>
    <w:rsid w:val="003728F3"/>
    <w:rsid w:val="003735BC"/>
    <w:rsid w:val="0037496E"/>
    <w:rsid w:val="00377425"/>
    <w:rsid w:val="00383221"/>
    <w:rsid w:val="00383B74"/>
    <w:rsid w:val="00386150"/>
    <w:rsid w:val="003874CE"/>
    <w:rsid w:val="00390900"/>
    <w:rsid w:val="00395A35"/>
    <w:rsid w:val="003A7F6C"/>
    <w:rsid w:val="003B4BD4"/>
    <w:rsid w:val="003B4D60"/>
    <w:rsid w:val="003B73D2"/>
    <w:rsid w:val="003B75D9"/>
    <w:rsid w:val="003B7E39"/>
    <w:rsid w:val="003C4181"/>
    <w:rsid w:val="003C58DC"/>
    <w:rsid w:val="003D0DD6"/>
    <w:rsid w:val="003D1E62"/>
    <w:rsid w:val="003D610A"/>
    <w:rsid w:val="003E0B99"/>
    <w:rsid w:val="003E2322"/>
    <w:rsid w:val="003E2486"/>
    <w:rsid w:val="003E3208"/>
    <w:rsid w:val="003E45F5"/>
    <w:rsid w:val="003E7696"/>
    <w:rsid w:val="003F0B04"/>
    <w:rsid w:val="0040134E"/>
    <w:rsid w:val="004278C0"/>
    <w:rsid w:val="004334C7"/>
    <w:rsid w:val="00435A11"/>
    <w:rsid w:val="004408D3"/>
    <w:rsid w:val="00440A2D"/>
    <w:rsid w:val="00441C3F"/>
    <w:rsid w:val="00444AF5"/>
    <w:rsid w:val="00444D1A"/>
    <w:rsid w:val="0045186A"/>
    <w:rsid w:val="00454BDC"/>
    <w:rsid w:val="004564A7"/>
    <w:rsid w:val="00456765"/>
    <w:rsid w:val="00460036"/>
    <w:rsid w:val="004617BF"/>
    <w:rsid w:val="00463658"/>
    <w:rsid w:val="004637A0"/>
    <w:rsid w:val="00465D98"/>
    <w:rsid w:val="0046797A"/>
    <w:rsid w:val="004722CC"/>
    <w:rsid w:val="00481AD4"/>
    <w:rsid w:val="0048357C"/>
    <w:rsid w:val="00486BC1"/>
    <w:rsid w:val="00490483"/>
    <w:rsid w:val="00491112"/>
    <w:rsid w:val="004936E4"/>
    <w:rsid w:val="00494E60"/>
    <w:rsid w:val="0049641B"/>
    <w:rsid w:val="00497487"/>
    <w:rsid w:val="004A2771"/>
    <w:rsid w:val="004A6189"/>
    <w:rsid w:val="004A7390"/>
    <w:rsid w:val="004B65D6"/>
    <w:rsid w:val="004B7B76"/>
    <w:rsid w:val="004C239D"/>
    <w:rsid w:val="004C2B1B"/>
    <w:rsid w:val="004C2DCA"/>
    <w:rsid w:val="004C4FBE"/>
    <w:rsid w:val="004C61D2"/>
    <w:rsid w:val="004E2EA4"/>
    <w:rsid w:val="004E662D"/>
    <w:rsid w:val="004F0C4A"/>
    <w:rsid w:val="004F0F38"/>
    <w:rsid w:val="004F1B76"/>
    <w:rsid w:val="004F47D6"/>
    <w:rsid w:val="00500337"/>
    <w:rsid w:val="00500E5E"/>
    <w:rsid w:val="00501921"/>
    <w:rsid w:val="00505417"/>
    <w:rsid w:val="00506F08"/>
    <w:rsid w:val="0051034D"/>
    <w:rsid w:val="00512C04"/>
    <w:rsid w:val="0052149B"/>
    <w:rsid w:val="00523A21"/>
    <w:rsid w:val="00530354"/>
    <w:rsid w:val="00533D25"/>
    <w:rsid w:val="0053625B"/>
    <w:rsid w:val="005434C6"/>
    <w:rsid w:val="00543B39"/>
    <w:rsid w:val="00545CDB"/>
    <w:rsid w:val="00546154"/>
    <w:rsid w:val="00547D5B"/>
    <w:rsid w:val="00550096"/>
    <w:rsid w:val="00555280"/>
    <w:rsid w:val="00557FF9"/>
    <w:rsid w:val="00560348"/>
    <w:rsid w:val="00562327"/>
    <w:rsid w:val="00566CF6"/>
    <w:rsid w:val="005711D5"/>
    <w:rsid w:val="00576378"/>
    <w:rsid w:val="00577130"/>
    <w:rsid w:val="00577945"/>
    <w:rsid w:val="00577E38"/>
    <w:rsid w:val="00581DAE"/>
    <w:rsid w:val="00581EEE"/>
    <w:rsid w:val="00585322"/>
    <w:rsid w:val="005857C6"/>
    <w:rsid w:val="005879B7"/>
    <w:rsid w:val="00592F6E"/>
    <w:rsid w:val="00593AD1"/>
    <w:rsid w:val="00594BB6"/>
    <w:rsid w:val="005A68B6"/>
    <w:rsid w:val="005A79F5"/>
    <w:rsid w:val="005C156F"/>
    <w:rsid w:val="005C4023"/>
    <w:rsid w:val="005C494B"/>
    <w:rsid w:val="005C5570"/>
    <w:rsid w:val="005C5B66"/>
    <w:rsid w:val="005C5B6E"/>
    <w:rsid w:val="005C6FC9"/>
    <w:rsid w:val="005C79A4"/>
    <w:rsid w:val="005D5442"/>
    <w:rsid w:val="005E0735"/>
    <w:rsid w:val="005E0838"/>
    <w:rsid w:val="00602C96"/>
    <w:rsid w:val="00602F95"/>
    <w:rsid w:val="00603F32"/>
    <w:rsid w:val="00605AD4"/>
    <w:rsid w:val="00606EFF"/>
    <w:rsid w:val="0061167D"/>
    <w:rsid w:val="006136D7"/>
    <w:rsid w:val="00617219"/>
    <w:rsid w:val="00620953"/>
    <w:rsid w:val="00625A6E"/>
    <w:rsid w:val="00630691"/>
    <w:rsid w:val="00632398"/>
    <w:rsid w:val="00633755"/>
    <w:rsid w:val="006343C2"/>
    <w:rsid w:val="00640FC3"/>
    <w:rsid w:val="00642020"/>
    <w:rsid w:val="006430EE"/>
    <w:rsid w:val="00643CE5"/>
    <w:rsid w:val="00647199"/>
    <w:rsid w:val="0065337B"/>
    <w:rsid w:val="0065419D"/>
    <w:rsid w:val="00655224"/>
    <w:rsid w:val="006603BC"/>
    <w:rsid w:val="006604D8"/>
    <w:rsid w:val="0066410E"/>
    <w:rsid w:val="00664A5B"/>
    <w:rsid w:val="0066735C"/>
    <w:rsid w:val="006763D2"/>
    <w:rsid w:val="00680C08"/>
    <w:rsid w:val="006901BA"/>
    <w:rsid w:val="006916A0"/>
    <w:rsid w:val="006931B1"/>
    <w:rsid w:val="00697B82"/>
    <w:rsid w:val="006A0D0B"/>
    <w:rsid w:val="006A15C0"/>
    <w:rsid w:val="006A58A8"/>
    <w:rsid w:val="006B4CAE"/>
    <w:rsid w:val="006C3E2A"/>
    <w:rsid w:val="006C642F"/>
    <w:rsid w:val="006D03E5"/>
    <w:rsid w:val="006D1E1D"/>
    <w:rsid w:val="006D2195"/>
    <w:rsid w:val="006D5D3E"/>
    <w:rsid w:val="006E08B3"/>
    <w:rsid w:val="006E7D4A"/>
    <w:rsid w:val="006F17AC"/>
    <w:rsid w:val="006F25B8"/>
    <w:rsid w:val="006F2C4E"/>
    <w:rsid w:val="006F3E39"/>
    <w:rsid w:val="006F572E"/>
    <w:rsid w:val="007046D6"/>
    <w:rsid w:val="007055BA"/>
    <w:rsid w:val="00705DB0"/>
    <w:rsid w:val="0072292E"/>
    <w:rsid w:val="00722B57"/>
    <w:rsid w:val="00730F8A"/>
    <w:rsid w:val="00731F53"/>
    <w:rsid w:val="00735A8C"/>
    <w:rsid w:val="0074163C"/>
    <w:rsid w:val="0074253D"/>
    <w:rsid w:val="00744121"/>
    <w:rsid w:val="0074429B"/>
    <w:rsid w:val="0074779B"/>
    <w:rsid w:val="0075394C"/>
    <w:rsid w:val="007615BC"/>
    <w:rsid w:val="00762F05"/>
    <w:rsid w:val="007652FF"/>
    <w:rsid w:val="007703EF"/>
    <w:rsid w:val="00770CAC"/>
    <w:rsid w:val="00770EF1"/>
    <w:rsid w:val="0077131A"/>
    <w:rsid w:val="00772C86"/>
    <w:rsid w:val="00773EF7"/>
    <w:rsid w:val="00774E1D"/>
    <w:rsid w:val="007765D8"/>
    <w:rsid w:val="0077675A"/>
    <w:rsid w:val="00780355"/>
    <w:rsid w:val="007819FD"/>
    <w:rsid w:val="00782132"/>
    <w:rsid w:val="00785717"/>
    <w:rsid w:val="00785721"/>
    <w:rsid w:val="00793A59"/>
    <w:rsid w:val="007A46F5"/>
    <w:rsid w:val="007A6505"/>
    <w:rsid w:val="007B6132"/>
    <w:rsid w:val="007B6E9F"/>
    <w:rsid w:val="007C1216"/>
    <w:rsid w:val="007C1AF7"/>
    <w:rsid w:val="007C5DC2"/>
    <w:rsid w:val="007C6B9B"/>
    <w:rsid w:val="007C77FA"/>
    <w:rsid w:val="007D53B6"/>
    <w:rsid w:val="007E1660"/>
    <w:rsid w:val="007E5498"/>
    <w:rsid w:val="007F4EEA"/>
    <w:rsid w:val="00804D99"/>
    <w:rsid w:val="00805D27"/>
    <w:rsid w:val="00806DCB"/>
    <w:rsid w:val="008110BC"/>
    <w:rsid w:val="0081145C"/>
    <w:rsid w:val="00821776"/>
    <w:rsid w:val="008247CC"/>
    <w:rsid w:val="00824D8B"/>
    <w:rsid w:val="008321F5"/>
    <w:rsid w:val="00832369"/>
    <w:rsid w:val="00833ED8"/>
    <w:rsid w:val="00834660"/>
    <w:rsid w:val="00836BC2"/>
    <w:rsid w:val="008408C3"/>
    <w:rsid w:val="0085156D"/>
    <w:rsid w:val="00852B28"/>
    <w:rsid w:val="0085641B"/>
    <w:rsid w:val="00857136"/>
    <w:rsid w:val="00865B03"/>
    <w:rsid w:val="00870F86"/>
    <w:rsid w:val="00875A6B"/>
    <w:rsid w:val="00876ADD"/>
    <w:rsid w:val="00885B11"/>
    <w:rsid w:val="00886D15"/>
    <w:rsid w:val="00887DD8"/>
    <w:rsid w:val="00891BA9"/>
    <w:rsid w:val="00896018"/>
    <w:rsid w:val="008960DD"/>
    <w:rsid w:val="0089635C"/>
    <w:rsid w:val="00896726"/>
    <w:rsid w:val="008A2B9D"/>
    <w:rsid w:val="008A3D9F"/>
    <w:rsid w:val="008A5E0B"/>
    <w:rsid w:val="008A6D59"/>
    <w:rsid w:val="008B3CC7"/>
    <w:rsid w:val="008B4B03"/>
    <w:rsid w:val="008B596F"/>
    <w:rsid w:val="008B6E00"/>
    <w:rsid w:val="008C0E76"/>
    <w:rsid w:val="008C12AD"/>
    <w:rsid w:val="008C159F"/>
    <w:rsid w:val="008C1623"/>
    <w:rsid w:val="008C1850"/>
    <w:rsid w:val="008C51A9"/>
    <w:rsid w:val="008D32D7"/>
    <w:rsid w:val="008E44B8"/>
    <w:rsid w:val="008E74DA"/>
    <w:rsid w:val="008E7846"/>
    <w:rsid w:val="008E7EFF"/>
    <w:rsid w:val="008F02E5"/>
    <w:rsid w:val="008F1CCC"/>
    <w:rsid w:val="008F2967"/>
    <w:rsid w:val="008F6943"/>
    <w:rsid w:val="00902671"/>
    <w:rsid w:val="00902A21"/>
    <w:rsid w:val="00903FB9"/>
    <w:rsid w:val="0091523F"/>
    <w:rsid w:val="00920330"/>
    <w:rsid w:val="009219D7"/>
    <w:rsid w:val="00922D53"/>
    <w:rsid w:val="00923B70"/>
    <w:rsid w:val="00924482"/>
    <w:rsid w:val="00930237"/>
    <w:rsid w:val="0093644B"/>
    <w:rsid w:val="00936693"/>
    <w:rsid w:val="00937C17"/>
    <w:rsid w:val="00940A89"/>
    <w:rsid w:val="00941F77"/>
    <w:rsid w:val="00943063"/>
    <w:rsid w:val="00943251"/>
    <w:rsid w:val="00946EA5"/>
    <w:rsid w:val="00952451"/>
    <w:rsid w:val="009556D7"/>
    <w:rsid w:val="00960520"/>
    <w:rsid w:val="00963C08"/>
    <w:rsid w:val="009752A5"/>
    <w:rsid w:val="00983104"/>
    <w:rsid w:val="0098585A"/>
    <w:rsid w:val="00987369"/>
    <w:rsid w:val="00987863"/>
    <w:rsid w:val="009A4CED"/>
    <w:rsid w:val="009A690D"/>
    <w:rsid w:val="009B1D12"/>
    <w:rsid w:val="009B1F94"/>
    <w:rsid w:val="009B21DC"/>
    <w:rsid w:val="009B416B"/>
    <w:rsid w:val="009B5727"/>
    <w:rsid w:val="009B7D84"/>
    <w:rsid w:val="009C4914"/>
    <w:rsid w:val="009C4BD5"/>
    <w:rsid w:val="009D146F"/>
    <w:rsid w:val="009D6B27"/>
    <w:rsid w:val="009D7B77"/>
    <w:rsid w:val="009E0BB0"/>
    <w:rsid w:val="009E39C8"/>
    <w:rsid w:val="009E3FBB"/>
    <w:rsid w:val="009E5A87"/>
    <w:rsid w:val="009F2673"/>
    <w:rsid w:val="009F7353"/>
    <w:rsid w:val="00A04F85"/>
    <w:rsid w:val="00A05FA4"/>
    <w:rsid w:val="00A102E4"/>
    <w:rsid w:val="00A1219C"/>
    <w:rsid w:val="00A12AEA"/>
    <w:rsid w:val="00A12C42"/>
    <w:rsid w:val="00A13739"/>
    <w:rsid w:val="00A13C45"/>
    <w:rsid w:val="00A14DF7"/>
    <w:rsid w:val="00A22D57"/>
    <w:rsid w:val="00A3246D"/>
    <w:rsid w:val="00A326AA"/>
    <w:rsid w:val="00A36FA7"/>
    <w:rsid w:val="00A4069E"/>
    <w:rsid w:val="00A44DDB"/>
    <w:rsid w:val="00A475B7"/>
    <w:rsid w:val="00A47AF7"/>
    <w:rsid w:val="00A47C3E"/>
    <w:rsid w:val="00A50226"/>
    <w:rsid w:val="00A53E6D"/>
    <w:rsid w:val="00A54F67"/>
    <w:rsid w:val="00A60BAD"/>
    <w:rsid w:val="00A74087"/>
    <w:rsid w:val="00A77F87"/>
    <w:rsid w:val="00A80B5B"/>
    <w:rsid w:val="00A82A7A"/>
    <w:rsid w:val="00A84034"/>
    <w:rsid w:val="00A84E36"/>
    <w:rsid w:val="00A87046"/>
    <w:rsid w:val="00A964D1"/>
    <w:rsid w:val="00AA0ED0"/>
    <w:rsid w:val="00AC0899"/>
    <w:rsid w:val="00AC2B40"/>
    <w:rsid w:val="00AC2BB2"/>
    <w:rsid w:val="00AC2C3C"/>
    <w:rsid w:val="00AC512D"/>
    <w:rsid w:val="00AC5A4D"/>
    <w:rsid w:val="00AC6E74"/>
    <w:rsid w:val="00AD0083"/>
    <w:rsid w:val="00AD3935"/>
    <w:rsid w:val="00AE014A"/>
    <w:rsid w:val="00AE65EB"/>
    <w:rsid w:val="00AE67A7"/>
    <w:rsid w:val="00AF1D94"/>
    <w:rsid w:val="00AF2313"/>
    <w:rsid w:val="00AF60C5"/>
    <w:rsid w:val="00B00281"/>
    <w:rsid w:val="00B009C6"/>
    <w:rsid w:val="00B01548"/>
    <w:rsid w:val="00B130C5"/>
    <w:rsid w:val="00B13EBD"/>
    <w:rsid w:val="00B1406F"/>
    <w:rsid w:val="00B21D29"/>
    <w:rsid w:val="00B22B43"/>
    <w:rsid w:val="00B24245"/>
    <w:rsid w:val="00B25034"/>
    <w:rsid w:val="00B25BFB"/>
    <w:rsid w:val="00B33588"/>
    <w:rsid w:val="00B33863"/>
    <w:rsid w:val="00B37D17"/>
    <w:rsid w:val="00B4175E"/>
    <w:rsid w:val="00B41C85"/>
    <w:rsid w:val="00B452CE"/>
    <w:rsid w:val="00B54C25"/>
    <w:rsid w:val="00B70B90"/>
    <w:rsid w:val="00B76B91"/>
    <w:rsid w:val="00B77EB1"/>
    <w:rsid w:val="00B811C6"/>
    <w:rsid w:val="00B83721"/>
    <w:rsid w:val="00B855B0"/>
    <w:rsid w:val="00B92E08"/>
    <w:rsid w:val="00B96C21"/>
    <w:rsid w:val="00BA038A"/>
    <w:rsid w:val="00BA0E87"/>
    <w:rsid w:val="00BA3107"/>
    <w:rsid w:val="00BA3C92"/>
    <w:rsid w:val="00BA55EE"/>
    <w:rsid w:val="00BB0B78"/>
    <w:rsid w:val="00BB75D6"/>
    <w:rsid w:val="00BB7AA4"/>
    <w:rsid w:val="00BC3FFD"/>
    <w:rsid w:val="00BC622A"/>
    <w:rsid w:val="00BE0A78"/>
    <w:rsid w:val="00BE6542"/>
    <w:rsid w:val="00BE79F0"/>
    <w:rsid w:val="00BF046D"/>
    <w:rsid w:val="00BF1190"/>
    <w:rsid w:val="00BF3774"/>
    <w:rsid w:val="00BF5D04"/>
    <w:rsid w:val="00BF7063"/>
    <w:rsid w:val="00C009AA"/>
    <w:rsid w:val="00C1164D"/>
    <w:rsid w:val="00C13A79"/>
    <w:rsid w:val="00C16861"/>
    <w:rsid w:val="00C231F1"/>
    <w:rsid w:val="00C34133"/>
    <w:rsid w:val="00C346AB"/>
    <w:rsid w:val="00C404A6"/>
    <w:rsid w:val="00C40A36"/>
    <w:rsid w:val="00C41F70"/>
    <w:rsid w:val="00C44419"/>
    <w:rsid w:val="00C45E7B"/>
    <w:rsid w:val="00C471B1"/>
    <w:rsid w:val="00C525A2"/>
    <w:rsid w:val="00C52E24"/>
    <w:rsid w:val="00C54AB8"/>
    <w:rsid w:val="00C568D6"/>
    <w:rsid w:val="00C6316B"/>
    <w:rsid w:val="00C634A9"/>
    <w:rsid w:val="00C64586"/>
    <w:rsid w:val="00C70A36"/>
    <w:rsid w:val="00C70D53"/>
    <w:rsid w:val="00C73278"/>
    <w:rsid w:val="00C73D0B"/>
    <w:rsid w:val="00C74F5C"/>
    <w:rsid w:val="00C772FF"/>
    <w:rsid w:val="00C80137"/>
    <w:rsid w:val="00C801AF"/>
    <w:rsid w:val="00C80256"/>
    <w:rsid w:val="00C825A4"/>
    <w:rsid w:val="00C83534"/>
    <w:rsid w:val="00C94CD4"/>
    <w:rsid w:val="00C9747E"/>
    <w:rsid w:val="00CA2C6B"/>
    <w:rsid w:val="00CB6BC0"/>
    <w:rsid w:val="00CC1B7C"/>
    <w:rsid w:val="00CC340F"/>
    <w:rsid w:val="00CC4C23"/>
    <w:rsid w:val="00CC5044"/>
    <w:rsid w:val="00CC727F"/>
    <w:rsid w:val="00CE0393"/>
    <w:rsid w:val="00CE2A3B"/>
    <w:rsid w:val="00CE7F9D"/>
    <w:rsid w:val="00CF15C3"/>
    <w:rsid w:val="00CF2B6F"/>
    <w:rsid w:val="00CF2F3E"/>
    <w:rsid w:val="00CF5239"/>
    <w:rsid w:val="00CF58B6"/>
    <w:rsid w:val="00CF5DAD"/>
    <w:rsid w:val="00D0062D"/>
    <w:rsid w:val="00D017ED"/>
    <w:rsid w:val="00D040D3"/>
    <w:rsid w:val="00D04C65"/>
    <w:rsid w:val="00D153D8"/>
    <w:rsid w:val="00D201D2"/>
    <w:rsid w:val="00D212F3"/>
    <w:rsid w:val="00D215BE"/>
    <w:rsid w:val="00D224FE"/>
    <w:rsid w:val="00D23139"/>
    <w:rsid w:val="00D31F39"/>
    <w:rsid w:val="00D33FDC"/>
    <w:rsid w:val="00D425BB"/>
    <w:rsid w:val="00D453FA"/>
    <w:rsid w:val="00D4797B"/>
    <w:rsid w:val="00D56348"/>
    <w:rsid w:val="00D6493E"/>
    <w:rsid w:val="00D6575F"/>
    <w:rsid w:val="00D7195D"/>
    <w:rsid w:val="00D72CBA"/>
    <w:rsid w:val="00D7301E"/>
    <w:rsid w:val="00D8257F"/>
    <w:rsid w:val="00D83AE1"/>
    <w:rsid w:val="00D854AC"/>
    <w:rsid w:val="00D855D4"/>
    <w:rsid w:val="00D902C9"/>
    <w:rsid w:val="00D93466"/>
    <w:rsid w:val="00DA1124"/>
    <w:rsid w:val="00DA64CB"/>
    <w:rsid w:val="00DB06B8"/>
    <w:rsid w:val="00DB11B7"/>
    <w:rsid w:val="00DB6124"/>
    <w:rsid w:val="00DB750B"/>
    <w:rsid w:val="00DB75B7"/>
    <w:rsid w:val="00DC0A2F"/>
    <w:rsid w:val="00DC1948"/>
    <w:rsid w:val="00DC6E02"/>
    <w:rsid w:val="00DD0DEE"/>
    <w:rsid w:val="00DD217C"/>
    <w:rsid w:val="00DD28CD"/>
    <w:rsid w:val="00DD3A77"/>
    <w:rsid w:val="00DE02AE"/>
    <w:rsid w:val="00DE1DF8"/>
    <w:rsid w:val="00DE39D1"/>
    <w:rsid w:val="00DE6B64"/>
    <w:rsid w:val="00DF1D7F"/>
    <w:rsid w:val="00DF3269"/>
    <w:rsid w:val="00DF4BE4"/>
    <w:rsid w:val="00DF7C6F"/>
    <w:rsid w:val="00E02382"/>
    <w:rsid w:val="00E02FB4"/>
    <w:rsid w:val="00E04ABD"/>
    <w:rsid w:val="00E13FC7"/>
    <w:rsid w:val="00E20571"/>
    <w:rsid w:val="00E20EFF"/>
    <w:rsid w:val="00E234BB"/>
    <w:rsid w:val="00E235F7"/>
    <w:rsid w:val="00E23659"/>
    <w:rsid w:val="00E239D4"/>
    <w:rsid w:val="00E243C4"/>
    <w:rsid w:val="00E26130"/>
    <w:rsid w:val="00E267EE"/>
    <w:rsid w:val="00E33D42"/>
    <w:rsid w:val="00E40B22"/>
    <w:rsid w:val="00E44ED1"/>
    <w:rsid w:val="00E45619"/>
    <w:rsid w:val="00E4588F"/>
    <w:rsid w:val="00E46DA3"/>
    <w:rsid w:val="00E51BB1"/>
    <w:rsid w:val="00E52985"/>
    <w:rsid w:val="00E52B05"/>
    <w:rsid w:val="00E55CB0"/>
    <w:rsid w:val="00E624A5"/>
    <w:rsid w:val="00E64BA4"/>
    <w:rsid w:val="00E64FAC"/>
    <w:rsid w:val="00E701E8"/>
    <w:rsid w:val="00E7344E"/>
    <w:rsid w:val="00E80F46"/>
    <w:rsid w:val="00E82665"/>
    <w:rsid w:val="00E90D3E"/>
    <w:rsid w:val="00EA0344"/>
    <w:rsid w:val="00EB0798"/>
    <w:rsid w:val="00EB0E16"/>
    <w:rsid w:val="00EB36D6"/>
    <w:rsid w:val="00EB40AD"/>
    <w:rsid w:val="00EB463D"/>
    <w:rsid w:val="00EB586E"/>
    <w:rsid w:val="00EB5910"/>
    <w:rsid w:val="00EB5FC8"/>
    <w:rsid w:val="00EC463D"/>
    <w:rsid w:val="00EC7A85"/>
    <w:rsid w:val="00ED2922"/>
    <w:rsid w:val="00ED3BA2"/>
    <w:rsid w:val="00ED3CAD"/>
    <w:rsid w:val="00ED5A41"/>
    <w:rsid w:val="00EE1DE8"/>
    <w:rsid w:val="00EE231F"/>
    <w:rsid w:val="00EE27C2"/>
    <w:rsid w:val="00EE2DEE"/>
    <w:rsid w:val="00EF3A80"/>
    <w:rsid w:val="00EF4BAD"/>
    <w:rsid w:val="00EF59DC"/>
    <w:rsid w:val="00F033EC"/>
    <w:rsid w:val="00F04F68"/>
    <w:rsid w:val="00F108EA"/>
    <w:rsid w:val="00F12670"/>
    <w:rsid w:val="00F14B27"/>
    <w:rsid w:val="00F173E7"/>
    <w:rsid w:val="00F252CF"/>
    <w:rsid w:val="00F3148D"/>
    <w:rsid w:val="00F325C5"/>
    <w:rsid w:val="00F32FE0"/>
    <w:rsid w:val="00F35298"/>
    <w:rsid w:val="00F36E0D"/>
    <w:rsid w:val="00F47333"/>
    <w:rsid w:val="00F47E37"/>
    <w:rsid w:val="00F53329"/>
    <w:rsid w:val="00F53C07"/>
    <w:rsid w:val="00F54B65"/>
    <w:rsid w:val="00F6302F"/>
    <w:rsid w:val="00F63DBF"/>
    <w:rsid w:val="00F640B6"/>
    <w:rsid w:val="00F66DF2"/>
    <w:rsid w:val="00F809D5"/>
    <w:rsid w:val="00F80E40"/>
    <w:rsid w:val="00F848D9"/>
    <w:rsid w:val="00F878B2"/>
    <w:rsid w:val="00F931CE"/>
    <w:rsid w:val="00FA4BBA"/>
    <w:rsid w:val="00FA5069"/>
    <w:rsid w:val="00FA5B82"/>
    <w:rsid w:val="00FA639E"/>
    <w:rsid w:val="00FA7B45"/>
    <w:rsid w:val="00FB603B"/>
    <w:rsid w:val="00FB7EB0"/>
    <w:rsid w:val="00FC03AB"/>
    <w:rsid w:val="00FC1FCA"/>
    <w:rsid w:val="00FC25E4"/>
    <w:rsid w:val="00FC4EF7"/>
    <w:rsid w:val="00FD0824"/>
    <w:rsid w:val="00FD119B"/>
    <w:rsid w:val="00FD1EDC"/>
    <w:rsid w:val="00FD7317"/>
    <w:rsid w:val="00FE1DEE"/>
    <w:rsid w:val="00FE390F"/>
    <w:rsid w:val="00FE6F4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A8FA9"/>
  <w15:docId w15:val="{637951CF-3698-4264-A32C-876AEB5D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9268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E662D"/>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162AE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E0F3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ulletlist">
    <w:name w:val="Bullet list"/>
    <w:basedOn w:val="Normal"/>
    <w:link w:val="BulletlistChar"/>
    <w:qFormat/>
    <w:rsid w:val="008E74DA"/>
    <w:pPr>
      <w:numPr>
        <w:numId w:val="5"/>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8E74DA"/>
    <w:rPr>
      <w:rFonts w:ascii="Cambria" w:eastAsia="Times New Roman" w:hAnsi="Cambria" w:cs="Times New Roman"/>
      <w:snapToGrid w:val="0"/>
      <w:kern w:val="2"/>
      <w:sz w:val="23"/>
    </w:rPr>
  </w:style>
  <w:style w:type="paragraph" w:customStyle="1" w:styleId="Standard">
    <w:name w:val="Standard"/>
    <w:basedOn w:val="Normal"/>
    <w:link w:val="StandardChar"/>
    <w:qFormat/>
    <w:rsid w:val="008E74D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8E74DA"/>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8E74DA"/>
    <w:rPr>
      <w:rFonts w:ascii="Cambria" w:eastAsia="Cambria" w:hAnsi="Cambria" w:cs="Times New Roman"/>
      <w:snapToGrid/>
      <w:kern w:val="16"/>
      <w:sz w:val="19"/>
      <w:szCs w:val="24"/>
    </w:rPr>
  </w:style>
  <w:style w:type="paragraph" w:styleId="ListParagraph">
    <w:name w:val="List Paragraph"/>
    <w:basedOn w:val="Normal"/>
    <w:uiPriority w:val="34"/>
    <w:qFormat/>
    <w:rsid w:val="00E04ABD"/>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link w:val="BulletpointChar"/>
    <w:rsid w:val="00E04ABD"/>
    <w:pPr>
      <w:numPr>
        <w:numId w:val="7"/>
      </w:numPr>
      <w:tabs>
        <w:tab w:val="clear" w:pos="369"/>
        <w:tab w:val="left" w:pos="397"/>
        <w:tab w:val="num" w:pos="511"/>
      </w:tabs>
      <w:spacing w:before="0" w:after="180" w:line="252" w:lineRule="auto"/>
    </w:pPr>
    <w:rPr>
      <w:rFonts w:eastAsia="Times New Roman"/>
      <w:snapToGrid w:val="0"/>
      <w:kern w:val="16"/>
      <w:szCs w:val="24"/>
    </w:rPr>
  </w:style>
  <w:style w:type="character" w:customStyle="1" w:styleId="BulletpointChar">
    <w:name w:val="Bullet point Char"/>
    <w:basedOn w:val="DefaultParagraphFont"/>
    <w:link w:val="Bulletpoint"/>
    <w:rsid w:val="00E04ABD"/>
    <w:rPr>
      <w:rFonts w:ascii="Cambria" w:eastAsia="Times New Roman" w:hAnsi="Cambria" w:cs="Times New Roman"/>
      <w:snapToGrid w:val="0"/>
      <w:kern w:val="16"/>
      <w:szCs w:val="24"/>
    </w:rPr>
  </w:style>
  <w:style w:type="paragraph" w:customStyle="1" w:styleId="Text">
    <w:name w:val="Text"/>
    <w:basedOn w:val="Normal"/>
    <w:link w:val="TextChar"/>
    <w:rsid w:val="001E7C28"/>
    <w:pPr>
      <w:suppressAutoHyphens/>
      <w:spacing w:line="360" w:lineRule="auto"/>
    </w:pPr>
    <w:rPr>
      <w:rFonts w:ascii="Arial" w:eastAsia="Times New Roman" w:hAnsi="Arial"/>
      <w:szCs w:val="20"/>
      <w:lang w:val="en-US"/>
    </w:rPr>
  </w:style>
  <w:style w:type="character" w:customStyle="1" w:styleId="TextChar">
    <w:name w:val="Text Char"/>
    <w:link w:val="Text"/>
    <w:rsid w:val="001E7C28"/>
    <w:rPr>
      <w:rFonts w:ascii="Arial" w:eastAsia="Times New Roman" w:hAnsi="Arial"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09285158">
      <w:bodyDiv w:val="1"/>
      <w:marLeft w:val="0"/>
      <w:marRight w:val="0"/>
      <w:marTop w:val="0"/>
      <w:marBottom w:val="0"/>
      <w:divBdr>
        <w:top w:val="none" w:sz="0" w:space="0" w:color="auto"/>
        <w:left w:val="none" w:sz="0" w:space="0" w:color="auto"/>
        <w:bottom w:val="none" w:sz="0" w:space="0" w:color="auto"/>
        <w:right w:val="none" w:sz="0" w:space="0" w:color="auto"/>
      </w:divBdr>
    </w:div>
    <w:div w:id="950042438">
      <w:bodyDiv w:val="1"/>
      <w:marLeft w:val="0"/>
      <w:marRight w:val="0"/>
      <w:marTop w:val="0"/>
      <w:marBottom w:val="0"/>
      <w:divBdr>
        <w:top w:val="none" w:sz="0" w:space="0" w:color="auto"/>
        <w:left w:val="none" w:sz="0" w:space="0" w:color="auto"/>
        <w:bottom w:val="none" w:sz="0" w:space="0" w:color="auto"/>
        <w:right w:val="none" w:sz="0" w:space="0" w:color="auto"/>
      </w:divBdr>
    </w:div>
    <w:div w:id="1140615348">
      <w:bodyDiv w:val="1"/>
      <w:marLeft w:val="0"/>
      <w:marRight w:val="0"/>
      <w:marTop w:val="0"/>
      <w:marBottom w:val="0"/>
      <w:divBdr>
        <w:top w:val="none" w:sz="0" w:space="0" w:color="auto"/>
        <w:left w:val="none" w:sz="0" w:space="0" w:color="auto"/>
        <w:bottom w:val="none" w:sz="0" w:space="0" w:color="auto"/>
        <w:right w:val="none" w:sz="0" w:space="0" w:color="auto"/>
      </w:divBdr>
    </w:div>
    <w:div w:id="1513303610">
      <w:bodyDiv w:val="1"/>
      <w:marLeft w:val="0"/>
      <w:marRight w:val="0"/>
      <w:marTop w:val="0"/>
      <w:marBottom w:val="0"/>
      <w:divBdr>
        <w:top w:val="none" w:sz="0" w:space="0" w:color="auto"/>
        <w:left w:val="none" w:sz="0" w:space="0" w:color="auto"/>
        <w:bottom w:val="none" w:sz="0" w:space="0" w:color="auto"/>
        <w:right w:val="none" w:sz="0" w:space="0" w:color="auto"/>
      </w:divBdr>
    </w:div>
    <w:div w:id="1651592810">
      <w:bodyDiv w:val="1"/>
      <w:marLeft w:val="0"/>
      <w:marRight w:val="0"/>
      <w:marTop w:val="0"/>
      <w:marBottom w:val="0"/>
      <w:divBdr>
        <w:top w:val="none" w:sz="0" w:space="0" w:color="auto"/>
        <w:left w:val="none" w:sz="0" w:space="0" w:color="auto"/>
        <w:bottom w:val="none" w:sz="0" w:space="0" w:color="auto"/>
        <w:right w:val="none" w:sz="0" w:space="0" w:color="auto"/>
      </w:divBdr>
    </w:div>
    <w:div w:id="1792284658">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07380170">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87215887">
      <w:bodyDiv w:val="1"/>
      <w:marLeft w:val="0"/>
      <w:marRight w:val="0"/>
      <w:marTop w:val="0"/>
      <w:marBottom w:val="0"/>
      <w:divBdr>
        <w:top w:val="none" w:sz="0" w:space="0" w:color="auto"/>
        <w:left w:val="none" w:sz="0" w:space="0" w:color="auto"/>
        <w:bottom w:val="none" w:sz="0" w:space="0" w:color="auto"/>
        <w:right w:val="none" w:sz="0" w:space="0" w:color="auto"/>
      </w:divBdr>
    </w:div>
    <w:div w:id="213806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provisional-approval-pathway-prescription-medicines" TargetMode="External"/><Relationship Id="rId26" Type="http://schemas.openxmlformats.org/officeDocument/2006/relationships/image" Target="media/image4.jpeg"/><Relationship Id="rId39" Type="http://schemas.openxmlformats.org/officeDocument/2006/relationships/image" Target="media/image17.png"/><Relationship Id="rId21" Type="http://schemas.openxmlformats.org/officeDocument/2006/relationships/hyperlink" Target="https://www.fda.gov/media/71195/download" TargetMode="External"/><Relationship Id="rId34" Type="http://schemas.openxmlformats.org/officeDocument/2006/relationships/image" Target="media/image12.png"/><Relationship Id="rId42" Type="http://schemas.openxmlformats.org/officeDocument/2006/relationships/hyperlink" Target="https://www.tga.gov.au/tgas-risk-management-approach" TargetMode="External"/><Relationship Id="rId47" Type="http://schemas.openxmlformats.org/officeDocument/2006/relationships/header" Target="header4.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icmi-search-facility"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tga.gov.au/publication/orphan-drug-designation" TargetMode="External"/><Relationship Id="rId20" Type="http://schemas.openxmlformats.org/officeDocument/2006/relationships/hyperlink" Target="https://www.tga.gov.au/resources/resource/international-scientific-guidelines/international-scientific-guideline-ich-topic-q3a-r2-note-guidance-impurities-testing-impurities-new-drug-substances" TargetMode="External"/><Relationship Id="rId29" Type="http://schemas.openxmlformats.org/officeDocument/2006/relationships/image" Target="media/image7.png"/><Relationship Id="rId41" Type="http://schemas.openxmlformats.org/officeDocument/2006/relationships/hyperlink" Target="https://www.tga.gov.au/publication/risk-management-plans-medicines-and-biologicals"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tga.gov.au/picmi-search-facility"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project-orbis" TargetMode="External"/><Relationship Id="rId23" Type="http://schemas.openxmlformats.org/officeDocument/2006/relationships/hyperlink" Target="https://www.fda.gov/media/134581/download"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hyperlink" Target="https://www.tga.gov.au/resources/resource/international-scientific-guidelines/international-scientific-guideline-ich-topic-s-9-note-guidance-non-clinical-evaluation-anticancer-pharmaceuticals" TargetMode="External"/><Relationship Id="rId31" Type="http://schemas.openxmlformats.org/officeDocument/2006/relationships/image" Target="media/image9.png"/><Relationship Id="rId44" Type="http://schemas.openxmlformats.org/officeDocument/2006/relationships/hyperlink" Target="https://www.tga.gov.au/committee/advisory-committee-medicines-acm"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hyperlink" Target="https://www.fda.gov/media/71311/download"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tga.gov.au/committee/advisory-committee-medicines-acm" TargetMode="External"/><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hyperlink" Target="https://www.tga.gov.au" TargetMode="External"/><Relationship Id="rId51" Type="http://schemas.openxmlformats.org/officeDocument/2006/relationships/hyperlink" Target="https://www.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nccn.org/professionals/physician_gls/pdf/nscl.pdf" TargetMode="External"/><Relationship Id="rId2" Type="http://schemas.openxmlformats.org/officeDocument/2006/relationships/hyperlink" Target="https://ncci.canceraustralia.gov.au/outcomes/relative-survival-rate/relative-survival-stage-diagnosis-lung-cancer" TargetMode="External"/><Relationship Id="rId1" Type="http://schemas.openxmlformats.org/officeDocument/2006/relationships/hyperlink" Target="https://www.canceraustralia.gov.au/cancer-types/lung-cancer/statistics" TargetMode="External"/><Relationship Id="rId6" Type="http://schemas.openxmlformats.org/officeDocument/2006/relationships/hyperlink" Target="https://www.accessdata.fda.gov/drugsatfda_docs/appletter/2021/214665Orig1s000ltr.pdf" TargetMode="External"/><Relationship Id="rId5" Type="http://schemas.openxmlformats.org/officeDocument/2006/relationships/hyperlink" Target="https://www.accessdata.fda.gov/drugsatfda_docs/nda/2021/214665Orig1s000RiskR.pdf" TargetMode="External"/><Relationship Id="rId4" Type="http://schemas.openxmlformats.org/officeDocument/2006/relationships/hyperlink" Target="https://www.accessdata.fda.gov/drugsatfda_docs/nda/2021/214665Orig1s000Multidiscipline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1028\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68AFC-CBE4-46E8-A7A5-6D153C960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1</TotalTime>
  <Pages>50</Pages>
  <Words>14118</Words>
  <Characters>80478</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 Therapeutic Goods Administration</Company>
  <LinksUpToDate>false</LinksUpToDate>
  <CharactersWithSpaces>94408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Lumakras</dc:title>
  <dc:subject>prescription medicines</dc:subject>
  <dc:creator>Therapeutic Goods Administration</dc:creator>
  <cp:keywords/>
  <cp:lastModifiedBy>LACK, Janet</cp:lastModifiedBy>
  <cp:revision>2</cp:revision>
  <cp:lastPrinted>2019-08-14T04:30:00Z</cp:lastPrinted>
  <dcterms:created xsi:type="dcterms:W3CDTF">2023-06-15T00:38:00Z</dcterms:created>
  <dcterms:modified xsi:type="dcterms:W3CDTF">2023-06-15T00:38:00Z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1142f3-8099-46d1-8755-df3fda1ce27f_Enabled">
    <vt:lpwstr>true</vt:lpwstr>
  </property>
  <property fmtid="{D5CDD505-2E9C-101B-9397-08002B2CF9AE}" pid="3" name="MSIP_Label_f31142f3-8099-46d1-8755-df3fda1ce27f_SetDate">
    <vt:lpwstr>2023-03-24T07:24:28Z</vt:lpwstr>
  </property>
  <property fmtid="{D5CDD505-2E9C-101B-9397-08002B2CF9AE}" pid="4" name="MSIP_Label_f31142f3-8099-46d1-8755-df3fda1ce27f_Method">
    <vt:lpwstr>Privileged</vt:lpwstr>
  </property>
  <property fmtid="{D5CDD505-2E9C-101B-9397-08002B2CF9AE}" pid="5" name="MSIP_Label_f31142f3-8099-46d1-8755-df3fda1ce27f_Name">
    <vt:lpwstr>Public_</vt:lpwstr>
  </property>
  <property fmtid="{D5CDD505-2E9C-101B-9397-08002B2CF9AE}" pid="6" name="MSIP_Label_f31142f3-8099-46d1-8755-df3fda1ce27f_SiteId">
    <vt:lpwstr>4b4266a6-1368-41af-ad5a-59eb634f7ad8</vt:lpwstr>
  </property>
  <property fmtid="{D5CDD505-2E9C-101B-9397-08002B2CF9AE}" pid="7" name="MSIP_Label_f31142f3-8099-46d1-8755-df3fda1ce27f_ActionId">
    <vt:lpwstr>30c89c3c-a4de-423d-b481-8f9a0e809364</vt:lpwstr>
  </property>
  <property fmtid="{D5CDD505-2E9C-101B-9397-08002B2CF9AE}" pid="8" name="MSIP_Label_f31142f3-8099-46d1-8755-df3fda1ce27f_ContentBits">
    <vt:lpwstr>0</vt:lpwstr>
  </property>
</Properties>
</file>