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F46F" w14:textId="643FBD35" w:rsidR="00EC4BDB" w:rsidRDefault="00FE7A11" w:rsidP="009F2F3B">
      <w:pPr>
        <w:pStyle w:val="RPI-Text"/>
      </w:pPr>
      <w:r>
        <w:pict w14:anchorId="101DD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75pt;height:12.5pt;visibility:visible;mso-wrap-style:square">
            <v:imagedata r:id="rId12" o:title=""/>
          </v:shape>
        </w:pict>
      </w:r>
      <w:r w:rsidR="00EC4BDB" w:rsidRPr="00EC4BDB">
        <w:t xml:space="preserve"> This medicinal product is subject to additional monitoring in Australia. This will allow quick identification of new safety information. Healthcare professionals are asked to report any suspected adverse events at </w:t>
      </w:r>
      <w:hyperlink r:id="rId13" w:history="1">
        <w:r w:rsidR="00EC4BDB" w:rsidRPr="00EC4BDB">
          <w:rPr>
            <w:rStyle w:val="Hyperlink"/>
          </w:rPr>
          <w:t>https://www.tga.gov.au/reporting-problems</w:t>
        </w:r>
      </w:hyperlink>
      <w:r w:rsidR="00EC4BDB">
        <w:t>.</w:t>
      </w:r>
    </w:p>
    <w:p w14:paraId="12AFF471" w14:textId="0FBD822C" w:rsidR="00EE1D39" w:rsidRDefault="00EE1D39" w:rsidP="00EF54E3">
      <w:pPr>
        <w:pStyle w:val="RPI-Heading0"/>
        <w:ind w:left="0" w:firstLine="0"/>
      </w:pPr>
      <w:r>
        <w:t xml:space="preserve">AUSTRALIAN PRODUCT INFORMATION – </w:t>
      </w:r>
      <w:r w:rsidR="00C53461">
        <w:t>LUMAKRAS</w:t>
      </w:r>
      <w:r w:rsidR="00081B1B" w:rsidRPr="00081B1B">
        <w:rPr>
          <w:rFonts w:cs="Arial"/>
          <w:vertAlign w:val="superscript"/>
        </w:rPr>
        <w:t>®</w:t>
      </w:r>
      <w:r w:rsidRPr="0019526E">
        <w:t xml:space="preserve"> (</w:t>
      </w:r>
      <w:r w:rsidR="00240DEE">
        <w:t>sotorasib</w:t>
      </w:r>
      <w:r w:rsidRPr="0019526E">
        <w:t>)</w:t>
      </w:r>
    </w:p>
    <w:p w14:paraId="12AFF472" w14:textId="77777777" w:rsidR="0032608A" w:rsidRPr="00061C63" w:rsidRDefault="00403D02" w:rsidP="007B14A7">
      <w:pPr>
        <w:pStyle w:val="RPI-Heading1"/>
        <w:spacing w:before="240"/>
      </w:pPr>
      <w:r w:rsidRPr="00061C63">
        <w:t xml:space="preserve">NAME OF THE MEDICINE </w:t>
      </w:r>
    </w:p>
    <w:p w14:paraId="12AFF473" w14:textId="65ACD13A" w:rsidR="00FB3D93" w:rsidRDefault="00871071" w:rsidP="004E0A2C">
      <w:pPr>
        <w:pStyle w:val="RPI-Text"/>
      </w:pPr>
      <w:r>
        <w:t>S</w:t>
      </w:r>
      <w:r w:rsidR="00240DEE">
        <w:t>otorasib</w:t>
      </w:r>
      <w:r w:rsidR="00EF54E3">
        <w:t>.</w:t>
      </w:r>
    </w:p>
    <w:p w14:paraId="12AFF475" w14:textId="77777777" w:rsidR="0032608A" w:rsidRDefault="0032608A" w:rsidP="00740F45">
      <w:pPr>
        <w:pStyle w:val="RPI-Heading1"/>
      </w:pPr>
      <w:r w:rsidRPr="00ED7DB4">
        <w:t>QUALITATIVE AND QUANTITATIVE COMPOSITION</w:t>
      </w:r>
    </w:p>
    <w:p w14:paraId="55EE7707" w14:textId="77777777" w:rsidR="00871071" w:rsidRPr="00871071" w:rsidRDefault="00871071" w:rsidP="00F87CC1">
      <w:pPr>
        <w:pStyle w:val="RPI-Text"/>
        <w:rPr>
          <w:b/>
          <w:bCs/>
        </w:rPr>
      </w:pPr>
      <w:r w:rsidRPr="00871071">
        <w:rPr>
          <w:b/>
          <w:bCs/>
        </w:rPr>
        <w:t>Active substance</w:t>
      </w:r>
    </w:p>
    <w:p w14:paraId="604C9AA2" w14:textId="4E32CC66" w:rsidR="00871071" w:rsidRPr="00871071" w:rsidRDefault="00C53461" w:rsidP="00F87CC1">
      <w:pPr>
        <w:pStyle w:val="RPI-Text"/>
        <w:rPr>
          <w:u w:val="single"/>
        </w:rPr>
      </w:pPr>
      <w:r>
        <w:rPr>
          <w:u w:val="single"/>
        </w:rPr>
        <w:t>LUMAKRAS</w:t>
      </w:r>
      <w:r w:rsidR="00871071" w:rsidRPr="00871071">
        <w:rPr>
          <w:u w:val="single"/>
        </w:rPr>
        <w:t xml:space="preserve"> tablet</w:t>
      </w:r>
    </w:p>
    <w:p w14:paraId="12AFF476" w14:textId="36C4BA62" w:rsidR="00403D02" w:rsidRPr="00C3408E" w:rsidRDefault="00871071" w:rsidP="00F87CC1">
      <w:pPr>
        <w:pStyle w:val="RPI-Text"/>
      </w:pPr>
      <w:r w:rsidRPr="00C3408E">
        <w:t xml:space="preserve">Each </w:t>
      </w:r>
      <w:r w:rsidR="00C3408E" w:rsidRPr="00C3408E">
        <w:t xml:space="preserve">film coated </w:t>
      </w:r>
      <w:r w:rsidRPr="00C3408E">
        <w:t xml:space="preserve">tablet contains </w:t>
      </w:r>
      <w:r w:rsidR="008F2B28" w:rsidRPr="00C3408E">
        <w:t xml:space="preserve">sotorasib </w:t>
      </w:r>
      <w:r w:rsidRPr="00C3408E">
        <w:t>120 mg.</w:t>
      </w:r>
    </w:p>
    <w:p w14:paraId="4A9C9F13" w14:textId="77777777" w:rsidR="00871071" w:rsidRPr="00871071" w:rsidRDefault="00871071" w:rsidP="00871071">
      <w:pPr>
        <w:pStyle w:val="RPI-Text"/>
        <w:rPr>
          <w:b/>
          <w:bCs/>
        </w:rPr>
      </w:pPr>
      <w:r w:rsidRPr="00871071">
        <w:rPr>
          <w:b/>
          <w:bCs/>
        </w:rPr>
        <w:t>Excipients</w:t>
      </w:r>
    </w:p>
    <w:p w14:paraId="3F11F758" w14:textId="77777777" w:rsidR="00DE4AF4" w:rsidRPr="00DE4AF4" w:rsidRDefault="00DE4AF4" w:rsidP="00871071">
      <w:pPr>
        <w:pStyle w:val="RPI-Text"/>
        <w:rPr>
          <w:u w:val="single"/>
        </w:rPr>
      </w:pPr>
      <w:r w:rsidRPr="00DE4AF4">
        <w:rPr>
          <w:u w:val="single"/>
        </w:rPr>
        <w:t>Excipient with known effect</w:t>
      </w:r>
    </w:p>
    <w:p w14:paraId="1DF55F1B" w14:textId="78AEEA32" w:rsidR="0024779A" w:rsidRDefault="00651238" w:rsidP="00871071">
      <w:pPr>
        <w:pStyle w:val="RPI-Text"/>
      </w:pPr>
      <w:r>
        <w:t xml:space="preserve">Contains sugars. </w:t>
      </w:r>
      <w:r w:rsidR="0024779A">
        <w:t xml:space="preserve">Each </w:t>
      </w:r>
      <w:r w:rsidR="00C3408E">
        <w:t xml:space="preserve">LUMAKRAS </w:t>
      </w:r>
      <w:r w:rsidR="0024779A">
        <w:t xml:space="preserve">tablet contains </w:t>
      </w:r>
      <w:r w:rsidR="00324C12">
        <w:t>lactose</w:t>
      </w:r>
      <w:r w:rsidR="00FE64FF" w:rsidRPr="00FE64FF">
        <w:t xml:space="preserve"> </w:t>
      </w:r>
      <w:r w:rsidR="00FE64FF">
        <w:t>(</w:t>
      </w:r>
      <w:r w:rsidR="00FE64FF" w:rsidRPr="00FE64FF">
        <w:t>see section 4.4 Special warnings and precautions for use</w:t>
      </w:r>
      <w:r w:rsidR="00FE64FF">
        <w:t>)</w:t>
      </w:r>
      <w:r w:rsidR="005C5509">
        <w:t xml:space="preserve">. </w:t>
      </w:r>
      <w:r w:rsidR="003771F6">
        <w:t xml:space="preserve"> </w:t>
      </w:r>
      <w:r w:rsidR="0024779A">
        <w:t xml:space="preserve"> </w:t>
      </w:r>
    </w:p>
    <w:p w14:paraId="52DD9446" w14:textId="48C14127" w:rsidR="00871071" w:rsidRDefault="00871071" w:rsidP="00871071">
      <w:pPr>
        <w:pStyle w:val="RPI-Text"/>
      </w:pPr>
      <w:r>
        <w:t xml:space="preserve">For the list of excipients, see </w:t>
      </w:r>
      <w:r w:rsidR="00DE4AF4">
        <w:t xml:space="preserve">section </w:t>
      </w:r>
      <w:r>
        <w:t xml:space="preserve">6.1 List of </w:t>
      </w:r>
      <w:r w:rsidR="00070A0E">
        <w:t>e</w:t>
      </w:r>
      <w:r>
        <w:t>xcipients.</w:t>
      </w:r>
    </w:p>
    <w:p w14:paraId="12AFF47D" w14:textId="77777777" w:rsidR="0032608A" w:rsidRDefault="0032608A" w:rsidP="00740F45">
      <w:pPr>
        <w:pStyle w:val="RPI-Heading1"/>
      </w:pPr>
      <w:r w:rsidRPr="00ED7DB4">
        <w:t>PHARMACEUTICAL FORM</w:t>
      </w:r>
    </w:p>
    <w:p w14:paraId="11104F04" w14:textId="4E70DADB" w:rsidR="00932588" w:rsidRPr="00EF54E3" w:rsidRDefault="00C53461" w:rsidP="00EF54E3">
      <w:pPr>
        <w:pStyle w:val="RPI-Text"/>
        <w:rPr>
          <w:u w:val="single"/>
        </w:rPr>
      </w:pPr>
      <w:r>
        <w:rPr>
          <w:u w:val="single"/>
        </w:rPr>
        <w:t>LUMAKRAS</w:t>
      </w:r>
      <w:r w:rsidR="00932588" w:rsidRPr="00EF54E3">
        <w:rPr>
          <w:u w:val="single"/>
        </w:rPr>
        <w:t xml:space="preserve"> </w:t>
      </w:r>
      <w:r w:rsidR="00AD7BBF">
        <w:rPr>
          <w:u w:val="single"/>
        </w:rPr>
        <w:t xml:space="preserve">120 mg </w:t>
      </w:r>
      <w:r w:rsidR="00932588" w:rsidRPr="00EF54E3">
        <w:rPr>
          <w:u w:val="single"/>
        </w:rPr>
        <w:t>tablet</w:t>
      </w:r>
    </w:p>
    <w:p w14:paraId="3F85A359" w14:textId="1D9931E5" w:rsidR="00932588" w:rsidRDefault="00932588" w:rsidP="00932588">
      <w:pPr>
        <w:pStyle w:val="RPI-Text"/>
      </w:pPr>
      <w:r>
        <w:t>Yellow, immediate release, film</w:t>
      </w:r>
      <w:r w:rsidR="000B31D8">
        <w:t xml:space="preserve"> </w:t>
      </w:r>
      <w:r>
        <w:t>coated tablet, oblong-shaped (approximately 7 mm x 16 mm), debossed with “AMG” on one side and “120” on the reverse</w:t>
      </w:r>
      <w:r w:rsidR="00AD7BBF">
        <w:t xml:space="preserve"> side</w:t>
      </w:r>
      <w:r>
        <w:t>.</w:t>
      </w:r>
    </w:p>
    <w:p w14:paraId="12AFF481" w14:textId="77777777" w:rsidR="0032608A" w:rsidRPr="00ED7DB4" w:rsidRDefault="0032608A" w:rsidP="00740F45">
      <w:pPr>
        <w:pStyle w:val="RPI-Heading1"/>
      </w:pPr>
      <w:r w:rsidRPr="00ED7DB4">
        <w:t>CLINICAL PARTICULARS</w:t>
      </w:r>
    </w:p>
    <w:p w14:paraId="12AFF482" w14:textId="77777777" w:rsidR="0032608A" w:rsidRDefault="0032608A" w:rsidP="00DF38D0">
      <w:pPr>
        <w:pStyle w:val="RPI-Heading2"/>
        <w:tabs>
          <w:tab w:val="clear" w:pos="1440"/>
          <w:tab w:val="num" w:pos="567"/>
        </w:tabs>
      </w:pPr>
      <w:r w:rsidRPr="00ED7DB4">
        <w:t>Therapeutic indications</w:t>
      </w:r>
    </w:p>
    <w:p w14:paraId="12AFF484" w14:textId="238D1E9D" w:rsidR="00640303" w:rsidRDefault="00C53461" w:rsidP="006B61D4">
      <w:pPr>
        <w:pStyle w:val="RPI-Text"/>
      </w:pPr>
      <w:r>
        <w:t>LUMAKRAS</w:t>
      </w:r>
      <w:r w:rsidR="006B61D4" w:rsidRPr="006B61D4">
        <w:t xml:space="preserve"> </w:t>
      </w:r>
      <w:r w:rsidR="009B67F3" w:rsidRPr="009B67F3">
        <w:t xml:space="preserve">has </w:t>
      </w:r>
      <w:r w:rsidR="009B67F3" w:rsidRPr="005640DB">
        <w:rPr>
          <w:b/>
          <w:bCs/>
        </w:rPr>
        <w:t>provisional approval</w:t>
      </w:r>
      <w:r w:rsidR="009B67F3" w:rsidRPr="009B67F3">
        <w:t xml:space="preserve"> in Australia </w:t>
      </w:r>
      <w:r w:rsidR="0051574F">
        <w:t>f</w:t>
      </w:r>
      <w:r w:rsidR="006B61D4" w:rsidRPr="006B61D4">
        <w:t xml:space="preserve">or the treatment of </w:t>
      </w:r>
      <w:r w:rsidR="008C20AD">
        <w:t xml:space="preserve">adult </w:t>
      </w:r>
      <w:r w:rsidR="006B61D4" w:rsidRPr="006B61D4">
        <w:t xml:space="preserve">patients with </w:t>
      </w:r>
      <w:r w:rsidR="006B61D4" w:rsidRPr="00C3408E">
        <w:rPr>
          <w:i/>
          <w:iCs/>
        </w:rPr>
        <w:t>KRAS G12C</w:t>
      </w:r>
      <w:r w:rsidR="006B61D4" w:rsidRPr="006B61D4">
        <w:t>-mutated locally advanced or metastatic non-small cell lung cancer (NSCLC)</w:t>
      </w:r>
      <w:r w:rsidR="008C20AD" w:rsidRPr="008C20AD">
        <w:t xml:space="preserve"> who have received at least one prior systemic therapy for advanced disease</w:t>
      </w:r>
      <w:r w:rsidR="006B61D4" w:rsidRPr="006B61D4">
        <w:t>.</w:t>
      </w:r>
    </w:p>
    <w:p w14:paraId="22171DC2" w14:textId="7434B826" w:rsidR="0051574F" w:rsidRPr="0076394A" w:rsidRDefault="0051574F" w:rsidP="00516753">
      <w:pPr>
        <w:pStyle w:val="RPI-Text"/>
      </w:pPr>
      <w:r w:rsidRPr="0076394A">
        <w:t xml:space="preserve">The decision to approve this indication </w:t>
      </w:r>
      <w:r w:rsidR="00B6303D">
        <w:t>h</w:t>
      </w:r>
      <w:r w:rsidR="0076394A">
        <w:t xml:space="preserve">as </w:t>
      </w:r>
      <w:r w:rsidR="00B6303D">
        <w:t xml:space="preserve">been </w:t>
      </w:r>
      <w:r w:rsidRPr="0076394A">
        <w:t xml:space="preserve">made </w:t>
      </w:r>
      <w:proofErr w:type="gramStart"/>
      <w:r w:rsidRPr="0076394A">
        <w:t>on the basis of</w:t>
      </w:r>
      <w:proofErr w:type="gramEnd"/>
      <w:r w:rsidR="002F0C68" w:rsidRPr="0076394A">
        <w:t xml:space="preserve"> the</w:t>
      </w:r>
      <w:r w:rsidRPr="0076394A">
        <w:t xml:space="preserve"> objective response rate (ORR)</w:t>
      </w:r>
      <w:r w:rsidR="00EB5343">
        <w:t xml:space="preserve"> and the </w:t>
      </w:r>
      <w:r w:rsidRPr="0076394A">
        <w:t>duration of response</w:t>
      </w:r>
      <w:r w:rsidR="0076394A" w:rsidRPr="0076394A">
        <w:t xml:space="preserve"> (DOR)</w:t>
      </w:r>
      <w:r w:rsidRPr="0076394A">
        <w:t xml:space="preserve">. </w:t>
      </w:r>
      <w:r w:rsidR="002F0C68" w:rsidRPr="0076394A">
        <w:t xml:space="preserve">Continued approval of this indication depends on </w:t>
      </w:r>
      <w:r w:rsidR="0076394A" w:rsidRPr="0076394A">
        <w:t xml:space="preserve">the </w:t>
      </w:r>
      <w:r w:rsidR="0066332F">
        <w:t>verific</w:t>
      </w:r>
      <w:r w:rsidR="0076394A" w:rsidRPr="0076394A">
        <w:t xml:space="preserve">ation </w:t>
      </w:r>
      <w:r w:rsidR="0066332F">
        <w:t xml:space="preserve">and description </w:t>
      </w:r>
      <w:r w:rsidR="002F0C68" w:rsidRPr="0076394A">
        <w:t xml:space="preserve">of </w:t>
      </w:r>
      <w:r w:rsidR="0066332F">
        <w:t xml:space="preserve">benefit </w:t>
      </w:r>
      <w:r w:rsidR="002F0C68" w:rsidRPr="0076394A">
        <w:t xml:space="preserve">in </w:t>
      </w:r>
      <w:r w:rsidR="0066332F">
        <w:t>confirmatory trials</w:t>
      </w:r>
      <w:r w:rsidR="002F0C68" w:rsidRPr="0076394A">
        <w:t>.</w:t>
      </w:r>
      <w:r w:rsidR="00516753">
        <w:t xml:space="preserve"> </w:t>
      </w:r>
    </w:p>
    <w:p w14:paraId="12AFF485" w14:textId="77777777" w:rsidR="0032608A" w:rsidRDefault="0032608A" w:rsidP="00DF38D0">
      <w:pPr>
        <w:pStyle w:val="RPI-Heading2"/>
        <w:tabs>
          <w:tab w:val="clear" w:pos="1440"/>
          <w:tab w:val="num" w:pos="567"/>
        </w:tabs>
      </w:pPr>
      <w:r w:rsidRPr="00ED7DB4">
        <w:lastRenderedPageBreak/>
        <w:t>Dose and method of administration</w:t>
      </w:r>
    </w:p>
    <w:p w14:paraId="1393FDE6" w14:textId="433A7F29" w:rsidR="00F062B9" w:rsidRDefault="00F062B9" w:rsidP="00F062B9">
      <w:pPr>
        <w:pStyle w:val="RPI-Text"/>
      </w:pPr>
      <w:r w:rsidRPr="00F062B9">
        <w:t xml:space="preserve">Confirm </w:t>
      </w:r>
      <w:r w:rsidR="0094408F">
        <w:t xml:space="preserve">the </w:t>
      </w:r>
      <w:r w:rsidRPr="00F062B9">
        <w:t xml:space="preserve">presence of </w:t>
      </w:r>
      <w:r w:rsidR="0094408F">
        <w:t xml:space="preserve">a </w:t>
      </w:r>
      <w:r w:rsidRPr="0094408F">
        <w:rPr>
          <w:i/>
          <w:iCs/>
        </w:rPr>
        <w:t>KRAS G12C</w:t>
      </w:r>
      <w:r w:rsidRPr="00F062B9">
        <w:t xml:space="preserve"> mutation using a validated test prior to initiation of LUMAKRAS. </w:t>
      </w:r>
    </w:p>
    <w:p w14:paraId="12AFF486" w14:textId="338BC1BB" w:rsidR="00C34655" w:rsidRPr="001D5D0D" w:rsidRDefault="00324C12" w:rsidP="006B61D4">
      <w:pPr>
        <w:pStyle w:val="RPI-Heading3"/>
      </w:pPr>
      <w:r>
        <w:t>D</w:t>
      </w:r>
      <w:r w:rsidR="006B61D4">
        <w:t>ose</w:t>
      </w:r>
      <w:r w:rsidR="00640303" w:rsidRPr="001D5D0D">
        <w:t xml:space="preserve"> </w:t>
      </w:r>
    </w:p>
    <w:p w14:paraId="09EB5909" w14:textId="6E31F698" w:rsidR="00897627" w:rsidRDefault="006B61D4" w:rsidP="006B61D4">
      <w:pPr>
        <w:pStyle w:val="RPI-Text"/>
      </w:pPr>
      <w:r>
        <w:t xml:space="preserve">The recommended dose of </w:t>
      </w:r>
      <w:r w:rsidR="00C53461">
        <w:t>LUMAKRAS</w:t>
      </w:r>
      <w:r>
        <w:t xml:space="preserve"> is 960 mg (</w:t>
      </w:r>
      <w:r w:rsidR="00AD2206">
        <w:t xml:space="preserve">as </w:t>
      </w:r>
      <w:r>
        <w:t>eight 120 mg tablets) orally once daily until disease progression or unacceptable toxicity</w:t>
      </w:r>
      <w:r w:rsidR="00B37AE5">
        <w:t xml:space="preserve"> (see Table </w:t>
      </w:r>
      <w:r w:rsidR="00AD2206">
        <w:t>2</w:t>
      </w:r>
      <w:r w:rsidR="00B37AE5">
        <w:t>)</w:t>
      </w:r>
      <w:r>
        <w:t>.</w:t>
      </w:r>
      <w:r w:rsidR="00EF54E3" w:rsidRPr="00EF54E3">
        <w:t xml:space="preserve"> </w:t>
      </w:r>
    </w:p>
    <w:p w14:paraId="78D8EC1E" w14:textId="77777777" w:rsidR="001318CD" w:rsidRPr="00EF29B7" w:rsidRDefault="001318CD" w:rsidP="001318CD">
      <w:pPr>
        <w:pStyle w:val="RPI-Text"/>
      </w:pPr>
      <w:r w:rsidRPr="008B2514">
        <w:t xml:space="preserve">Take </w:t>
      </w:r>
      <w:r>
        <w:t>LUMAKRAS</w:t>
      </w:r>
      <w:r w:rsidRPr="008B2514">
        <w:t xml:space="preserve"> at the same time each day with or without food. </w:t>
      </w:r>
      <w:r w:rsidRPr="006B61D4">
        <w:t>Swallow tablets whole. Do not chew, crush, or split tablets.</w:t>
      </w:r>
    </w:p>
    <w:p w14:paraId="78303B0B" w14:textId="7F938460" w:rsidR="00897627" w:rsidRDefault="00897627" w:rsidP="006B61D4">
      <w:pPr>
        <w:pStyle w:val="RPI-Text"/>
      </w:pPr>
      <w:r w:rsidRPr="00897627">
        <w:t xml:space="preserve">If a dose of </w:t>
      </w:r>
      <w:r>
        <w:t>LUMAKRAS</w:t>
      </w:r>
      <w:r w:rsidRPr="00897627">
        <w:t xml:space="preserve"> is missed, do not take the dose if 6 hours </w:t>
      </w:r>
      <w:r w:rsidR="00AD2206">
        <w:t xml:space="preserve">or more </w:t>
      </w:r>
      <w:r w:rsidRPr="00897627">
        <w:t>have passed from the scheduled time of dosing. Resume treatment as prescribed the next day.</w:t>
      </w:r>
    </w:p>
    <w:p w14:paraId="4F70E031" w14:textId="0953BB76" w:rsidR="00897627" w:rsidRDefault="00897627" w:rsidP="006B61D4">
      <w:pPr>
        <w:pStyle w:val="RPI-Text"/>
      </w:pPr>
      <w:r w:rsidRPr="00897627">
        <w:t xml:space="preserve">Do not take an additional dose if vomiting occurs after taking </w:t>
      </w:r>
      <w:r>
        <w:t>LUMAKRAS</w:t>
      </w:r>
      <w:r w:rsidRPr="00897627">
        <w:t>.  Resume treatment as prescribed the next day.</w:t>
      </w:r>
    </w:p>
    <w:p w14:paraId="20850E41" w14:textId="77777777" w:rsidR="001318CD" w:rsidRPr="006B61D4" w:rsidRDefault="001318CD" w:rsidP="001318CD">
      <w:pPr>
        <w:pStyle w:val="RPI-Heading4"/>
        <w:spacing w:line="240" w:lineRule="auto"/>
      </w:pPr>
      <w:r w:rsidRPr="006B61D4">
        <w:t>Administration to patients who have difficulty swallowing solids</w:t>
      </w:r>
    </w:p>
    <w:p w14:paraId="2B80A0B7" w14:textId="77777777" w:rsidR="001318CD" w:rsidRPr="006B61D4" w:rsidRDefault="001318CD" w:rsidP="001318CD">
      <w:pPr>
        <w:widowControl w:val="0"/>
        <w:suppressAutoHyphens w:val="0"/>
        <w:spacing w:before="6" w:line="120" w:lineRule="exact"/>
        <w:rPr>
          <w:rFonts w:ascii="Calibri" w:eastAsia="Calibri" w:hAnsi="Calibri"/>
          <w:sz w:val="12"/>
          <w:szCs w:val="12"/>
        </w:rPr>
      </w:pPr>
    </w:p>
    <w:p w14:paraId="00A262CD" w14:textId="157B0B48" w:rsidR="001318CD" w:rsidRDefault="001318CD" w:rsidP="001318CD">
      <w:pPr>
        <w:widowControl w:val="0"/>
        <w:suppressAutoHyphens w:val="0"/>
        <w:spacing w:line="359" w:lineRule="auto"/>
        <w:ind w:right="117"/>
        <w:rPr>
          <w:rFonts w:eastAsia="Arial" w:cs="Arial"/>
          <w:szCs w:val="22"/>
        </w:rPr>
      </w:pPr>
      <w:r w:rsidRPr="006B61D4">
        <w:rPr>
          <w:rFonts w:eastAsia="Arial" w:cs="Arial"/>
          <w:szCs w:val="22"/>
        </w:rPr>
        <w:t>Disperse tablets in</w:t>
      </w:r>
      <w:r w:rsidRPr="006B61D4">
        <w:rPr>
          <w:rFonts w:eastAsia="Arial" w:cs="Arial"/>
          <w:spacing w:val="-4"/>
          <w:szCs w:val="22"/>
        </w:rPr>
        <w:t xml:space="preserve"> </w:t>
      </w:r>
      <w:r w:rsidRPr="006B61D4">
        <w:rPr>
          <w:rFonts w:eastAsia="Arial" w:cs="Arial"/>
          <w:szCs w:val="22"/>
        </w:rPr>
        <w:t>120</w:t>
      </w:r>
      <w:r w:rsidRPr="006B61D4">
        <w:rPr>
          <w:rFonts w:eastAsia="Arial" w:cs="Arial"/>
          <w:spacing w:val="3"/>
          <w:szCs w:val="22"/>
        </w:rPr>
        <w:t xml:space="preserve"> </w:t>
      </w:r>
      <w:r w:rsidRPr="006B61D4">
        <w:rPr>
          <w:rFonts w:eastAsia="Arial" w:cs="Arial"/>
          <w:spacing w:val="-1"/>
          <w:szCs w:val="22"/>
        </w:rPr>
        <w:t>m</w:t>
      </w:r>
      <w:r w:rsidRPr="006B61D4">
        <w:rPr>
          <w:rFonts w:eastAsia="Arial" w:cs="Arial"/>
          <w:szCs w:val="22"/>
        </w:rPr>
        <w:t xml:space="preserve">L of </w:t>
      </w:r>
      <w:r w:rsidRPr="001268A2">
        <w:rPr>
          <w:rFonts w:eastAsia="Arial" w:cs="Arial"/>
          <w:szCs w:val="22"/>
        </w:rPr>
        <w:t xml:space="preserve">room-temperature </w:t>
      </w:r>
      <w:r>
        <w:rPr>
          <w:rFonts w:eastAsia="Arial" w:cs="Arial"/>
          <w:szCs w:val="22"/>
        </w:rPr>
        <w:t xml:space="preserve">tap </w:t>
      </w:r>
      <w:r w:rsidRPr="001268A2">
        <w:rPr>
          <w:rFonts w:eastAsia="Arial" w:cs="Arial"/>
          <w:szCs w:val="22"/>
        </w:rPr>
        <w:t>water without crushing.</w:t>
      </w:r>
      <w:r w:rsidRPr="006B61D4">
        <w:rPr>
          <w:rFonts w:eastAsia="Arial" w:cs="Arial"/>
          <w:szCs w:val="22"/>
        </w:rPr>
        <w:t xml:space="preserve"> </w:t>
      </w:r>
      <w:r w:rsidRPr="001268A2">
        <w:rPr>
          <w:rFonts w:eastAsia="Arial" w:cs="Arial"/>
          <w:szCs w:val="22"/>
        </w:rPr>
        <w:t xml:space="preserve">Do not use other liquids. </w:t>
      </w:r>
      <w:r w:rsidRPr="006B61D4">
        <w:rPr>
          <w:rFonts w:eastAsia="Arial" w:cs="Arial"/>
          <w:szCs w:val="22"/>
        </w:rPr>
        <w:t>Stir until tablets are dispersed into small pieces (the table</w:t>
      </w:r>
      <w:r w:rsidRPr="006B61D4">
        <w:rPr>
          <w:rFonts w:eastAsia="Arial" w:cs="Arial"/>
          <w:spacing w:val="1"/>
          <w:szCs w:val="22"/>
        </w:rPr>
        <w:t>t</w:t>
      </w:r>
      <w:r w:rsidRPr="006B61D4">
        <w:rPr>
          <w:rFonts w:eastAsia="Arial" w:cs="Arial"/>
          <w:szCs w:val="22"/>
        </w:rPr>
        <w:t>s</w:t>
      </w:r>
      <w:r w:rsidRPr="006B61D4">
        <w:rPr>
          <w:rFonts w:eastAsia="Arial" w:cs="Arial"/>
          <w:spacing w:val="1"/>
          <w:szCs w:val="22"/>
        </w:rPr>
        <w:t xml:space="preserve"> </w:t>
      </w:r>
      <w:r w:rsidRPr="006B61D4">
        <w:rPr>
          <w:rFonts w:eastAsia="Arial" w:cs="Arial"/>
          <w:szCs w:val="22"/>
        </w:rPr>
        <w:t>will not completely dissolve) and drink immediately</w:t>
      </w:r>
      <w:r>
        <w:rPr>
          <w:rFonts w:eastAsia="Arial" w:cs="Arial"/>
          <w:szCs w:val="22"/>
        </w:rPr>
        <w:t xml:space="preserve"> or </w:t>
      </w:r>
      <w:r w:rsidRPr="00A13411">
        <w:rPr>
          <w:rFonts w:eastAsia="Arial" w:cs="Arial"/>
          <w:szCs w:val="22"/>
        </w:rPr>
        <w:t>within two hours of preparation</w:t>
      </w:r>
      <w:r w:rsidRPr="006B61D4">
        <w:rPr>
          <w:rFonts w:eastAsia="Arial" w:cs="Arial"/>
          <w:szCs w:val="22"/>
        </w:rPr>
        <w:t xml:space="preserve">. </w:t>
      </w:r>
      <w:r w:rsidRPr="001268A2">
        <w:rPr>
          <w:rFonts w:eastAsia="Arial" w:cs="Arial"/>
          <w:szCs w:val="22"/>
        </w:rPr>
        <w:t xml:space="preserve">The appearance of the mixture may range from pale yellow to bright yellow. </w:t>
      </w:r>
      <w:r>
        <w:rPr>
          <w:rFonts w:eastAsia="Arial" w:cs="Arial"/>
          <w:szCs w:val="22"/>
        </w:rPr>
        <w:t xml:space="preserve">Swallow the </w:t>
      </w:r>
      <w:r w:rsidRPr="0017229A">
        <w:rPr>
          <w:rFonts w:eastAsia="Arial" w:cs="Arial"/>
          <w:szCs w:val="22"/>
        </w:rPr>
        <w:t>tablet dispersion. Do not chew pieces of the tablet. Rinse the container with an</w:t>
      </w:r>
      <w:r w:rsidRPr="001268A2">
        <w:rPr>
          <w:rFonts w:eastAsia="Arial" w:cs="Arial"/>
          <w:szCs w:val="22"/>
        </w:rPr>
        <w:t xml:space="preserve"> additional 120 mL of water and drink immediately. If the mixture is not consumed immediately, stir the mixture again to ensure that tablets are dispersed</w:t>
      </w:r>
      <w:r>
        <w:rPr>
          <w:rFonts w:eastAsia="Arial" w:cs="Arial"/>
          <w:szCs w:val="22"/>
        </w:rPr>
        <w:t>.</w:t>
      </w:r>
    </w:p>
    <w:p w14:paraId="55960C74" w14:textId="77777777" w:rsidR="00AD2206" w:rsidRDefault="00AD2206" w:rsidP="00AD2206">
      <w:pPr>
        <w:pStyle w:val="RPI-Heading4"/>
      </w:pPr>
      <w:r w:rsidRPr="00897627">
        <w:t xml:space="preserve">Dose </w:t>
      </w:r>
      <w:r>
        <w:t>m</w:t>
      </w:r>
      <w:r w:rsidRPr="00897627">
        <w:t>odifications</w:t>
      </w:r>
    </w:p>
    <w:p w14:paraId="7E662927" w14:textId="77777777" w:rsidR="00D07FED" w:rsidRDefault="0094408F" w:rsidP="00AD2206">
      <w:pPr>
        <w:pStyle w:val="RPI-Text"/>
      </w:pPr>
      <w:r>
        <w:t>LUMAKRAS d</w:t>
      </w:r>
      <w:r w:rsidR="00AD2206" w:rsidRPr="00222940">
        <w:t xml:space="preserve">ose modifications for adverse reactions are provided in Table </w:t>
      </w:r>
      <w:r w:rsidR="00AD2206">
        <w:t>1</w:t>
      </w:r>
      <w:r w:rsidR="00AD2206" w:rsidRPr="00222940">
        <w:t>.</w:t>
      </w:r>
      <w:r w:rsidR="00AD2206">
        <w:t xml:space="preserve"> </w:t>
      </w:r>
      <w:r w:rsidR="00457323">
        <w:t xml:space="preserve">LUMAKRAS </w:t>
      </w:r>
      <w:r w:rsidR="00457323" w:rsidRPr="00222940">
        <w:t>dose reduction levels are summari</w:t>
      </w:r>
      <w:r w:rsidR="00457323">
        <w:t>s</w:t>
      </w:r>
      <w:r w:rsidR="00457323" w:rsidRPr="00222940">
        <w:t xml:space="preserve">ed in Table </w:t>
      </w:r>
      <w:r w:rsidR="00457323">
        <w:t>2</w:t>
      </w:r>
      <w:r w:rsidR="00457323" w:rsidRPr="00222940">
        <w:t>.</w:t>
      </w:r>
      <w:r w:rsidR="00457323">
        <w:t xml:space="preserve"> </w:t>
      </w:r>
    </w:p>
    <w:p w14:paraId="5D7470EE" w14:textId="5D70D7CF" w:rsidR="00AD2206" w:rsidRDefault="00AD2206" w:rsidP="00AD2206">
      <w:pPr>
        <w:pStyle w:val="RPI-Text"/>
      </w:pPr>
      <w:r w:rsidRPr="00222940">
        <w:t xml:space="preserve">If toxicity events occur, a maximum of two dose reductions are permitted. Discontinue </w:t>
      </w:r>
      <w:r>
        <w:t xml:space="preserve">LUMAKRAS </w:t>
      </w:r>
      <w:r w:rsidRPr="00222940">
        <w:t>if patients are unable to tolerate the minimum dose of 240 mg once daily.</w:t>
      </w:r>
    </w:p>
    <w:p w14:paraId="1537E31B" w14:textId="77777777" w:rsidR="00DE2662" w:rsidDel="00ED1E7C" w:rsidRDefault="00DE2662" w:rsidP="00DE2662">
      <w:pPr>
        <w:pStyle w:val="RPI-Heading4"/>
        <w:spacing w:before="240" w:after="0"/>
      </w:pPr>
      <w:r w:rsidRPr="00EA7720" w:rsidDel="00ED1E7C">
        <w:t>Special populations</w:t>
      </w:r>
    </w:p>
    <w:p w14:paraId="3660F049" w14:textId="38D35409" w:rsidR="00DE2662" w:rsidRPr="00E8612A" w:rsidDel="00ED1E7C" w:rsidRDefault="00DE2662" w:rsidP="00B12712">
      <w:pPr>
        <w:pStyle w:val="RPI-Text"/>
        <w:spacing w:before="240"/>
        <w:rPr>
          <w:iCs/>
        </w:rPr>
      </w:pPr>
      <w:r w:rsidRPr="00E76553" w:rsidDel="00ED1E7C">
        <w:rPr>
          <w:i/>
          <w:iCs/>
        </w:rPr>
        <w:t>Hepatic impairment</w:t>
      </w:r>
      <w:r w:rsidDel="00ED1E7C">
        <w:rPr>
          <w:i/>
          <w:iCs/>
        </w:rPr>
        <w:t xml:space="preserve"> - </w:t>
      </w:r>
      <w:r w:rsidRPr="00E8612A" w:rsidDel="00ED1E7C">
        <w:rPr>
          <w:iCs/>
        </w:rPr>
        <w:t>No dose adjustment is recommended for patients with mild hepatic impairment (AST or ALT &lt;2.5 x ULN</w:t>
      </w:r>
      <w:r w:rsidDel="00ED1E7C">
        <w:rPr>
          <w:iCs/>
        </w:rPr>
        <w:t>,</w:t>
      </w:r>
      <w:r w:rsidRPr="00E8612A" w:rsidDel="00ED1E7C">
        <w:rPr>
          <w:iCs/>
        </w:rPr>
        <w:t xml:space="preserve"> or total bilirubin &lt;1.5 x ULN). </w:t>
      </w:r>
      <w:r w:rsidRPr="00477356" w:rsidDel="00ED1E7C">
        <w:rPr>
          <w:iCs/>
        </w:rPr>
        <w:t>LUMAKRAS has not been studied in patients with moderate or severe hepatic impairment.</w:t>
      </w:r>
    </w:p>
    <w:p w14:paraId="571D4130" w14:textId="77777777" w:rsidR="00AD2206" w:rsidRPr="00692AA6" w:rsidRDefault="00AD2206" w:rsidP="00483125">
      <w:pPr>
        <w:pStyle w:val="RPI-Textbold"/>
        <w:pageBreakBefore/>
        <w:jc w:val="center"/>
        <w:rPr>
          <w:rFonts w:eastAsia="Arial"/>
        </w:rPr>
      </w:pPr>
      <w:r w:rsidRPr="00692AA6">
        <w:rPr>
          <w:rFonts w:eastAsia="Arial"/>
        </w:rPr>
        <w:lastRenderedPageBreak/>
        <w:t xml:space="preserve">Table </w:t>
      </w:r>
      <w:r>
        <w:rPr>
          <w:rFonts w:eastAsia="Arial"/>
        </w:rPr>
        <w:t>1</w:t>
      </w:r>
      <w:r w:rsidRPr="00692AA6">
        <w:rPr>
          <w:rFonts w:eastAsia="Arial"/>
        </w:rPr>
        <w:t xml:space="preserve">. Recommended </w:t>
      </w:r>
      <w:r>
        <w:rPr>
          <w:rFonts w:eastAsia="Arial"/>
        </w:rPr>
        <w:t>d</w:t>
      </w:r>
      <w:r w:rsidRPr="00692AA6">
        <w:rPr>
          <w:rFonts w:eastAsia="Arial"/>
        </w:rPr>
        <w:t xml:space="preserve">ose </w:t>
      </w:r>
      <w:r>
        <w:rPr>
          <w:rFonts w:eastAsia="Arial"/>
        </w:rPr>
        <w:t>m</w:t>
      </w:r>
      <w:r w:rsidRPr="00692AA6">
        <w:rPr>
          <w:rFonts w:eastAsia="Arial"/>
        </w:rPr>
        <w:t xml:space="preserve">odifications for </w:t>
      </w:r>
      <w:r>
        <w:rPr>
          <w:rFonts w:eastAsia="Arial"/>
        </w:rPr>
        <w:t>LUMAKRAS</w:t>
      </w:r>
    </w:p>
    <w:tbl>
      <w:tblPr>
        <w:tblStyle w:val="TableGrid1"/>
        <w:tblW w:w="8879" w:type="dxa"/>
        <w:tblInd w:w="-95" w:type="dxa"/>
        <w:tblLook w:val="04A0" w:firstRow="1" w:lastRow="0" w:firstColumn="1" w:lastColumn="0" w:noHBand="0" w:noVBand="1"/>
      </w:tblPr>
      <w:tblGrid>
        <w:gridCol w:w="2273"/>
        <w:gridCol w:w="2949"/>
        <w:gridCol w:w="3657"/>
      </w:tblGrid>
      <w:tr w:rsidR="00AD2206" w:rsidRPr="00692AA6" w14:paraId="5B67B007" w14:textId="77777777" w:rsidTr="00887792">
        <w:trPr>
          <w:cantSplit/>
          <w:trHeight w:val="262"/>
          <w:tblHeader/>
        </w:trPr>
        <w:tc>
          <w:tcPr>
            <w:tcW w:w="2273" w:type="dxa"/>
          </w:tcPr>
          <w:p w14:paraId="185AA967" w14:textId="77777777" w:rsidR="00AD2206" w:rsidRPr="00692AA6" w:rsidRDefault="00AD2206" w:rsidP="006965AD">
            <w:pPr>
              <w:suppressAutoHyphens w:val="0"/>
              <w:spacing w:before="60" w:after="60"/>
              <w:jc w:val="center"/>
              <w:rPr>
                <w:rFonts w:eastAsia="MS Mincho" w:cs="Arial"/>
                <w:b/>
                <w:szCs w:val="22"/>
                <w:lang w:eastAsia="ja-JP"/>
              </w:rPr>
            </w:pPr>
            <w:r w:rsidRPr="00692AA6">
              <w:rPr>
                <w:rFonts w:eastAsia="MS Mincho" w:cs="Arial"/>
                <w:b/>
                <w:szCs w:val="22"/>
                <w:lang w:eastAsia="ja-JP"/>
              </w:rPr>
              <w:t>Adverse Reaction</w:t>
            </w:r>
          </w:p>
        </w:tc>
        <w:tc>
          <w:tcPr>
            <w:tcW w:w="2949" w:type="dxa"/>
          </w:tcPr>
          <w:p w14:paraId="69219B86" w14:textId="77777777" w:rsidR="00AD2206" w:rsidRPr="00692AA6" w:rsidRDefault="00AD2206" w:rsidP="006965AD">
            <w:pPr>
              <w:suppressAutoHyphens w:val="0"/>
              <w:spacing w:before="60" w:after="60"/>
              <w:jc w:val="center"/>
              <w:rPr>
                <w:rFonts w:eastAsia="MS Mincho" w:cs="Arial"/>
                <w:b/>
                <w:szCs w:val="22"/>
                <w:lang w:eastAsia="ja-JP"/>
              </w:rPr>
            </w:pPr>
            <w:proofErr w:type="spellStart"/>
            <w:r w:rsidRPr="00692AA6">
              <w:rPr>
                <w:rFonts w:eastAsia="MS Mincho" w:cs="Arial"/>
                <w:b/>
                <w:szCs w:val="22"/>
                <w:lang w:eastAsia="ja-JP"/>
              </w:rPr>
              <w:t>Severity</w:t>
            </w:r>
            <w:r w:rsidRPr="00692AA6">
              <w:rPr>
                <w:rFonts w:eastAsia="MS Mincho" w:cs="Arial"/>
                <w:b/>
                <w:szCs w:val="22"/>
                <w:vertAlign w:val="superscript"/>
                <w:lang w:eastAsia="ja-JP"/>
              </w:rPr>
              <w:t>a</w:t>
            </w:r>
            <w:proofErr w:type="spellEnd"/>
          </w:p>
        </w:tc>
        <w:tc>
          <w:tcPr>
            <w:tcW w:w="3657" w:type="dxa"/>
          </w:tcPr>
          <w:p w14:paraId="49584BFB" w14:textId="77777777" w:rsidR="00AD2206" w:rsidRPr="00692AA6" w:rsidRDefault="00AD2206" w:rsidP="006965AD">
            <w:pPr>
              <w:suppressAutoHyphens w:val="0"/>
              <w:spacing w:before="60" w:after="60"/>
              <w:jc w:val="center"/>
              <w:rPr>
                <w:rFonts w:eastAsia="MS Mincho" w:cs="Arial"/>
                <w:b/>
                <w:szCs w:val="22"/>
                <w:lang w:eastAsia="ja-JP"/>
              </w:rPr>
            </w:pPr>
            <w:r w:rsidRPr="00692AA6">
              <w:rPr>
                <w:rFonts w:eastAsia="MS Mincho" w:cs="Arial"/>
                <w:b/>
                <w:szCs w:val="22"/>
                <w:lang w:eastAsia="ja-JP"/>
              </w:rPr>
              <w:t>Dose Modification</w:t>
            </w:r>
          </w:p>
        </w:tc>
      </w:tr>
      <w:tr w:rsidR="00AD2206" w:rsidRPr="00692AA6" w14:paraId="4CFE55F1" w14:textId="77777777" w:rsidTr="00887792">
        <w:trPr>
          <w:trHeight w:val="246"/>
        </w:trPr>
        <w:tc>
          <w:tcPr>
            <w:tcW w:w="2273" w:type="dxa"/>
            <w:vMerge w:val="restart"/>
          </w:tcPr>
          <w:p w14:paraId="33D8E033" w14:textId="2C6C810E" w:rsidR="00AD2206" w:rsidRPr="00692AA6" w:rsidRDefault="002F31B7" w:rsidP="0094408F">
            <w:pPr>
              <w:suppressAutoHyphens w:val="0"/>
              <w:rPr>
                <w:rFonts w:eastAsia="MS Mincho" w:cs="Arial"/>
                <w:szCs w:val="22"/>
                <w:lang w:eastAsia="ja-JP"/>
              </w:rPr>
            </w:pPr>
            <w:r>
              <w:rPr>
                <w:rFonts w:eastAsia="MS Mincho" w:cs="Arial"/>
                <w:szCs w:val="22"/>
                <w:lang w:eastAsia="ja-JP"/>
              </w:rPr>
              <w:t>Hepatotoxicity</w:t>
            </w:r>
          </w:p>
        </w:tc>
        <w:tc>
          <w:tcPr>
            <w:tcW w:w="2949" w:type="dxa"/>
          </w:tcPr>
          <w:p w14:paraId="221DCE55" w14:textId="77777777" w:rsidR="00AD2206" w:rsidRPr="00692AA6" w:rsidRDefault="00AD2206" w:rsidP="0094408F">
            <w:pPr>
              <w:suppressAutoHyphens w:val="0"/>
              <w:ind w:left="5" w:hanging="5"/>
              <w:rPr>
                <w:rFonts w:eastAsia="MS Mincho" w:cs="Arial"/>
                <w:szCs w:val="22"/>
                <w:lang w:eastAsia="ja-JP"/>
              </w:rPr>
            </w:pPr>
            <w:r w:rsidRPr="00692AA6">
              <w:rPr>
                <w:rFonts w:eastAsia="MS Mincho" w:cs="Arial"/>
                <w:szCs w:val="22"/>
                <w:lang w:eastAsia="ja-JP"/>
              </w:rPr>
              <w:t xml:space="preserve">Grade 2 AST or ALT with symptoms </w:t>
            </w:r>
          </w:p>
          <w:p w14:paraId="6C81697E" w14:textId="77777777" w:rsidR="00AD2206" w:rsidRPr="0094408F" w:rsidRDefault="00AD2206" w:rsidP="0094408F">
            <w:pPr>
              <w:suppressAutoHyphens w:val="0"/>
              <w:rPr>
                <w:rFonts w:eastAsia="MS Mincho" w:cs="Arial"/>
                <w:b/>
                <w:bCs/>
                <w:szCs w:val="22"/>
                <w:lang w:eastAsia="ja-JP"/>
              </w:rPr>
            </w:pPr>
            <w:r w:rsidRPr="0094408F">
              <w:rPr>
                <w:rFonts w:eastAsia="MS Mincho" w:cs="Arial"/>
                <w:b/>
                <w:bCs/>
                <w:szCs w:val="22"/>
                <w:lang w:eastAsia="ja-JP"/>
              </w:rPr>
              <w:t xml:space="preserve">or </w:t>
            </w:r>
          </w:p>
          <w:p w14:paraId="3BB90614" w14:textId="77777777" w:rsidR="00AD2206" w:rsidRPr="00692AA6" w:rsidRDefault="00AD2206" w:rsidP="0094408F">
            <w:pPr>
              <w:suppressAutoHyphens w:val="0"/>
              <w:rPr>
                <w:rFonts w:eastAsia="MS Mincho" w:cs="Arial"/>
                <w:szCs w:val="22"/>
                <w:lang w:eastAsia="ja-JP"/>
              </w:rPr>
            </w:pPr>
            <w:r w:rsidRPr="00692AA6">
              <w:rPr>
                <w:rFonts w:eastAsia="MS Mincho" w:cs="Arial"/>
                <w:szCs w:val="22"/>
                <w:lang w:eastAsia="ja-JP"/>
              </w:rPr>
              <w:t xml:space="preserve">Grade </w:t>
            </w:r>
            <w:r w:rsidRPr="00692AA6">
              <w:rPr>
                <w:rFonts w:eastAsia="MS Mincho" w:cs="Arial"/>
                <w:szCs w:val="22"/>
                <w:lang w:eastAsia="ja-JP"/>
              </w:rPr>
              <w:sym w:font="Symbol" w:char="F0B3"/>
            </w:r>
            <w:r w:rsidRPr="00692AA6">
              <w:rPr>
                <w:rFonts w:eastAsia="MS Mincho" w:cs="Arial"/>
                <w:szCs w:val="22"/>
                <w:lang w:eastAsia="ja-JP"/>
              </w:rPr>
              <w:t xml:space="preserve"> 3 AST or ALT</w:t>
            </w:r>
          </w:p>
        </w:tc>
        <w:tc>
          <w:tcPr>
            <w:tcW w:w="3657" w:type="dxa"/>
          </w:tcPr>
          <w:p w14:paraId="442AF81E" w14:textId="77777777" w:rsidR="00AD2206" w:rsidRPr="00692AA6" w:rsidRDefault="00AD2206" w:rsidP="00FE1EEB">
            <w:pPr>
              <w:numPr>
                <w:ilvl w:val="0"/>
                <w:numId w:val="5"/>
              </w:numPr>
              <w:suppressAutoHyphens w:val="0"/>
              <w:rPr>
                <w:rFonts w:eastAsia="MS Mincho" w:cs="Arial"/>
                <w:szCs w:val="22"/>
                <w:lang w:eastAsia="ja-JP"/>
              </w:rPr>
            </w:pPr>
            <w:r w:rsidRPr="00692AA6">
              <w:rPr>
                <w:rFonts w:eastAsia="MS Mincho" w:cs="Arial"/>
                <w:szCs w:val="22"/>
                <w:lang w:eastAsia="ja-JP"/>
              </w:rPr>
              <w:t xml:space="preserve">Stop treatment until recovered to </w:t>
            </w:r>
            <w:r w:rsidRPr="00692AA6">
              <w:rPr>
                <w:rFonts w:eastAsia="MS Mincho" w:cs="Arial"/>
                <w:szCs w:val="22"/>
                <w:lang w:eastAsia="ja-JP"/>
              </w:rPr>
              <w:sym w:font="Symbol" w:char="F0A3"/>
            </w:r>
            <w:r w:rsidRPr="00692AA6">
              <w:rPr>
                <w:rFonts w:eastAsia="MS Mincho" w:cs="Arial"/>
                <w:szCs w:val="22"/>
                <w:lang w:eastAsia="ja-JP"/>
              </w:rPr>
              <w:t> Grade 1 or to baseline grade.</w:t>
            </w:r>
          </w:p>
          <w:p w14:paraId="3F7D8259" w14:textId="77777777" w:rsidR="00AD2206" w:rsidRPr="00692AA6" w:rsidRDefault="00AD2206" w:rsidP="00FE1EEB">
            <w:pPr>
              <w:numPr>
                <w:ilvl w:val="0"/>
                <w:numId w:val="5"/>
              </w:numPr>
              <w:suppressAutoHyphens w:val="0"/>
              <w:rPr>
                <w:rFonts w:eastAsia="MS Mincho" w:cs="Arial"/>
                <w:szCs w:val="22"/>
                <w:lang w:eastAsia="ja-JP"/>
              </w:rPr>
            </w:pPr>
            <w:r w:rsidRPr="00692AA6">
              <w:rPr>
                <w:rFonts w:eastAsia="MS Mincho" w:cs="Arial"/>
                <w:szCs w:val="22"/>
                <w:lang w:eastAsia="ja-JP"/>
              </w:rPr>
              <w:t>After recovery, resume treatment at the next dose reduction level.</w:t>
            </w:r>
          </w:p>
        </w:tc>
      </w:tr>
      <w:tr w:rsidR="00AD2206" w:rsidRPr="00692AA6" w14:paraId="569D8AFD" w14:textId="77777777" w:rsidTr="00887792">
        <w:trPr>
          <w:trHeight w:val="246"/>
        </w:trPr>
        <w:tc>
          <w:tcPr>
            <w:tcW w:w="2273" w:type="dxa"/>
            <w:vMerge/>
          </w:tcPr>
          <w:p w14:paraId="5433CE93" w14:textId="77777777" w:rsidR="00AD2206" w:rsidRPr="00692AA6" w:rsidRDefault="00AD2206" w:rsidP="0094408F">
            <w:pPr>
              <w:suppressAutoHyphens w:val="0"/>
              <w:rPr>
                <w:rFonts w:eastAsia="MS Mincho" w:cs="Arial"/>
                <w:szCs w:val="22"/>
                <w:lang w:eastAsia="ja-JP"/>
              </w:rPr>
            </w:pPr>
          </w:p>
        </w:tc>
        <w:tc>
          <w:tcPr>
            <w:tcW w:w="2949" w:type="dxa"/>
          </w:tcPr>
          <w:p w14:paraId="6288B6F1" w14:textId="77777777" w:rsidR="00AD2206" w:rsidRPr="00692AA6" w:rsidRDefault="00AD2206" w:rsidP="0094408F">
            <w:pPr>
              <w:suppressAutoHyphens w:val="0"/>
              <w:ind w:left="5" w:hanging="5"/>
              <w:rPr>
                <w:rFonts w:eastAsia="MS Mincho" w:cs="Arial"/>
                <w:szCs w:val="22"/>
                <w:lang w:eastAsia="ja-JP"/>
              </w:rPr>
            </w:pPr>
            <w:r w:rsidRPr="00692AA6">
              <w:rPr>
                <w:rFonts w:eastAsia="MS Mincho" w:cs="Arial"/>
                <w:szCs w:val="22"/>
                <w:lang w:eastAsia="ja-JP"/>
              </w:rPr>
              <w:t xml:space="preserve">AST or ALT </w:t>
            </w:r>
            <w:r w:rsidRPr="00692AA6">
              <w:rPr>
                <w:rFonts w:eastAsia="MS Mincho" w:cs="Arial"/>
                <w:szCs w:val="22"/>
                <w:lang w:eastAsia="ja-JP"/>
              </w:rPr>
              <w:sym w:font="Symbol" w:char="F03E"/>
            </w:r>
            <w:r w:rsidRPr="00692AA6">
              <w:rPr>
                <w:rFonts w:eastAsia="MS Mincho" w:cs="Arial"/>
                <w:szCs w:val="22"/>
                <w:lang w:eastAsia="ja-JP"/>
              </w:rPr>
              <w:t xml:space="preserve"> 3 × ULN with total bilirubin </w:t>
            </w:r>
            <w:r w:rsidRPr="00692AA6">
              <w:rPr>
                <w:rFonts w:eastAsia="MS Mincho" w:cs="Arial"/>
                <w:szCs w:val="22"/>
                <w:lang w:eastAsia="ja-JP"/>
              </w:rPr>
              <w:sym w:font="Symbol" w:char="F03E"/>
            </w:r>
            <w:r w:rsidRPr="00692AA6">
              <w:rPr>
                <w:rFonts w:eastAsia="MS Mincho" w:cs="Arial"/>
                <w:szCs w:val="22"/>
                <w:lang w:eastAsia="ja-JP"/>
              </w:rPr>
              <w:t> 2 × ULN in the absence of alternative causes</w:t>
            </w:r>
          </w:p>
        </w:tc>
        <w:tc>
          <w:tcPr>
            <w:tcW w:w="3657" w:type="dxa"/>
          </w:tcPr>
          <w:p w14:paraId="31DF17B7" w14:textId="77777777" w:rsidR="00AD2206" w:rsidRPr="00692AA6" w:rsidRDefault="00AD2206" w:rsidP="00FE1EEB">
            <w:pPr>
              <w:numPr>
                <w:ilvl w:val="0"/>
                <w:numId w:val="5"/>
              </w:numPr>
              <w:suppressAutoHyphens w:val="0"/>
              <w:rPr>
                <w:rFonts w:eastAsia="MS Mincho" w:cs="Arial"/>
                <w:szCs w:val="22"/>
                <w:lang w:eastAsia="ja-JP"/>
              </w:rPr>
            </w:pPr>
            <w:r w:rsidRPr="00692AA6">
              <w:rPr>
                <w:rFonts w:eastAsia="MS Mincho" w:cs="Arial"/>
                <w:szCs w:val="22"/>
                <w:lang w:eastAsia="ja-JP"/>
              </w:rPr>
              <w:t>Permanently discontinue treatment.</w:t>
            </w:r>
          </w:p>
        </w:tc>
      </w:tr>
      <w:tr w:rsidR="00887792" w:rsidRPr="00C15872" w14:paraId="7F1B420C" w14:textId="77777777" w:rsidTr="00887792">
        <w:trPr>
          <w:trHeight w:val="20"/>
        </w:trPr>
        <w:tc>
          <w:tcPr>
            <w:tcW w:w="2273" w:type="dxa"/>
          </w:tcPr>
          <w:p w14:paraId="0AF8358A" w14:textId="25EFFB51" w:rsidR="00887792" w:rsidRPr="00887792" w:rsidRDefault="00887792" w:rsidP="00887792">
            <w:pPr>
              <w:suppressAutoHyphens w:val="0"/>
              <w:rPr>
                <w:rFonts w:eastAsia="MS Mincho" w:cs="Arial"/>
                <w:szCs w:val="22"/>
                <w:lang w:eastAsia="ja-JP"/>
              </w:rPr>
            </w:pPr>
            <w:r w:rsidRPr="00887792">
              <w:rPr>
                <w:rFonts w:eastAsia="MS Mincho" w:cs="Arial"/>
                <w:szCs w:val="22"/>
                <w:lang w:eastAsia="ja-JP"/>
              </w:rPr>
              <w:t xml:space="preserve">Interstitial Lung Disease (ILD)/ pneumonitis </w:t>
            </w:r>
          </w:p>
        </w:tc>
        <w:tc>
          <w:tcPr>
            <w:tcW w:w="2949" w:type="dxa"/>
          </w:tcPr>
          <w:p w14:paraId="6F2AAA8C" w14:textId="77777777" w:rsidR="00887792" w:rsidRPr="00887792" w:rsidRDefault="00887792" w:rsidP="00887792">
            <w:pPr>
              <w:suppressAutoHyphens w:val="0"/>
              <w:rPr>
                <w:rFonts w:eastAsia="MS Mincho" w:cs="Arial"/>
                <w:szCs w:val="22"/>
                <w:lang w:eastAsia="ja-JP"/>
              </w:rPr>
            </w:pPr>
            <w:r w:rsidRPr="00887792">
              <w:rPr>
                <w:rFonts w:eastAsia="MS Mincho" w:cs="Arial"/>
                <w:szCs w:val="22"/>
                <w:lang w:eastAsia="ja-JP"/>
              </w:rPr>
              <w:t>Any Grade</w:t>
            </w:r>
          </w:p>
          <w:p w14:paraId="52DDBEA2" w14:textId="77777777" w:rsidR="00887792" w:rsidRPr="00887792" w:rsidRDefault="00887792" w:rsidP="00887792">
            <w:pPr>
              <w:suppressAutoHyphens w:val="0"/>
              <w:rPr>
                <w:rFonts w:eastAsia="MS Mincho" w:cs="Arial"/>
                <w:szCs w:val="22"/>
                <w:lang w:eastAsia="ja-JP"/>
              </w:rPr>
            </w:pPr>
          </w:p>
          <w:p w14:paraId="1FE73DC5" w14:textId="77777777" w:rsidR="00887792" w:rsidRPr="00887792" w:rsidRDefault="00887792" w:rsidP="00887792">
            <w:pPr>
              <w:suppressAutoHyphens w:val="0"/>
              <w:rPr>
                <w:rFonts w:eastAsia="MS Mincho" w:cs="Arial"/>
                <w:szCs w:val="22"/>
                <w:lang w:eastAsia="ja-JP"/>
              </w:rPr>
            </w:pPr>
          </w:p>
          <w:p w14:paraId="05397E25" w14:textId="77777777" w:rsidR="00887792" w:rsidRPr="00887792" w:rsidRDefault="00887792" w:rsidP="00887792">
            <w:pPr>
              <w:suppressAutoHyphens w:val="0"/>
              <w:rPr>
                <w:rFonts w:eastAsia="MS Mincho" w:cs="Arial"/>
                <w:szCs w:val="22"/>
                <w:lang w:eastAsia="ja-JP"/>
              </w:rPr>
            </w:pPr>
          </w:p>
        </w:tc>
        <w:tc>
          <w:tcPr>
            <w:tcW w:w="3657" w:type="dxa"/>
          </w:tcPr>
          <w:p w14:paraId="09A9012D" w14:textId="089870D5" w:rsidR="00887792" w:rsidRPr="00887792" w:rsidRDefault="00846B59" w:rsidP="00FE1EEB">
            <w:pPr>
              <w:numPr>
                <w:ilvl w:val="0"/>
                <w:numId w:val="5"/>
              </w:numPr>
              <w:suppressAutoHyphens w:val="0"/>
              <w:rPr>
                <w:rFonts w:eastAsia="MS Mincho" w:cs="Arial"/>
                <w:szCs w:val="22"/>
                <w:lang w:eastAsia="ja-JP"/>
              </w:rPr>
            </w:pPr>
            <w:r>
              <w:rPr>
                <w:rFonts w:eastAsia="MS Mincho" w:cs="Arial"/>
                <w:szCs w:val="22"/>
                <w:lang w:eastAsia="ja-JP"/>
              </w:rPr>
              <w:t>Stop treatment i</w:t>
            </w:r>
            <w:r w:rsidR="00887792" w:rsidRPr="00887792">
              <w:rPr>
                <w:rFonts w:eastAsia="MS Mincho" w:cs="Arial"/>
                <w:szCs w:val="22"/>
                <w:lang w:eastAsia="ja-JP"/>
              </w:rPr>
              <w:t>f ILD/pneumonitis is suspected.</w:t>
            </w:r>
          </w:p>
          <w:p w14:paraId="339EC383" w14:textId="088FD4E7" w:rsidR="00887792" w:rsidRPr="00887792" w:rsidRDefault="00887792" w:rsidP="00FE1EEB">
            <w:pPr>
              <w:numPr>
                <w:ilvl w:val="0"/>
                <w:numId w:val="5"/>
              </w:numPr>
              <w:suppressAutoHyphens w:val="0"/>
              <w:rPr>
                <w:rFonts w:eastAsia="MS Mincho" w:cs="Arial"/>
                <w:szCs w:val="22"/>
                <w:lang w:eastAsia="ja-JP"/>
              </w:rPr>
            </w:pPr>
            <w:r w:rsidRPr="00887792">
              <w:rPr>
                <w:rFonts w:eastAsia="MS Mincho" w:cs="Arial"/>
                <w:szCs w:val="22"/>
                <w:lang w:eastAsia="ja-JP"/>
              </w:rPr>
              <w:t xml:space="preserve">Permanently discontinue </w:t>
            </w:r>
            <w:r w:rsidR="00846B59">
              <w:rPr>
                <w:rFonts w:eastAsia="MS Mincho" w:cs="Arial"/>
                <w:szCs w:val="22"/>
                <w:lang w:eastAsia="ja-JP"/>
              </w:rPr>
              <w:t>treatment</w:t>
            </w:r>
            <w:r w:rsidRPr="00887792">
              <w:rPr>
                <w:rFonts w:eastAsia="MS Mincho" w:cs="Arial"/>
                <w:szCs w:val="22"/>
                <w:lang w:eastAsia="ja-JP"/>
              </w:rPr>
              <w:t xml:space="preserve"> if ILD/pneumonitis is confirmed.</w:t>
            </w:r>
          </w:p>
          <w:p w14:paraId="6CBF39DA" w14:textId="77777777" w:rsidR="00887792" w:rsidRPr="00887792" w:rsidRDefault="00887792" w:rsidP="00887792">
            <w:pPr>
              <w:suppressAutoHyphens w:val="0"/>
              <w:rPr>
                <w:rFonts w:eastAsia="MS Mincho" w:cs="Arial"/>
                <w:szCs w:val="22"/>
                <w:lang w:eastAsia="ja-JP"/>
              </w:rPr>
            </w:pPr>
          </w:p>
        </w:tc>
      </w:tr>
      <w:tr w:rsidR="00AD2206" w:rsidRPr="00692AA6" w14:paraId="6EBB0DB0" w14:textId="77777777" w:rsidTr="00887792">
        <w:trPr>
          <w:trHeight w:val="246"/>
        </w:trPr>
        <w:tc>
          <w:tcPr>
            <w:tcW w:w="2273" w:type="dxa"/>
          </w:tcPr>
          <w:p w14:paraId="74E9FEFF" w14:textId="77777777" w:rsidR="00AD2206" w:rsidRPr="00692AA6" w:rsidRDefault="00AD2206" w:rsidP="0094408F">
            <w:pPr>
              <w:suppressAutoHyphens w:val="0"/>
              <w:rPr>
                <w:rFonts w:eastAsia="MS Mincho" w:cs="Arial"/>
                <w:szCs w:val="22"/>
                <w:lang w:eastAsia="ja-JP"/>
              </w:rPr>
            </w:pPr>
            <w:r w:rsidRPr="00692AA6">
              <w:rPr>
                <w:rFonts w:eastAsia="MS Mincho" w:cs="Arial"/>
                <w:szCs w:val="22"/>
                <w:lang w:eastAsia="ja-JP"/>
              </w:rPr>
              <w:t>Nausea, vomiting, or diarrh</w:t>
            </w:r>
            <w:r>
              <w:rPr>
                <w:rFonts w:eastAsia="MS Mincho" w:cs="Arial"/>
                <w:szCs w:val="22"/>
                <w:lang w:eastAsia="ja-JP"/>
              </w:rPr>
              <w:t>o</w:t>
            </w:r>
            <w:r w:rsidRPr="00692AA6">
              <w:rPr>
                <w:rFonts w:eastAsia="MS Mincho" w:cs="Arial"/>
                <w:szCs w:val="22"/>
                <w:lang w:eastAsia="ja-JP"/>
              </w:rPr>
              <w:t>ea persisting despite appropriate supportive care (including anti</w:t>
            </w:r>
            <w:r w:rsidRPr="00692AA6">
              <w:rPr>
                <w:rFonts w:eastAsia="MS Mincho" w:cs="Arial"/>
                <w:szCs w:val="22"/>
                <w:lang w:eastAsia="ja-JP"/>
              </w:rPr>
              <w:noBreakHyphen/>
              <w:t>emetic or anti-diarrh</w:t>
            </w:r>
            <w:r>
              <w:rPr>
                <w:rFonts w:eastAsia="MS Mincho" w:cs="Arial"/>
                <w:szCs w:val="22"/>
                <w:lang w:eastAsia="ja-JP"/>
              </w:rPr>
              <w:t>o</w:t>
            </w:r>
            <w:r w:rsidRPr="00692AA6">
              <w:rPr>
                <w:rFonts w:eastAsia="MS Mincho" w:cs="Arial"/>
                <w:szCs w:val="22"/>
                <w:lang w:eastAsia="ja-JP"/>
              </w:rPr>
              <w:t>eal therapy)</w:t>
            </w:r>
          </w:p>
        </w:tc>
        <w:tc>
          <w:tcPr>
            <w:tcW w:w="2949" w:type="dxa"/>
          </w:tcPr>
          <w:p w14:paraId="4FE87CD7" w14:textId="77777777" w:rsidR="00AD2206" w:rsidRPr="00692AA6" w:rsidRDefault="00AD2206" w:rsidP="0094408F">
            <w:pPr>
              <w:suppressAutoHyphens w:val="0"/>
              <w:rPr>
                <w:rFonts w:eastAsia="MS Mincho" w:cs="Arial"/>
                <w:szCs w:val="22"/>
                <w:lang w:eastAsia="ja-JP"/>
              </w:rPr>
            </w:pPr>
            <w:r w:rsidRPr="00692AA6">
              <w:rPr>
                <w:rFonts w:eastAsia="MS Mincho" w:cs="Arial"/>
                <w:szCs w:val="22"/>
                <w:lang w:eastAsia="ja-JP"/>
              </w:rPr>
              <w:t xml:space="preserve">Grade </w:t>
            </w:r>
            <w:r w:rsidRPr="00692AA6">
              <w:rPr>
                <w:rFonts w:eastAsia="MS Mincho" w:cs="Arial"/>
                <w:szCs w:val="22"/>
                <w:lang w:eastAsia="ja-JP"/>
              </w:rPr>
              <w:sym w:font="Symbol" w:char="F0B3"/>
            </w:r>
            <w:r w:rsidRPr="00692AA6">
              <w:rPr>
                <w:rFonts w:eastAsia="MS Mincho" w:cs="Arial"/>
                <w:szCs w:val="22"/>
                <w:lang w:eastAsia="ja-JP"/>
              </w:rPr>
              <w:t> 3</w:t>
            </w:r>
          </w:p>
        </w:tc>
        <w:tc>
          <w:tcPr>
            <w:tcW w:w="3657" w:type="dxa"/>
          </w:tcPr>
          <w:p w14:paraId="250A15DB" w14:textId="77777777" w:rsidR="00AD2206" w:rsidRPr="00692AA6" w:rsidRDefault="00AD2206" w:rsidP="00FE1EEB">
            <w:pPr>
              <w:numPr>
                <w:ilvl w:val="0"/>
                <w:numId w:val="6"/>
              </w:numPr>
              <w:suppressAutoHyphens w:val="0"/>
              <w:rPr>
                <w:rFonts w:eastAsia="MS Mincho" w:cs="Arial"/>
                <w:szCs w:val="22"/>
                <w:lang w:eastAsia="ja-JP"/>
              </w:rPr>
            </w:pPr>
            <w:r w:rsidRPr="00692AA6">
              <w:rPr>
                <w:rFonts w:eastAsia="MS Mincho" w:cs="Arial"/>
                <w:szCs w:val="22"/>
                <w:lang w:eastAsia="ja-JP"/>
              </w:rPr>
              <w:t xml:space="preserve">Stop treatment until recovered to </w:t>
            </w:r>
            <w:r w:rsidRPr="00692AA6">
              <w:rPr>
                <w:rFonts w:eastAsia="MS Mincho" w:cs="Arial"/>
                <w:szCs w:val="22"/>
                <w:lang w:eastAsia="ja-JP"/>
              </w:rPr>
              <w:sym w:font="Symbol" w:char="F0A3"/>
            </w:r>
            <w:r w:rsidRPr="00692AA6">
              <w:rPr>
                <w:rFonts w:eastAsia="MS Mincho" w:cs="Arial"/>
                <w:szCs w:val="22"/>
                <w:lang w:eastAsia="ja-JP"/>
              </w:rPr>
              <w:t> Grade 1 or to baseline grade.</w:t>
            </w:r>
          </w:p>
          <w:p w14:paraId="0EF52C8E" w14:textId="77777777" w:rsidR="00AD2206" w:rsidRPr="00692AA6" w:rsidRDefault="00AD2206" w:rsidP="00FE1EEB">
            <w:pPr>
              <w:numPr>
                <w:ilvl w:val="0"/>
                <w:numId w:val="6"/>
              </w:numPr>
              <w:suppressAutoHyphens w:val="0"/>
              <w:rPr>
                <w:rFonts w:eastAsia="MS Mincho" w:cs="Arial"/>
                <w:szCs w:val="22"/>
                <w:lang w:eastAsia="ja-JP"/>
              </w:rPr>
            </w:pPr>
            <w:r w:rsidRPr="00692AA6">
              <w:rPr>
                <w:rFonts w:eastAsia="MS Mincho" w:cs="Arial"/>
                <w:szCs w:val="22"/>
                <w:lang w:eastAsia="ja-JP"/>
              </w:rPr>
              <w:t>After recovery, resume treatment at the next dose reduction level.</w:t>
            </w:r>
          </w:p>
        </w:tc>
      </w:tr>
      <w:tr w:rsidR="00AD2206" w:rsidRPr="00692AA6" w14:paraId="13655C91" w14:textId="77777777" w:rsidTr="00887792">
        <w:trPr>
          <w:trHeight w:val="246"/>
        </w:trPr>
        <w:tc>
          <w:tcPr>
            <w:tcW w:w="2273" w:type="dxa"/>
          </w:tcPr>
          <w:p w14:paraId="19090B6E" w14:textId="77777777" w:rsidR="00AD2206" w:rsidRPr="00692AA6" w:rsidRDefault="00AD2206" w:rsidP="0094408F">
            <w:pPr>
              <w:suppressAutoHyphens w:val="0"/>
              <w:rPr>
                <w:rFonts w:eastAsia="MS Mincho" w:cs="Arial"/>
                <w:szCs w:val="22"/>
                <w:lang w:eastAsia="ja-JP"/>
              </w:rPr>
            </w:pPr>
            <w:r w:rsidRPr="00692AA6">
              <w:rPr>
                <w:rFonts w:eastAsia="MS Mincho" w:cs="Arial"/>
                <w:szCs w:val="22"/>
                <w:lang w:eastAsia="ja-JP"/>
              </w:rPr>
              <w:t>Other drug-related toxicity</w:t>
            </w:r>
          </w:p>
        </w:tc>
        <w:tc>
          <w:tcPr>
            <w:tcW w:w="2949" w:type="dxa"/>
          </w:tcPr>
          <w:p w14:paraId="0B08436C" w14:textId="77777777" w:rsidR="00AD2206" w:rsidRPr="00692AA6" w:rsidRDefault="00AD2206" w:rsidP="0094408F">
            <w:pPr>
              <w:suppressAutoHyphens w:val="0"/>
              <w:rPr>
                <w:rFonts w:eastAsia="MS Mincho" w:cs="Arial"/>
                <w:szCs w:val="22"/>
                <w:lang w:eastAsia="ja-JP"/>
              </w:rPr>
            </w:pPr>
            <w:r w:rsidRPr="00692AA6">
              <w:rPr>
                <w:rFonts w:eastAsia="MS Mincho" w:cs="Arial"/>
                <w:szCs w:val="22"/>
                <w:lang w:eastAsia="ja-JP"/>
              </w:rPr>
              <w:t xml:space="preserve">Grade </w:t>
            </w:r>
            <w:r w:rsidRPr="00692AA6">
              <w:rPr>
                <w:rFonts w:eastAsia="MS Mincho" w:cs="Arial"/>
                <w:szCs w:val="22"/>
                <w:lang w:eastAsia="ja-JP"/>
              </w:rPr>
              <w:sym w:font="Symbol" w:char="F0B3"/>
            </w:r>
            <w:r w:rsidRPr="00692AA6">
              <w:rPr>
                <w:rFonts w:eastAsia="MS Mincho" w:cs="Arial"/>
                <w:szCs w:val="22"/>
                <w:lang w:eastAsia="ja-JP"/>
              </w:rPr>
              <w:t> 3</w:t>
            </w:r>
          </w:p>
        </w:tc>
        <w:tc>
          <w:tcPr>
            <w:tcW w:w="3657" w:type="dxa"/>
          </w:tcPr>
          <w:p w14:paraId="570F2C26" w14:textId="77777777" w:rsidR="00AD2206" w:rsidRPr="00692AA6" w:rsidRDefault="00AD2206" w:rsidP="00FE1EEB">
            <w:pPr>
              <w:numPr>
                <w:ilvl w:val="0"/>
                <w:numId w:val="7"/>
              </w:numPr>
              <w:suppressAutoHyphens w:val="0"/>
              <w:rPr>
                <w:rFonts w:eastAsia="MS Mincho" w:cs="Arial"/>
                <w:szCs w:val="22"/>
                <w:lang w:eastAsia="ja-JP"/>
              </w:rPr>
            </w:pPr>
            <w:r w:rsidRPr="00692AA6">
              <w:rPr>
                <w:rFonts w:eastAsia="MS Mincho" w:cs="Arial"/>
                <w:szCs w:val="22"/>
                <w:lang w:eastAsia="ja-JP"/>
              </w:rPr>
              <w:t xml:space="preserve">Stop treatment until recovered to </w:t>
            </w:r>
            <w:r w:rsidRPr="00692AA6">
              <w:rPr>
                <w:rFonts w:eastAsia="MS Mincho" w:cs="Arial"/>
                <w:szCs w:val="22"/>
                <w:lang w:eastAsia="ja-JP"/>
              </w:rPr>
              <w:sym w:font="Symbol" w:char="F0A3"/>
            </w:r>
            <w:r w:rsidRPr="00692AA6">
              <w:rPr>
                <w:rFonts w:eastAsia="MS Mincho" w:cs="Arial"/>
                <w:szCs w:val="22"/>
                <w:lang w:eastAsia="ja-JP"/>
              </w:rPr>
              <w:t> Grade 1 or to baseline grade</w:t>
            </w:r>
          </w:p>
          <w:p w14:paraId="6D040024" w14:textId="77777777" w:rsidR="00AD2206" w:rsidRDefault="00AD2206" w:rsidP="00FE1EEB">
            <w:pPr>
              <w:numPr>
                <w:ilvl w:val="0"/>
                <w:numId w:val="7"/>
              </w:numPr>
              <w:suppressAutoHyphens w:val="0"/>
              <w:rPr>
                <w:rFonts w:eastAsia="MS Mincho" w:cs="Arial"/>
                <w:szCs w:val="22"/>
                <w:lang w:eastAsia="ja-JP"/>
              </w:rPr>
            </w:pPr>
            <w:r w:rsidRPr="00692AA6">
              <w:rPr>
                <w:rFonts w:eastAsia="MS Mincho" w:cs="Arial"/>
                <w:szCs w:val="22"/>
                <w:lang w:eastAsia="ja-JP"/>
              </w:rPr>
              <w:t xml:space="preserve">After recovery, resume treatment at the next dose reduction level. </w:t>
            </w:r>
          </w:p>
          <w:p w14:paraId="7C1D8432" w14:textId="74AEB288" w:rsidR="00991F32" w:rsidRPr="00692AA6" w:rsidRDefault="00991F32" w:rsidP="005C60CC">
            <w:pPr>
              <w:suppressAutoHyphens w:val="0"/>
              <w:rPr>
                <w:rFonts w:eastAsia="MS Mincho" w:cs="Arial"/>
                <w:szCs w:val="22"/>
                <w:lang w:eastAsia="ja-JP"/>
              </w:rPr>
            </w:pPr>
          </w:p>
        </w:tc>
      </w:tr>
    </w:tbl>
    <w:p w14:paraId="1EE51996" w14:textId="77777777" w:rsidR="0094408F" w:rsidRPr="007B14A7" w:rsidRDefault="0094408F" w:rsidP="007B14A7">
      <w:pPr>
        <w:suppressAutoHyphens w:val="0"/>
        <w:spacing w:after="120"/>
        <w:rPr>
          <w:rFonts w:cs="Arial"/>
          <w:iCs/>
          <w:sz w:val="18"/>
          <w:szCs w:val="18"/>
        </w:rPr>
      </w:pPr>
      <w:r w:rsidRPr="007B14A7">
        <w:rPr>
          <w:rFonts w:cs="Arial"/>
          <w:iCs/>
          <w:sz w:val="18"/>
          <w:szCs w:val="18"/>
        </w:rPr>
        <w:t xml:space="preserve">ALT </w:t>
      </w:r>
      <w:r w:rsidRPr="007B14A7">
        <w:rPr>
          <w:rFonts w:cs="Arial"/>
          <w:iCs/>
          <w:sz w:val="18"/>
          <w:szCs w:val="18"/>
        </w:rPr>
        <w:sym w:font="Symbol" w:char="F03D"/>
      </w:r>
      <w:r w:rsidRPr="007B14A7">
        <w:rPr>
          <w:rFonts w:cs="Arial"/>
          <w:iCs/>
          <w:sz w:val="18"/>
          <w:szCs w:val="18"/>
        </w:rPr>
        <w:t xml:space="preserve"> alanine aminotransferase; AST </w:t>
      </w:r>
      <w:r w:rsidRPr="007B14A7">
        <w:rPr>
          <w:rFonts w:cs="Arial"/>
          <w:iCs/>
          <w:sz w:val="18"/>
          <w:szCs w:val="18"/>
        </w:rPr>
        <w:sym w:font="Symbol" w:char="F03D"/>
      </w:r>
      <w:r w:rsidRPr="007B14A7">
        <w:rPr>
          <w:rFonts w:cs="Arial"/>
          <w:iCs/>
          <w:sz w:val="18"/>
          <w:szCs w:val="18"/>
        </w:rPr>
        <w:t xml:space="preserve"> aspartate aminotransferase; ULN </w:t>
      </w:r>
      <w:r w:rsidRPr="007B14A7">
        <w:rPr>
          <w:rFonts w:cs="Arial"/>
          <w:iCs/>
          <w:sz w:val="18"/>
          <w:szCs w:val="18"/>
        </w:rPr>
        <w:sym w:font="Symbol" w:char="F03D"/>
      </w:r>
      <w:r w:rsidRPr="007B14A7">
        <w:rPr>
          <w:rFonts w:cs="Arial"/>
          <w:iCs/>
          <w:sz w:val="18"/>
          <w:szCs w:val="18"/>
        </w:rPr>
        <w:t xml:space="preserve"> upper limit of normal</w:t>
      </w:r>
    </w:p>
    <w:p w14:paraId="3BD43DA2" w14:textId="686E3367" w:rsidR="00EB5343" w:rsidRDefault="00AD2206" w:rsidP="0094408F">
      <w:pPr>
        <w:widowControl w:val="0"/>
        <w:suppressAutoHyphens w:val="0"/>
        <w:spacing w:after="160" w:line="259" w:lineRule="auto"/>
        <w:rPr>
          <w:rFonts w:eastAsia="MS Mincho" w:cs="Arial"/>
          <w:sz w:val="18"/>
          <w:szCs w:val="22"/>
          <w:lang w:eastAsia="ja-JP"/>
        </w:rPr>
      </w:pPr>
      <w:r w:rsidRPr="007B14A7">
        <w:rPr>
          <w:rFonts w:eastAsia="MS Mincho" w:cs="Arial"/>
          <w:szCs w:val="22"/>
          <w:vertAlign w:val="superscript"/>
          <w:lang w:eastAsia="ja-JP"/>
        </w:rPr>
        <w:t>a</w:t>
      </w:r>
      <w:r w:rsidRPr="007B14A7">
        <w:rPr>
          <w:rFonts w:eastAsia="MS Mincho" w:cs="Arial"/>
          <w:szCs w:val="22"/>
          <w:lang w:eastAsia="ja-JP"/>
        </w:rPr>
        <w:t xml:space="preserve"> </w:t>
      </w:r>
      <w:r w:rsidRPr="007B14A7">
        <w:rPr>
          <w:rFonts w:eastAsia="MS Mincho" w:cs="Arial"/>
          <w:sz w:val="18"/>
          <w:szCs w:val="22"/>
          <w:lang w:eastAsia="ja-JP"/>
        </w:rPr>
        <w:t>Grading defined by National Cancer Institute Common Terminology Criteria for Adverse Events (NCI CTCAE) version 5.0</w:t>
      </w:r>
    </w:p>
    <w:p w14:paraId="66B6EE27" w14:textId="77777777" w:rsidR="006965AD" w:rsidRDefault="006965AD" w:rsidP="003F57DE">
      <w:pPr>
        <w:widowControl w:val="0"/>
        <w:suppressAutoHyphens w:val="0"/>
        <w:rPr>
          <w:rFonts w:eastAsia="MS Mincho" w:cs="Arial"/>
          <w:sz w:val="18"/>
          <w:szCs w:val="22"/>
          <w:lang w:eastAsia="ja-JP"/>
        </w:rPr>
      </w:pPr>
    </w:p>
    <w:p w14:paraId="7023EB06" w14:textId="7F26ABC5" w:rsidR="00AD2206" w:rsidRPr="006B61D4" w:rsidRDefault="00AD2206" w:rsidP="006965AD">
      <w:pPr>
        <w:pStyle w:val="RPI-Textbold"/>
        <w:spacing w:after="0" w:line="240" w:lineRule="auto"/>
        <w:rPr>
          <w:rFonts w:eastAsia="Arial"/>
        </w:rPr>
      </w:pPr>
      <w:r w:rsidRPr="006B61D4">
        <w:rPr>
          <w:rFonts w:eastAsia="Arial"/>
        </w:rPr>
        <w:t>Table</w:t>
      </w:r>
      <w:r w:rsidRPr="006B61D4">
        <w:rPr>
          <w:rFonts w:eastAsia="Arial"/>
          <w:spacing w:val="1"/>
        </w:rPr>
        <w:t xml:space="preserve"> </w:t>
      </w:r>
      <w:r>
        <w:rPr>
          <w:rFonts w:eastAsia="Arial"/>
          <w:spacing w:val="1"/>
        </w:rPr>
        <w:t>2</w:t>
      </w:r>
      <w:r w:rsidRPr="006B61D4">
        <w:rPr>
          <w:rFonts w:eastAsia="Arial"/>
        </w:rPr>
        <w:t>.</w:t>
      </w:r>
      <w:r w:rsidRPr="006B61D4">
        <w:rPr>
          <w:rFonts w:eastAsia="Arial"/>
          <w:spacing w:val="-1"/>
        </w:rPr>
        <w:t xml:space="preserve"> </w:t>
      </w:r>
      <w:r w:rsidRPr="00CE1A19">
        <w:rPr>
          <w:rFonts w:eastAsia="Arial"/>
        </w:rPr>
        <w:t xml:space="preserve">Recommended </w:t>
      </w:r>
      <w:r>
        <w:rPr>
          <w:rFonts w:eastAsia="Arial"/>
        </w:rPr>
        <w:t>d</w:t>
      </w:r>
      <w:r w:rsidRPr="00CE1A19">
        <w:rPr>
          <w:rFonts w:eastAsia="Arial"/>
        </w:rPr>
        <w:t xml:space="preserve">ose </w:t>
      </w:r>
      <w:r w:rsidR="0094408F">
        <w:rPr>
          <w:rFonts w:eastAsia="Arial"/>
        </w:rPr>
        <w:t xml:space="preserve">and </w:t>
      </w:r>
      <w:r>
        <w:rPr>
          <w:rFonts w:eastAsia="Arial"/>
        </w:rPr>
        <w:t>r</w:t>
      </w:r>
      <w:r w:rsidRPr="00CE1A19">
        <w:rPr>
          <w:rFonts w:eastAsia="Arial"/>
        </w:rPr>
        <w:t xml:space="preserve">eduction </w:t>
      </w:r>
      <w:r>
        <w:rPr>
          <w:rFonts w:eastAsia="Arial"/>
        </w:rPr>
        <w:t>l</w:t>
      </w:r>
      <w:r w:rsidRPr="00CE1A19">
        <w:rPr>
          <w:rFonts w:eastAsia="Arial"/>
        </w:rPr>
        <w:t>evels fo</w:t>
      </w:r>
      <w:r>
        <w:rPr>
          <w:rFonts w:eastAsia="Arial"/>
        </w:rPr>
        <w:t>r LUMAKRAS</w:t>
      </w:r>
    </w:p>
    <w:p w14:paraId="2CFC27B6" w14:textId="77777777" w:rsidR="00AD2206" w:rsidRPr="006B61D4" w:rsidRDefault="00AD2206" w:rsidP="00AD2206">
      <w:pPr>
        <w:widowControl w:val="0"/>
        <w:suppressAutoHyphens w:val="0"/>
        <w:spacing w:before="10" w:line="120" w:lineRule="exact"/>
        <w:rPr>
          <w:rFonts w:ascii="Calibri" w:eastAsia="Calibri" w:hAnsi="Calibri"/>
          <w:sz w:val="12"/>
          <w:szCs w:val="12"/>
        </w:rPr>
      </w:pPr>
    </w:p>
    <w:tbl>
      <w:tblPr>
        <w:tblW w:w="0" w:type="auto"/>
        <w:tblInd w:w="80" w:type="dxa"/>
        <w:tblLayout w:type="fixed"/>
        <w:tblCellMar>
          <w:left w:w="0" w:type="dxa"/>
          <w:right w:w="0" w:type="dxa"/>
        </w:tblCellMar>
        <w:tblLook w:val="01E0" w:firstRow="1" w:lastRow="1" w:firstColumn="1" w:lastColumn="1" w:noHBand="0" w:noVBand="0"/>
      </w:tblPr>
      <w:tblGrid>
        <w:gridCol w:w="2713"/>
        <w:gridCol w:w="1313"/>
        <w:gridCol w:w="3260"/>
      </w:tblGrid>
      <w:tr w:rsidR="00AD2206" w:rsidRPr="006B61D4" w14:paraId="29F28BCA" w14:textId="77777777" w:rsidTr="00EB5343">
        <w:trPr>
          <w:trHeight w:hRule="exact" w:val="389"/>
        </w:trPr>
        <w:tc>
          <w:tcPr>
            <w:tcW w:w="2713" w:type="dxa"/>
            <w:tcBorders>
              <w:top w:val="single" w:sz="4" w:space="0" w:color="000000"/>
              <w:left w:val="single" w:sz="4" w:space="0" w:color="000000"/>
              <w:bottom w:val="single" w:sz="4" w:space="0" w:color="000000"/>
              <w:right w:val="single" w:sz="4" w:space="0" w:color="000000"/>
            </w:tcBorders>
          </w:tcPr>
          <w:p w14:paraId="608C458F" w14:textId="77777777" w:rsidR="00AD2206" w:rsidRPr="00D17118" w:rsidRDefault="00AD2206" w:rsidP="00EB5343">
            <w:pPr>
              <w:widowControl w:val="0"/>
              <w:suppressAutoHyphens w:val="0"/>
              <w:spacing w:line="252" w:lineRule="exact"/>
              <w:ind w:left="100" w:right="-20"/>
              <w:jc w:val="center"/>
              <w:rPr>
                <w:rFonts w:eastAsia="Arial" w:cs="Arial"/>
                <w:b/>
                <w:bCs/>
                <w:szCs w:val="22"/>
              </w:rPr>
            </w:pPr>
            <w:r w:rsidRPr="00D17118">
              <w:rPr>
                <w:rFonts w:eastAsia="Arial" w:cs="Arial"/>
                <w:b/>
                <w:bCs/>
                <w:szCs w:val="22"/>
              </w:rPr>
              <w:t>Dose Reduction Level</w:t>
            </w:r>
          </w:p>
        </w:tc>
        <w:tc>
          <w:tcPr>
            <w:tcW w:w="1313" w:type="dxa"/>
            <w:tcBorders>
              <w:top w:val="single" w:sz="4" w:space="0" w:color="000000"/>
              <w:left w:val="single" w:sz="4" w:space="0" w:color="000000"/>
              <w:bottom w:val="single" w:sz="4" w:space="0" w:color="000000"/>
              <w:right w:val="single" w:sz="4" w:space="0" w:color="000000"/>
            </w:tcBorders>
          </w:tcPr>
          <w:p w14:paraId="005573FE" w14:textId="77777777" w:rsidR="00AD2206" w:rsidRPr="006B61D4" w:rsidRDefault="00AD2206" w:rsidP="00EB5343">
            <w:pPr>
              <w:widowControl w:val="0"/>
              <w:suppressAutoHyphens w:val="0"/>
              <w:spacing w:line="252" w:lineRule="exact"/>
              <w:ind w:left="162" w:right="-20"/>
              <w:jc w:val="center"/>
              <w:rPr>
                <w:rFonts w:eastAsia="Arial" w:cs="Arial"/>
                <w:szCs w:val="22"/>
              </w:rPr>
            </w:pPr>
            <w:r>
              <w:rPr>
                <w:rFonts w:eastAsia="Arial" w:cs="Arial"/>
                <w:b/>
                <w:bCs/>
                <w:spacing w:val="-1"/>
                <w:szCs w:val="22"/>
              </w:rPr>
              <w:t>D</w:t>
            </w:r>
            <w:r w:rsidRPr="006B61D4">
              <w:rPr>
                <w:rFonts w:eastAsia="Arial" w:cs="Arial"/>
                <w:b/>
                <w:bCs/>
                <w:spacing w:val="-1"/>
                <w:szCs w:val="22"/>
              </w:rPr>
              <w:t>ose</w:t>
            </w:r>
          </w:p>
        </w:tc>
        <w:tc>
          <w:tcPr>
            <w:tcW w:w="3260" w:type="dxa"/>
            <w:tcBorders>
              <w:top w:val="single" w:sz="4" w:space="0" w:color="000000"/>
              <w:left w:val="single" w:sz="4" w:space="0" w:color="000000"/>
              <w:bottom w:val="single" w:sz="4" w:space="0" w:color="000000"/>
              <w:right w:val="single" w:sz="4" w:space="0" w:color="000000"/>
            </w:tcBorders>
          </w:tcPr>
          <w:p w14:paraId="694F801B" w14:textId="77777777" w:rsidR="00AD2206" w:rsidRPr="006B61D4" w:rsidRDefault="00AD2206" w:rsidP="00EB5343">
            <w:pPr>
              <w:widowControl w:val="0"/>
              <w:suppressAutoHyphens w:val="0"/>
              <w:spacing w:line="252" w:lineRule="exact"/>
              <w:ind w:right="-20"/>
              <w:jc w:val="center"/>
              <w:rPr>
                <w:rFonts w:eastAsia="Arial" w:cs="Arial"/>
                <w:b/>
                <w:bCs/>
                <w:spacing w:val="-1"/>
                <w:szCs w:val="22"/>
              </w:rPr>
            </w:pPr>
            <w:r>
              <w:rPr>
                <w:rFonts w:eastAsia="Arial" w:cs="Arial"/>
                <w:b/>
                <w:bCs/>
                <w:spacing w:val="-1"/>
                <w:szCs w:val="22"/>
              </w:rPr>
              <w:t>Number of tablets once daily</w:t>
            </w:r>
          </w:p>
        </w:tc>
      </w:tr>
      <w:tr w:rsidR="00AD2206" w:rsidRPr="006B61D4" w14:paraId="24E772F9" w14:textId="77777777" w:rsidTr="00EB5343">
        <w:trPr>
          <w:trHeight w:hRule="exact" w:val="389"/>
        </w:trPr>
        <w:tc>
          <w:tcPr>
            <w:tcW w:w="2713" w:type="dxa"/>
            <w:tcBorders>
              <w:top w:val="single" w:sz="4" w:space="0" w:color="000000"/>
              <w:left w:val="single" w:sz="4" w:space="0" w:color="000000"/>
              <w:bottom w:val="single" w:sz="4" w:space="0" w:color="000000"/>
              <w:right w:val="single" w:sz="4" w:space="0" w:color="000000"/>
            </w:tcBorders>
          </w:tcPr>
          <w:p w14:paraId="58E98F89" w14:textId="77777777" w:rsidR="00AD2206" w:rsidRPr="006B61D4" w:rsidRDefault="00AD2206" w:rsidP="00EB5343">
            <w:pPr>
              <w:widowControl w:val="0"/>
              <w:suppressAutoHyphens w:val="0"/>
              <w:spacing w:line="252" w:lineRule="exact"/>
              <w:ind w:left="113" w:right="227"/>
              <w:jc w:val="right"/>
              <w:rPr>
                <w:rFonts w:eastAsia="Arial" w:cs="Arial"/>
                <w:szCs w:val="22"/>
              </w:rPr>
            </w:pPr>
            <w:r w:rsidRPr="006B61D4">
              <w:rPr>
                <w:rFonts w:eastAsia="Arial" w:cs="Arial"/>
                <w:szCs w:val="22"/>
              </w:rPr>
              <w:t>Starting dose</w:t>
            </w:r>
          </w:p>
        </w:tc>
        <w:tc>
          <w:tcPr>
            <w:tcW w:w="1313" w:type="dxa"/>
            <w:tcBorders>
              <w:top w:val="single" w:sz="4" w:space="0" w:color="000000"/>
              <w:left w:val="single" w:sz="4" w:space="0" w:color="000000"/>
              <w:bottom w:val="single" w:sz="4" w:space="0" w:color="000000"/>
              <w:right w:val="single" w:sz="4" w:space="0" w:color="000000"/>
            </w:tcBorders>
          </w:tcPr>
          <w:p w14:paraId="13345BBB" w14:textId="77777777" w:rsidR="00AD2206" w:rsidRPr="006B61D4" w:rsidRDefault="00AD2206" w:rsidP="00EB5343">
            <w:pPr>
              <w:widowControl w:val="0"/>
              <w:suppressAutoHyphens w:val="0"/>
              <w:spacing w:line="252" w:lineRule="exact"/>
              <w:ind w:left="162" w:right="-20"/>
              <w:jc w:val="center"/>
              <w:rPr>
                <w:rFonts w:eastAsia="Arial" w:cs="Arial"/>
                <w:szCs w:val="22"/>
              </w:rPr>
            </w:pPr>
            <w:r w:rsidRPr="006B61D4">
              <w:rPr>
                <w:rFonts w:eastAsia="Arial" w:cs="Arial"/>
                <w:szCs w:val="22"/>
              </w:rPr>
              <w:t>960</w:t>
            </w:r>
            <w:r w:rsidRPr="006B61D4">
              <w:rPr>
                <w:rFonts w:eastAsia="Arial" w:cs="Arial"/>
                <w:spacing w:val="3"/>
                <w:szCs w:val="22"/>
              </w:rPr>
              <w:t xml:space="preserve"> </w:t>
            </w:r>
            <w:r w:rsidRPr="006B61D4">
              <w:rPr>
                <w:rFonts w:eastAsia="Arial" w:cs="Arial"/>
                <w:szCs w:val="22"/>
              </w:rPr>
              <w:t>mg</w:t>
            </w:r>
          </w:p>
        </w:tc>
        <w:tc>
          <w:tcPr>
            <w:tcW w:w="3260" w:type="dxa"/>
            <w:tcBorders>
              <w:top w:val="single" w:sz="4" w:space="0" w:color="000000"/>
              <w:left w:val="single" w:sz="4" w:space="0" w:color="000000"/>
              <w:bottom w:val="single" w:sz="4" w:space="0" w:color="000000"/>
              <w:right w:val="single" w:sz="4" w:space="0" w:color="000000"/>
            </w:tcBorders>
          </w:tcPr>
          <w:p w14:paraId="5AAFCA0E" w14:textId="77777777" w:rsidR="00AD2206" w:rsidRPr="006B61D4" w:rsidRDefault="00AD2206" w:rsidP="00EB5343">
            <w:pPr>
              <w:widowControl w:val="0"/>
              <w:suppressAutoHyphens w:val="0"/>
              <w:spacing w:line="252" w:lineRule="exact"/>
              <w:ind w:right="-20"/>
              <w:jc w:val="center"/>
              <w:rPr>
                <w:rFonts w:eastAsia="Arial" w:cs="Arial"/>
                <w:szCs w:val="22"/>
              </w:rPr>
            </w:pPr>
            <w:r w:rsidRPr="006B61D4">
              <w:rPr>
                <w:rFonts w:eastAsia="Arial" w:cs="Arial"/>
                <w:szCs w:val="22"/>
              </w:rPr>
              <w:t>8</w:t>
            </w:r>
            <w:r w:rsidRPr="006B61D4">
              <w:rPr>
                <w:rFonts w:eastAsia="Arial" w:cs="Arial"/>
                <w:spacing w:val="-1"/>
                <w:szCs w:val="22"/>
              </w:rPr>
              <w:t xml:space="preserve"> </w:t>
            </w:r>
            <w:r>
              <w:rPr>
                <w:rFonts w:eastAsia="Arial" w:cs="Arial"/>
                <w:spacing w:val="-1"/>
                <w:szCs w:val="22"/>
              </w:rPr>
              <w:t xml:space="preserve">x 120 mg </w:t>
            </w:r>
            <w:r w:rsidRPr="006B61D4">
              <w:rPr>
                <w:rFonts w:eastAsia="Arial" w:cs="Arial"/>
                <w:szCs w:val="22"/>
              </w:rPr>
              <w:t>tablets</w:t>
            </w:r>
          </w:p>
        </w:tc>
      </w:tr>
      <w:tr w:rsidR="00AD2206" w:rsidRPr="006B61D4" w14:paraId="026D5A28" w14:textId="77777777" w:rsidTr="00EB5343">
        <w:trPr>
          <w:trHeight w:hRule="exact" w:val="389"/>
        </w:trPr>
        <w:tc>
          <w:tcPr>
            <w:tcW w:w="2713" w:type="dxa"/>
            <w:tcBorders>
              <w:top w:val="single" w:sz="4" w:space="0" w:color="000000"/>
              <w:left w:val="single" w:sz="4" w:space="0" w:color="000000"/>
              <w:bottom w:val="single" w:sz="4" w:space="0" w:color="000000"/>
              <w:right w:val="single" w:sz="4" w:space="0" w:color="000000"/>
            </w:tcBorders>
          </w:tcPr>
          <w:p w14:paraId="5E3285E9" w14:textId="77777777" w:rsidR="00AD2206" w:rsidRPr="006B61D4" w:rsidRDefault="00AD2206" w:rsidP="00EB5343">
            <w:pPr>
              <w:widowControl w:val="0"/>
              <w:suppressAutoHyphens w:val="0"/>
              <w:spacing w:line="252" w:lineRule="exact"/>
              <w:ind w:left="113" w:right="227"/>
              <w:jc w:val="right"/>
              <w:rPr>
                <w:rFonts w:eastAsia="Arial" w:cs="Arial"/>
                <w:szCs w:val="22"/>
              </w:rPr>
            </w:pPr>
            <w:r w:rsidRPr="006B61D4">
              <w:rPr>
                <w:rFonts w:eastAsia="Arial" w:cs="Arial"/>
                <w:spacing w:val="-1"/>
                <w:szCs w:val="22"/>
              </w:rPr>
              <w:t>Firs</w:t>
            </w:r>
            <w:r w:rsidRPr="006B61D4">
              <w:rPr>
                <w:rFonts w:eastAsia="Arial" w:cs="Arial"/>
                <w:szCs w:val="22"/>
              </w:rPr>
              <w:t>t</w:t>
            </w:r>
            <w:r w:rsidRPr="006B61D4">
              <w:rPr>
                <w:rFonts w:eastAsia="Arial" w:cs="Arial"/>
                <w:spacing w:val="2"/>
                <w:szCs w:val="22"/>
              </w:rPr>
              <w:t xml:space="preserve"> </w:t>
            </w:r>
            <w:r w:rsidRPr="006B61D4">
              <w:rPr>
                <w:rFonts w:eastAsia="Arial" w:cs="Arial"/>
                <w:szCs w:val="22"/>
              </w:rPr>
              <w:t>dose</w:t>
            </w:r>
            <w:r w:rsidRPr="006B61D4">
              <w:rPr>
                <w:rFonts w:eastAsia="Arial" w:cs="Arial"/>
                <w:spacing w:val="-1"/>
                <w:szCs w:val="22"/>
              </w:rPr>
              <w:t xml:space="preserve"> </w:t>
            </w:r>
            <w:r w:rsidRPr="006B61D4">
              <w:rPr>
                <w:rFonts w:eastAsia="Arial" w:cs="Arial"/>
                <w:szCs w:val="22"/>
              </w:rPr>
              <w:t>reduction</w:t>
            </w:r>
          </w:p>
        </w:tc>
        <w:tc>
          <w:tcPr>
            <w:tcW w:w="1313" w:type="dxa"/>
            <w:tcBorders>
              <w:top w:val="single" w:sz="4" w:space="0" w:color="000000"/>
              <w:left w:val="single" w:sz="4" w:space="0" w:color="000000"/>
              <w:bottom w:val="single" w:sz="4" w:space="0" w:color="000000"/>
              <w:right w:val="single" w:sz="4" w:space="0" w:color="000000"/>
            </w:tcBorders>
          </w:tcPr>
          <w:p w14:paraId="5348121C" w14:textId="77777777" w:rsidR="00AD2206" w:rsidRPr="006B61D4" w:rsidRDefault="00AD2206" w:rsidP="00EB5343">
            <w:pPr>
              <w:widowControl w:val="0"/>
              <w:suppressAutoHyphens w:val="0"/>
              <w:spacing w:line="252" w:lineRule="exact"/>
              <w:ind w:left="162" w:right="-20"/>
              <w:jc w:val="center"/>
              <w:rPr>
                <w:rFonts w:eastAsia="Arial" w:cs="Arial"/>
                <w:szCs w:val="22"/>
              </w:rPr>
            </w:pPr>
            <w:r w:rsidRPr="006B61D4">
              <w:rPr>
                <w:rFonts w:eastAsia="Arial" w:cs="Arial"/>
                <w:szCs w:val="22"/>
              </w:rPr>
              <w:t>480</w:t>
            </w:r>
            <w:r w:rsidRPr="006B61D4">
              <w:rPr>
                <w:rFonts w:eastAsia="Arial" w:cs="Arial"/>
                <w:spacing w:val="3"/>
                <w:szCs w:val="22"/>
              </w:rPr>
              <w:t xml:space="preserve"> </w:t>
            </w:r>
            <w:r w:rsidRPr="006B61D4">
              <w:rPr>
                <w:rFonts w:eastAsia="Arial" w:cs="Arial"/>
                <w:spacing w:val="1"/>
                <w:szCs w:val="22"/>
              </w:rPr>
              <w:t>m</w:t>
            </w:r>
            <w:r w:rsidRPr="006B61D4">
              <w:rPr>
                <w:rFonts w:eastAsia="Arial" w:cs="Arial"/>
                <w:szCs w:val="22"/>
              </w:rPr>
              <w:t>g</w:t>
            </w:r>
          </w:p>
        </w:tc>
        <w:tc>
          <w:tcPr>
            <w:tcW w:w="3260" w:type="dxa"/>
            <w:tcBorders>
              <w:top w:val="single" w:sz="4" w:space="0" w:color="000000"/>
              <w:left w:val="single" w:sz="4" w:space="0" w:color="000000"/>
              <w:bottom w:val="single" w:sz="4" w:space="0" w:color="000000"/>
              <w:right w:val="single" w:sz="4" w:space="0" w:color="000000"/>
            </w:tcBorders>
          </w:tcPr>
          <w:p w14:paraId="0EEBAD8B" w14:textId="77777777" w:rsidR="00AD2206" w:rsidRPr="006B61D4" w:rsidRDefault="00AD2206" w:rsidP="00EB5343">
            <w:pPr>
              <w:widowControl w:val="0"/>
              <w:suppressAutoHyphens w:val="0"/>
              <w:spacing w:line="252" w:lineRule="exact"/>
              <w:ind w:right="-20"/>
              <w:jc w:val="center"/>
              <w:rPr>
                <w:rFonts w:eastAsia="Arial" w:cs="Arial"/>
                <w:szCs w:val="22"/>
              </w:rPr>
            </w:pPr>
            <w:r>
              <w:rPr>
                <w:rFonts w:eastAsia="Arial" w:cs="Arial"/>
                <w:szCs w:val="22"/>
              </w:rPr>
              <w:t>4</w:t>
            </w:r>
            <w:r w:rsidRPr="005B5DA5">
              <w:rPr>
                <w:rFonts w:eastAsia="Arial" w:cs="Arial"/>
                <w:szCs w:val="22"/>
              </w:rPr>
              <w:t xml:space="preserve"> x 120 mg tablets</w:t>
            </w:r>
          </w:p>
        </w:tc>
      </w:tr>
      <w:tr w:rsidR="00AD2206" w:rsidRPr="006B61D4" w14:paraId="398A92B4" w14:textId="77777777" w:rsidTr="00EB5343">
        <w:trPr>
          <w:trHeight w:hRule="exact" w:val="394"/>
        </w:trPr>
        <w:tc>
          <w:tcPr>
            <w:tcW w:w="2713" w:type="dxa"/>
            <w:tcBorders>
              <w:top w:val="single" w:sz="4" w:space="0" w:color="000000"/>
              <w:left w:val="single" w:sz="4" w:space="0" w:color="000000"/>
              <w:bottom w:val="single" w:sz="4" w:space="0" w:color="000000"/>
              <w:right w:val="single" w:sz="4" w:space="0" w:color="000000"/>
            </w:tcBorders>
          </w:tcPr>
          <w:p w14:paraId="38286DE6" w14:textId="77777777" w:rsidR="00AD2206" w:rsidRPr="006B61D4" w:rsidRDefault="00AD2206" w:rsidP="00EB5343">
            <w:pPr>
              <w:widowControl w:val="0"/>
              <w:suppressAutoHyphens w:val="0"/>
              <w:spacing w:before="4"/>
              <w:ind w:left="113" w:right="227"/>
              <w:jc w:val="right"/>
              <w:rPr>
                <w:rFonts w:eastAsia="Arial" w:cs="Arial"/>
                <w:szCs w:val="22"/>
              </w:rPr>
            </w:pPr>
            <w:r w:rsidRPr="006B61D4">
              <w:rPr>
                <w:rFonts w:eastAsia="Arial" w:cs="Arial"/>
                <w:szCs w:val="22"/>
              </w:rPr>
              <w:t>Second</w:t>
            </w:r>
            <w:r w:rsidRPr="006B61D4">
              <w:rPr>
                <w:rFonts w:eastAsia="Arial" w:cs="Arial"/>
                <w:spacing w:val="1"/>
                <w:szCs w:val="22"/>
              </w:rPr>
              <w:t xml:space="preserve"> </w:t>
            </w:r>
            <w:r w:rsidRPr="006B61D4">
              <w:rPr>
                <w:rFonts w:eastAsia="Arial" w:cs="Arial"/>
                <w:szCs w:val="22"/>
              </w:rPr>
              <w:t>dose</w:t>
            </w:r>
            <w:r w:rsidRPr="006B61D4">
              <w:rPr>
                <w:rFonts w:eastAsia="Arial" w:cs="Arial"/>
                <w:spacing w:val="-1"/>
                <w:szCs w:val="22"/>
              </w:rPr>
              <w:t xml:space="preserve"> </w:t>
            </w:r>
            <w:r w:rsidRPr="006B61D4">
              <w:rPr>
                <w:rFonts w:eastAsia="Arial" w:cs="Arial"/>
                <w:szCs w:val="22"/>
              </w:rPr>
              <w:t>reduction</w:t>
            </w:r>
          </w:p>
        </w:tc>
        <w:tc>
          <w:tcPr>
            <w:tcW w:w="1313" w:type="dxa"/>
            <w:tcBorders>
              <w:top w:val="single" w:sz="4" w:space="0" w:color="000000"/>
              <w:left w:val="single" w:sz="4" w:space="0" w:color="000000"/>
              <w:bottom w:val="single" w:sz="4" w:space="0" w:color="000000"/>
              <w:right w:val="single" w:sz="4" w:space="0" w:color="000000"/>
            </w:tcBorders>
          </w:tcPr>
          <w:p w14:paraId="020CE155" w14:textId="77777777" w:rsidR="00AD2206" w:rsidRPr="006B61D4" w:rsidRDefault="00AD2206" w:rsidP="00EB5343">
            <w:pPr>
              <w:widowControl w:val="0"/>
              <w:suppressAutoHyphens w:val="0"/>
              <w:spacing w:before="4"/>
              <w:ind w:left="162" w:right="-20"/>
              <w:jc w:val="center"/>
              <w:rPr>
                <w:rFonts w:eastAsia="Arial" w:cs="Arial"/>
                <w:szCs w:val="22"/>
              </w:rPr>
            </w:pPr>
            <w:r w:rsidRPr="006B61D4">
              <w:rPr>
                <w:rFonts w:eastAsia="Arial" w:cs="Arial"/>
                <w:szCs w:val="22"/>
              </w:rPr>
              <w:t>240</w:t>
            </w:r>
            <w:r w:rsidRPr="006B61D4">
              <w:rPr>
                <w:rFonts w:eastAsia="Arial" w:cs="Arial"/>
                <w:spacing w:val="3"/>
                <w:szCs w:val="22"/>
              </w:rPr>
              <w:t xml:space="preserve"> </w:t>
            </w:r>
            <w:r w:rsidRPr="006B61D4">
              <w:rPr>
                <w:rFonts w:eastAsia="Arial" w:cs="Arial"/>
                <w:szCs w:val="22"/>
              </w:rPr>
              <w:t>mg</w:t>
            </w:r>
          </w:p>
        </w:tc>
        <w:tc>
          <w:tcPr>
            <w:tcW w:w="3260" w:type="dxa"/>
            <w:tcBorders>
              <w:top w:val="single" w:sz="4" w:space="0" w:color="000000"/>
              <w:left w:val="single" w:sz="4" w:space="0" w:color="000000"/>
              <w:bottom w:val="single" w:sz="4" w:space="0" w:color="000000"/>
              <w:right w:val="single" w:sz="4" w:space="0" w:color="000000"/>
            </w:tcBorders>
          </w:tcPr>
          <w:p w14:paraId="432D3D04" w14:textId="77777777" w:rsidR="00AD2206" w:rsidRPr="006B61D4" w:rsidRDefault="00AD2206" w:rsidP="00EB5343">
            <w:pPr>
              <w:widowControl w:val="0"/>
              <w:suppressAutoHyphens w:val="0"/>
              <w:spacing w:before="4"/>
              <w:ind w:right="-20"/>
              <w:jc w:val="center"/>
              <w:rPr>
                <w:rFonts w:eastAsia="Arial" w:cs="Arial"/>
                <w:szCs w:val="22"/>
              </w:rPr>
            </w:pPr>
            <w:r>
              <w:rPr>
                <w:rFonts w:eastAsia="Arial" w:cs="Arial"/>
                <w:szCs w:val="22"/>
              </w:rPr>
              <w:t>2</w:t>
            </w:r>
            <w:r w:rsidRPr="005B5DA5">
              <w:rPr>
                <w:rFonts w:eastAsia="Arial" w:cs="Arial"/>
                <w:szCs w:val="22"/>
              </w:rPr>
              <w:t xml:space="preserve"> x 120 mg tablets</w:t>
            </w:r>
          </w:p>
        </w:tc>
      </w:tr>
    </w:tbl>
    <w:p w14:paraId="28CCFF23" w14:textId="6CC2C0F3" w:rsidR="008B2514" w:rsidRPr="00E8612A" w:rsidDel="00ED1E7C" w:rsidRDefault="008B2514" w:rsidP="00B12712">
      <w:pPr>
        <w:pStyle w:val="RPI-Text"/>
        <w:spacing w:before="360"/>
        <w:rPr>
          <w:i/>
          <w:iCs/>
        </w:rPr>
      </w:pPr>
      <w:r w:rsidRPr="00E76553" w:rsidDel="00ED1E7C">
        <w:rPr>
          <w:i/>
          <w:iCs/>
        </w:rPr>
        <w:t>Renal impairment</w:t>
      </w:r>
      <w:r w:rsidR="00BB012C" w:rsidDel="00ED1E7C">
        <w:rPr>
          <w:i/>
          <w:iCs/>
        </w:rPr>
        <w:t xml:space="preserve"> - </w:t>
      </w:r>
      <w:r w:rsidRPr="00E8612A" w:rsidDel="00ED1E7C">
        <w:rPr>
          <w:iCs/>
        </w:rPr>
        <w:t>Based on population pharmacokinetic analysis, no dose adjustment is recommended for patients with mild renal impairment (</w:t>
      </w:r>
      <w:r w:rsidDel="00ED1E7C">
        <w:rPr>
          <w:iCs/>
        </w:rPr>
        <w:t>c</w:t>
      </w:r>
      <w:r w:rsidRPr="00E8612A" w:rsidDel="00ED1E7C">
        <w:rPr>
          <w:iCs/>
        </w:rPr>
        <w:t>reatinine clearance</w:t>
      </w:r>
      <w:r w:rsidDel="00ED1E7C">
        <w:rPr>
          <w:iCs/>
        </w:rPr>
        <w:t xml:space="preserve"> </w:t>
      </w:r>
      <w:r w:rsidRPr="00E8612A" w:rsidDel="00ED1E7C">
        <w:rPr>
          <w:iCs/>
        </w:rPr>
        <w:t>≥</w:t>
      </w:r>
      <w:r w:rsidDel="00ED1E7C">
        <w:rPr>
          <w:iCs/>
        </w:rPr>
        <w:t xml:space="preserve"> </w:t>
      </w:r>
      <w:r w:rsidRPr="00E8612A" w:rsidDel="00ED1E7C">
        <w:rPr>
          <w:iCs/>
        </w:rPr>
        <w:t>60 mL/min)</w:t>
      </w:r>
      <w:r w:rsidRPr="00D015E4" w:rsidDel="00ED1E7C">
        <w:t xml:space="preserve"> </w:t>
      </w:r>
      <w:r w:rsidRPr="00D015E4" w:rsidDel="00ED1E7C">
        <w:rPr>
          <w:iCs/>
        </w:rPr>
        <w:t>(see section 5.</w:t>
      </w:r>
      <w:r w:rsidR="00313791" w:rsidDel="00ED1E7C">
        <w:rPr>
          <w:iCs/>
        </w:rPr>
        <w:t>2</w:t>
      </w:r>
      <w:r w:rsidRPr="00D015E4" w:rsidDel="00ED1E7C">
        <w:rPr>
          <w:iCs/>
        </w:rPr>
        <w:t xml:space="preserve"> Pharmacokinetic properties)</w:t>
      </w:r>
      <w:r w:rsidDel="00ED1E7C">
        <w:rPr>
          <w:iCs/>
        </w:rPr>
        <w:t xml:space="preserve">. </w:t>
      </w:r>
      <w:r w:rsidR="00477356" w:rsidDel="00ED1E7C">
        <w:rPr>
          <w:iCs/>
        </w:rPr>
        <w:t xml:space="preserve">LUMAKRAS </w:t>
      </w:r>
      <w:r w:rsidR="00477356" w:rsidRPr="00477356" w:rsidDel="00ED1E7C">
        <w:rPr>
          <w:iCs/>
        </w:rPr>
        <w:t xml:space="preserve">has not been studied in patients with moderate or severe (creatinine clearance: </w:t>
      </w:r>
      <w:r w:rsidR="00477356" w:rsidDel="00ED1E7C">
        <w:rPr>
          <w:iCs/>
        </w:rPr>
        <w:t>&lt;</w:t>
      </w:r>
      <w:r w:rsidR="00477356" w:rsidRPr="00477356" w:rsidDel="00ED1E7C">
        <w:rPr>
          <w:iCs/>
        </w:rPr>
        <w:t xml:space="preserve"> 60 mL/min) renal impairment</w:t>
      </w:r>
      <w:r w:rsidR="00CD2C03">
        <w:rPr>
          <w:iCs/>
        </w:rPr>
        <w:t xml:space="preserve"> </w:t>
      </w:r>
      <w:r w:rsidR="00CD2C03" w:rsidRPr="00D015E4" w:rsidDel="00ED1E7C">
        <w:rPr>
          <w:iCs/>
        </w:rPr>
        <w:t>(see section 5.</w:t>
      </w:r>
      <w:r w:rsidR="00CD2C03" w:rsidDel="00ED1E7C">
        <w:rPr>
          <w:iCs/>
        </w:rPr>
        <w:t>2</w:t>
      </w:r>
      <w:r w:rsidR="00CD2C03" w:rsidRPr="00D015E4" w:rsidDel="00ED1E7C">
        <w:rPr>
          <w:iCs/>
        </w:rPr>
        <w:t xml:space="preserve"> Pharmacokinetic properties)</w:t>
      </w:r>
      <w:r w:rsidR="00477356" w:rsidRPr="00477356" w:rsidDel="00ED1E7C">
        <w:rPr>
          <w:iCs/>
        </w:rPr>
        <w:t>.</w:t>
      </w:r>
    </w:p>
    <w:p w14:paraId="5034E019" w14:textId="19F00F80" w:rsidR="00AD3D46" w:rsidRPr="006A054D" w:rsidRDefault="00AD3D46" w:rsidP="00B12712">
      <w:pPr>
        <w:pStyle w:val="RPI-Text"/>
        <w:widowControl w:val="0"/>
        <w:spacing w:before="240"/>
      </w:pPr>
      <w:r w:rsidRPr="00E76553">
        <w:rPr>
          <w:i/>
          <w:iCs/>
        </w:rPr>
        <w:lastRenderedPageBreak/>
        <w:t>Paediatric use</w:t>
      </w:r>
      <w:r w:rsidR="00BB012C">
        <w:rPr>
          <w:i/>
          <w:iCs/>
        </w:rPr>
        <w:t xml:space="preserve"> - </w:t>
      </w:r>
      <w:r w:rsidRPr="006A054D">
        <w:t xml:space="preserve">The safety and efficacy of </w:t>
      </w:r>
      <w:r w:rsidRPr="00D81DD3">
        <w:t xml:space="preserve">LUMAKRAS </w:t>
      </w:r>
      <w:r w:rsidRPr="006A054D">
        <w:t xml:space="preserve">in </w:t>
      </w:r>
      <w:r>
        <w:t xml:space="preserve">paediatric patients </w:t>
      </w:r>
      <w:r w:rsidRPr="006A054D">
        <w:t>have not been established.</w:t>
      </w:r>
    </w:p>
    <w:p w14:paraId="42148CEA" w14:textId="17066ACA" w:rsidR="008B2514" w:rsidRPr="00450DD8" w:rsidRDefault="008B2514" w:rsidP="006965AD">
      <w:pPr>
        <w:pStyle w:val="RPI-Text"/>
        <w:widowControl w:val="0"/>
        <w:spacing w:before="240"/>
        <w:rPr>
          <w:spacing w:val="-6"/>
        </w:rPr>
      </w:pPr>
      <w:r w:rsidRPr="00E76553">
        <w:rPr>
          <w:i/>
          <w:iCs/>
        </w:rPr>
        <w:t>Use in the elderly</w:t>
      </w:r>
      <w:r w:rsidR="00BB012C">
        <w:rPr>
          <w:i/>
          <w:iCs/>
        </w:rPr>
        <w:t xml:space="preserve"> - </w:t>
      </w:r>
      <w:r w:rsidR="00AD3D46" w:rsidRPr="00450DD8">
        <w:rPr>
          <w:spacing w:val="-6"/>
        </w:rPr>
        <w:t xml:space="preserve">In clinical studies, no overall differences in </w:t>
      </w:r>
      <w:r w:rsidR="00D2383A" w:rsidRPr="00450DD8">
        <w:rPr>
          <w:spacing w:val="-6"/>
        </w:rPr>
        <w:t xml:space="preserve">LUMAKRAS </w:t>
      </w:r>
      <w:r w:rsidR="00AD3D46" w:rsidRPr="00450DD8">
        <w:rPr>
          <w:spacing w:val="-6"/>
        </w:rPr>
        <w:t>safety or efficacy were observed between geriatric patients (</w:t>
      </w:r>
      <w:r w:rsidR="00AD3D46" w:rsidRPr="00450DD8">
        <w:rPr>
          <w:rFonts w:cs="Arial"/>
          <w:spacing w:val="-6"/>
        </w:rPr>
        <w:t>≥</w:t>
      </w:r>
      <w:r w:rsidR="00AD3D46" w:rsidRPr="00450DD8">
        <w:rPr>
          <w:spacing w:val="-6"/>
        </w:rPr>
        <w:t xml:space="preserve"> 65 years old) and younger patients. </w:t>
      </w:r>
      <w:r w:rsidRPr="00450DD8">
        <w:rPr>
          <w:spacing w:val="-6"/>
        </w:rPr>
        <w:t>No dose adjustment is required for geriatric patients (see section 5.2 Pharmacokinetic properties).</w:t>
      </w:r>
    </w:p>
    <w:p w14:paraId="01BAD9C9" w14:textId="275CDFBA" w:rsidR="005C5509" w:rsidRPr="005F228F" w:rsidRDefault="005C5509" w:rsidP="006965AD">
      <w:pPr>
        <w:pStyle w:val="RPI-Heading4"/>
        <w:spacing w:before="240"/>
      </w:pPr>
      <w:r w:rsidRPr="005F228F">
        <w:t>Coadministration of LUMAKRAS with Acid-</w:t>
      </w:r>
      <w:r w:rsidR="009E5CEB">
        <w:t>r</w:t>
      </w:r>
      <w:r w:rsidRPr="005F228F">
        <w:t xml:space="preserve">educing </w:t>
      </w:r>
      <w:r w:rsidR="009E5CEB">
        <w:t>a</w:t>
      </w:r>
      <w:r w:rsidRPr="005F228F">
        <w:t xml:space="preserve">gents </w:t>
      </w:r>
    </w:p>
    <w:p w14:paraId="7841A6F8" w14:textId="569DE7CF" w:rsidR="005C5509" w:rsidRDefault="008B6B6F" w:rsidP="006965AD">
      <w:pPr>
        <w:pStyle w:val="RPI-Text"/>
        <w:widowControl w:val="0"/>
        <w:rPr>
          <w:rFonts w:eastAsia="Arial"/>
        </w:rPr>
      </w:pPr>
      <w:r>
        <w:rPr>
          <w:rFonts w:eastAsia="Arial"/>
        </w:rPr>
        <w:t>C</w:t>
      </w:r>
      <w:r w:rsidR="005C5509" w:rsidRPr="005F228F">
        <w:rPr>
          <w:rFonts w:eastAsia="Arial"/>
        </w:rPr>
        <w:t>oadministration of proton pump inhibitors (PPIs) and H</w:t>
      </w:r>
      <w:r w:rsidR="005C5509" w:rsidRPr="00B87ECA">
        <w:rPr>
          <w:rFonts w:eastAsia="Arial"/>
          <w:vertAlign w:val="subscript"/>
        </w:rPr>
        <w:t>2</w:t>
      </w:r>
      <w:r w:rsidR="005C5509">
        <w:rPr>
          <w:rFonts w:eastAsia="Arial"/>
        </w:rPr>
        <w:t>-</w:t>
      </w:r>
      <w:r w:rsidR="005C5509" w:rsidRPr="005F228F">
        <w:rPr>
          <w:rFonts w:eastAsia="Arial"/>
        </w:rPr>
        <w:t>receptor antagonists with LUMAKRAS</w:t>
      </w:r>
      <w:r>
        <w:rPr>
          <w:rFonts w:eastAsia="Arial"/>
        </w:rPr>
        <w:t xml:space="preserve"> is not recommended</w:t>
      </w:r>
      <w:r w:rsidR="005C5509" w:rsidRPr="005F228F">
        <w:rPr>
          <w:rFonts w:eastAsia="Arial"/>
        </w:rPr>
        <w:t xml:space="preserve">. If treatment with an acid-reducing agent is required, take </w:t>
      </w:r>
      <w:r w:rsidR="005C5509" w:rsidRPr="005F228F">
        <w:t xml:space="preserve">LUMAKRAS </w:t>
      </w:r>
      <w:r w:rsidR="005C5509" w:rsidRPr="005F228F">
        <w:rPr>
          <w:rFonts w:eastAsia="Arial"/>
        </w:rPr>
        <w:t xml:space="preserve">4 hours before or 10 hours after administration of a local antacid </w:t>
      </w:r>
      <w:r w:rsidR="005C5509">
        <w:rPr>
          <w:rFonts w:eastAsia="Arial"/>
        </w:rPr>
        <w:t>(</w:t>
      </w:r>
      <w:r w:rsidR="005C5509" w:rsidRPr="005F228F">
        <w:rPr>
          <w:rFonts w:eastAsia="Arial"/>
        </w:rPr>
        <w:t xml:space="preserve">see </w:t>
      </w:r>
      <w:r w:rsidR="005C5509">
        <w:rPr>
          <w:rFonts w:eastAsia="Arial"/>
        </w:rPr>
        <w:t xml:space="preserve">section 4.5 </w:t>
      </w:r>
      <w:r w:rsidR="005C5509" w:rsidRPr="005F228F">
        <w:rPr>
          <w:rFonts w:eastAsia="Arial"/>
        </w:rPr>
        <w:t>Interaction with other medicines and other forms of interaction</w:t>
      </w:r>
      <w:r w:rsidR="005C5509">
        <w:rPr>
          <w:rFonts w:eastAsia="Arial"/>
        </w:rPr>
        <w:t xml:space="preserve"> - Acid-</w:t>
      </w:r>
      <w:r w:rsidR="009E5CEB">
        <w:rPr>
          <w:rFonts w:eastAsia="Arial"/>
        </w:rPr>
        <w:t>r</w:t>
      </w:r>
      <w:r w:rsidR="005C5509">
        <w:rPr>
          <w:rFonts w:eastAsia="Arial"/>
        </w:rPr>
        <w:t xml:space="preserve">educing </w:t>
      </w:r>
      <w:r w:rsidR="009E5CEB">
        <w:rPr>
          <w:rFonts w:eastAsia="Arial"/>
        </w:rPr>
        <w:t>a</w:t>
      </w:r>
      <w:r w:rsidR="005C5509">
        <w:rPr>
          <w:rFonts w:eastAsia="Arial"/>
        </w:rPr>
        <w:t xml:space="preserve">gents </w:t>
      </w:r>
      <w:r w:rsidR="005C5509" w:rsidRPr="005F228F">
        <w:rPr>
          <w:rFonts w:eastAsia="Arial"/>
        </w:rPr>
        <w:t xml:space="preserve">and </w:t>
      </w:r>
      <w:r w:rsidR="005C5509">
        <w:rPr>
          <w:rFonts w:eastAsia="Arial"/>
        </w:rPr>
        <w:t xml:space="preserve">section 5.2 </w:t>
      </w:r>
      <w:r w:rsidR="005C5509" w:rsidRPr="005F228F">
        <w:rPr>
          <w:rFonts w:eastAsia="Arial"/>
        </w:rPr>
        <w:t xml:space="preserve">Pharmacokinetic </w:t>
      </w:r>
      <w:r w:rsidR="009E5CEB">
        <w:rPr>
          <w:rFonts w:eastAsia="Arial"/>
        </w:rPr>
        <w:t>p</w:t>
      </w:r>
      <w:r w:rsidR="005C5509" w:rsidRPr="005F228F">
        <w:rPr>
          <w:rFonts w:eastAsia="Arial"/>
        </w:rPr>
        <w:t>roperties).</w:t>
      </w:r>
    </w:p>
    <w:p w14:paraId="12AFF494" w14:textId="77777777" w:rsidR="0032608A" w:rsidRDefault="0032608A" w:rsidP="00DF38D0">
      <w:pPr>
        <w:pStyle w:val="RPI-Heading2"/>
        <w:tabs>
          <w:tab w:val="clear" w:pos="1440"/>
          <w:tab w:val="num" w:pos="567"/>
        </w:tabs>
      </w:pPr>
      <w:r w:rsidRPr="00ED7DB4">
        <w:t>Contraindications</w:t>
      </w:r>
    </w:p>
    <w:p w14:paraId="12AFF495" w14:textId="70EBF7DE" w:rsidR="00C35327" w:rsidRDefault="00C53461" w:rsidP="00C35327">
      <w:pPr>
        <w:pStyle w:val="RPI-Text"/>
      </w:pPr>
      <w:r>
        <w:t>LUMAKRAS</w:t>
      </w:r>
      <w:r w:rsidR="00EF1E5D">
        <w:t xml:space="preserve"> </w:t>
      </w:r>
      <w:r w:rsidR="00EF1E5D" w:rsidRPr="00EF1E5D">
        <w:t xml:space="preserve">is contraindicated in patients with hypersensitivity to </w:t>
      </w:r>
      <w:r w:rsidR="00EF1E5D">
        <w:t>sotoras</w:t>
      </w:r>
      <w:r w:rsidR="00EF1E5D" w:rsidRPr="00EF1E5D">
        <w:t>ib or any of the excipients</w:t>
      </w:r>
      <w:r w:rsidR="00EF1E5D">
        <w:t xml:space="preserve"> </w:t>
      </w:r>
      <w:r w:rsidR="00EF1E5D" w:rsidRPr="00EF1E5D">
        <w:t>(see section 6.1 List of Excipients)</w:t>
      </w:r>
      <w:r w:rsidR="00EF1E5D">
        <w:t xml:space="preserve">. </w:t>
      </w:r>
    </w:p>
    <w:p w14:paraId="12AFF497" w14:textId="77777777" w:rsidR="0032608A" w:rsidRDefault="0032608A" w:rsidP="00DF38D0">
      <w:pPr>
        <w:pStyle w:val="RPI-Heading2"/>
        <w:tabs>
          <w:tab w:val="clear" w:pos="1440"/>
          <w:tab w:val="num" w:pos="567"/>
        </w:tabs>
      </w:pPr>
      <w:r w:rsidRPr="00ED7DB4">
        <w:t>Special warnings and precautions for use</w:t>
      </w:r>
    </w:p>
    <w:p w14:paraId="4EF9A6B5" w14:textId="57466A8D" w:rsidR="006C031D" w:rsidRDefault="006C031D" w:rsidP="006C031D">
      <w:pPr>
        <w:pStyle w:val="RPI-Heading3"/>
        <w:widowControl w:val="0"/>
      </w:pPr>
      <w:r>
        <w:t xml:space="preserve">Lactose </w:t>
      </w:r>
    </w:p>
    <w:p w14:paraId="5A7D4B1D" w14:textId="21BAA7C6" w:rsidR="006C031D" w:rsidRPr="0024779A" w:rsidRDefault="006C031D" w:rsidP="005F1DB5">
      <w:pPr>
        <w:pStyle w:val="RPI-Heading3"/>
        <w:widowControl w:val="0"/>
        <w:rPr>
          <w:u w:val="none"/>
        </w:rPr>
      </w:pPr>
      <w:r>
        <w:rPr>
          <w:u w:val="none"/>
        </w:rPr>
        <w:t>LUMAKRAS</w:t>
      </w:r>
      <w:r w:rsidRPr="0024779A">
        <w:rPr>
          <w:u w:val="none"/>
        </w:rPr>
        <w:t xml:space="preserve"> tablets contain lactose</w:t>
      </w:r>
      <w:r>
        <w:rPr>
          <w:u w:val="none"/>
        </w:rPr>
        <w:t xml:space="preserve"> </w:t>
      </w:r>
      <w:r w:rsidR="005C5509" w:rsidRPr="005C5509">
        <w:rPr>
          <w:u w:val="none"/>
        </w:rPr>
        <w:t xml:space="preserve">monohydrate 114 mg </w:t>
      </w:r>
      <w:r w:rsidRPr="00743FA6">
        <w:rPr>
          <w:u w:val="none"/>
        </w:rPr>
        <w:t xml:space="preserve">(see </w:t>
      </w:r>
      <w:r>
        <w:rPr>
          <w:u w:val="none"/>
        </w:rPr>
        <w:t xml:space="preserve">section </w:t>
      </w:r>
      <w:r w:rsidRPr="00324C12">
        <w:rPr>
          <w:u w:val="none"/>
        </w:rPr>
        <w:t>2</w:t>
      </w:r>
      <w:r>
        <w:rPr>
          <w:u w:val="none"/>
        </w:rPr>
        <w:t xml:space="preserve"> </w:t>
      </w:r>
      <w:r w:rsidRPr="00324C12">
        <w:rPr>
          <w:u w:val="none"/>
        </w:rPr>
        <w:t>Qualitative and quantitative composition</w:t>
      </w:r>
      <w:r>
        <w:rPr>
          <w:u w:val="none"/>
        </w:rPr>
        <w:t xml:space="preserve"> and </w:t>
      </w:r>
      <w:r w:rsidRPr="00743FA6">
        <w:rPr>
          <w:u w:val="none"/>
        </w:rPr>
        <w:t>section 6.1 List of Excipients)</w:t>
      </w:r>
      <w:r w:rsidRPr="0024779A">
        <w:rPr>
          <w:u w:val="none"/>
        </w:rPr>
        <w:t xml:space="preserve">. </w:t>
      </w:r>
      <w:r w:rsidR="005F1DB5" w:rsidRPr="005F1DB5">
        <w:rPr>
          <w:u w:val="none"/>
        </w:rPr>
        <w:t>Patients with rare hereditary problems of galactose intolerance, total lactase deficiency or glucose</w:t>
      </w:r>
      <w:r w:rsidR="005F1DB5">
        <w:rPr>
          <w:u w:val="none"/>
        </w:rPr>
        <w:t>-</w:t>
      </w:r>
      <w:r w:rsidR="005F1DB5" w:rsidRPr="005F1DB5">
        <w:rPr>
          <w:u w:val="none"/>
        </w:rPr>
        <w:t>galactose</w:t>
      </w:r>
      <w:r w:rsidR="005F1DB5">
        <w:rPr>
          <w:u w:val="none"/>
        </w:rPr>
        <w:t xml:space="preserve"> </w:t>
      </w:r>
      <w:r w:rsidR="005F1DB5" w:rsidRPr="005F1DB5">
        <w:rPr>
          <w:u w:val="none"/>
        </w:rPr>
        <w:t>malabsorption should not take this medicine.</w:t>
      </w:r>
    </w:p>
    <w:p w14:paraId="155CE207" w14:textId="77777777" w:rsidR="00AB12CC" w:rsidRPr="0017229A" w:rsidRDefault="009436D6" w:rsidP="00D108C9">
      <w:pPr>
        <w:pStyle w:val="RPI-Heading3"/>
        <w:keepNext w:val="0"/>
        <w:widowControl w:val="0"/>
      </w:pPr>
      <w:r w:rsidRPr="00E71161">
        <w:t>Hepatotoxicity</w:t>
      </w:r>
    </w:p>
    <w:p w14:paraId="3FE53680" w14:textId="20B90F29" w:rsidR="009436D6" w:rsidRPr="0017229A" w:rsidRDefault="009436D6" w:rsidP="005A45C7">
      <w:pPr>
        <w:pStyle w:val="RPI-Heading3"/>
        <w:widowControl w:val="0"/>
        <w:spacing w:before="360"/>
        <w:rPr>
          <w:u w:val="none"/>
        </w:rPr>
      </w:pPr>
      <w:r w:rsidRPr="00E71161">
        <w:rPr>
          <w:u w:val="none"/>
        </w:rPr>
        <w:t>LUMAKRAS can cause hepatotoxicity, which may lead to drug</w:t>
      </w:r>
      <w:r w:rsidRPr="00E71161">
        <w:rPr>
          <w:u w:val="none"/>
        </w:rPr>
        <w:noBreakHyphen/>
        <w:t xml:space="preserve">induced liver injury and hepatitis. Among 357 patients who received LUMAKRAS in CodeBreaK 100 [see </w:t>
      </w:r>
      <w:r w:rsidR="000F0B6D" w:rsidRPr="00E71161">
        <w:rPr>
          <w:u w:val="none"/>
        </w:rPr>
        <w:t>section 4.8 Adverse effects (Undesirable effects)</w:t>
      </w:r>
      <w:r w:rsidRPr="0017229A">
        <w:rPr>
          <w:u w:val="none"/>
        </w:rPr>
        <w:t xml:space="preserve">], hepatotoxicity occurred in 1.7% (all grades) and 1.4% (Grade 3). A total of 18% of patients who received LUMAKRAS had increased alanine aminotransferase (ALT)/increased aspartate aminotransferase (AST); 6% were </w:t>
      </w:r>
      <w:proofErr w:type="gramStart"/>
      <w:r w:rsidRPr="0017229A">
        <w:rPr>
          <w:u w:val="none"/>
        </w:rPr>
        <w:t>Grade</w:t>
      </w:r>
      <w:proofErr w:type="gramEnd"/>
      <w:r w:rsidRPr="0017229A">
        <w:rPr>
          <w:u w:val="none"/>
        </w:rPr>
        <w:t xml:space="preserve"> 3 and 0.6% were Grade 4. The median time to first onset of increased ALT/AST was 9 weeks (range: 0.3 to 42). Increased ALT/AST leading to dose interruption or reduction occurred in 7% of patients. LUMAKRAS was discontinued due to increased </w:t>
      </w:r>
      <w:r w:rsidRPr="0017229A">
        <w:rPr>
          <w:u w:val="none"/>
        </w:rPr>
        <w:lastRenderedPageBreak/>
        <w:t xml:space="preserve">ALT/AST in 2.0% of patients. In addition to dose interruption or reduction, 5% of patients received corticosteroids for the treatment of hepatotoxicity. </w:t>
      </w:r>
    </w:p>
    <w:p w14:paraId="61AE8CB6" w14:textId="7549FF23" w:rsidR="009436D6" w:rsidRPr="009436D6" w:rsidRDefault="009436D6" w:rsidP="008F395E">
      <w:pPr>
        <w:pStyle w:val="RPI-Heading3"/>
        <w:rPr>
          <w:u w:val="none"/>
        </w:rPr>
      </w:pPr>
      <w:r w:rsidRPr="0017229A">
        <w:rPr>
          <w:u w:val="none"/>
        </w:rPr>
        <w:t xml:space="preserve">Monitor liver function tests (ALT, AST, and total bilirubin) prior to the start of LUMAKRAS, every 3 weeks for the first 3 months of treatment, then once a month or as clinically indicated, with more frequent testing in patients who develop transaminase and/or bilirubin elevations. Withhold, dose reduce or permanently discontinue LUMAKRAS based on severity of adverse reaction [see section 4.2 Dose and method of administration and </w:t>
      </w:r>
      <w:r w:rsidR="000F0B6D" w:rsidRPr="0017229A">
        <w:rPr>
          <w:u w:val="none"/>
        </w:rPr>
        <w:t>section 4.8 Adverse effects (Undesirable effects)</w:t>
      </w:r>
      <w:r w:rsidRPr="0017229A">
        <w:rPr>
          <w:u w:val="none"/>
        </w:rPr>
        <w:t xml:space="preserve">]. </w:t>
      </w:r>
    </w:p>
    <w:p w14:paraId="4F08E77E" w14:textId="0DD2886D" w:rsidR="00B9455F" w:rsidRPr="00EA11C1" w:rsidRDefault="00B9455F" w:rsidP="00B9455F">
      <w:pPr>
        <w:pStyle w:val="RPI-Heading3"/>
      </w:pPr>
      <w:r w:rsidRPr="00EA11C1">
        <w:t>Interstitial Lung Disease (ILD)/pneumonitis</w:t>
      </w:r>
    </w:p>
    <w:p w14:paraId="2072164E" w14:textId="114A1BAD" w:rsidR="001F6C0B" w:rsidRDefault="00EA11C1" w:rsidP="00B9455F">
      <w:pPr>
        <w:pStyle w:val="RPI-Heading3"/>
        <w:rPr>
          <w:u w:val="none"/>
        </w:rPr>
      </w:pPr>
      <w:r w:rsidRPr="00B9455F">
        <w:rPr>
          <w:u w:val="none"/>
        </w:rPr>
        <w:t>ILD/pneumonitis occurred in patients treated with LUM</w:t>
      </w:r>
      <w:r>
        <w:rPr>
          <w:u w:val="none"/>
        </w:rPr>
        <w:t>A</w:t>
      </w:r>
      <w:r w:rsidRPr="00B9455F">
        <w:rPr>
          <w:u w:val="none"/>
        </w:rPr>
        <w:t>KRAS with prior exposure to</w:t>
      </w:r>
      <w:r>
        <w:rPr>
          <w:u w:val="none"/>
        </w:rPr>
        <w:t xml:space="preserve"> </w:t>
      </w:r>
      <w:r w:rsidRPr="00B9455F">
        <w:rPr>
          <w:u w:val="none"/>
        </w:rPr>
        <w:t>immunotherapy or radiotherapy</w:t>
      </w:r>
      <w:r w:rsidRPr="00EA11C1">
        <w:rPr>
          <w:u w:val="none"/>
        </w:rPr>
        <w:t xml:space="preserve">. Among 359 patients who received </w:t>
      </w:r>
      <w:r w:rsidR="001F6C0B" w:rsidRPr="001F6C0B">
        <w:rPr>
          <w:u w:val="none"/>
        </w:rPr>
        <w:t xml:space="preserve">LUMAKRAS </w:t>
      </w:r>
      <w:r w:rsidRPr="00EA11C1">
        <w:rPr>
          <w:u w:val="none"/>
        </w:rPr>
        <w:t xml:space="preserve">in CodeBreaK 100, ILD/pneumonitis occurred in 0.8% of patients, all cases were Grade 3 or 4 at onset. The median time to first onset for ILD/pneumonitis was 2 weeks (range: 2 to 18 weeks). </w:t>
      </w:r>
      <w:r w:rsidR="001F6C0B" w:rsidRPr="001F6C0B">
        <w:rPr>
          <w:u w:val="none"/>
        </w:rPr>
        <w:t xml:space="preserve">LUMAKRAS </w:t>
      </w:r>
      <w:r w:rsidRPr="00EA11C1">
        <w:rPr>
          <w:u w:val="none"/>
        </w:rPr>
        <w:t>was discontinued due to ILD/pneumonitis in 0.6% of patients.</w:t>
      </w:r>
      <w:r>
        <w:rPr>
          <w:u w:val="none"/>
        </w:rPr>
        <w:t xml:space="preserve"> </w:t>
      </w:r>
    </w:p>
    <w:p w14:paraId="51D2C564" w14:textId="53CE815B" w:rsidR="00DC1852" w:rsidRDefault="00B9455F" w:rsidP="00B9455F">
      <w:pPr>
        <w:pStyle w:val="RPI-Heading3"/>
        <w:rPr>
          <w:u w:val="none"/>
        </w:rPr>
      </w:pPr>
      <w:r w:rsidRPr="00B9455F">
        <w:rPr>
          <w:u w:val="none"/>
        </w:rPr>
        <w:t>Monitor patients for new or worsening</w:t>
      </w:r>
      <w:r>
        <w:rPr>
          <w:u w:val="none"/>
        </w:rPr>
        <w:t xml:space="preserve"> </w:t>
      </w:r>
      <w:r w:rsidRPr="00B9455F">
        <w:rPr>
          <w:u w:val="none"/>
        </w:rPr>
        <w:t>pulmonary</w:t>
      </w:r>
      <w:r>
        <w:rPr>
          <w:u w:val="none"/>
        </w:rPr>
        <w:t xml:space="preserve"> </w:t>
      </w:r>
      <w:r w:rsidRPr="00B9455F">
        <w:rPr>
          <w:u w:val="none"/>
        </w:rPr>
        <w:t>symptoms indicative of ILD/</w:t>
      </w:r>
      <w:r w:rsidR="001F6C0B">
        <w:rPr>
          <w:u w:val="none"/>
        </w:rPr>
        <w:t xml:space="preserve"> </w:t>
      </w:r>
      <w:r w:rsidRPr="00B9455F">
        <w:rPr>
          <w:u w:val="none"/>
        </w:rPr>
        <w:t>pneumonitis (</w:t>
      </w:r>
      <w:proofErr w:type="gramStart"/>
      <w:r w:rsidRPr="00B9455F">
        <w:rPr>
          <w:u w:val="none"/>
        </w:rPr>
        <w:t>e.g.</w:t>
      </w:r>
      <w:proofErr w:type="gramEnd"/>
      <w:r w:rsidRPr="00B9455F">
        <w:rPr>
          <w:u w:val="none"/>
        </w:rPr>
        <w:t xml:space="preserve"> dyspnoea, cough, fever). Immediately withhold</w:t>
      </w:r>
      <w:r>
        <w:rPr>
          <w:u w:val="none"/>
        </w:rPr>
        <w:t xml:space="preserve"> </w:t>
      </w:r>
      <w:bookmarkStart w:id="0" w:name="_Hlk87016288"/>
      <w:r w:rsidRPr="00B9455F">
        <w:rPr>
          <w:u w:val="none"/>
        </w:rPr>
        <w:t>LUM</w:t>
      </w:r>
      <w:r w:rsidR="00661619">
        <w:rPr>
          <w:u w:val="none"/>
        </w:rPr>
        <w:t>A</w:t>
      </w:r>
      <w:r w:rsidRPr="00B9455F">
        <w:rPr>
          <w:u w:val="none"/>
        </w:rPr>
        <w:t xml:space="preserve">KRAS </w:t>
      </w:r>
      <w:bookmarkEnd w:id="0"/>
      <w:r w:rsidRPr="00B9455F">
        <w:rPr>
          <w:u w:val="none"/>
        </w:rPr>
        <w:t xml:space="preserve">in patients with suspected ILD/pneumonitis and permanently discontinue </w:t>
      </w:r>
      <w:r w:rsidR="00661619" w:rsidRPr="00661619">
        <w:rPr>
          <w:u w:val="none"/>
        </w:rPr>
        <w:t xml:space="preserve">LUMAKRAS </w:t>
      </w:r>
      <w:r w:rsidRPr="00B9455F">
        <w:rPr>
          <w:u w:val="none"/>
        </w:rPr>
        <w:t>if no other potential causes of ILD/pneumonitis are identified</w:t>
      </w:r>
      <w:r w:rsidR="009C1520">
        <w:rPr>
          <w:u w:val="none"/>
        </w:rPr>
        <w:t xml:space="preserve"> (</w:t>
      </w:r>
      <w:r w:rsidR="009C1520" w:rsidRPr="009C1520">
        <w:rPr>
          <w:u w:val="none"/>
        </w:rPr>
        <w:t>see section 4.2 Dose and method of administration</w:t>
      </w:r>
      <w:r w:rsidR="009C1520">
        <w:rPr>
          <w:u w:val="none"/>
        </w:rPr>
        <w:t>)</w:t>
      </w:r>
      <w:r w:rsidRPr="00B9455F">
        <w:rPr>
          <w:u w:val="none"/>
        </w:rPr>
        <w:t>.</w:t>
      </w:r>
    </w:p>
    <w:p w14:paraId="12AFF4A2" w14:textId="540EAB69" w:rsidR="001D5D0D" w:rsidRDefault="001D5D0D" w:rsidP="0054201D">
      <w:pPr>
        <w:pStyle w:val="RPI-Heading3"/>
      </w:pPr>
      <w:r>
        <w:t>Effects on laboratory tests</w:t>
      </w:r>
    </w:p>
    <w:p w14:paraId="4B74FF09" w14:textId="56D411F0" w:rsidR="00CB28DC" w:rsidRDefault="00955A4D" w:rsidP="00955A4D">
      <w:pPr>
        <w:widowControl w:val="0"/>
        <w:suppressAutoHyphens w:val="0"/>
        <w:spacing w:line="359" w:lineRule="auto"/>
        <w:ind w:right="216"/>
        <w:jc w:val="both"/>
        <w:rPr>
          <w:rFonts w:eastAsia="Arial" w:cs="Arial"/>
          <w:szCs w:val="22"/>
        </w:rPr>
      </w:pPr>
      <w:r>
        <w:rPr>
          <w:rFonts w:eastAsia="Arial" w:cs="Arial"/>
          <w:szCs w:val="22"/>
        </w:rPr>
        <w:t>S</w:t>
      </w:r>
      <w:r w:rsidRPr="00955A4D">
        <w:rPr>
          <w:rFonts w:eastAsia="Arial" w:cs="Arial"/>
          <w:szCs w:val="22"/>
        </w:rPr>
        <w:t xml:space="preserve">otorasib </w:t>
      </w:r>
      <w:r w:rsidR="00B1426E" w:rsidRPr="00955A4D">
        <w:rPr>
          <w:rFonts w:eastAsia="Arial" w:cs="Arial"/>
          <w:szCs w:val="22"/>
        </w:rPr>
        <w:t xml:space="preserve">has been associated with transient elevations of ALT and AST. </w:t>
      </w:r>
    </w:p>
    <w:p w14:paraId="12AFF4A3" w14:textId="77777777" w:rsidR="0032608A" w:rsidRDefault="0032608A" w:rsidP="00DF38D0">
      <w:pPr>
        <w:pStyle w:val="RPI-Heading2"/>
        <w:tabs>
          <w:tab w:val="clear" w:pos="1440"/>
          <w:tab w:val="num" w:pos="567"/>
        </w:tabs>
      </w:pPr>
      <w:r w:rsidRPr="00ED7DB4">
        <w:t>Interaction with other medicines and other forms of interaction</w:t>
      </w:r>
    </w:p>
    <w:p w14:paraId="755E14EE" w14:textId="76F25978" w:rsidR="00B1426E" w:rsidRPr="00B1426E" w:rsidRDefault="00B1426E" w:rsidP="00664EA3">
      <w:pPr>
        <w:pStyle w:val="RPI-Heading3"/>
      </w:pPr>
      <w:bookmarkStart w:id="1" w:name="_Hlk57900428"/>
      <w:r w:rsidRPr="00B1426E">
        <w:t xml:space="preserve">Effect of </w:t>
      </w:r>
      <w:r w:rsidR="0073769E">
        <w:t>o</w:t>
      </w:r>
      <w:r w:rsidRPr="00B1426E">
        <w:t xml:space="preserve">ther </w:t>
      </w:r>
      <w:r w:rsidR="0073769E">
        <w:t xml:space="preserve">medicines </w:t>
      </w:r>
      <w:r w:rsidRPr="00B1426E">
        <w:t xml:space="preserve">on </w:t>
      </w:r>
      <w:r w:rsidR="0073769E">
        <w:t>LUMAKRAS</w:t>
      </w:r>
    </w:p>
    <w:bookmarkEnd w:id="1"/>
    <w:p w14:paraId="19DFD18C" w14:textId="033C87E0" w:rsidR="00B1426E" w:rsidRDefault="00B1426E" w:rsidP="00664EA3">
      <w:pPr>
        <w:pStyle w:val="RPI-Heading4"/>
      </w:pPr>
      <w:r w:rsidRPr="00B1426E">
        <w:t>Acid-</w:t>
      </w:r>
      <w:r w:rsidR="009E5CEB">
        <w:t>r</w:t>
      </w:r>
      <w:r w:rsidRPr="00B1426E">
        <w:t xml:space="preserve">educing </w:t>
      </w:r>
      <w:r w:rsidR="009E5CEB">
        <w:t>a</w:t>
      </w:r>
      <w:r w:rsidRPr="00B1426E">
        <w:t>gents</w:t>
      </w:r>
    </w:p>
    <w:p w14:paraId="784EBB8B" w14:textId="38FE21AE" w:rsidR="006C031D" w:rsidRPr="006C031D" w:rsidRDefault="006C031D" w:rsidP="006C031D">
      <w:pPr>
        <w:pStyle w:val="RPI-Text"/>
      </w:pPr>
      <w:r w:rsidRPr="00524624">
        <w:t xml:space="preserve">Coadministration of LUMAKRAS with a PPI </w:t>
      </w:r>
      <w:r w:rsidRPr="00DA5563">
        <w:t>or an H</w:t>
      </w:r>
      <w:r w:rsidRPr="000653BF">
        <w:rPr>
          <w:vertAlign w:val="subscript"/>
        </w:rPr>
        <w:t>2</w:t>
      </w:r>
      <w:r w:rsidR="00524624" w:rsidRPr="00DA5563">
        <w:t>-</w:t>
      </w:r>
      <w:r w:rsidRPr="00DA5563">
        <w:t xml:space="preserve">receptor antagonist led to a decrease in sotorasib concentrations. </w:t>
      </w:r>
      <w:r w:rsidR="00524624" w:rsidRPr="00DA5563">
        <w:rPr>
          <w:lang w:val="en-US"/>
        </w:rPr>
        <w:t>Coadministration of PPIs (including esomeprazole, lansoprazole, omeprazole, pantoprazole, or rabeprazole) and H</w:t>
      </w:r>
      <w:r w:rsidR="00524624" w:rsidRPr="000653BF">
        <w:rPr>
          <w:vertAlign w:val="subscript"/>
          <w:lang w:val="en-US"/>
        </w:rPr>
        <w:t>2</w:t>
      </w:r>
      <w:r w:rsidR="00524624" w:rsidRPr="00DA5563">
        <w:rPr>
          <w:lang w:val="en-US"/>
        </w:rPr>
        <w:t xml:space="preserve">-receptor antagonists </w:t>
      </w:r>
      <w:r w:rsidR="00524624" w:rsidRPr="0017229A">
        <w:rPr>
          <w:lang w:val="en-US"/>
        </w:rPr>
        <w:t xml:space="preserve">(including famotidine or </w:t>
      </w:r>
      <w:r w:rsidR="00557E99" w:rsidRPr="0017229A">
        <w:rPr>
          <w:lang w:val="en-US"/>
        </w:rPr>
        <w:t>nizatidine</w:t>
      </w:r>
      <w:r w:rsidR="00524624" w:rsidRPr="0017229A">
        <w:rPr>
          <w:lang w:val="en-US"/>
        </w:rPr>
        <w:t>) with LUMAKRAS is not recommended because the</w:t>
      </w:r>
      <w:r w:rsidR="00524624" w:rsidRPr="00DA5563">
        <w:rPr>
          <w:lang w:val="en-US"/>
        </w:rPr>
        <w:t xml:space="preserve"> impact on efficacy is unknown. </w:t>
      </w:r>
      <w:r w:rsidRPr="006C031D">
        <w:t xml:space="preserve">If treatment with an acid-reducing agent is required, take </w:t>
      </w:r>
      <w:r>
        <w:lastRenderedPageBreak/>
        <w:t xml:space="preserve">LUMAKRAS </w:t>
      </w:r>
      <w:r w:rsidRPr="006C031D">
        <w:t>4 hours before or 10 hours after administration of a local antacid</w:t>
      </w:r>
      <w:r>
        <w:t xml:space="preserve"> (see section 5.2 </w:t>
      </w:r>
      <w:r w:rsidRPr="006C031D">
        <w:t xml:space="preserve">Pharmacokinetic </w:t>
      </w:r>
      <w:r w:rsidR="009E5CEB">
        <w:t>p</w:t>
      </w:r>
      <w:r w:rsidRPr="006C031D">
        <w:t xml:space="preserve">roperties). </w:t>
      </w:r>
    </w:p>
    <w:p w14:paraId="02F9A0EB" w14:textId="085EEC27" w:rsidR="003249F4" w:rsidRPr="003249F4" w:rsidRDefault="003249F4" w:rsidP="00664EA3">
      <w:pPr>
        <w:pStyle w:val="RPI-Heading4"/>
      </w:pPr>
      <w:r w:rsidRPr="003249F4">
        <w:t xml:space="preserve">Strong CYP3A </w:t>
      </w:r>
      <w:r w:rsidR="009E5CEB">
        <w:t>i</w:t>
      </w:r>
      <w:r w:rsidRPr="003249F4">
        <w:t>nducers</w:t>
      </w:r>
    </w:p>
    <w:p w14:paraId="1B24E4DA" w14:textId="3C9642C6" w:rsidR="003249F4" w:rsidRDefault="003249F4" w:rsidP="007A73E4">
      <w:pPr>
        <w:pStyle w:val="RPI-GuidanceText"/>
        <w:rPr>
          <w:color w:val="auto"/>
        </w:rPr>
      </w:pPr>
      <w:r w:rsidRPr="003249F4">
        <w:rPr>
          <w:color w:val="auto"/>
        </w:rPr>
        <w:t xml:space="preserve">Coadministration of </w:t>
      </w:r>
      <w:r w:rsidR="00C53461">
        <w:rPr>
          <w:color w:val="auto"/>
        </w:rPr>
        <w:t>LUMAKRAS</w:t>
      </w:r>
      <w:r w:rsidRPr="003249F4">
        <w:rPr>
          <w:color w:val="auto"/>
        </w:rPr>
        <w:t xml:space="preserve"> with a strong CYP3A inducer </w:t>
      </w:r>
      <w:r w:rsidR="00664EA3">
        <w:rPr>
          <w:color w:val="auto"/>
        </w:rPr>
        <w:t xml:space="preserve">led to a </w:t>
      </w:r>
      <w:r w:rsidRPr="003249F4">
        <w:rPr>
          <w:color w:val="auto"/>
        </w:rPr>
        <w:t>decrease</w:t>
      </w:r>
      <w:r w:rsidR="00664EA3">
        <w:rPr>
          <w:color w:val="auto"/>
        </w:rPr>
        <w:t xml:space="preserve"> in </w:t>
      </w:r>
      <w:r w:rsidRPr="003249F4">
        <w:rPr>
          <w:color w:val="auto"/>
        </w:rPr>
        <w:t>sotorasib concentrations</w:t>
      </w:r>
      <w:r w:rsidR="00664EA3">
        <w:rPr>
          <w:color w:val="auto"/>
        </w:rPr>
        <w:t xml:space="preserve">. </w:t>
      </w:r>
      <w:r w:rsidR="00664EA3" w:rsidRPr="00664EA3">
        <w:rPr>
          <w:color w:val="auto"/>
        </w:rPr>
        <w:t xml:space="preserve">Coadministration of strong CYP3A4 inducers </w:t>
      </w:r>
      <w:r w:rsidR="0042113C" w:rsidRPr="0042113C">
        <w:rPr>
          <w:color w:val="auto"/>
        </w:rPr>
        <w:t xml:space="preserve">(including rifampin, carbamazepine, enzalutamide, phenobarbital, and St John’s wort) </w:t>
      </w:r>
      <w:r w:rsidR="00664EA3" w:rsidRPr="00664EA3">
        <w:rPr>
          <w:color w:val="auto"/>
        </w:rPr>
        <w:t xml:space="preserve">with </w:t>
      </w:r>
      <w:r w:rsidR="00664EA3">
        <w:rPr>
          <w:color w:val="auto"/>
        </w:rPr>
        <w:t xml:space="preserve">LUMAKRAS </w:t>
      </w:r>
      <w:r w:rsidR="00664EA3" w:rsidRPr="00664EA3">
        <w:rPr>
          <w:color w:val="auto"/>
        </w:rPr>
        <w:t>is not recommended because the impact on efficacy is unknown</w:t>
      </w:r>
      <w:r w:rsidR="00955A4D" w:rsidRPr="00955A4D">
        <w:rPr>
          <w:color w:val="auto"/>
        </w:rPr>
        <w:t xml:space="preserve"> </w:t>
      </w:r>
      <w:r w:rsidRPr="007A73E4">
        <w:rPr>
          <w:color w:val="auto"/>
        </w:rPr>
        <w:t>(see section 5.2</w:t>
      </w:r>
      <w:r w:rsidR="007A73E4">
        <w:rPr>
          <w:color w:val="auto"/>
        </w:rPr>
        <w:t xml:space="preserve"> </w:t>
      </w:r>
      <w:r w:rsidRPr="003249F4">
        <w:rPr>
          <w:color w:val="auto"/>
        </w:rPr>
        <w:t xml:space="preserve">Pharmacokinetic </w:t>
      </w:r>
      <w:r w:rsidR="009E5CEB">
        <w:rPr>
          <w:color w:val="auto"/>
        </w:rPr>
        <w:t>p</w:t>
      </w:r>
      <w:r w:rsidRPr="003249F4">
        <w:rPr>
          <w:color w:val="auto"/>
        </w:rPr>
        <w:t>roperties).</w:t>
      </w:r>
    </w:p>
    <w:p w14:paraId="5240DEF3" w14:textId="3BDC0830" w:rsidR="00664EA3" w:rsidRPr="00B1426E" w:rsidRDefault="00664EA3" w:rsidP="00664EA3">
      <w:pPr>
        <w:pStyle w:val="RPI-Heading3"/>
      </w:pPr>
      <w:r w:rsidRPr="00B1426E">
        <w:t xml:space="preserve">Effect of </w:t>
      </w:r>
      <w:r>
        <w:t>LUMAKRAS on o</w:t>
      </w:r>
      <w:r w:rsidRPr="00B1426E">
        <w:t xml:space="preserve">ther </w:t>
      </w:r>
      <w:r>
        <w:t xml:space="preserve">medicines </w:t>
      </w:r>
    </w:p>
    <w:p w14:paraId="0F0DA5CD" w14:textId="6B8C7F04" w:rsidR="00CF4CA9" w:rsidRPr="00CF4CA9" w:rsidRDefault="00CF4CA9" w:rsidP="00CF4CA9">
      <w:pPr>
        <w:pStyle w:val="RPI-Heading4"/>
      </w:pPr>
      <w:r w:rsidRPr="00CF4CA9">
        <w:t xml:space="preserve">CYP3A4 </w:t>
      </w:r>
      <w:r w:rsidR="009E5CEB">
        <w:t>s</w:t>
      </w:r>
      <w:r w:rsidRPr="00CF4CA9">
        <w:t>ubstrates</w:t>
      </w:r>
    </w:p>
    <w:p w14:paraId="1E74510F" w14:textId="07F1BB89" w:rsidR="00AD0005" w:rsidRDefault="00CF4CA9" w:rsidP="00DA5563">
      <w:pPr>
        <w:pStyle w:val="RPI-GuidanceText"/>
        <w:rPr>
          <w:color w:val="auto"/>
        </w:rPr>
      </w:pPr>
      <w:r>
        <w:rPr>
          <w:color w:val="auto"/>
        </w:rPr>
        <w:t xml:space="preserve">LUMAKRAS </w:t>
      </w:r>
      <w:r w:rsidRPr="00CF4CA9">
        <w:rPr>
          <w:color w:val="auto"/>
        </w:rPr>
        <w:t xml:space="preserve">is a moderate CYP3A4 inducer. Coadministration of </w:t>
      </w:r>
      <w:r>
        <w:rPr>
          <w:color w:val="auto"/>
        </w:rPr>
        <w:t xml:space="preserve">LUMAKRAS </w:t>
      </w:r>
      <w:r w:rsidRPr="00CF4CA9">
        <w:rPr>
          <w:color w:val="auto"/>
        </w:rPr>
        <w:t xml:space="preserve">with CYP3A4 substrates </w:t>
      </w:r>
      <w:r w:rsidR="003E0A6C">
        <w:rPr>
          <w:color w:val="auto"/>
        </w:rPr>
        <w:t xml:space="preserve">(such as </w:t>
      </w:r>
      <w:r w:rsidR="003E0A6C" w:rsidRPr="00D0683E">
        <w:rPr>
          <w:color w:val="auto"/>
        </w:rPr>
        <w:t xml:space="preserve">alfentanil, fentanyl, cyclosporin, sirolimus, everolimus, tacrolimus, </w:t>
      </w:r>
      <w:proofErr w:type="gramStart"/>
      <w:r w:rsidR="003E0A6C" w:rsidRPr="00D0683E">
        <w:rPr>
          <w:color w:val="auto"/>
        </w:rPr>
        <w:t>simvastatin,  atorvastatin</w:t>
      </w:r>
      <w:proofErr w:type="gramEnd"/>
      <w:r w:rsidR="003E0A6C" w:rsidRPr="00D0683E">
        <w:rPr>
          <w:color w:val="auto"/>
        </w:rPr>
        <w:t>, midazolam</w:t>
      </w:r>
      <w:r w:rsidR="003E0A6C">
        <w:rPr>
          <w:color w:val="auto"/>
        </w:rPr>
        <w:t>, a</w:t>
      </w:r>
      <w:r w:rsidR="003E0A6C" w:rsidRPr="003E0A6C">
        <w:rPr>
          <w:color w:val="auto"/>
        </w:rPr>
        <w:t>miodarone, rivaroxaban and apixaban</w:t>
      </w:r>
      <w:r w:rsidR="003E0A6C">
        <w:rPr>
          <w:color w:val="auto"/>
        </w:rPr>
        <w:t>) could</w:t>
      </w:r>
      <w:r w:rsidR="003E0A6C" w:rsidRPr="00CF4CA9">
        <w:rPr>
          <w:color w:val="auto"/>
        </w:rPr>
        <w:t xml:space="preserve"> </w:t>
      </w:r>
      <w:r w:rsidRPr="00CF4CA9">
        <w:rPr>
          <w:color w:val="auto"/>
        </w:rPr>
        <w:t>le</w:t>
      </w:r>
      <w:r>
        <w:rPr>
          <w:color w:val="auto"/>
        </w:rPr>
        <w:t>a</w:t>
      </w:r>
      <w:r w:rsidRPr="00CF4CA9">
        <w:rPr>
          <w:color w:val="auto"/>
        </w:rPr>
        <w:t xml:space="preserve">d to a decrease in their plasma concentrations, which may reduce the efficacy of these substrates </w:t>
      </w:r>
      <w:r>
        <w:rPr>
          <w:color w:val="auto"/>
        </w:rPr>
        <w:t>(</w:t>
      </w:r>
      <w:r w:rsidRPr="00CF4CA9">
        <w:rPr>
          <w:color w:val="auto"/>
        </w:rPr>
        <w:t xml:space="preserve">see </w:t>
      </w:r>
      <w:r>
        <w:rPr>
          <w:color w:val="auto"/>
        </w:rPr>
        <w:t xml:space="preserve">section 5.2 </w:t>
      </w:r>
      <w:r w:rsidRPr="00CF4CA9">
        <w:rPr>
          <w:color w:val="auto"/>
        </w:rPr>
        <w:t xml:space="preserve">Pharmacokinetic </w:t>
      </w:r>
      <w:r w:rsidR="009E5CEB">
        <w:rPr>
          <w:color w:val="auto"/>
        </w:rPr>
        <w:t>p</w:t>
      </w:r>
      <w:r w:rsidRPr="00CF4CA9">
        <w:rPr>
          <w:color w:val="auto"/>
        </w:rPr>
        <w:t>roperties</w:t>
      </w:r>
      <w:r>
        <w:rPr>
          <w:color w:val="auto"/>
        </w:rPr>
        <w:t>)</w:t>
      </w:r>
      <w:r w:rsidRPr="00CF4CA9">
        <w:rPr>
          <w:color w:val="auto"/>
        </w:rPr>
        <w:t xml:space="preserve">. Avoid coadministration of </w:t>
      </w:r>
      <w:r>
        <w:rPr>
          <w:color w:val="auto"/>
        </w:rPr>
        <w:t xml:space="preserve">LUMAKRAS </w:t>
      </w:r>
      <w:r w:rsidRPr="00CF4CA9">
        <w:rPr>
          <w:color w:val="auto"/>
        </w:rPr>
        <w:t>with CYP3A4 substrates with narrow therapeutic indices. If coadministration cannot be avoided, adjust the CYP3A4 substrate dosage in accordance with approved product labe</w:t>
      </w:r>
      <w:r>
        <w:rPr>
          <w:color w:val="auto"/>
        </w:rPr>
        <w:t>l</w:t>
      </w:r>
      <w:r w:rsidRPr="00CF4CA9">
        <w:rPr>
          <w:color w:val="auto"/>
        </w:rPr>
        <w:t>ling.</w:t>
      </w:r>
    </w:p>
    <w:p w14:paraId="0C903EDF" w14:textId="75ED19A3" w:rsidR="00F839EF" w:rsidRPr="0017229A" w:rsidRDefault="00F839EF" w:rsidP="00065C4E">
      <w:pPr>
        <w:pStyle w:val="RPI-Heading4"/>
      </w:pPr>
      <w:r w:rsidRPr="0017229A">
        <w:t>P-glycoprotein (P-gp) substrates</w:t>
      </w:r>
    </w:p>
    <w:p w14:paraId="3B74377D" w14:textId="5749B5A5" w:rsidR="00F839EF" w:rsidRPr="00065C4E" w:rsidRDefault="00F839EF" w:rsidP="00DA5563">
      <w:pPr>
        <w:pStyle w:val="RPI-GuidanceText"/>
        <w:rPr>
          <w:color w:val="auto"/>
        </w:rPr>
      </w:pPr>
      <w:r w:rsidRPr="0017229A">
        <w:rPr>
          <w:color w:val="auto"/>
        </w:rPr>
        <w:t xml:space="preserve">Coadministration of LUMAKRAS with a P-gp substrate (digoxin) increased digoxin plasma concentrations [see </w:t>
      </w:r>
      <w:r w:rsidR="00ED1E7C" w:rsidRPr="0017229A">
        <w:rPr>
          <w:color w:val="auto"/>
        </w:rPr>
        <w:t xml:space="preserve">section </w:t>
      </w:r>
      <w:r w:rsidR="00961FF0" w:rsidRPr="0017229A">
        <w:rPr>
          <w:color w:val="auto"/>
        </w:rPr>
        <w:t>5.2 Pharmacokinetic properties,</w:t>
      </w:r>
      <w:r w:rsidR="003D39EE" w:rsidRPr="0017229A">
        <w:t xml:space="preserve"> </w:t>
      </w:r>
      <w:r w:rsidR="003D39EE" w:rsidRPr="0017229A">
        <w:rPr>
          <w:color w:val="auto"/>
        </w:rPr>
        <w:t>Effect of sotorasib on other medicines</w:t>
      </w:r>
      <w:r w:rsidRPr="0017229A">
        <w:rPr>
          <w:color w:val="auto"/>
        </w:rPr>
        <w:t>], which may increase the adverse reactions of digoxin. Avoid coadministration of LUMAKRAS with P-gp substrates, for which minimal concentration changes may lead to serious toxicities. If coadministration cannot be avoided, decrease the P-gp substrate dosage in accordance with its Product Information.</w:t>
      </w:r>
    </w:p>
    <w:p w14:paraId="12AFF4A7" w14:textId="0F5A838D" w:rsidR="0032608A" w:rsidRDefault="0032608A" w:rsidP="00DF38D0">
      <w:pPr>
        <w:pStyle w:val="RPI-Heading2"/>
        <w:tabs>
          <w:tab w:val="clear" w:pos="1440"/>
          <w:tab w:val="num" w:pos="567"/>
        </w:tabs>
      </w:pPr>
      <w:r w:rsidRPr="00ED7DB4">
        <w:t>Fertility, pregnancy</w:t>
      </w:r>
      <w:r w:rsidR="00AC443D">
        <w:t>,</w:t>
      </w:r>
      <w:r w:rsidRPr="00ED7DB4">
        <w:t xml:space="preserve"> and lactation</w:t>
      </w:r>
    </w:p>
    <w:p w14:paraId="12AFF4A9" w14:textId="3646A296" w:rsidR="004F177A" w:rsidRDefault="004F177A" w:rsidP="00955A4D">
      <w:pPr>
        <w:pStyle w:val="RPI-Heading3"/>
        <w:keepNext w:val="0"/>
        <w:widowControl w:val="0"/>
      </w:pPr>
      <w:r>
        <w:t>Effects on fertility</w:t>
      </w:r>
    </w:p>
    <w:p w14:paraId="1859D15A" w14:textId="15136578" w:rsidR="004927F4" w:rsidRDefault="003249F4" w:rsidP="00955A4D">
      <w:pPr>
        <w:pStyle w:val="RPI-Heading3"/>
        <w:keepNext w:val="0"/>
        <w:widowControl w:val="0"/>
        <w:rPr>
          <w:u w:val="none"/>
        </w:rPr>
      </w:pPr>
      <w:r w:rsidRPr="003249F4">
        <w:rPr>
          <w:u w:val="none"/>
        </w:rPr>
        <w:t xml:space="preserve">There are no clinical studies to evaluate the effect of </w:t>
      </w:r>
      <w:r w:rsidR="001B55F8">
        <w:rPr>
          <w:u w:val="none"/>
        </w:rPr>
        <w:t>LUMAKRAS</w:t>
      </w:r>
      <w:r w:rsidR="00955A4D" w:rsidRPr="00955A4D">
        <w:rPr>
          <w:u w:val="none"/>
        </w:rPr>
        <w:t xml:space="preserve"> </w:t>
      </w:r>
      <w:r w:rsidRPr="003249F4">
        <w:rPr>
          <w:u w:val="none"/>
        </w:rPr>
        <w:t>on fertility.</w:t>
      </w:r>
      <w:r w:rsidR="009B3B7B" w:rsidRPr="009B3B7B">
        <w:t xml:space="preserve"> </w:t>
      </w:r>
      <w:r w:rsidR="009B3B7B" w:rsidRPr="009B3B7B">
        <w:rPr>
          <w:u w:val="none"/>
        </w:rPr>
        <w:t xml:space="preserve">Fertility/early embryonic development studies were not conducted with sotorasib.  There were no adverse effects on female or male reproductive organs in general toxicology </w:t>
      </w:r>
      <w:r w:rsidR="009B3B7B" w:rsidRPr="009B3B7B">
        <w:rPr>
          <w:u w:val="none"/>
        </w:rPr>
        <w:lastRenderedPageBreak/>
        <w:t>studies conducted in dogs and rats</w:t>
      </w:r>
      <w:r w:rsidR="009B3B7B">
        <w:rPr>
          <w:u w:val="none"/>
        </w:rPr>
        <w:t xml:space="preserve">. </w:t>
      </w:r>
    </w:p>
    <w:p w14:paraId="12AFF4AB" w14:textId="411BFE41" w:rsidR="00C34655" w:rsidRDefault="004F177A" w:rsidP="00955A4D">
      <w:pPr>
        <w:pStyle w:val="RPI-Heading3"/>
        <w:keepNext w:val="0"/>
        <w:widowControl w:val="0"/>
      </w:pPr>
      <w:r>
        <w:t>Use in p</w:t>
      </w:r>
      <w:r w:rsidR="00500869">
        <w:t>regnancy</w:t>
      </w:r>
    </w:p>
    <w:p w14:paraId="5C602B60" w14:textId="5FB42CA4" w:rsidR="003249F4" w:rsidRPr="003249F4" w:rsidRDefault="003249F4" w:rsidP="00367EE9">
      <w:pPr>
        <w:pStyle w:val="RPI-Heading4"/>
        <w:keepNext w:val="0"/>
        <w:widowControl w:val="0"/>
      </w:pPr>
      <w:r w:rsidRPr="00C0375F">
        <w:t>Category</w:t>
      </w:r>
      <w:r w:rsidR="004927F4" w:rsidRPr="00C0375F">
        <w:t xml:space="preserve"> </w:t>
      </w:r>
      <w:r w:rsidR="00CC3E94">
        <w:t>B3</w:t>
      </w:r>
    </w:p>
    <w:p w14:paraId="190603AB" w14:textId="064877D8" w:rsidR="00EE5935" w:rsidRPr="00EE5935" w:rsidRDefault="00EE5935" w:rsidP="00367EE9">
      <w:pPr>
        <w:pStyle w:val="RPI-Text"/>
        <w:widowControl w:val="0"/>
      </w:pPr>
      <w:r w:rsidRPr="00EE5935">
        <w:t xml:space="preserve">There are no clinical studies with </w:t>
      </w:r>
      <w:r>
        <w:t>LUMAKRAS</w:t>
      </w:r>
      <w:r w:rsidRPr="00955A4D">
        <w:t xml:space="preserve"> </w:t>
      </w:r>
      <w:r w:rsidRPr="00EE5935">
        <w:t xml:space="preserve">use in pregnant women. In rat and rabbit embryo-fetal development studies, oral sotorasib was not teratogenic. </w:t>
      </w:r>
      <w:r w:rsidR="00415FCA" w:rsidRPr="00415FCA">
        <w:t>Inform the patient of the potential hazards to the fetus if LUMAKRAS is used during pregnancy, or if the patient becomes pregnant while taking LUMAKRAS.</w:t>
      </w:r>
    </w:p>
    <w:p w14:paraId="23D9C65B" w14:textId="008B7EDA" w:rsidR="00415FCA" w:rsidRPr="006965AD" w:rsidRDefault="00415FCA" w:rsidP="00367EE9">
      <w:pPr>
        <w:pStyle w:val="RPI-Text"/>
        <w:widowControl w:val="0"/>
        <w:rPr>
          <w:i/>
          <w:iCs/>
        </w:rPr>
      </w:pPr>
      <w:r w:rsidRPr="0017229A">
        <w:rPr>
          <w:i/>
          <w:iCs/>
        </w:rPr>
        <w:t xml:space="preserve">Animal </w:t>
      </w:r>
      <w:r w:rsidR="009E5CEB">
        <w:rPr>
          <w:i/>
          <w:iCs/>
        </w:rPr>
        <w:t>d</w:t>
      </w:r>
      <w:r w:rsidRPr="0017229A">
        <w:rPr>
          <w:i/>
          <w:iCs/>
        </w:rPr>
        <w:t>ata</w:t>
      </w:r>
    </w:p>
    <w:p w14:paraId="16C775B0" w14:textId="62E510F0" w:rsidR="00EE5935" w:rsidRPr="00EE5935" w:rsidRDefault="00EE5935" w:rsidP="008F395E">
      <w:pPr>
        <w:pStyle w:val="RPI-Text"/>
        <w:keepNext/>
      </w:pPr>
      <w:r w:rsidRPr="00EE5935">
        <w:t xml:space="preserve">In the rat, there were no effects on embryo-fetal development up to </w:t>
      </w:r>
      <w:r w:rsidR="0082136F" w:rsidRPr="0082136F">
        <w:t xml:space="preserve">540 mg/kg/day </w:t>
      </w:r>
      <w:r w:rsidRPr="00EE5935">
        <w:t xml:space="preserve">the highest dose tested </w:t>
      </w:r>
      <w:r w:rsidR="00EB5343">
        <w:t>[</w:t>
      </w:r>
      <w:r w:rsidR="00FF623F">
        <w:t>approximately 2</w:t>
      </w:r>
      <w:r w:rsidRPr="00EE5935">
        <w:t xml:space="preserve"> times higher than the exposure at the maximum recommended human dose </w:t>
      </w:r>
      <w:r w:rsidR="00EB5343">
        <w:t>(</w:t>
      </w:r>
      <w:r w:rsidRPr="00EE5935">
        <w:t>MRHD</w:t>
      </w:r>
      <w:r w:rsidR="00EB5343">
        <w:t>)</w:t>
      </w:r>
      <w:r w:rsidRPr="00EE5935">
        <w:t xml:space="preserve"> of </w:t>
      </w:r>
      <w:r w:rsidR="00664C04">
        <w:t xml:space="preserve">sotorasib </w:t>
      </w:r>
      <w:r w:rsidRPr="00EE5935">
        <w:t>960 mg</w:t>
      </w:r>
      <w:r w:rsidR="00664C04">
        <w:t>,</w:t>
      </w:r>
      <w:r w:rsidRPr="00EE5935">
        <w:t xml:space="preserve"> based on area under the curve</w:t>
      </w:r>
      <w:r w:rsidR="00664C04">
        <w:t xml:space="preserve">, </w:t>
      </w:r>
      <w:r w:rsidRPr="00EE5935">
        <w:t>AUC</w:t>
      </w:r>
      <w:r w:rsidR="00EB5343">
        <w:t>]</w:t>
      </w:r>
      <w:r w:rsidRPr="00EE5935">
        <w:t xml:space="preserve">. </w:t>
      </w:r>
    </w:p>
    <w:p w14:paraId="7CFAAE1C" w14:textId="7E823793" w:rsidR="00EE5935" w:rsidRPr="00EE5935" w:rsidRDefault="00EE5935">
      <w:pPr>
        <w:pStyle w:val="RPI-Text"/>
        <w:widowControl w:val="0"/>
      </w:pPr>
      <w:r w:rsidRPr="00EE5935">
        <w:t>In the rabbit, lower fetal body weights and a reduction in the number of ossified metacarpals in fetuses were observed only at the highest dose level tested (</w:t>
      </w:r>
      <w:r w:rsidR="0062658E" w:rsidRPr="0062658E">
        <w:t>100 mg/</w:t>
      </w:r>
      <w:proofErr w:type="gramStart"/>
      <w:r w:rsidR="0062658E" w:rsidRPr="0062658E">
        <w:t>kg</w:t>
      </w:r>
      <w:r w:rsidR="0062658E">
        <w:t xml:space="preserve">, </w:t>
      </w:r>
      <w:r w:rsidR="0062658E" w:rsidRPr="0062658E">
        <w:t xml:space="preserve"> </w:t>
      </w:r>
      <w:r w:rsidRPr="00EE5935">
        <w:t>2.</w:t>
      </w:r>
      <w:r w:rsidR="0062658E">
        <w:t>3</w:t>
      </w:r>
      <w:proofErr w:type="gramEnd"/>
      <w:r w:rsidRPr="00EE5935">
        <w:t xml:space="preserve"> times higher than the exposure at the MRHD of 960 mg based on AUC), which was associated with maternal effects such as decreased body weight gain and decreased food consumption during the dosing phase. Reduced ossification, as evidence of growth retardation associated with reduced fetal body weight, was interpreted as a non-specific effect in the presence of significant maternal toxicity.</w:t>
      </w:r>
    </w:p>
    <w:p w14:paraId="12AFF4AE" w14:textId="01A7D1F2" w:rsidR="00500869" w:rsidRDefault="004F177A" w:rsidP="00EE5935">
      <w:pPr>
        <w:pStyle w:val="RPI-Heading3"/>
        <w:keepNext w:val="0"/>
        <w:widowControl w:val="0"/>
      </w:pPr>
      <w:r>
        <w:t>Use in lactation</w:t>
      </w:r>
    </w:p>
    <w:p w14:paraId="595469CF" w14:textId="086473C0" w:rsidR="003249F4" w:rsidRPr="003249F4" w:rsidRDefault="003249F4" w:rsidP="00664C04">
      <w:pPr>
        <w:pStyle w:val="RPI-Text"/>
      </w:pPr>
      <w:r w:rsidRPr="003249F4">
        <w:t xml:space="preserve">There are no clinical studies on the presence of </w:t>
      </w:r>
      <w:r w:rsidR="00664C04" w:rsidRPr="00664C04">
        <w:t xml:space="preserve">LUMAKRAS </w:t>
      </w:r>
      <w:r w:rsidRPr="003249F4">
        <w:t>or its metabolites in human milk, the effects on the breastfed child</w:t>
      </w:r>
      <w:r w:rsidR="00664C04">
        <w:t>,</w:t>
      </w:r>
      <w:r w:rsidRPr="003249F4">
        <w:t xml:space="preserve"> or on milk production. Because of the potential risk for </w:t>
      </w:r>
      <w:r w:rsidR="00664C04" w:rsidRPr="00664C04">
        <w:t xml:space="preserve">LUMAKRAS </w:t>
      </w:r>
      <w:r w:rsidRPr="003249F4">
        <w:t xml:space="preserve">to cause adverse effects in breastfed children, </w:t>
      </w:r>
      <w:r w:rsidRPr="00367CD7">
        <w:t>a</w:t>
      </w:r>
      <w:r w:rsidR="0027449B" w:rsidRPr="00367CD7">
        <w:t xml:space="preserve">dvise women not </w:t>
      </w:r>
      <w:proofErr w:type="gramStart"/>
      <w:r w:rsidR="0027449B" w:rsidRPr="00367CD7">
        <w:t>to</w:t>
      </w:r>
      <w:r w:rsidR="0027449B">
        <w:t xml:space="preserve"> </w:t>
      </w:r>
      <w:r w:rsidRPr="003249F4">
        <w:t xml:space="preserve"> </w:t>
      </w:r>
      <w:r w:rsidRPr="0017229A">
        <w:t>breastfeed</w:t>
      </w:r>
      <w:proofErr w:type="gramEnd"/>
      <w:r w:rsidR="0027449B" w:rsidRPr="0017229A">
        <w:t xml:space="preserve"> during treatment with LUMAKRAS and for 1 week after the final dose</w:t>
      </w:r>
      <w:r w:rsidRPr="0017229A">
        <w:t>.</w:t>
      </w:r>
    </w:p>
    <w:p w14:paraId="12AFF4B0" w14:textId="0927DCF5" w:rsidR="0032608A" w:rsidRDefault="0032608A" w:rsidP="003175C9">
      <w:pPr>
        <w:pStyle w:val="RPI-Heading2"/>
        <w:tabs>
          <w:tab w:val="clear" w:pos="1440"/>
          <w:tab w:val="num" w:pos="567"/>
        </w:tabs>
      </w:pPr>
      <w:r w:rsidRPr="00ED7DB4">
        <w:t>Effects on ability to drive and use machines</w:t>
      </w:r>
    </w:p>
    <w:p w14:paraId="2EF51A1F" w14:textId="14AC9723" w:rsidR="00EA4700" w:rsidRDefault="008F33E0" w:rsidP="00EA4700">
      <w:pPr>
        <w:pStyle w:val="RPI-GuidanceText"/>
        <w:widowControl w:val="0"/>
        <w:rPr>
          <w:color w:val="auto"/>
        </w:rPr>
      </w:pPr>
      <w:r w:rsidRPr="008F33E0">
        <w:rPr>
          <w:color w:val="auto"/>
        </w:rPr>
        <w:t xml:space="preserve">LUMAKRAS </w:t>
      </w:r>
      <w:r w:rsidR="00EA4700" w:rsidRPr="00EA4700">
        <w:rPr>
          <w:color w:val="auto"/>
        </w:rPr>
        <w:t>has no or negligible influence on the ability to drive and use machines.</w:t>
      </w:r>
    </w:p>
    <w:p w14:paraId="12AFF4B4" w14:textId="498FDBEE" w:rsidR="0032608A" w:rsidRDefault="004F177A" w:rsidP="003175C9">
      <w:pPr>
        <w:pStyle w:val="RPI-Heading2"/>
        <w:tabs>
          <w:tab w:val="clear" w:pos="1440"/>
          <w:tab w:val="num" w:pos="567"/>
        </w:tabs>
      </w:pPr>
      <w:r>
        <w:lastRenderedPageBreak/>
        <w:t>Adverse</w:t>
      </w:r>
      <w:r w:rsidRPr="00ED7DB4">
        <w:t xml:space="preserve"> </w:t>
      </w:r>
      <w:r w:rsidR="0032608A" w:rsidRPr="00ED7DB4">
        <w:t>effects</w:t>
      </w:r>
      <w:r w:rsidR="00245127" w:rsidRPr="00ED7DB4">
        <w:t xml:space="preserve"> </w:t>
      </w:r>
      <w:r w:rsidR="00247CA7">
        <w:t>(Undesirable effects)</w:t>
      </w:r>
    </w:p>
    <w:p w14:paraId="12AFF4B7" w14:textId="5677AA9A" w:rsidR="00AE410B" w:rsidRPr="008F33E0" w:rsidRDefault="00AE410B" w:rsidP="008F33E0">
      <w:pPr>
        <w:pStyle w:val="RPI-Heading3"/>
      </w:pPr>
      <w:r w:rsidRPr="008F33E0">
        <w:t>Summary of safety profile</w:t>
      </w:r>
    </w:p>
    <w:p w14:paraId="517C73EF" w14:textId="77777777" w:rsidR="00AA07CB" w:rsidRPr="00AA07CB" w:rsidRDefault="00AA07CB" w:rsidP="006965AD">
      <w:pPr>
        <w:pStyle w:val="RPI-Heading4"/>
        <w:spacing w:after="0"/>
      </w:pPr>
      <w:r w:rsidRPr="00AA07CB">
        <w:t xml:space="preserve">NSCLC clinical trial monotherapy data  </w:t>
      </w:r>
    </w:p>
    <w:p w14:paraId="3AD262F4" w14:textId="444D1F6D" w:rsidR="00FE6685" w:rsidRPr="006965AD" w:rsidRDefault="00FE6685" w:rsidP="006965AD">
      <w:pPr>
        <w:pStyle w:val="RPI-GuidanceText"/>
        <w:widowControl w:val="0"/>
        <w:rPr>
          <w:color w:val="auto"/>
        </w:rPr>
      </w:pPr>
      <w:r w:rsidRPr="006965AD">
        <w:rPr>
          <w:color w:val="auto"/>
        </w:rPr>
        <w:t xml:space="preserve">The safety of </w:t>
      </w:r>
      <w:r w:rsidR="008F33E0" w:rsidRPr="006965AD">
        <w:rPr>
          <w:color w:val="auto"/>
        </w:rPr>
        <w:t xml:space="preserve">LUMAKRAS </w:t>
      </w:r>
      <w:r w:rsidRPr="006965AD">
        <w:rPr>
          <w:color w:val="auto"/>
        </w:rPr>
        <w:t xml:space="preserve">was evaluated in </w:t>
      </w:r>
      <w:r w:rsidR="0032627D" w:rsidRPr="006965AD">
        <w:rPr>
          <w:color w:val="auto"/>
        </w:rPr>
        <w:t>214</w:t>
      </w:r>
      <w:r w:rsidRPr="006965AD">
        <w:rPr>
          <w:color w:val="auto"/>
        </w:rPr>
        <w:t xml:space="preserve"> patients with KRAS G12C-mutated </w:t>
      </w:r>
      <w:r w:rsidR="003E0D65" w:rsidRPr="006965AD">
        <w:rPr>
          <w:color w:val="auto"/>
        </w:rPr>
        <w:t xml:space="preserve">locally advanced or metastatic NSCLC who received sotorasib 960 mg orally once daily as monotherapy. The median duration of exposure to LUMAKRAS </w:t>
      </w:r>
      <w:r w:rsidR="008F33E0" w:rsidRPr="006965AD">
        <w:rPr>
          <w:color w:val="auto"/>
        </w:rPr>
        <w:t xml:space="preserve">was </w:t>
      </w:r>
      <w:r w:rsidR="00540320" w:rsidRPr="006965AD">
        <w:rPr>
          <w:color w:val="auto"/>
        </w:rPr>
        <w:t>5.5</w:t>
      </w:r>
      <w:r w:rsidR="008F33E0" w:rsidRPr="006965AD">
        <w:rPr>
          <w:color w:val="auto"/>
        </w:rPr>
        <w:t xml:space="preserve"> months (range: 0.</w:t>
      </w:r>
      <w:r w:rsidR="003E0D65" w:rsidRPr="006965AD">
        <w:rPr>
          <w:color w:val="auto"/>
        </w:rPr>
        <w:t>2</w:t>
      </w:r>
      <w:r w:rsidR="008F33E0" w:rsidRPr="006965AD">
        <w:rPr>
          <w:color w:val="auto"/>
        </w:rPr>
        <w:t xml:space="preserve"> to </w:t>
      </w:r>
      <w:r w:rsidR="0032627D" w:rsidRPr="006965AD">
        <w:rPr>
          <w:color w:val="auto"/>
        </w:rPr>
        <w:t>21</w:t>
      </w:r>
      <w:r w:rsidR="00AA07CB" w:rsidRPr="006965AD">
        <w:rPr>
          <w:color w:val="auto"/>
        </w:rPr>
        <w:t xml:space="preserve"> months</w:t>
      </w:r>
      <w:r w:rsidR="008F33E0" w:rsidRPr="006965AD">
        <w:rPr>
          <w:color w:val="auto"/>
        </w:rPr>
        <w:t>).</w:t>
      </w:r>
    </w:p>
    <w:p w14:paraId="405C6650" w14:textId="77777777" w:rsidR="00C72AA5" w:rsidRPr="00C72AA5" w:rsidRDefault="00C72AA5" w:rsidP="00483125">
      <w:pPr>
        <w:pStyle w:val="RPI-Heading4"/>
        <w:keepNext w:val="0"/>
        <w:widowControl w:val="0"/>
        <w:spacing w:before="240"/>
        <w:rPr>
          <w:i w:val="0"/>
          <w:iCs/>
        </w:rPr>
      </w:pPr>
      <w:r w:rsidRPr="00C72AA5">
        <w:rPr>
          <w:i w:val="0"/>
          <w:iCs/>
        </w:rPr>
        <w:t xml:space="preserve">Serious adverse reactions occurred in 50% of patients treated with LUMAKRAS. Serious adverse reactions in ≥ 2% of patients were pneumonia (8%), hepatotoxicity (3.4%), and diarrhea (2%). Fatal adverse reactions occurred in 3.4% of patients who received LUMAKRAS due to respiratory failure (0.8%), pneumonitis (0.4%), cardiac arrest (0.4%), cardiac failure (0.4%), gastric ulcer (0.4%), and pneumonia (0.4%). </w:t>
      </w:r>
    </w:p>
    <w:p w14:paraId="33CDEF9E" w14:textId="77777777" w:rsidR="00C72AA5" w:rsidRPr="00C72AA5" w:rsidRDefault="00C72AA5" w:rsidP="00B12712">
      <w:pPr>
        <w:pStyle w:val="RPI-Heading4"/>
        <w:keepNext w:val="0"/>
        <w:widowControl w:val="0"/>
        <w:spacing w:before="240"/>
        <w:rPr>
          <w:i w:val="0"/>
          <w:iCs/>
        </w:rPr>
      </w:pPr>
      <w:r w:rsidRPr="00C72AA5">
        <w:rPr>
          <w:i w:val="0"/>
          <w:iCs/>
        </w:rPr>
        <w:t>Permanent discontinuation of LUMAKRAS due to an adverse reaction occurred in 9% of patients. Adverse reactions resulting in permanent discontinuation of LUMAKRAS in ≥ 2% of patients included hepatotoxicity (4.9%).</w:t>
      </w:r>
    </w:p>
    <w:p w14:paraId="7E6E5118" w14:textId="77777777" w:rsidR="00C72AA5" w:rsidRPr="00C72AA5" w:rsidRDefault="00C72AA5" w:rsidP="00C72AA5">
      <w:pPr>
        <w:pStyle w:val="RPI-Heading4"/>
        <w:spacing w:before="240"/>
        <w:rPr>
          <w:i w:val="0"/>
          <w:iCs/>
        </w:rPr>
      </w:pPr>
      <w:r w:rsidRPr="00C72AA5">
        <w:rPr>
          <w:i w:val="0"/>
          <w:iCs/>
        </w:rPr>
        <w:t>Dosage interruptions of LUMAKRAS due to an adverse reaction occurred in 34% of patients. Adverse reactions which required dosage interruption in ≥ 2% of patients were hepatotoxicity (11%), diarrhea (8%), musculoskeletal pain (3.9%), nausea (2.9%), and pneumonia (2.5%).</w:t>
      </w:r>
    </w:p>
    <w:p w14:paraId="6929F79C" w14:textId="77777777" w:rsidR="00C72AA5" w:rsidRPr="00C72AA5" w:rsidRDefault="00C72AA5" w:rsidP="00C72AA5">
      <w:pPr>
        <w:pStyle w:val="RPI-Heading4"/>
        <w:spacing w:before="240"/>
        <w:rPr>
          <w:i w:val="0"/>
          <w:iCs/>
        </w:rPr>
      </w:pPr>
      <w:r w:rsidRPr="00C72AA5">
        <w:rPr>
          <w:i w:val="0"/>
          <w:iCs/>
        </w:rPr>
        <w:t>Dose reductions of LUMAKRAS due to an adverse reaction occurred in 5% of patients. Adverse reactions which required dose reductions in ≥ 2% of patients included increased ALT (2.9%) and increased AST (2.5%).</w:t>
      </w:r>
    </w:p>
    <w:p w14:paraId="360571F0" w14:textId="1BAE9272" w:rsidR="00EA4700" w:rsidRPr="00EA4700" w:rsidRDefault="00EA4700" w:rsidP="007B14A7">
      <w:pPr>
        <w:pStyle w:val="RPI-GuidanceText"/>
        <w:widowControl w:val="0"/>
        <w:spacing w:after="0"/>
        <w:rPr>
          <w:color w:val="auto"/>
        </w:rPr>
      </w:pPr>
      <w:r w:rsidRPr="00EA4700">
        <w:rPr>
          <w:color w:val="auto"/>
        </w:rPr>
        <w:t xml:space="preserve">Adverse drug reactions reported </w:t>
      </w:r>
      <w:r w:rsidR="003E0D65">
        <w:rPr>
          <w:color w:val="auto"/>
        </w:rPr>
        <w:t xml:space="preserve">by system organ class </w:t>
      </w:r>
      <w:r w:rsidRPr="00EA4700">
        <w:rPr>
          <w:color w:val="auto"/>
        </w:rPr>
        <w:t xml:space="preserve">in </w:t>
      </w:r>
      <w:r w:rsidR="008F33E0" w:rsidRPr="008F33E0">
        <w:rPr>
          <w:color w:val="auto"/>
        </w:rPr>
        <w:t xml:space="preserve">LUMAKRAS </w:t>
      </w:r>
      <w:r w:rsidRPr="00EA4700">
        <w:rPr>
          <w:color w:val="auto"/>
        </w:rPr>
        <w:t xml:space="preserve">clinical studies are displayed in Table 3. </w:t>
      </w:r>
    </w:p>
    <w:p w14:paraId="6272CA03" w14:textId="1BA5C051" w:rsidR="00FE6685" w:rsidRPr="00FE6685" w:rsidRDefault="00FE6685" w:rsidP="005A45C7">
      <w:pPr>
        <w:pStyle w:val="RPI-Caption"/>
        <w:pageBreakBefore/>
        <w:jc w:val="left"/>
      </w:pPr>
      <w:r w:rsidRPr="00FE6685">
        <w:lastRenderedPageBreak/>
        <w:t>Table 3</w:t>
      </w:r>
      <w:r>
        <w:t xml:space="preserve">. </w:t>
      </w:r>
      <w:r w:rsidRPr="00FE6685">
        <w:t>Adverse reactions occurring in</w:t>
      </w:r>
      <w:r>
        <w:t xml:space="preserve"> </w:t>
      </w:r>
      <w:r w:rsidR="008F33E0" w:rsidRPr="008F33E0">
        <w:t xml:space="preserve">LUMAKRAS </w:t>
      </w:r>
      <w:r w:rsidR="00955A4D">
        <w:t xml:space="preserve">clinical </w:t>
      </w:r>
      <w:r>
        <w:t>stud</w:t>
      </w:r>
      <w:r w:rsidR="008F33E0">
        <w:t>ies</w:t>
      </w:r>
      <w:r>
        <w:t xml:space="preserve"> </w:t>
      </w:r>
    </w:p>
    <w:tbl>
      <w:tblPr>
        <w:tblStyle w:val="TableGrid2"/>
        <w:tblW w:w="7655" w:type="dxa"/>
        <w:tblInd w:w="-5" w:type="dxa"/>
        <w:tblLook w:val="04A0" w:firstRow="1" w:lastRow="0" w:firstColumn="1" w:lastColumn="0" w:noHBand="0" w:noVBand="1"/>
      </w:tblPr>
      <w:tblGrid>
        <w:gridCol w:w="4163"/>
        <w:gridCol w:w="1264"/>
        <w:gridCol w:w="1116"/>
        <w:gridCol w:w="1112"/>
      </w:tblGrid>
      <w:tr w:rsidR="00EB5343" w:rsidRPr="00993E1E" w14:paraId="0C917EEA" w14:textId="3BB60A21" w:rsidTr="00AD5613">
        <w:trPr>
          <w:tblHeader/>
        </w:trPr>
        <w:tc>
          <w:tcPr>
            <w:tcW w:w="4163" w:type="dxa"/>
            <w:vAlign w:val="center"/>
          </w:tcPr>
          <w:p w14:paraId="1BDE5FF1" w14:textId="77777777" w:rsidR="00EB5343" w:rsidRDefault="00EB5343" w:rsidP="00EB5343">
            <w:pPr>
              <w:suppressAutoHyphens w:val="0"/>
              <w:spacing w:before="60" w:after="60"/>
              <w:jc w:val="center"/>
              <w:rPr>
                <w:rFonts w:cs="Arial"/>
                <w:b/>
                <w:szCs w:val="24"/>
              </w:rPr>
            </w:pPr>
            <w:r w:rsidRPr="00993E1E">
              <w:rPr>
                <w:rFonts w:cs="Arial"/>
                <w:b/>
                <w:szCs w:val="24"/>
              </w:rPr>
              <w:t>Adverse Reaction</w:t>
            </w:r>
            <w:r w:rsidRPr="003E0D65">
              <w:rPr>
                <w:rFonts w:cs="Arial"/>
                <w:b/>
                <w:szCs w:val="24"/>
              </w:rPr>
              <w:t xml:space="preserve"> </w:t>
            </w:r>
          </w:p>
          <w:p w14:paraId="652447CC" w14:textId="669FE90F" w:rsidR="00EB5343" w:rsidRPr="00993E1E" w:rsidRDefault="00EB5343" w:rsidP="00EB5343">
            <w:pPr>
              <w:suppressAutoHyphens w:val="0"/>
              <w:spacing w:before="60" w:after="60"/>
              <w:jc w:val="center"/>
              <w:rPr>
                <w:rFonts w:cs="Arial"/>
                <w:b/>
                <w:szCs w:val="24"/>
              </w:rPr>
            </w:pPr>
            <w:r w:rsidRPr="003E0D65">
              <w:rPr>
                <w:rFonts w:cs="Arial"/>
                <w:b/>
                <w:szCs w:val="24"/>
              </w:rPr>
              <w:t xml:space="preserve">by </w:t>
            </w:r>
            <w:r w:rsidRPr="00993E1E">
              <w:rPr>
                <w:rFonts w:cs="Arial"/>
                <w:b/>
                <w:szCs w:val="24"/>
              </w:rPr>
              <w:t>System Organ Class</w:t>
            </w:r>
            <w:r w:rsidRPr="003E0D65">
              <w:rPr>
                <w:rFonts w:cs="Arial"/>
                <w:b/>
                <w:szCs w:val="24"/>
              </w:rPr>
              <w:t xml:space="preserve"> </w:t>
            </w:r>
          </w:p>
        </w:tc>
        <w:tc>
          <w:tcPr>
            <w:tcW w:w="1264" w:type="dxa"/>
            <w:vAlign w:val="center"/>
          </w:tcPr>
          <w:p w14:paraId="194F1795" w14:textId="77777777" w:rsidR="00EB5343" w:rsidRDefault="00EB5343" w:rsidP="00EB5343">
            <w:pPr>
              <w:suppressAutoHyphens w:val="0"/>
              <w:spacing w:before="60" w:after="60"/>
              <w:jc w:val="center"/>
              <w:rPr>
                <w:rFonts w:cs="Arial"/>
                <w:b/>
                <w:szCs w:val="24"/>
              </w:rPr>
            </w:pPr>
            <w:r>
              <w:rPr>
                <w:rFonts w:cs="Arial"/>
                <w:b/>
                <w:szCs w:val="24"/>
              </w:rPr>
              <w:t xml:space="preserve">All grades </w:t>
            </w:r>
          </w:p>
          <w:p w14:paraId="3BE3427D" w14:textId="32DE682B" w:rsidR="00EB5343" w:rsidRPr="00993E1E" w:rsidRDefault="00EB5343" w:rsidP="00EB5343">
            <w:pPr>
              <w:suppressAutoHyphens w:val="0"/>
              <w:spacing w:before="60" w:after="60"/>
              <w:jc w:val="center"/>
              <w:rPr>
                <w:rFonts w:cs="Arial"/>
                <w:b/>
                <w:szCs w:val="24"/>
              </w:rPr>
            </w:pPr>
            <w:r>
              <w:rPr>
                <w:rFonts w:cs="Arial"/>
                <w:b/>
                <w:szCs w:val="24"/>
              </w:rPr>
              <w:t>n (%)</w:t>
            </w:r>
          </w:p>
        </w:tc>
        <w:tc>
          <w:tcPr>
            <w:tcW w:w="1116" w:type="dxa"/>
            <w:vAlign w:val="center"/>
          </w:tcPr>
          <w:p w14:paraId="61291E8B" w14:textId="1334F330" w:rsidR="00EB5343" w:rsidRPr="003E0D65" w:rsidRDefault="00EB5343" w:rsidP="00EB5343">
            <w:pPr>
              <w:suppressAutoHyphens w:val="0"/>
              <w:spacing w:before="60" w:after="60"/>
              <w:jc w:val="center"/>
              <w:rPr>
                <w:rFonts w:cs="Arial"/>
                <w:b/>
                <w:szCs w:val="24"/>
              </w:rPr>
            </w:pPr>
            <w:r w:rsidRPr="003E0D65">
              <w:rPr>
                <w:rFonts w:cs="Arial"/>
                <w:b/>
                <w:szCs w:val="24"/>
              </w:rPr>
              <w:t xml:space="preserve">Grade 3  </w:t>
            </w:r>
          </w:p>
          <w:p w14:paraId="2EBC6593" w14:textId="0F5C68B3" w:rsidR="00EB5343" w:rsidRPr="00993E1E" w:rsidRDefault="00EB5343" w:rsidP="00EB5343">
            <w:pPr>
              <w:suppressAutoHyphens w:val="0"/>
              <w:spacing w:before="60" w:after="60"/>
              <w:jc w:val="center"/>
              <w:rPr>
                <w:rFonts w:cs="Arial"/>
                <w:b/>
                <w:szCs w:val="24"/>
              </w:rPr>
            </w:pPr>
            <w:r w:rsidRPr="003E0D65">
              <w:rPr>
                <w:rFonts w:cs="Arial"/>
                <w:b/>
                <w:szCs w:val="24"/>
              </w:rPr>
              <w:t>n (</w:t>
            </w:r>
            <w:r>
              <w:rPr>
                <w:rFonts w:cs="Arial"/>
                <w:b/>
                <w:szCs w:val="24"/>
              </w:rPr>
              <w:t>%</w:t>
            </w:r>
            <w:r w:rsidRPr="003E0D65">
              <w:rPr>
                <w:rFonts w:cs="Arial"/>
                <w:b/>
                <w:szCs w:val="24"/>
              </w:rPr>
              <w:t>)</w:t>
            </w:r>
          </w:p>
        </w:tc>
        <w:tc>
          <w:tcPr>
            <w:tcW w:w="1112" w:type="dxa"/>
            <w:vAlign w:val="center"/>
          </w:tcPr>
          <w:p w14:paraId="298CA2DF" w14:textId="3A3744B2" w:rsidR="00EB5343" w:rsidRPr="003E0D65" w:rsidRDefault="00EB5343" w:rsidP="00EB5343">
            <w:pPr>
              <w:suppressAutoHyphens w:val="0"/>
              <w:spacing w:before="60" w:after="60"/>
              <w:jc w:val="center"/>
              <w:rPr>
                <w:rFonts w:cs="Arial"/>
                <w:b/>
                <w:szCs w:val="24"/>
              </w:rPr>
            </w:pPr>
            <w:r w:rsidRPr="003E0D65">
              <w:rPr>
                <w:rFonts w:cs="Arial"/>
                <w:b/>
                <w:szCs w:val="24"/>
              </w:rPr>
              <w:t xml:space="preserve">Grade 4 </w:t>
            </w:r>
          </w:p>
          <w:p w14:paraId="51AF64FD" w14:textId="135110EB" w:rsidR="00EB5343" w:rsidRPr="003E0D65" w:rsidRDefault="00EB5343" w:rsidP="00EB5343">
            <w:pPr>
              <w:suppressAutoHyphens w:val="0"/>
              <w:spacing w:before="60" w:after="60"/>
              <w:jc w:val="center"/>
              <w:rPr>
                <w:rFonts w:cs="Arial"/>
                <w:b/>
                <w:szCs w:val="24"/>
              </w:rPr>
            </w:pPr>
            <w:r w:rsidRPr="003E0D65">
              <w:rPr>
                <w:rFonts w:cs="Arial"/>
                <w:b/>
                <w:szCs w:val="24"/>
              </w:rPr>
              <w:t>n (</w:t>
            </w:r>
            <w:r>
              <w:rPr>
                <w:rFonts w:cs="Arial"/>
                <w:b/>
                <w:szCs w:val="24"/>
              </w:rPr>
              <w:t>%</w:t>
            </w:r>
            <w:r w:rsidRPr="003E0D65">
              <w:rPr>
                <w:rFonts w:cs="Arial"/>
                <w:b/>
                <w:szCs w:val="24"/>
              </w:rPr>
              <w:t>)</w:t>
            </w:r>
          </w:p>
        </w:tc>
      </w:tr>
      <w:tr w:rsidR="00A26D60" w:rsidRPr="00993E1E" w14:paraId="57A5BA7C" w14:textId="50C215F3" w:rsidTr="003313E4">
        <w:trPr>
          <w:trHeight w:val="20"/>
        </w:trPr>
        <w:tc>
          <w:tcPr>
            <w:tcW w:w="7655" w:type="dxa"/>
            <w:gridSpan w:val="4"/>
          </w:tcPr>
          <w:p w14:paraId="40D0F587" w14:textId="69798186" w:rsidR="00A26D60" w:rsidRPr="00993E1E" w:rsidRDefault="00A26D60" w:rsidP="00EB5343">
            <w:pPr>
              <w:suppressAutoHyphens w:val="0"/>
              <w:spacing w:before="60" w:after="60"/>
              <w:rPr>
                <w:rFonts w:cs="Arial"/>
                <w:b/>
                <w:szCs w:val="24"/>
              </w:rPr>
            </w:pPr>
            <w:r w:rsidRPr="00993E1E">
              <w:rPr>
                <w:rFonts w:cs="Arial"/>
                <w:b/>
                <w:szCs w:val="24"/>
              </w:rPr>
              <w:t>Gastrointestinal disorders</w:t>
            </w:r>
          </w:p>
        </w:tc>
      </w:tr>
      <w:tr w:rsidR="00EB5343" w:rsidRPr="00993E1E" w14:paraId="149A729F" w14:textId="2B680540" w:rsidTr="00AD5613">
        <w:trPr>
          <w:trHeight w:val="20"/>
        </w:trPr>
        <w:tc>
          <w:tcPr>
            <w:tcW w:w="4163" w:type="dxa"/>
          </w:tcPr>
          <w:p w14:paraId="5C636DC3" w14:textId="5314F5D9" w:rsidR="00EB5343" w:rsidRPr="00993E1E" w:rsidRDefault="00EB5343" w:rsidP="00EB5343">
            <w:pPr>
              <w:suppressAutoHyphens w:val="0"/>
              <w:spacing w:before="60" w:after="60"/>
              <w:ind w:left="284"/>
              <w:rPr>
                <w:rFonts w:cs="Arial"/>
                <w:szCs w:val="24"/>
              </w:rPr>
            </w:pPr>
            <w:r w:rsidRPr="00993E1E">
              <w:rPr>
                <w:rFonts w:cs="Arial"/>
                <w:szCs w:val="24"/>
              </w:rPr>
              <w:t>Diarrh</w:t>
            </w:r>
            <w:r>
              <w:rPr>
                <w:rFonts w:cs="Arial"/>
                <w:szCs w:val="24"/>
              </w:rPr>
              <w:t>o</w:t>
            </w:r>
            <w:r w:rsidRPr="00993E1E">
              <w:rPr>
                <w:rFonts w:cs="Arial"/>
                <w:szCs w:val="24"/>
              </w:rPr>
              <w:t>ea</w:t>
            </w:r>
          </w:p>
        </w:tc>
        <w:tc>
          <w:tcPr>
            <w:tcW w:w="1264" w:type="dxa"/>
            <w:tcBorders>
              <w:bottom w:val="single" w:sz="4" w:space="0" w:color="auto"/>
            </w:tcBorders>
            <w:shd w:val="clear" w:color="auto" w:fill="auto"/>
          </w:tcPr>
          <w:p w14:paraId="6D76B27F" w14:textId="7956190C" w:rsidR="00EB5343" w:rsidRPr="00993E1E" w:rsidRDefault="007E54F8" w:rsidP="00EB5343">
            <w:pPr>
              <w:suppressAutoHyphens w:val="0"/>
              <w:spacing w:before="60" w:after="60"/>
              <w:jc w:val="center"/>
              <w:rPr>
                <w:rFonts w:cs="Arial"/>
                <w:bCs/>
                <w:szCs w:val="24"/>
              </w:rPr>
            </w:pPr>
            <w:r>
              <w:rPr>
                <w:bCs/>
                <w:iCs/>
              </w:rPr>
              <w:t>9</w:t>
            </w:r>
            <w:r w:rsidR="00EB5343" w:rsidRPr="00E81B32">
              <w:rPr>
                <w:bCs/>
                <w:iCs/>
              </w:rPr>
              <w:t>2 (43.</w:t>
            </w:r>
            <w:r>
              <w:rPr>
                <w:bCs/>
                <w:iCs/>
              </w:rPr>
              <w:t>0</w:t>
            </w:r>
            <w:r w:rsidR="00EB5343" w:rsidRPr="00E81B32">
              <w:rPr>
                <w:bCs/>
                <w:iCs/>
              </w:rPr>
              <w:t>)</w:t>
            </w:r>
          </w:p>
        </w:tc>
        <w:tc>
          <w:tcPr>
            <w:tcW w:w="1116" w:type="dxa"/>
            <w:tcBorders>
              <w:bottom w:val="single" w:sz="4" w:space="0" w:color="auto"/>
            </w:tcBorders>
            <w:shd w:val="clear" w:color="auto" w:fill="auto"/>
          </w:tcPr>
          <w:p w14:paraId="7DAA981C" w14:textId="1EDBD76C" w:rsidR="00EB5343" w:rsidRPr="00993E1E" w:rsidRDefault="00EB5343" w:rsidP="00EB5343">
            <w:pPr>
              <w:suppressAutoHyphens w:val="0"/>
              <w:spacing w:before="60" w:after="60"/>
              <w:jc w:val="center"/>
              <w:rPr>
                <w:rFonts w:cs="Arial"/>
                <w:bCs/>
                <w:szCs w:val="24"/>
              </w:rPr>
            </w:pPr>
            <w:r w:rsidRPr="00763323">
              <w:rPr>
                <w:bCs/>
                <w:iCs/>
              </w:rPr>
              <w:t>1</w:t>
            </w:r>
            <w:r w:rsidR="007E54F8">
              <w:rPr>
                <w:bCs/>
                <w:iCs/>
              </w:rPr>
              <w:t>1</w:t>
            </w:r>
            <w:r w:rsidRPr="00763323">
              <w:rPr>
                <w:bCs/>
                <w:iCs/>
              </w:rPr>
              <w:t xml:space="preserve"> (5.</w:t>
            </w:r>
            <w:r w:rsidR="007E54F8">
              <w:rPr>
                <w:bCs/>
                <w:iCs/>
              </w:rPr>
              <w:t>1</w:t>
            </w:r>
            <w:r w:rsidRPr="00763323">
              <w:rPr>
                <w:bCs/>
                <w:iCs/>
              </w:rPr>
              <w:t>)</w:t>
            </w:r>
          </w:p>
        </w:tc>
        <w:tc>
          <w:tcPr>
            <w:tcW w:w="1112" w:type="dxa"/>
            <w:tcBorders>
              <w:bottom w:val="single" w:sz="4" w:space="0" w:color="auto"/>
            </w:tcBorders>
          </w:tcPr>
          <w:p w14:paraId="509E2D7C" w14:textId="4D505E81" w:rsidR="00EB5343" w:rsidRPr="00763323" w:rsidRDefault="00EB5343" w:rsidP="00EB5343">
            <w:pPr>
              <w:suppressAutoHyphens w:val="0"/>
              <w:spacing w:before="60" w:after="60"/>
              <w:jc w:val="center"/>
              <w:rPr>
                <w:bCs/>
                <w:iCs/>
              </w:rPr>
            </w:pPr>
            <w:r>
              <w:rPr>
                <w:bCs/>
                <w:iCs/>
              </w:rPr>
              <w:t>Nil</w:t>
            </w:r>
          </w:p>
        </w:tc>
      </w:tr>
      <w:tr w:rsidR="00EB5343" w:rsidRPr="00993E1E" w14:paraId="264086F6" w14:textId="5F43C197" w:rsidTr="00AD5613">
        <w:trPr>
          <w:trHeight w:val="20"/>
        </w:trPr>
        <w:tc>
          <w:tcPr>
            <w:tcW w:w="4163" w:type="dxa"/>
          </w:tcPr>
          <w:p w14:paraId="237F5218" w14:textId="77777777" w:rsidR="00EB5343" w:rsidRPr="00993E1E" w:rsidRDefault="00EB5343" w:rsidP="00EB5343">
            <w:pPr>
              <w:suppressAutoHyphens w:val="0"/>
              <w:spacing w:before="60" w:after="60"/>
              <w:ind w:left="284"/>
              <w:rPr>
                <w:rFonts w:cs="Arial"/>
                <w:szCs w:val="24"/>
              </w:rPr>
            </w:pPr>
            <w:r w:rsidRPr="00993E1E">
              <w:rPr>
                <w:rFonts w:cs="Arial"/>
                <w:szCs w:val="24"/>
              </w:rPr>
              <w:t>Nausea</w:t>
            </w:r>
          </w:p>
        </w:tc>
        <w:tc>
          <w:tcPr>
            <w:tcW w:w="1264" w:type="dxa"/>
            <w:tcBorders>
              <w:bottom w:val="single" w:sz="4" w:space="0" w:color="auto"/>
            </w:tcBorders>
            <w:shd w:val="clear" w:color="auto" w:fill="auto"/>
          </w:tcPr>
          <w:p w14:paraId="667D2FAB" w14:textId="326E9F6D" w:rsidR="00EB5343" w:rsidRPr="00993E1E" w:rsidRDefault="00EB5343" w:rsidP="00EB5343">
            <w:pPr>
              <w:suppressAutoHyphens w:val="0"/>
              <w:spacing w:before="60" w:after="60"/>
              <w:jc w:val="center"/>
              <w:rPr>
                <w:rFonts w:cs="Arial"/>
                <w:bCs/>
                <w:szCs w:val="24"/>
              </w:rPr>
            </w:pPr>
            <w:r w:rsidRPr="00E81B32">
              <w:rPr>
                <w:bCs/>
                <w:iCs/>
              </w:rPr>
              <w:t>5</w:t>
            </w:r>
            <w:r w:rsidR="007E54F8">
              <w:rPr>
                <w:bCs/>
                <w:iCs/>
              </w:rPr>
              <w:t>7</w:t>
            </w:r>
            <w:r w:rsidRPr="00E81B32">
              <w:rPr>
                <w:bCs/>
                <w:iCs/>
              </w:rPr>
              <w:t xml:space="preserve"> (2</w:t>
            </w:r>
            <w:r w:rsidR="007E54F8">
              <w:rPr>
                <w:bCs/>
                <w:iCs/>
              </w:rPr>
              <w:t>6.6</w:t>
            </w:r>
            <w:r w:rsidRPr="00E81B32">
              <w:rPr>
                <w:bCs/>
                <w:iCs/>
              </w:rPr>
              <w:t>)</w:t>
            </w:r>
          </w:p>
        </w:tc>
        <w:tc>
          <w:tcPr>
            <w:tcW w:w="1116" w:type="dxa"/>
            <w:tcBorders>
              <w:bottom w:val="single" w:sz="4" w:space="0" w:color="auto"/>
            </w:tcBorders>
            <w:shd w:val="clear" w:color="auto" w:fill="auto"/>
          </w:tcPr>
          <w:p w14:paraId="6B9AA1DD" w14:textId="58E6D690" w:rsidR="00EB5343" w:rsidRPr="00993E1E" w:rsidRDefault="00EB5343" w:rsidP="00EB5343">
            <w:pPr>
              <w:suppressAutoHyphens w:val="0"/>
              <w:spacing w:before="60" w:after="60"/>
              <w:jc w:val="center"/>
              <w:rPr>
                <w:rFonts w:cs="Arial"/>
                <w:bCs/>
                <w:szCs w:val="24"/>
              </w:rPr>
            </w:pPr>
            <w:r w:rsidRPr="00763323">
              <w:rPr>
                <w:bCs/>
                <w:iCs/>
              </w:rPr>
              <w:t>2 (</w:t>
            </w:r>
            <w:r w:rsidR="007E54F8">
              <w:rPr>
                <w:bCs/>
                <w:iCs/>
              </w:rPr>
              <w:t>0.9</w:t>
            </w:r>
            <w:r w:rsidRPr="00763323">
              <w:rPr>
                <w:bCs/>
                <w:iCs/>
              </w:rPr>
              <w:t>)</w:t>
            </w:r>
          </w:p>
        </w:tc>
        <w:tc>
          <w:tcPr>
            <w:tcW w:w="1112" w:type="dxa"/>
            <w:tcBorders>
              <w:bottom w:val="single" w:sz="4" w:space="0" w:color="auto"/>
            </w:tcBorders>
          </w:tcPr>
          <w:p w14:paraId="4566AC00" w14:textId="75F37E0E" w:rsidR="00EB5343" w:rsidRPr="00763323" w:rsidRDefault="00EB5343" w:rsidP="00EB5343">
            <w:pPr>
              <w:suppressAutoHyphens w:val="0"/>
              <w:spacing w:before="60" w:after="60"/>
              <w:jc w:val="center"/>
              <w:rPr>
                <w:bCs/>
                <w:iCs/>
              </w:rPr>
            </w:pPr>
            <w:r>
              <w:rPr>
                <w:bCs/>
                <w:iCs/>
              </w:rPr>
              <w:t>Nil</w:t>
            </w:r>
          </w:p>
        </w:tc>
      </w:tr>
      <w:tr w:rsidR="00EB5343" w:rsidRPr="00993E1E" w14:paraId="2E81CEAE" w14:textId="0EE1564B" w:rsidTr="00AD5613">
        <w:trPr>
          <w:trHeight w:val="20"/>
        </w:trPr>
        <w:tc>
          <w:tcPr>
            <w:tcW w:w="4163" w:type="dxa"/>
          </w:tcPr>
          <w:p w14:paraId="7D4274D8" w14:textId="77777777" w:rsidR="00EB5343" w:rsidRPr="00993E1E" w:rsidRDefault="00EB5343" w:rsidP="00EB5343">
            <w:pPr>
              <w:suppressAutoHyphens w:val="0"/>
              <w:spacing w:before="60" w:after="60"/>
              <w:ind w:left="284"/>
              <w:rPr>
                <w:rFonts w:cs="Arial"/>
                <w:szCs w:val="24"/>
              </w:rPr>
            </w:pPr>
            <w:r w:rsidRPr="00993E1E">
              <w:rPr>
                <w:rFonts w:cs="Arial"/>
                <w:szCs w:val="24"/>
              </w:rPr>
              <w:t>Vomiting</w:t>
            </w:r>
          </w:p>
        </w:tc>
        <w:tc>
          <w:tcPr>
            <w:tcW w:w="1264" w:type="dxa"/>
            <w:tcBorders>
              <w:bottom w:val="single" w:sz="4" w:space="0" w:color="auto"/>
            </w:tcBorders>
            <w:shd w:val="clear" w:color="auto" w:fill="auto"/>
          </w:tcPr>
          <w:p w14:paraId="79897F5F" w14:textId="7763B77B" w:rsidR="00EB5343" w:rsidRPr="00993E1E" w:rsidRDefault="00EB5343" w:rsidP="00EB5343">
            <w:pPr>
              <w:suppressAutoHyphens w:val="0"/>
              <w:spacing w:before="60" w:after="60"/>
              <w:jc w:val="center"/>
              <w:rPr>
                <w:rFonts w:cs="Arial"/>
                <w:bCs/>
                <w:szCs w:val="24"/>
              </w:rPr>
            </w:pPr>
            <w:r w:rsidRPr="00E81B32">
              <w:rPr>
                <w:bCs/>
                <w:iCs/>
              </w:rPr>
              <w:t>3</w:t>
            </w:r>
            <w:r w:rsidR="007E54F8">
              <w:rPr>
                <w:bCs/>
                <w:iCs/>
              </w:rPr>
              <w:t>7</w:t>
            </w:r>
            <w:r w:rsidRPr="00E81B32">
              <w:rPr>
                <w:bCs/>
                <w:iCs/>
              </w:rPr>
              <w:t xml:space="preserve"> (1</w:t>
            </w:r>
            <w:r w:rsidR="007E54F8">
              <w:rPr>
                <w:bCs/>
                <w:iCs/>
              </w:rPr>
              <w:t>7.3</w:t>
            </w:r>
            <w:r w:rsidRPr="00E81B32">
              <w:rPr>
                <w:bCs/>
                <w:iCs/>
              </w:rPr>
              <w:t>)</w:t>
            </w:r>
          </w:p>
        </w:tc>
        <w:tc>
          <w:tcPr>
            <w:tcW w:w="1116" w:type="dxa"/>
            <w:tcBorders>
              <w:bottom w:val="single" w:sz="4" w:space="0" w:color="auto"/>
            </w:tcBorders>
            <w:shd w:val="clear" w:color="auto" w:fill="auto"/>
          </w:tcPr>
          <w:p w14:paraId="2AE857EC" w14:textId="4782EC5C" w:rsidR="00EB5343" w:rsidRPr="00993E1E" w:rsidRDefault="00EB5343" w:rsidP="00EB5343">
            <w:pPr>
              <w:suppressAutoHyphens w:val="0"/>
              <w:spacing w:before="60" w:after="60"/>
              <w:jc w:val="center"/>
              <w:rPr>
                <w:rFonts w:cs="Arial"/>
                <w:bCs/>
                <w:szCs w:val="24"/>
              </w:rPr>
            </w:pPr>
            <w:r w:rsidRPr="00763323">
              <w:rPr>
                <w:bCs/>
                <w:iCs/>
              </w:rPr>
              <w:t>3 (1.</w:t>
            </w:r>
            <w:r w:rsidR="007E54F8">
              <w:rPr>
                <w:bCs/>
                <w:iCs/>
              </w:rPr>
              <w:t>4</w:t>
            </w:r>
            <w:r w:rsidRPr="00763323">
              <w:rPr>
                <w:bCs/>
                <w:iCs/>
              </w:rPr>
              <w:t>)</w:t>
            </w:r>
          </w:p>
        </w:tc>
        <w:tc>
          <w:tcPr>
            <w:tcW w:w="1112" w:type="dxa"/>
            <w:tcBorders>
              <w:bottom w:val="single" w:sz="4" w:space="0" w:color="auto"/>
            </w:tcBorders>
          </w:tcPr>
          <w:p w14:paraId="75B82A00" w14:textId="60DF9309" w:rsidR="00EB5343" w:rsidRPr="00763323" w:rsidRDefault="00EB5343" w:rsidP="00EB5343">
            <w:pPr>
              <w:suppressAutoHyphens w:val="0"/>
              <w:spacing w:before="60" w:after="60"/>
              <w:jc w:val="center"/>
              <w:rPr>
                <w:bCs/>
                <w:iCs/>
              </w:rPr>
            </w:pPr>
            <w:r>
              <w:rPr>
                <w:bCs/>
                <w:iCs/>
              </w:rPr>
              <w:t>Nil</w:t>
            </w:r>
          </w:p>
        </w:tc>
      </w:tr>
      <w:tr w:rsidR="00EB5343" w:rsidRPr="00993E1E" w14:paraId="0054440A" w14:textId="35302907" w:rsidTr="00AD5613">
        <w:trPr>
          <w:trHeight w:val="20"/>
        </w:trPr>
        <w:tc>
          <w:tcPr>
            <w:tcW w:w="4163" w:type="dxa"/>
          </w:tcPr>
          <w:p w14:paraId="4698E6FA" w14:textId="1F6E0830" w:rsidR="00EB5343" w:rsidRPr="00993E1E" w:rsidRDefault="00EB5343" w:rsidP="00EB5343">
            <w:pPr>
              <w:suppressAutoHyphens w:val="0"/>
              <w:spacing w:before="60" w:after="60"/>
              <w:ind w:left="284"/>
              <w:rPr>
                <w:rFonts w:cs="Arial"/>
                <w:szCs w:val="24"/>
              </w:rPr>
            </w:pPr>
            <w:r w:rsidRPr="00993E1E">
              <w:rPr>
                <w:rFonts w:cs="Arial"/>
                <w:szCs w:val="24"/>
              </w:rPr>
              <w:t>Abdominal pain</w:t>
            </w:r>
            <w:r w:rsidRPr="00AA07CB">
              <w:rPr>
                <w:rFonts w:cs="Arial"/>
                <w:szCs w:val="24"/>
                <w:vertAlign w:val="superscript"/>
              </w:rPr>
              <w:t>a</w:t>
            </w:r>
          </w:p>
        </w:tc>
        <w:tc>
          <w:tcPr>
            <w:tcW w:w="1264" w:type="dxa"/>
            <w:tcBorders>
              <w:bottom w:val="single" w:sz="4" w:space="0" w:color="auto"/>
            </w:tcBorders>
            <w:shd w:val="clear" w:color="auto" w:fill="auto"/>
          </w:tcPr>
          <w:p w14:paraId="72E1E5ED" w14:textId="48BB6D7F" w:rsidR="00EB5343" w:rsidRPr="00993E1E" w:rsidRDefault="007E54F8" w:rsidP="00EB5343">
            <w:pPr>
              <w:suppressAutoHyphens w:val="0"/>
              <w:spacing w:before="60" w:after="60"/>
              <w:jc w:val="center"/>
              <w:rPr>
                <w:rFonts w:cs="Arial"/>
                <w:bCs/>
                <w:szCs w:val="24"/>
              </w:rPr>
            </w:pPr>
            <w:r>
              <w:rPr>
                <w:bCs/>
                <w:iCs/>
              </w:rPr>
              <w:t>34</w:t>
            </w:r>
            <w:r w:rsidR="00EB5343">
              <w:rPr>
                <w:bCs/>
                <w:iCs/>
              </w:rPr>
              <w:t xml:space="preserve"> (1</w:t>
            </w:r>
            <w:r>
              <w:rPr>
                <w:bCs/>
                <w:iCs/>
              </w:rPr>
              <w:t>5.9</w:t>
            </w:r>
            <w:r w:rsidR="00EB5343">
              <w:rPr>
                <w:bCs/>
                <w:iCs/>
              </w:rPr>
              <w:t>)</w:t>
            </w:r>
          </w:p>
        </w:tc>
        <w:tc>
          <w:tcPr>
            <w:tcW w:w="1116" w:type="dxa"/>
            <w:tcBorders>
              <w:bottom w:val="single" w:sz="4" w:space="0" w:color="auto"/>
            </w:tcBorders>
            <w:shd w:val="clear" w:color="auto" w:fill="auto"/>
          </w:tcPr>
          <w:p w14:paraId="5F3E9E85" w14:textId="7EEB5932" w:rsidR="00EB5343" w:rsidRPr="00993E1E" w:rsidRDefault="007E54F8" w:rsidP="00EB5343">
            <w:pPr>
              <w:suppressAutoHyphens w:val="0"/>
              <w:spacing w:before="60" w:after="60"/>
              <w:jc w:val="center"/>
              <w:rPr>
                <w:rFonts w:cs="Arial"/>
                <w:bCs/>
                <w:szCs w:val="24"/>
              </w:rPr>
            </w:pPr>
            <w:r>
              <w:rPr>
                <w:bCs/>
                <w:iCs/>
              </w:rPr>
              <w:t>3</w:t>
            </w:r>
            <w:r w:rsidR="00EB5343" w:rsidRPr="00763323">
              <w:rPr>
                <w:bCs/>
                <w:iCs/>
              </w:rPr>
              <w:t xml:space="preserve"> (1.</w:t>
            </w:r>
            <w:r>
              <w:rPr>
                <w:bCs/>
                <w:iCs/>
              </w:rPr>
              <w:t>4</w:t>
            </w:r>
            <w:r w:rsidR="00EB5343" w:rsidRPr="00763323">
              <w:rPr>
                <w:bCs/>
                <w:iCs/>
              </w:rPr>
              <w:t>)</w:t>
            </w:r>
          </w:p>
        </w:tc>
        <w:tc>
          <w:tcPr>
            <w:tcW w:w="1112" w:type="dxa"/>
            <w:tcBorders>
              <w:bottom w:val="single" w:sz="4" w:space="0" w:color="auto"/>
            </w:tcBorders>
          </w:tcPr>
          <w:p w14:paraId="13A2C218" w14:textId="0A33CD40" w:rsidR="00EB5343" w:rsidRPr="00763323" w:rsidRDefault="00EB5343" w:rsidP="00EB5343">
            <w:pPr>
              <w:suppressAutoHyphens w:val="0"/>
              <w:spacing w:before="60" w:after="60"/>
              <w:jc w:val="center"/>
              <w:rPr>
                <w:bCs/>
                <w:iCs/>
              </w:rPr>
            </w:pPr>
            <w:r>
              <w:rPr>
                <w:bCs/>
                <w:iCs/>
              </w:rPr>
              <w:t>Nil</w:t>
            </w:r>
          </w:p>
        </w:tc>
      </w:tr>
      <w:tr w:rsidR="00A26D60" w:rsidRPr="00993E1E" w14:paraId="346D4F68" w14:textId="65FCD04F" w:rsidTr="003313E4">
        <w:trPr>
          <w:trHeight w:val="20"/>
        </w:trPr>
        <w:tc>
          <w:tcPr>
            <w:tcW w:w="7655" w:type="dxa"/>
            <w:gridSpan w:val="4"/>
          </w:tcPr>
          <w:p w14:paraId="2ED04C61" w14:textId="6E3153EA" w:rsidR="00A26D60" w:rsidRPr="00993E1E" w:rsidRDefault="00A26D60" w:rsidP="00EB5343">
            <w:pPr>
              <w:suppressAutoHyphens w:val="0"/>
              <w:spacing w:before="60" w:after="60"/>
              <w:rPr>
                <w:rFonts w:cs="Arial"/>
                <w:b/>
                <w:szCs w:val="24"/>
              </w:rPr>
            </w:pPr>
            <w:r w:rsidRPr="00993E1E">
              <w:rPr>
                <w:rFonts w:cs="Arial"/>
                <w:b/>
                <w:szCs w:val="24"/>
              </w:rPr>
              <w:t>General disorders and administration site conditions</w:t>
            </w:r>
          </w:p>
        </w:tc>
      </w:tr>
      <w:tr w:rsidR="00EB5343" w:rsidRPr="00993E1E" w14:paraId="4DD3CBB9" w14:textId="080EEB60" w:rsidTr="00AD5613">
        <w:trPr>
          <w:trHeight w:val="20"/>
        </w:trPr>
        <w:tc>
          <w:tcPr>
            <w:tcW w:w="4163" w:type="dxa"/>
          </w:tcPr>
          <w:p w14:paraId="3E291A5B" w14:textId="77777777" w:rsidR="00EB5343" w:rsidRPr="00993E1E" w:rsidRDefault="00EB5343" w:rsidP="00EB5343">
            <w:pPr>
              <w:suppressAutoHyphens w:val="0"/>
              <w:spacing w:before="60" w:after="60"/>
              <w:ind w:left="284"/>
              <w:rPr>
                <w:rFonts w:cs="Arial"/>
                <w:szCs w:val="24"/>
              </w:rPr>
            </w:pPr>
            <w:r w:rsidRPr="00993E1E">
              <w:rPr>
                <w:rFonts w:cs="Arial"/>
                <w:szCs w:val="24"/>
              </w:rPr>
              <w:t>Fatigue</w:t>
            </w:r>
          </w:p>
        </w:tc>
        <w:tc>
          <w:tcPr>
            <w:tcW w:w="1264" w:type="dxa"/>
            <w:tcBorders>
              <w:bottom w:val="single" w:sz="4" w:space="0" w:color="auto"/>
            </w:tcBorders>
            <w:shd w:val="clear" w:color="auto" w:fill="auto"/>
          </w:tcPr>
          <w:p w14:paraId="49E4EBFA" w14:textId="1762945D" w:rsidR="00EB5343" w:rsidRPr="00993E1E" w:rsidRDefault="00F66321" w:rsidP="00EB5343">
            <w:pPr>
              <w:suppressAutoHyphens w:val="0"/>
              <w:spacing w:before="60" w:after="60"/>
              <w:jc w:val="center"/>
              <w:rPr>
                <w:rFonts w:cs="Arial"/>
                <w:bCs/>
                <w:szCs w:val="24"/>
              </w:rPr>
            </w:pPr>
            <w:r>
              <w:rPr>
                <w:bCs/>
                <w:iCs/>
              </w:rPr>
              <w:t>52</w:t>
            </w:r>
            <w:r w:rsidR="00EB5343" w:rsidRPr="00E81B32">
              <w:rPr>
                <w:bCs/>
                <w:iCs/>
              </w:rPr>
              <w:t xml:space="preserve"> (2</w:t>
            </w:r>
            <w:r>
              <w:rPr>
                <w:bCs/>
                <w:iCs/>
              </w:rPr>
              <w:t>4.3</w:t>
            </w:r>
            <w:r w:rsidR="00EB5343" w:rsidRPr="00E81B32">
              <w:rPr>
                <w:bCs/>
                <w:iCs/>
              </w:rPr>
              <w:t>)</w:t>
            </w:r>
          </w:p>
        </w:tc>
        <w:tc>
          <w:tcPr>
            <w:tcW w:w="1116" w:type="dxa"/>
            <w:tcBorders>
              <w:bottom w:val="single" w:sz="4" w:space="0" w:color="auto"/>
            </w:tcBorders>
            <w:shd w:val="clear" w:color="auto" w:fill="auto"/>
          </w:tcPr>
          <w:p w14:paraId="6E3DA445" w14:textId="788BFC67" w:rsidR="00EB5343" w:rsidRPr="00993E1E" w:rsidRDefault="00F66321" w:rsidP="00EB5343">
            <w:pPr>
              <w:suppressAutoHyphens w:val="0"/>
              <w:spacing w:before="60" w:after="60"/>
              <w:jc w:val="center"/>
              <w:rPr>
                <w:rFonts w:cs="Arial"/>
                <w:bCs/>
                <w:szCs w:val="24"/>
              </w:rPr>
            </w:pPr>
            <w:r>
              <w:rPr>
                <w:bCs/>
                <w:iCs/>
              </w:rPr>
              <w:t>4</w:t>
            </w:r>
            <w:r w:rsidR="00EB5343" w:rsidRPr="00763323">
              <w:rPr>
                <w:bCs/>
                <w:iCs/>
              </w:rPr>
              <w:t xml:space="preserve"> (1.</w:t>
            </w:r>
            <w:r>
              <w:rPr>
                <w:bCs/>
                <w:iCs/>
              </w:rPr>
              <w:t>9</w:t>
            </w:r>
            <w:r w:rsidR="00EB5343" w:rsidRPr="00763323">
              <w:rPr>
                <w:bCs/>
                <w:iCs/>
              </w:rPr>
              <w:t>)</w:t>
            </w:r>
          </w:p>
        </w:tc>
        <w:tc>
          <w:tcPr>
            <w:tcW w:w="1112" w:type="dxa"/>
            <w:tcBorders>
              <w:bottom w:val="single" w:sz="4" w:space="0" w:color="auto"/>
            </w:tcBorders>
          </w:tcPr>
          <w:p w14:paraId="3F6875F3" w14:textId="0666A0D4" w:rsidR="00EB5343" w:rsidRPr="00763323" w:rsidRDefault="00EB5343" w:rsidP="00EB5343">
            <w:pPr>
              <w:suppressAutoHyphens w:val="0"/>
              <w:spacing w:before="60" w:after="60"/>
              <w:jc w:val="center"/>
              <w:rPr>
                <w:bCs/>
                <w:iCs/>
              </w:rPr>
            </w:pPr>
            <w:r>
              <w:rPr>
                <w:bCs/>
                <w:iCs/>
              </w:rPr>
              <w:t>Nil</w:t>
            </w:r>
          </w:p>
        </w:tc>
      </w:tr>
      <w:tr w:rsidR="00A26D60" w:rsidRPr="00A26D60" w14:paraId="712A00D9" w14:textId="77777777" w:rsidTr="003313E4">
        <w:trPr>
          <w:trHeight w:val="20"/>
        </w:trPr>
        <w:tc>
          <w:tcPr>
            <w:tcW w:w="7655" w:type="dxa"/>
            <w:gridSpan w:val="4"/>
          </w:tcPr>
          <w:p w14:paraId="02B19190" w14:textId="48D03FB7" w:rsidR="00A26D60" w:rsidRPr="00AD5613" w:rsidRDefault="00A26D60" w:rsidP="00AD5613">
            <w:pPr>
              <w:suppressAutoHyphens w:val="0"/>
              <w:spacing w:before="60" w:after="60"/>
              <w:rPr>
                <w:rFonts w:cs="Arial"/>
                <w:b/>
                <w:szCs w:val="24"/>
              </w:rPr>
            </w:pPr>
            <w:r w:rsidRPr="00AD5613">
              <w:rPr>
                <w:rFonts w:cs="Arial"/>
                <w:b/>
                <w:szCs w:val="24"/>
              </w:rPr>
              <w:t>Respiratory, thoracic, and mediastinal disorders</w:t>
            </w:r>
          </w:p>
        </w:tc>
      </w:tr>
      <w:tr w:rsidR="00A26D60" w:rsidRPr="00993E1E" w14:paraId="7B3D8365" w14:textId="77777777" w:rsidTr="003313E4">
        <w:trPr>
          <w:trHeight w:val="20"/>
        </w:trPr>
        <w:tc>
          <w:tcPr>
            <w:tcW w:w="4163" w:type="dxa"/>
          </w:tcPr>
          <w:p w14:paraId="075E9818" w14:textId="64870D34" w:rsidR="00A26D60" w:rsidRPr="00993E1E" w:rsidRDefault="00A26D60" w:rsidP="00EC3F79">
            <w:pPr>
              <w:suppressAutoHyphens w:val="0"/>
              <w:spacing w:before="60" w:after="60"/>
              <w:ind w:left="284"/>
              <w:rPr>
                <w:rFonts w:cs="Arial"/>
                <w:szCs w:val="24"/>
              </w:rPr>
            </w:pPr>
            <w:r w:rsidRPr="00A26D60">
              <w:rPr>
                <w:rFonts w:cs="Arial"/>
                <w:szCs w:val="24"/>
              </w:rPr>
              <w:t>Interstitial Lung Disease/Pneumonitis</w:t>
            </w:r>
          </w:p>
        </w:tc>
        <w:tc>
          <w:tcPr>
            <w:tcW w:w="1264" w:type="dxa"/>
            <w:tcBorders>
              <w:bottom w:val="single" w:sz="4" w:space="0" w:color="auto"/>
            </w:tcBorders>
            <w:shd w:val="clear" w:color="auto" w:fill="auto"/>
          </w:tcPr>
          <w:p w14:paraId="52FD7F53" w14:textId="2021F691" w:rsidR="00A26D60" w:rsidRDefault="00A26D60" w:rsidP="00EB5343">
            <w:pPr>
              <w:suppressAutoHyphens w:val="0"/>
              <w:spacing w:before="60" w:after="60"/>
              <w:jc w:val="center"/>
              <w:rPr>
                <w:bCs/>
                <w:iCs/>
              </w:rPr>
            </w:pPr>
            <w:r>
              <w:rPr>
                <w:bCs/>
                <w:iCs/>
              </w:rPr>
              <w:t>3 (1.4)</w:t>
            </w:r>
          </w:p>
        </w:tc>
        <w:tc>
          <w:tcPr>
            <w:tcW w:w="2228" w:type="dxa"/>
            <w:gridSpan w:val="2"/>
            <w:tcBorders>
              <w:bottom w:val="single" w:sz="4" w:space="0" w:color="auto"/>
            </w:tcBorders>
            <w:shd w:val="clear" w:color="auto" w:fill="auto"/>
          </w:tcPr>
          <w:p w14:paraId="44E75F3D" w14:textId="037D5308" w:rsidR="00A26D60" w:rsidRDefault="00A26D60" w:rsidP="00EB5343">
            <w:pPr>
              <w:suppressAutoHyphens w:val="0"/>
              <w:spacing w:before="60" w:after="60"/>
              <w:jc w:val="center"/>
              <w:rPr>
                <w:bCs/>
                <w:iCs/>
              </w:rPr>
            </w:pPr>
            <w:r>
              <w:rPr>
                <w:bCs/>
                <w:iCs/>
              </w:rPr>
              <w:t>3 (1.4)</w:t>
            </w:r>
          </w:p>
        </w:tc>
      </w:tr>
      <w:tr w:rsidR="00A26D60" w:rsidRPr="00993E1E" w14:paraId="1E477147" w14:textId="2581CE56" w:rsidTr="003313E4">
        <w:trPr>
          <w:trHeight w:val="20"/>
        </w:trPr>
        <w:tc>
          <w:tcPr>
            <w:tcW w:w="7655" w:type="dxa"/>
            <w:gridSpan w:val="4"/>
          </w:tcPr>
          <w:p w14:paraId="7FD571A9" w14:textId="781327A3" w:rsidR="00A26D60" w:rsidRPr="00993E1E" w:rsidRDefault="00A26D60" w:rsidP="00EB5343">
            <w:pPr>
              <w:suppressAutoHyphens w:val="0"/>
              <w:spacing w:before="60" w:after="60"/>
              <w:rPr>
                <w:rFonts w:cs="Arial"/>
                <w:b/>
                <w:szCs w:val="24"/>
              </w:rPr>
            </w:pPr>
            <w:r w:rsidRPr="00993E1E">
              <w:rPr>
                <w:rFonts w:cs="Arial"/>
                <w:b/>
                <w:szCs w:val="24"/>
              </w:rPr>
              <w:t>Investigations</w:t>
            </w:r>
          </w:p>
        </w:tc>
      </w:tr>
      <w:tr w:rsidR="00EB5343" w:rsidRPr="00993E1E" w14:paraId="7651F6E1" w14:textId="3A7657FB" w:rsidTr="00AD5613">
        <w:trPr>
          <w:trHeight w:val="20"/>
        </w:trPr>
        <w:tc>
          <w:tcPr>
            <w:tcW w:w="4163" w:type="dxa"/>
          </w:tcPr>
          <w:p w14:paraId="6D9ED2D2" w14:textId="77777777" w:rsidR="00EB5343" w:rsidRPr="00993E1E" w:rsidRDefault="00EB5343" w:rsidP="00EB5343">
            <w:pPr>
              <w:suppressAutoHyphens w:val="0"/>
              <w:spacing w:before="60" w:after="60"/>
              <w:ind w:left="284"/>
              <w:rPr>
                <w:rFonts w:cs="Arial"/>
                <w:szCs w:val="24"/>
              </w:rPr>
            </w:pPr>
            <w:r w:rsidRPr="00993E1E">
              <w:rPr>
                <w:rFonts w:cs="Arial"/>
                <w:szCs w:val="24"/>
              </w:rPr>
              <w:t>Aspartate aminotransferase increased</w:t>
            </w:r>
          </w:p>
        </w:tc>
        <w:tc>
          <w:tcPr>
            <w:tcW w:w="1264" w:type="dxa"/>
          </w:tcPr>
          <w:p w14:paraId="010AAA5E" w14:textId="30F0489D" w:rsidR="00EB5343" w:rsidRPr="00993E1E" w:rsidRDefault="00EB5343" w:rsidP="00EB5343">
            <w:pPr>
              <w:suppressAutoHyphens w:val="0"/>
              <w:spacing w:before="60" w:after="60"/>
              <w:jc w:val="center"/>
              <w:rPr>
                <w:rFonts w:cs="Arial"/>
                <w:bCs/>
                <w:szCs w:val="24"/>
              </w:rPr>
            </w:pPr>
            <w:r w:rsidRPr="003566B9">
              <w:t>4</w:t>
            </w:r>
            <w:r w:rsidR="00F66321">
              <w:t>2</w:t>
            </w:r>
            <w:r w:rsidRPr="003566B9">
              <w:t xml:space="preserve"> (</w:t>
            </w:r>
            <w:r w:rsidR="00F66321">
              <w:t>19.6</w:t>
            </w:r>
            <w:r w:rsidRPr="003566B9">
              <w:t>)</w:t>
            </w:r>
          </w:p>
        </w:tc>
        <w:tc>
          <w:tcPr>
            <w:tcW w:w="1116" w:type="dxa"/>
          </w:tcPr>
          <w:p w14:paraId="1136972B" w14:textId="635C9A40" w:rsidR="00EB5343" w:rsidRPr="00993E1E" w:rsidRDefault="00EB5343" w:rsidP="00EB5343">
            <w:pPr>
              <w:suppressAutoHyphens w:val="0"/>
              <w:spacing w:before="60" w:after="60"/>
              <w:jc w:val="center"/>
              <w:rPr>
                <w:rFonts w:cs="Arial"/>
                <w:bCs/>
                <w:szCs w:val="24"/>
              </w:rPr>
            </w:pPr>
            <w:r w:rsidRPr="003566B9">
              <w:t>1</w:t>
            </w:r>
            <w:r w:rsidR="00F66321">
              <w:t>4</w:t>
            </w:r>
            <w:r w:rsidRPr="003566B9">
              <w:t xml:space="preserve"> (6.</w:t>
            </w:r>
            <w:r w:rsidR="00F66321">
              <w:t>5</w:t>
            </w:r>
            <w:r w:rsidRPr="003566B9">
              <w:t>)</w:t>
            </w:r>
          </w:p>
        </w:tc>
        <w:tc>
          <w:tcPr>
            <w:tcW w:w="1112" w:type="dxa"/>
          </w:tcPr>
          <w:p w14:paraId="691A0E20" w14:textId="1520A631" w:rsidR="00EB5343" w:rsidRPr="003566B9" w:rsidRDefault="00EB5343" w:rsidP="00EB5343">
            <w:pPr>
              <w:suppressAutoHyphens w:val="0"/>
              <w:spacing w:before="60" w:after="60"/>
              <w:jc w:val="center"/>
            </w:pPr>
            <w:r>
              <w:t>Nil</w:t>
            </w:r>
          </w:p>
        </w:tc>
      </w:tr>
      <w:tr w:rsidR="00EB5343" w:rsidRPr="00993E1E" w14:paraId="7E97DE1A" w14:textId="279CC894" w:rsidTr="00AD5613">
        <w:trPr>
          <w:trHeight w:val="20"/>
        </w:trPr>
        <w:tc>
          <w:tcPr>
            <w:tcW w:w="4163" w:type="dxa"/>
            <w:tcBorders>
              <w:bottom w:val="single" w:sz="4" w:space="0" w:color="auto"/>
            </w:tcBorders>
          </w:tcPr>
          <w:p w14:paraId="5BD47136" w14:textId="77777777" w:rsidR="00EB5343" w:rsidRPr="00993E1E" w:rsidRDefault="00EB5343" w:rsidP="00EB5343">
            <w:pPr>
              <w:suppressAutoHyphens w:val="0"/>
              <w:spacing w:before="60" w:after="60"/>
              <w:ind w:left="284"/>
              <w:rPr>
                <w:rFonts w:cs="Arial"/>
                <w:szCs w:val="24"/>
              </w:rPr>
            </w:pPr>
            <w:r w:rsidRPr="00993E1E">
              <w:rPr>
                <w:rFonts w:cs="Arial"/>
                <w:szCs w:val="24"/>
              </w:rPr>
              <w:t>Alanine aminotransferase increased</w:t>
            </w:r>
          </w:p>
        </w:tc>
        <w:tc>
          <w:tcPr>
            <w:tcW w:w="1264" w:type="dxa"/>
            <w:tcBorders>
              <w:bottom w:val="single" w:sz="4" w:space="0" w:color="auto"/>
            </w:tcBorders>
          </w:tcPr>
          <w:p w14:paraId="0008092D" w14:textId="0F868DF8" w:rsidR="00EB5343" w:rsidRPr="00993E1E" w:rsidRDefault="00F66321" w:rsidP="00EB5343">
            <w:pPr>
              <w:suppressAutoHyphens w:val="0"/>
              <w:spacing w:before="60" w:after="60"/>
              <w:jc w:val="center"/>
              <w:rPr>
                <w:rFonts w:cs="Arial"/>
                <w:bCs/>
                <w:szCs w:val="24"/>
              </w:rPr>
            </w:pPr>
            <w:r>
              <w:t>41</w:t>
            </w:r>
            <w:r w:rsidR="00EB5343" w:rsidRPr="003566B9">
              <w:t xml:space="preserve"> (</w:t>
            </w:r>
            <w:r>
              <w:t>19.2</w:t>
            </w:r>
            <w:r w:rsidR="00EB5343" w:rsidRPr="003566B9">
              <w:t>)</w:t>
            </w:r>
          </w:p>
        </w:tc>
        <w:tc>
          <w:tcPr>
            <w:tcW w:w="1116" w:type="dxa"/>
            <w:tcBorders>
              <w:bottom w:val="single" w:sz="4" w:space="0" w:color="auto"/>
            </w:tcBorders>
          </w:tcPr>
          <w:p w14:paraId="4F54ADAE" w14:textId="1D9AA767" w:rsidR="00EB5343" w:rsidRPr="00993E1E" w:rsidRDefault="00EB5343" w:rsidP="00EB5343">
            <w:pPr>
              <w:suppressAutoHyphens w:val="0"/>
              <w:spacing w:before="60" w:after="60"/>
              <w:jc w:val="center"/>
              <w:rPr>
                <w:rFonts w:cs="Arial"/>
                <w:bCs/>
                <w:szCs w:val="24"/>
              </w:rPr>
            </w:pPr>
            <w:r w:rsidRPr="003566B9">
              <w:t>1</w:t>
            </w:r>
            <w:r w:rsidR="00F66321">
              <w:t>6</w:t>
            </w:r>
            <w:r w:rsidRPr="003566B9">
              <w:t xml:space="preserve"> (7.</w:t>
            </w:r>
            <w:r w:rsidR="00F66321">
              <w:t>5</w:t>
            </w:r>
            <w:r w:rsidRPr="003566B9">
              <w:t>)</w:t>
            </w:r>
          </w:p>
        </w:tc>
        <w:tc>
          <w:tcPr>
            <w:tcW w:w="1112" w:type="dxa"/>
            <w:tcBorders>
              <w:bottom w:val="single" w:sz="4" w:space="0" w:color="auto"/>
            </w:tcBorders>
          </w:tcPr>
          <w:p w14:paraId="44C79F45" w14:textId="1F5D1441" w:rsidR="00EB5343" w:rsidRPr="003566B9" w:rsidRDefault="00EB5343" w:rsidP="00EB5343">
            <w:pPr>
              <w:suppressAutoHyphens w:val="0"/>
              <w:spacing w:before="60" w:after="60"/>
              <w:jc w:val="center"/>
            </w:pPr>
            <w:r>
              <w:t>1 (0.5)</w:t>
            </w:r>
          </w:p>
        </w:tc>
      </w:tr>
    </w:tbl>
    <w:tbl>
      <w:tblPr>
        <w:tblStyle w:val="TableGrid3"/>
        <w:tblW w:w="7681" w:type="dxa"/>
        <w:tblLook w:val="04A0" w:firstRow="1" w:lastRow="0" w:firstColumn="1" w:lastColumn="0" w:noHBand="0" w:noVBand="1"/>
      </w:tblPr>
      <w:tblGrid>
        <w:gridCol w:w="7681"/>
      </w:tblGrid>
      <w:tr w:rsidR="00993E1E" w:rsidRPr="00604BEF" w14:paraId="26018257" w14:textId="77777777" w:rsidTr="007B14A7">
        <w:trPr>
          <w:trHeight w:val="423"/>
        </w:trPr>
        <w:tc>
          <w:tcPr>
            <w:tcW w:w="7681" w:type="dxa"/>
            <w:tcBorders>
              <w:left w:val="nil"/>
              <w:bottom w:val="nil"/>
              <w:right w:val="nil"/>
            </w:tcBorders>
          </w:tcPr>
          <w:p w14:paraId="177CB391" w14:textId="06DD47FE" w:rsidR="00993E1E" w:rsidRPr="00604BEF" w:rsidRDefault="00AA07CB" w:rsidP="00AA07CB">
            <w:pPr>
              <w:pStyle w:val="TableHeading"/>
              <w:rPr>
                <w:b w:val="0"/>
                <w:bCs/>
                <w:color w:val="0033CC"/>
              </w:rPr>
            </w:pPr>
            <w:r>
              <w:rPr>
                <w:b w:val="0"/>
                <w:bCs/>
                <w:iCs/>
                <w:vertAlign w:val="superscript"/>
              </w:rPr>
              <w:t>a</w:t>
            </w:r>
            <w:r w:rsidR="0085306F">
              <w:rPr>
                <w:b w:val="0"/>
                <w:bCs/>
                <w:iCs/>
                <w:sz w:val="18"/>
                <w:szCs w:val="18"/>
              </w:rPr>
              <w:t>a</w:t>
            </w:r>
            <w:r w:rsidR="00993E1E" w:rsidRPr="00243F7E">
              <w:rPr>
                <w:b w:val="0"/>
                <w:bCs/>
                <w:iCs/>
                <w:sz w:val="18"/>
                <w:szCs w:val="18"/>
              </w:rPr>
              <w:t>bdominal pain includes abdominal pain, abdominal pain upper, abdominal pain lower</w:t>
            </w:r>
          </w:p>
        </w:tc>
      </w:tr>
    </w:tbl>
    <w:p w14:paraId="61C1ADCE" w14:textId="3293E958" w:rsidR="000068DA" w:rsidRPr="003175C9" w:rsidRDefault="000068DA" w:rsidP="008F395E">
      <w:pPr>
        <w:pStyle w:val="RPI-Heading3"/>
        <w:spacing w:before="240" w:after="0"/>
      </w:pPr>
      <w:r w:rsidRPr="003175C9">
        <w:t>Tabulated list of adverse reactions</w:t>
      </w:r>
    </w:p>
    <w:p w14:paraId="612766A3" w14:textId="5B93E111" w:rsidR="000068DA" w:rsidRDefault="000068DA" w:rsidP="00F222D7">
      <w:pPr>
        <w:pStyle w:val="RPI-Text"/>
      </w:pPr>
      <w:r w:rsidRPr="000068DA">
        <w:t>Adverse reactions reported in LUM</w:t>
      </w:r>
      <w:r w:rsidR="007044C2">
        <w:t>A</w:t>
      </w:r>
      <w:r w:rsidRPr="000068DA">
        <w:t xml:space="preserve">KRAS clinical studies are displayed in </w:t>
      </w:r>
      <w:r w:rsidRPr="003175C9">
        <w:rPr>
          <w:iCs/>
        </w:rPr>
        <w:t>Table 4</w:t>
      </w:r>
      <w:r w:rsidR="00F222D7" w:rsidRPr="003175C9">
        <w:rPr>
          <w:iCs/>
        </w:rPr>
        <w:t>.</w:t>
      </w:r>
      <w:r w:rsidR="00F222D7">
        <w:rPr>
          <w:i/>
        </w:rPr>
        <w:t xml:space="preserve"> </w:t>
      </w:r>
      <w:r w:rsidRPr="000068DA">
        <w:t>Frequency is provided by MedDRA category: very common (≥ 1/10), common (≥ 1/100 to &lt; 1/10), uncommon (≥ 1/1,000 to &lt; 1/100), rare (≥ 1/10,000 and &lt; 1/1,000), very rare (&lt; 10,000). Within each system organ class, adverse reactions are presented in order of decreasing seriousness.</w:t>
      </w:r>
    </w:p>
    <w:p w14:paraId="6628901F" w14:textId="4E715522" w:rsidR="007044C2" w:rsidRDefault="007044C2" w:rsidP="003175C9">
      <w:pPr>
        <w:pStyle w:val="RPI-Caption"/>
        <w:jc w:val="left"/>
      </w:pPr>
      <w:r>
        <w:t>Table 4. Adverse reactions</w:t>
      </w:r>
    </w:p>
    <w:tbl>
      <w:tblPr>
        <w:tblStyle w:val="TableGrid"/>
        <w:tblW w:w="0" w:type="auto"/>
        <w:tblLook w:val="04A0" w:firstRow="1" w:lastRow="0" w:firstColumn="1" w:lastColumn="0" w:noHBand="0" w:noVBand="1"/>
      </w:tblPr>
      <w:tblGrid>
        <w:gridCol w:w="550"/>
        <w:gridCol w:w="4174"/>
        <w:gridCol w:w="1829"/>
        <w:gridCol w:w="2106"/>
      </w:tblGrid>
      <w:tr w:rsidR="00385D12" w:rsidRPr="00B77767" w14:paraId="03F7FFCE" w14:textId="77777777" w:rsidTr="003175C9">
        <w:trPr>
          <w:trHeight w:val="762"/>
          <w:tblHeader/>
        </w:trPr>
        <w:tc>
          <w:tcPr>
            <w:tcW w:w="4675" w:type="dxa"/>
            <w:gridSpan w:val="2"/>
            <w:vAlign w:val="center"/>
          </w:tcPr>
          <w:p w14:paraId="59ED2233" w14:textId="7DDE4F97" w:rsidR="00B77767" w:rsidRPr="003175C9" w:rsidRDefault="00B77767" w:rsidP="003175C9">
            <w:pPr>
              <w:suppressAutoHyphens w:val="0"/>
              <w:spacing w:before="60" w:after="60"/>
              <w:jc w:val="center"/>
              <w:rPr>
                <w:rFonts w:cs="Arial"/>
                <w:b/>
                <w:sz w:val="20"/>
              </w:rPr>
            </w:pPr>
            <w:r w:rsidRPr="003175C9">
              <w:rPr>
                <w:rFonts w:cs="Arial"/>
                <w:b/>
                <w:sz w:val="20"/>
              </w:rPr>
              <w:t xml:space="preserve">MedDRA system organ class </w:t>
            </w:r>
          </w:p>
        </w:tc>
        <w:tc>
          <w:tcPr>
            <w:tcW w:w="1842" w:type="dxa"/>
            <w:vAlign w:val="center"/>
          </w:tcPr>
          <w:p w14:paraId="7945DA63" w14:textId="7FC0A4E1" w:rsidR="00B77767" w:rsidRPr="003175C9" w:rsidRDefault="00B77767" w:rsidP="003175C9">
            <w:pPr>
              <w:suppressAutoHyphens w:val="0"/>
              <w:spacing w:before="60" w:after="60"/>
              <w:jc w:val="center"/>
              <w:rPr>
                <w:rFonts w:cs="Arial"/>
                <w:b/>
                <w:sz w:val="20"/>
              </w:rPr>
            </w:pPr>
            <w:r w:rsidRPr="003175C9">
              <w:rPr>
                <w:rFonts w:cs="Arial"/>
                <w:b/>
                <w:sz w:val="20"/>
              </w:rPr>
              <w:t xml:space="preserve">Very common </w:t>
            </w:r>
            <w:r w:rsidR="00721967">
              <w:rPr>
                <w:rFonts w:cs="Arial"/>
                <w:b/>
                <w:sz w:val="20"/>
              </w:rPr>
              <w:t xml:space="preserve">   </w:t>
            </w:r>
            <w:r w:rsidR="00AB76BE">
              <w:rPr>
                <w:rFonts w:cs="Arial"/>
                <w:b/>
                <w:sz w:val="20"/>
              </w:rPr>
              <w:t xml:space="preserve"> </w:t>
            </w:r>
            <w:proofErr w:type="gramStart"/>
            <w:r w:rsidR="00AB76BE">
              <w:rPr>
                <w:rFonts w:cs="Arial"/>
                <w:b/>
                <w:sz w:val="20"/>
              </w:rPr>
              <w:t xml:space="preserve">   </w:t>
            </w:r>
            <w:r w:rsidRPr="003175C9">
              <w:rPr>
                <w:rFonts w:cs="Arial"/>
                <w:b/>
                <w:sz w:val="20"/>
              </w:rPr>
              <w:t>(</w:t>
            </w:r>
            <w:proofErr w:type="gramEnd"/>
            <w:r w:rsidRPr="003175C9">
              <w:rPr>
                <w:rFonts w:cs="Arial"/>
                <w:b/>
                <w:sz w:val="20"/>
              </w:rPr>
              <w:t>≥ 1/10)</w:t>
            </w:r>
          </w:p>
        </w:tc>
        <w:tc>
          <w:tcPr>
            <w:tcW w:w="2142" w:type="dxa"/>
            <w:vAlign w:val="center"/>
          </w:tcPr>
          <w:p w14:paraId="07D7FC55" w14:textId="7904C073" w:rsidR="00B77767" w:rsidRPr="003175C9" w:rsidRDefault="00B77767" w:rsidP="003175C9">
            <w:pPr>
              <w:suppressAutoHyphens w:val="0"/>
              <w:spacing w:before="60" w:after="60"/>
              <w:jc w:val="center"/>
              <w:rPr>
                <w:rFonts w:cs="Arial"/>
                <w:b/>
                <w:sz w:val="20"/>
              </w:rPr>
            </w:pPr>
            <w:r w:rsidRPr="003175C9">
              <w:rPr>
                <w:rFonts w:cs="Arial"/>
                <w:b/>
                <w:sz w:val="20"/>
              </w:rPr>
              <w:t xml:space="preserve">Common </w:t>
            </w:r>
            <w:r w:rsidR="00721967" w:rsidRPr="003175C9">
              <w:rPr>
                <w:rFonts w:cs="Arial"/>
                <w:b/>
                <w:sz w:val="20"/>
              </w:rPr>
              <w:t xml:space="preserve">              </w:t>
            </w:r>
            <w:r w:rsidR="00721967">
              <w:rPr>
                <w:rFonts w:cs="Arial"/>
                <w:b/>
                <w:sz w:val="20"/>
              </w:rPr>
              <w:t xml:space="preserve"> </w:t>
            </w:r>
            <w:proofErr w:type="gramStart"/>
            <w:r w:rsidR="00721967">
              <w:rPr>
                <w:rFonts w:cs="Arial"/>
                <w:b/>
                <w:sz w:val="20"/>
              </w:rPr>
              <w:t xml:space="preserve">  </w:t>
            </w:r>
            <w:r w:rsidR="00721967" w:rsidRPr="003175C9">
              <w:rPr>
                <w:rFonts w:cs="Arial"/>
                <w:b/>
                <w:sz w:val="20"/>
              </w:rPr>
              <w:t xml:space="preserve"> </w:t>
            </w:r>
            <w:r w:rsidRPr="003175C9">
              <w:rPr>
                <w:rFonts w:cs="Arial"/>
                <w:b/>
                <w:sz w:val="20"/>
              </w:rPr>
              <w:t>(</w:t>
            </w:r>
            <w:proofErr w:type="gramEnd"/>
            <w:r w:rsidRPr="003175C9">
              <w:rPr>
                <w:rFonts w:cs="Arial"/>
                <w:b/>
                <w:sz w:val="20"/>
              </w:rPr>
              <w:t>≥ 1/100 to</w:t>
            </w:r>
            <w:r w:rsidR="00721967" w:rsidRPr="003175C9">
              <w:rPr>
                <w:sz w:val="20"/>
              </w:rPr>
              <w:t xml:space="preserve"> </w:t>
            </w:r>
            <w:r w:rsidR="00721967" w:rsidRPr="003175C9">
              <w:rPr>
                <w:rFonts w:cs="Arial"/>
                <w:b/>
                <w:sz w:val="20"/>
              </w:rPr>
              <w:t>&lt; 1/10)</w:t>
            </w:r>
          </w:p>
        </w:tc>
      </w:tr>
      <w:tr w:rsidR="00AB76BE" w:rsidRPr="00653CFE" w14:paraId="1618A4F8" w14:textId="77777777" w:rsidTr="003175C9">
        <w:tc>
          <w:tcPr>
            <w:tcW w:w="4675" w:type="dxa"/>
            <w:gridSpan w:val="2"/>
          </w:tcPr>
          <w:p w14:paraId="5C1D3AC8" w14:textId="69B331E1" w:rsidR="00A63ED8" w:rsidRPr="003175C9" w:rsidRDefault="00A63ED8" w:rsidP="003175C9">
            <w:pPr>
              <w:pStyle w:val="RPI-TableLeftAligned"/>
              <w:rPr>
                <w:sz w:val="20"/>
              </w:rPr>
            </w:pPr>
            <w:r w:rsidRPr="003175C9">
              <w:rPr>
                <w:sz w:val="20"/>
              </w:rPr>
              <w:t xml:space="preserve">Blood and lymphatic system disorders </w:t>
            </w:r>
          </w:p>
        </w:tc>
        <w:tc>
          <w:tcPr>
            <w:tcW w:w="1842" w:type="dxa"/>
          </w:tcPr>
          <w:p w14:paraId="6864E64B" w14:textId="1185FF37" w:rsidR="00A63ED8" w:rsidRPr="003175C9" w:rsidRDefault="00A63ED8" w:rsidP="003175C9">
            <w:pPr>
              <w:pStyle w:val="RPI-TableLeftAligned"/>
              <w:rPr>
                <w:sz w:val="20"/>
              </w:rPr>
            </w:pPr>
            <w:r w:rsidRPr="003175C9">
              <w:rPr>
                <w:sz w:val="20"/>
              </w:rPr>
              <w:t>Anaemia</w:t>
            </w:r>
          </w:p>
        </w:tc>
        <w:tc>
          <w:tcPr>
            <w:tcW w:w="2142" w:type="dxa"/>
          </w:tcPr>
          <w:p w14:paraId="01E3AAB5" w14:textId="099CD9C1" w:rsidR="00A63ED8" w:rsidRPr="003175C9" w:rsidRDefault="007C12D8" w:rsidP="003175C9">
            <w:pPr>
              <w:pStyle w:val="RPI-TableLeftAligned"/>
              <w:rPr>
                <w:sz w:val="20"/>
              </w:rPr>
            </w:pPr>
            <w:r>
              <w:rPr>
                <w:sz w:val="20"/>
              </w:rPr>
              <w:t>N/A</w:t>
            </w:r>
          </w:p>
        </w:tc>
      </w:tr>
      <w:tr w:rsidR="00AB76BE" w:rsidRPr="00653CFE" w14:paraId="09B288CB" w14:textId="77777777" w:rsidTr="003175C9">
        <w:tc>
          <w:tcPr>
            <w:tcW w:w="4675" w:type="dxa"/>
            <w:gridSpan w:val="2"/>
          </w:tcPr>
          <w:p w14:paraId="4A7D6EF3" w14:textId="01E7CCBB" w:rsidR="00A63ED8" w:rsidRPr="003175C9" w:rsidRDefault="00A63ED8" w:rsidP="003175C9">
            <w:pPr>
              <w:pStyle w:val="RPI-TableLeftAligned"/>
              <w:rPr>
                <w:sz w:val="20"/>
              </w:rPr>
            </w:pPr>
            <w:r w:rsidRPr="003175C9">
              <w:rPr>
                <w:sz w:val="20"/>
              </w:rPr>
              <w:t xml:space="preserve">Nervous system disorders </w:t>
            </w:r>
          </w:p>
        </w:tc>
        <w:tc>
          <w:tcPr>
            <w:tcW w:w="1842" w:type="dxa"/>
          </w:tcPr>
          <w:p w14:paraId="49163B3D" w14:textId="5C9C8A6A" w:rsidR="00A63ED8" w:rsidRPr="003175C9" w:rsidRDefault="00A63ED8" w:rsidP="003175C9">
            <w:pPr>
              <w:pStyle w:val="RPI-TableLeftAligned"/>
              <w:rPr>
                <w:sz w:val="20"/>
              </w:rPr>
            </w:pPr>
            <w:r w:rsidRPr="003175C9">
              <w:rPr>
                <w:sz w:val="20"/>
              </w:rPr>
              <w:t>Headache</w:t>
            </w:r>
          </w:p>
        </w:tc>
        <w:tc>
          <w:tcPr>
            <w:tcW w:w="2142" w:type="dxa"/>
          </w:tcPr>
          <w:p w14:paraId="74EB80A1" w14:textId="651DEC2C" w:rsidR="00A63ED8" w:rsidRPr="003175C9" w:rsidRDefault="007C12D8" w:rsidP="003175C9">
            <w:pPr>
              <w:pStyle w:val="RPI-TableLeftAligned"/>
              <w:rPr>
                <w:sz w:val="20"/>
              </w:rPr>
            </w:pPr>
            <w:r w:rsidRPr="007C12D8">
              <w:rPr>
                <w:sz w:val="20"/>
              </w:rPr>
              <w:t>N/A</w:t>
            </w:r>
          </w:p>
        </w:tc>
      </w:tr>
      <w:tr w:rsidR="00AB76BE" w:rsidRPr="00653CFE" w14:paraId="2E04577E" w14:textId="77777777" w:rsidTr="003175C9">
        <w:tc>
          <w:tcPr>
            <w:tcW w:w="4675" w:type="dxa"/>
            <w:gridSpan w:val="2"/>
          </w:tcPr>
          <w:p w14:paraId="2136813B" w14:textId="5BD7EBC1" w:rsidR="00A63ED8" w:rsidRPr="003175C9" w:rsidRDefault="00A63ED8" w:rsidP="003175C9">
            <w:pPr>
              <w:pStyle w:val="RPI-TableLeftAligned"/>
              <w:rPr>
                <w:sz w:val="20"/>
              </w:rPr>
            </w:pPr>
            <w:r w:rsidRPr="003175C9">
              <w:rPr>
                <w:sz w:val="20"/>
              </w:rPr>
              <w:t xml:space="preserve">Respiratory, thoracic </w:t>
            </w:r>
            <w:r w:rsidR="00385D12">
              <w:rPr>
                <w:sz w:val="20"/>
              </w:rPr>
              <w:t>&amp;</w:t>
            </w:r>
            <w:r w:rsidRPr="003175C9">
              <w:rPr>
                <w:sz w:val="20"/>
              </w:rPr>
              <w:t xml:space="preserve"> mediastinal disorders </w:t>
            </w:r>
          </w:p>
        </w:tc>
        <w:tc>
          <w:tcPr>
            <w:tcW w:w="1842" w:type="dxa"/>
          </w:tcPr>
          <w:p w14:paraId="33CF79DC" w14:textId="77777777" w:rsidR="00A63ED8" w:rsidRPr="003175C9" w:rsidRDefault="00A63ED8" w:rsidP="003175C9">
            <w:pPr>
              <w:pStyle w:val="RPI-TableLeftAligned"/>
              <w:rPr>
                <w:sz w:val="20"/>
              </w:rPr>
            </w:pPr>
            <w:r w:rsidRPr="003175C9">
              <w:rPr>
                <w:sz w:val="20"/>
              </w:rPr>
              <w:t>Dyspnoea</w:t>
            </w:r>
          </w:p>
          <w:p w14:paraId="430871BA" w14:textId="3982C557" w:rsidR="00A63ED8" w:rsidRPr="003175C9" w:rsidRDefault="00A63ED8" w:rsidP="003175C9">
            <w:pPr>
              <w:pStyle w:val="RPI-TableLeftAligned"/>
              <w:rPr>
                <w:sz w:val="20"/>
              </w:rPr>
            </w:pPr>
            <w:proofErr w:type="spellStart"/>
            <w:r w:rsidRPr="003175C9">
              <w:rPr>
                <w:sz w:val="20"/>
              </w:rPr>
              <w:t>Cough</w:t>
            </w:r>
            <w:r w:rsidRPr="003175C9">
              <w:rPr>
                <w:sz w:val="20"/>
                <w:vertAlign w:val="superscript"/>
              </w:rPr>
              <w:t>a</w:t>
            </w:r>
            <w:proofErr w:type="spellEnd"/>
          </w:p>
        </w:tc>
        <w:tc>
          <w:tcPr>
            <w:tcW w:w="2142" w:type="dxa"/>
          </w:tcPr>
          <w:p w14:paraId="35FFB660" w14:textId="603378D5" w:rsidR="00A63ED8" w:rsidRPr="003175C9" w:rsidRDefault="007C12D8" w:rsidP="003175C9">
            <w:pPr>
              <w:pStyle w:val="RPI-TableLeftAligned"/>
              <w:rPr>
                <w:sz w:val="20"/>
              </w:rPr>
            </w:pPr>
            <w:r w:rsidRPr="007C12D8">
              <w:rPr>
                <w:sz w:val="20"/>
              </w:rPr>
              <w:t>N/A</w:t>
            </w:r>
          </w:p>
        </w:tc>
      </w:tr>
      <w:tr w:rsidR="00E467D4" w:rsidRPr="00653CFE" w14:paraId="2FC391FA" w14:textId="77777777" w:rsidTr="003175C9">
        <w:tc>
          <w:tcPr>
            <w:tcW w:w="4675" w:type="dxa"/>
            <w:gridSpan w:val="2"/>
          </w:tcPr>
          <w:p w14:paraId="779D55B6" w14:textId="15CE7469" w:rsidR="00352CA1" w:rsidRPr="003175C9" w:rsidRDefault="00352CA1" w:rsidP="003175C9">
            <w:pPr>
              <w:pStyle w:val="RPI-TableLeftAligned"/>
              <w:rPr>
                <w:sz w:val="20"/>
              </w:rPr>
            </w:pPr>
            <w:r w:rsidRPr="003175C9">
              <w:rPr>
                <w:sz w:val="20"/>
              </w:rPr>
              <w:t xml:space="preserve">Cardiovascular disorders </w:t>
            </w:r>
          </w:p>
        </w:tc>
        <w:tc>
          <w:tcPr>
            <w:tcW w:w="1842" w:type="dxa"/>
          </w:tcPr>
          <w:p w14:paraId="69EE1842" w14:textId="0FA22DC4" w:rsidR="00352CA1" w:rsidRPr="003175C9" w:rsidRDefault="007C12D8" w:rsidP="003175C9">
            <w:pPr>
              <w:pStyle w:val="RPI-TableLeftAligned"/>
              <w:rPr>
                <w:sz w:val="20"/>
              </w:rPr>
            </w:pPr>
            <w:r w:rsidRPr="007C12D8">
              <w:rPr>
                <w:sz w:val="20"/>
              </w:rPr>
              <w:t>N/A</w:t>
            </w:r>
          </w:p>
        </w:tc>
        <w:tc>
          <w:tcPr>
            <w:tcW w:w="2142" w:type="dxa"/>
          </w:tcPr>
          <w:p w14:paraId="6E25809A" w14:textId="2C54A562" w:rsidR="00352CA1" w:rsidRPr="003175C9" w:rsidRDefault="00352CA1" w:rsidP="003175C9">
            <w:pPr>
              <w:pStyle w:val="RPI-TableLeftAligned"/>
              <w:rPr>
                <w:sz w:val="20"/>
              </w:rPr>
            </w:pPr>
            <w:r w:rsidRPr="003175C9">
              <w:rPr>
                <w:sz w:val="20"/>
              </w:rPr>
              <w:t>Hypertension</w:t>
            </w:r>
          </w:p>
        </w:tc>
      </w:tr>
      <w:tr w:rsidR="00E467D4" w:rsidRPr="00653CFE" w14:paraId="3DC1862C" w14:textId="77777777" w:rsidTr="003175C9">
        <w:tc>
          <w:tcPr>
            <w:tcW w:w="4675" w:type="dxa"/>
            <w:gridSpan w:val="2"/>
          </w:tcPr>
          <w:p w14:paraId="7CC3EB60" w14:textId="48C0BF2F" w:rsidR="00352CA1" w:rsidRPr="003175C9" w:rsidRDefault="00352CA1" w:rsidP="003175C9">
            <w:pPr>
              <w:pStyle w:val="RPI-TableLeftAligned"/>
              <w:rPr>
                <w:sz w:val="20"/>
              </w:rPr>
            </w:pPr>
            <w:r w:rsidRPr="003175C9">
              <w:rPr>
                <w:sz w:val="20"/>
              </w:rPr>
              <w:t xml:space="preserve">Gastrointestinal disorders </w:t>
            </w:r>
          </w:p>
        </w:tc>
        <w:tc>
          <w:tcPr>
            <w:tcW w:w="1842" w:type="dxa"/>
          </w:tcPr>
          <w:p w14:paraId="6037C24F" w14:textId="77777777" w:rsidR="009319C4" w:rsidRPr="009319C4" w:rsidRDefault="009319C4" w:rsidP="003175C9">
            <w:pPr>
              <w:pStyle w:val="RPI-TableLeftAligned"/>
              <w:rPr>
                <w:sz w:val="20"/>
              </w:rPr>
            </w:pPr>
            <w:r w:rsidRPr="009319C4">
              <w:rPr>
                <w:sz w:val="20"/>
              </w:rPr>
              <w:t>Diarrhoea</w:t>
            </w:r>
          </w:p>
          <w:p w14:paraId="56264703" w14:textId="77777777" w:rsidR="009319C4" w:rsidRPr="009319C4" w:rsidRDefault="009319C4" w:rsidP="003175C9">
            <w:pPr>
              <w:pStyle w:val="RPI-TableLeftAligned"/>
              <w:rPr>
                <w:sz w:val="20"/>
              </w:rPr>
            </w:pPr>
            <w:r w:rsidRPr="009319C4">
              <w:rPr>
                <w:sz w:val="20"/>
              </w:rPr>
              <w:t>Nausea</w:t>
            </w:r>
          </w:p>
          <w:p w14:paraId="157F10AA" w14:textId="77777777" w:rsidR="009319C4" w:rsidRPr="009319C4" w:rsidRDefault="009319C4" w:rsidP="003175C9">
            <w:pPr>
              <w:pStyle w:val="RPI-TableLeftAligned"/>
              <w:rPr>
                <w:sz w:val="20"/>
              </w:rPr>
            </w:pPr>
            <w:r w:rsidRPr="009319C4">
              <w:rPr>
                <w:sz w:val="20"/>
              </w:rPr>
              <w:t>Vomiting</w:t>
            </w:r>
          </w:p>
          <w:p w14:paraId="46AF03AD" w14:textId="77777777" w:rsidR="009319C4" w:rsidRPr="009319C4" w:rsidRDefault="009319C4" w:rsidP="003175C9">
            <w:pPr>
              <w:pStyle w:val="RPI-TableLeftAligned"/>
              <w:rPr>
                <w:sz w:val="20"/>
              </w:rPr>
            </w:pPr>
            <w:r w:rsidRPr="009319C4">
              <w:rPr>
                <w:sz w:val="20"/>
              </w:rPr>
              <w:lastRenderedPageBreak/>
              <w:t xml:space="preserve">Abdominal </w:t>
            </w:r>
            <w:proofErr w:type="spellStart"/>
            <w:r w:rsidRPr="009319C4">
              <w:rPr>
                <w:sz w:val="20"/>
              </w:rPr>
              <w:t>pain</w:t>
            </w:r>
            <w:r w:rsidRPr="003175C9">
              <w:rPr>
                <w:sz w:val="20"/>
                <w:vertAlign w:val="superscript"/>
              </w:rPr>
              <w:t>b</w:t>
            </w:r>
            <w:proofErr w:type="spellEnd"/>
          </w:p>
          <w:p w14:paraId="0329ADA0" w14:textId="432CED59" w:rsidR="00352CA1" w:rsidRPr="003175C9" w:rsidRDefault="009319C4" w:rsidP="003175C9">
            <w:pPr>
              <w:pStyle w:val="RPI-TableLeftAligned"/>
              <w:rPr>
                <w:sz w:val="20"/>
              </w:rPr>
            </w:pPr>
            <w:r w:rsidRPr="009319C4">
              <w:rPr>
                <w:sz w:val="20"/>
              </w:rPr>
              <w:t>Constipation</w:t>
            </w:r>
          </w:p>
        </w:tc>
        <w:tc>
          <w:tcPr>
            <w:tcW w:w="2142" w:type="dxa"/>
          </w:tcPr>
          <w:p w14:paraId="70F68E64" w14:textId="1520B82F" w:rsidR="00352CA1" w:rsidRPr="003175C9" w:rsidRDefault="007C12D8" w:rsidP="003175C9">
            <w:pPr>
              <w:pStyle w:val="RPI-TableLeftAligned"/>
              <w:rPr>
                <w:sz w:val="20"/>
              </w:rPr>
            </w:pPr>
            <w:r w:rsidRPr="007C12D8">
              <w:rPr>
                <w:sz w:val="20"/>
              </w:rPr>
              <w:lastRenderedPageBreak/>
              <w:t>N/A</w:t>
            </w:r>
          </w:p>
        </w:tc>
      </w:tr>
      <w:tr w:rsidR="00E467D4" w:rsidRPr="009319C4" w14:paraId="7477564B" w14:textId="77777777" w:rsidTr="003175C9">
        <w:tc>
          <w:tcPr>
            <w:tcW w:w="4675" w:type="dxa"/>
            <w:gridSpan w:val="2"/>
          </w:tcPr>
          <w:p w14:paraId="4445097F" w14:textId="61DB29FB" w:rsidR="009319C4" w:rsidRPr="003175C9" w:rsidRDefault="009319C4" w:rsidP="003175C9">
            <w:pPr>
              <w:pStyle w:val="RPI-TableLeftAligned"/>
              <w:rPr>
                <w:sz w:val="20"/>
              </w:rPr>
            </w:pPr>
            <w:r w:rsidRPr="003175C9">
              <w:rPr>
                <w:sz w:val="20"/>
              </w:rPr>
              <w:t xml:space="preserve">Hepatobiliary Disorders </w:t>
            </w:r>
          </w:p>
        </w:tc>
        <w:tc>
          <w:tcPr>
            <w:tcW w:w="1842" w:type="dxa"/>
          </w:tcPr>
          <w:p w14:paraId="278A19DD" w14:textId="2FE674D3" w:rsidR="009319C4" w:rsidRPr="003175C9" w:rsidRDefault="009319C4" w:rsidP="003175C9">
            <w:pPr>
              <w:pStyle w:val="RPI-TableLeftAligned"/>
              <w:rPr>
                <w:sz w:val="20"/>
              </w:rPr>
            </w:pPr>
            <w:proofErr w:type="spellStart"/>
            <w:r w:rsidRPr="003175C9">
              <w:rPr>
                <w:sz w:val="20"/>
              </w:rPr>
              <w:t>Hepatotoxicity</w:t>
            </w:r>
            <w:r w:rsidRPr="003175C9">
              <w:rPr>
                <w:sz w:val="20"/>
                <w:vertAlign w:val="superscript"/>
              </w:rPr>
              <w:t>c</w:t>
            </w:r>
            <w:proofErr w:type="spellEnd"/>
          </w:p>
        </w:tc>
        <w:tc>
          <w:tcPr>
            <w:tcW w:w="2142" w:type="dxa"/>
          </w:tcPr>
          <w:p w14:paraId="780F0D1F" w14:textId="1831794C" w:rsidR="009319C4" w:rsidRPr="003175C9" w:rsidRDefault="007C12D8" w:rsidP="003175C9">
            <w:pPr>
              <w:pStyle w:val="RPI-TableLeftAligned"/>
              <w:rPr>
                <w:sz w:val="20"/>
              </w:rPr>
            </w:pPr>
            <w:r w:rsidRPr="007C12D8">
              <w:rPr>
                <w:sz w:val="20"/>
              </w:rPr>
              <w:t>N/A</w:t>
            </w:r>
          </w:p>
        </w:tc>
      </w:tr>
      <w:tr w:rsidR="00AB76BE" w:rsidRPr="00653CFE" w14:paraId="253C725E" w14:textId="77777777" w:rsidTr="003175C9">
        <w:tc>
          <w:tcPr>
            <w:tcW w:w="4675" w:type="dxa"/>
            <w:gridSpan w:val="2"/>
          </w:tcPr>
          <w:p w14:paraId="504CD2C7" w14:textId="08FB3B49" w:rsidR="00AB76BE" w:rsidRPr="003175C9" w:rsidRDefault="00AB76BE" w:rsidP="00AB76BE">
            <w:pPr>
              <w:pStyle w:val="RPI-TableLeftAligned"/>
              <w:rPr>
                <w:sz w:val="20"/>
              </w:rPr>
            </w:pPr>
            <w:r w:rsidRPr="003175C9">
              <w:rPr>
                <w:sz w:val="20"/>
              </w:rPr>
              <w:t xml:space="preserve">Musculoskeletal </w:t>
            </w:r>
            <w:r w:rsidR="00385D12">
              <w:rPr>
                <w:sz w:val="20"/>
              </w:rPr>
              <w:t>&amp;</w:t>
            </w:r>
            <w:r w:rsidRPr="003175C9">
              <w:rPr>
                <w:sz w:val="20"/>
              </w:rPr>
              <w:t xml:space="preserve"> connective tissue disorders </w:t>
            </w:r>
          </w:p>
        </w:tc>
        <w:tc>
          <w:tcPr>
            <w:tcW w:w="1842" w:type="dxa"/>
          </w:tcPr>
          <w:p w14:paraId="2E3EFFE9" w14:textId="607069AE" w:rsidR="00AB76BE" w:rsidRPr="003175C9" w:rsidRDefault="00AB76BE" w:rsidP="00AB76BE">
            <w:pPr>
              <w:pStyle w:val="RPI-TableLeftAligned"/>
              <w:rPr>
                <w:sz w:val="20"/>
              </w:rPr>
            </w:pPr>
            <w:r w:rsidRPr="003175C9">
              <w:rPr>
                <w:sz w:val="20"/>
              </w:rPr>
              <w:t xml:space="preserve">Musculoskeletal </w:t>
            </w:r>
            <w:proofErr w:type="spellStart"/>
            <w:r w:rsidRPr="003175C9">
              <w:rPr>
                <w:sz w:val="20"/>
              </w:rPr>
              <w:t>pain</w:t>
            </w:r>
            <w:r w:rsidRPr="003175C9">
              <w:rPr>
                <w:sz w:val="20"/>
                <w:vertAlign w:val="superscript"/>
              </w:rPr>
              <w:t>d</w:t>
            </w:r>
            <w:proofErr w:type="spellEnd"/>
          </w:p>
        </w:tc>
        <w:tc>
          <w:tcPr>
            <w:tcW w:w="2142" w:type="dxa"/>
          </w:tcPr>
          <w:p w14:paraId="41EC671C" w14:textId="5D2A305D" w:rsidR="00AB76BE" w:rsidRPr="003175C9" w:rsidRDefault="007C12D8" w:rsidP="00AB76BE">
            <w:pPr>
              <w:pStyle w:val="RPI-TableLeftAligned"/>
              <w:rPr>
                <w:sz w:val="20"/>
              </w:rPr>
            </w:pPr>
            <w:r w:rsidRPr="007C12D8">
              <w:rPr>
                <w:sz w:val="20"/>
              </w:rPr>
              <w:t>N/A</w:t>
            </w:r>
          </w:p>
        </w:tc>
      </w:tr>
      <w:tr w:rsidR="00E467D4" w:rsidRPr="00653CFE" w14:paraId="118DA5EE" w14:textId="77777777" w:rsidTr="003175C9">
        <w:tc>
          <w:tcPr>
            <w:tcW w:w="4675" w:type="dxa"/>
            <w:gridSpan w:val="2"/>
          </w:tcPr>
          <w:p w14:paraId="21367B27" w14:textId="49C1FA57" w:rsidR="005A139A" w:rsidRPr="003175C9" w:rsidRDefault="00C378FD" w:rsidP="003175C9">
            <w:pPr>
              <w:pStyle w:val="RPI-TableLeftAligned"/>
              <w:rPr>
                <w:sz w:val="20"/>
              </w:rPr>
            </w:pPr>
            <w:r w:rsidRPr="00C378FD">
              <w:rPr>
                <w:sz w:val="20"/>
              </w:rPr>
              <w:t xml:space="preserve">General disorders </w:t>
            </w:r>
            <w:r w:rsidR="00385D12">
              <w:rPr>
                <w:sz w:val="20"/>
              </w:rPr>
              <w:t>&amp;</w:t>
            </w:r>
            <w:r>
              <w:rPr>
                <w:sz w:val="20"/>
              </w:rPr>
              <w:t xml:space="preserve"> </w:t>
            </w:r>
            <w:r w:rsidRPr="00C378FD">
              <w:rPr>
                <w:sz w:val="20"/>
              </w:rPr>
              <w:t>administration site</w:t>
            </w:r>
            <w:r w:rsidR="00385D12">
              <w:rPr>
                <w:sz w:val="20"/>
              </w:rPr>
              <w:t xml:space="preserve"> </w:t>
            </w:r>
            <w:r w:rsidRPr="00C378FD">
              <w:rPr>
                <w:sz w:val="20"/>
              </w:rPr>
              <w:t>conditions</w:t>
            </w:r>
          </w:p>
        </w:tc>
        <w:tc>
          <w:tcPr>
            <w:tcW w:w="1842" w:type="dxa"/>
          </w:tcPr>
          <w:p w14:paraId="20488500" w14:textId="77777777" w:rsidR="00C378FD" w:rsidRPr="00C378FD" w:rsidRDefault="00C378FD" w:rsidP="00C378FD">
            <w:pPr>
              <w:pStyle w:val="RPI-TableLeftAligned"/>
              <w:rPr>
                <w:sz w:val="20"/>
              </w:rPr>
            </w:pPr>
            <w:r w:rsidRPr="00C378FD">
              <w:rPr>
                <w:sz w:val="20"/>
              </w:rPr>
              <w:t>Fatigue</w:t>
            </w:r>
          </w:p>
          <w:p w14:paraId="421F3D0B" w14:textId="19231556" w:rsidR="005A139A" w:rsidRPr="003175C9" w:rsidRDefault="00C378FD" w:rsidP="003175C9">
            <w:pPr>
              <w:pStyle w:val="RPI-TableLeftAligned"/>
              <w:rPr>
                <w:sz w:val="20"/>
              </w:rPr>
            </w:pPr>
            <w:r w:rsidRPr="00C378FD">
              <w:rPr>
                <w:sz w:val="20"/>
              </w:rPr>
              <w:t>Pyrexia</w:t>
            </w:r>
          </w:p>
        </w:tc>
        <w:tc>
          <w:tcPr>
            <w:tcW w:w="2142" w:type="dxa"/>
          </w:tcPr>
          <w:p w14:paraId="4375997A" w14:textId="1E4CA3E2" w:rsidR="005A139A" w:rsidRPr="003175C9" w:rsidRDefault="00C378FD" w:rsidP="003175C9">
            <w:pPr>
              <w:pStyle w:val="RPI-TableLeftAligned"/>
              <w:rPr>
                <w:sz w:val="20"/>
              </w:rPr>
            </w:pPr>
            <w:r w:rsidRPr="00C378FD">
              <w:rPr>
                <w:sz w:val="20"/>
              </w:rPr>
              <w:t>Peripheral oedema</w:t>
            </w:r>
          </w:p>
        </w:tc>
      </w:tr>
      <w:tr w:rsidR="00352CA1" w:rsidRPr="00653CFE" w14:paraId="3E464933" w14:textId="77777777" w:rsidTr="003175C9">
        <w:tc>
          <w:tcPr>
            <w:tcW w:w="4675" w:type="dxa"/>
            <w:gridSpan w:val="2"/>
          </w:tcPr>
          <w:p w14:paraId="09E4E4F1" w14:textId="6C66431B" w:rsidR="00352CA1" w:rsidRPr="003175C9" w:rsidRDefault="00385D12" w:rsidP="003175C9">
            <w:pPr>
              <w:pStyle w:val="RPI-TableLeftAligned"/>
              <w:rPr>
                <w:sz w:val="20"/>
              </w:rPr>
            </w:pPr>
            <w:r w:rsidRPr="00385D12">
              <w:rPr>
                <w:sz w:val="20"/>
              </w:rPr>
              <w:t xml:space="preserve">Metabolism </w:t>
            </w:r>
            <w:r w:rsidR="008A612E">
              <w:rPr>
                <w:sz w:val="20"/>
              </w:rPr>
              <w:t>&amp;</w:t>
            </w:r>
            <w:r w:rsidRPr="00385D12">
              <w:rPr>
                <w:sz w:val="20"/>
              </w:rPr>
              <w:t xml:space="preserve"> nutrition</w:t>
            </w:r>
            <w:r>
              <w:rPr>
                <w:sz w:val="20"/>
              </w:rPr>
              <w:t xml:space="preserve"> </w:t>
            </w:r>
            <w:r w:rsidRPr="00385D12">
              <w:rPr>
                <w:sz w:val="20"/>
              </w:rPr>
              <w:t>disorders</w:t>
            </w:r>
          </w:p>
        </w:tc>
        <w:tc>
          <w:tcPr>
            <w:tcW w:w="1842" w:type="dxa"/>
          </w:tcPr>
          <w:p w14:paraId="2D2FA733" w14:textId="22B16E67" w:rsidR="00352CA1" w:rsidRPr="003175C9" w:rsidRDefault="001068A4" w:rsidP="003175C9">
            <w:pPr>
              <w:pStyle w:val="RPI-TableLeftAligned"/>
              <w:rPr>
                <w:sz w:val="20"/>
              </w:rPr>
            </w:pPr>
            <w:r w:rsidRPr="003175C9">
              <w:rPr>
                <w:sz w:val="20"/>
              </w:rPr>
              <w:t>N/A</w:t>
            </w:r>
          </w:p>
        </w:tc>
        <w:tc>
          <w:tcPr>
            <w:tcW w:w="2142" w:type="dxa"/>
          </w:tcPr>
          <w:p w14:paraId="4D14A6C6" w14:textId="77777777" w:rsidR="001068A4" w:rsidRPr="001068A4" w:rsidRDefault="001068A4" w:rsidP="001068A4">
            <w:pPr>
              <w:pStyle w:val="RPI-TableLeftAligned"/>
              <w:rPr>
                <w:sz w:val="20"/>
              </w:rPr>
            </w:pPr>
            <w:r w:rsidRPr="001068A4">
              <w:rPr>
                <w:sz w:val="20"/>
              </w:rPr>
              <w:t>Decreased appetite</w:t>
            </w:r>
          </w:p>
          <w:p w14:paraId="2C4EE8C0" w14:textId="77777777" w:rsidR="001068A4" w:rsidRPr="001068A4" w:rsidRDefault="001068A4" w:rsidP="001068A4">
            <w:pPr>
              <w:pStyle w:val="RPI-TableLeftAligned"/>
              <w:rPr>
                <w:sz w:val="20"/>
              </w:rPr>
            </w:pPr>
            <w:r w:rsidRPr="001068A4">
              <w:rPr>
                <w:sz w:val="20"/>
              </w:rPr>
              <w:t>Hypokalaemia</w:t>
            </w:r>
          </w:p>
          <w:p w14:paraId="6A43DA06" w14:textId="77777777" w:rsidR="001068A4" w:rsidRPr="001068A4" w:rsidRDefault="001068A4" w:rsidP="001068A4">
            <w:pPr>
              <w:pStyle w:val="RPI-TableLeftAligned"/>
              <w:rPr>
                <w:sz w:val="20"/>
              </w:rPr>
            </w:pPr>
            <w:r w:rsidRPr="001068A4">
              <w:rPr>
                <w:sz w:val="20"/>
              </w:rPr>
              <w:t>Hyponatraemia</w:t>
            </w:r>
          </w:p>
          <w:p w14:paraId="182E2B78" w14:textId="481014EF" w:rsidR="00352CA1" w:rsidRPr="003175C9" w:rsidRDefault="001068A4" w:rsidP="003175C9">
            <w:pPr>
              <w:pStyle w:val="RPI-TableLeftAligned"/>
              <w:rPr>
                <w:sz w:val="20"/>
              </w:rPr>
            </w:pPr>
            <w:r w:rsidRPr="001068A4">
              <w:rPr>
                <w:sz w:val="20"/>
              </w:rPr>
              <w:t>Hypocalcaemia</w:t>
            </w:r>
          </w:p>
        </w:tc>
      </w:tr>
      <w:tr w:rsidR="00F12E64" w:rsidRPr="00653CFE" w14:paraId="0D8C9A69" w14:textId="77777777" w:rsidTr="003175C9">
        <w:tc>
          <w:tcPr>
            <w:tcW w:w="4675" w:type="dxa"/>
            <w:gridSpan w:val="2"/>
          </w:tcPr>
          <w:p w14:paraId="2973029E" w14:textId="5E61F86A" w:rsidR="00F12E64" w:rsidRPr="003175C9" w:rsidRDefault="00F12E64" w:rsidP="00F12E64">
            <w:pPr>
              <w:pStyle w:val="RPI-TableLeftAligned"/>
              <w:rPr>
                <w:sz w:val="20"/>
              </w:rPr>
            </w:pPr>
            <w:r w:rsidRPr="00677063">
              <w:rPr>
                <w:sz w:val="20"/>
              </w:rPr>
              <w:t>Infections</w:t>
            </w:r>
          </w:p>
        </w:tc>
        <w:tc>
          <w:tcPr>
            <w:tcW w:w="1842" w:type="dxa"/>
          </w:tcPr>
          <w:p w14:paraId="3C38401D" w14:textId="3057F03A" w:rsidR="00F12E64" w:rsidRPr="003175C9" w:rsidRDefault="00F12E64" w:rsidP="003175C9">
            <w:pPr>
              <w:pStyle w:val="RPI-TableLeftAligned"/>
              <w:rPr>
                <w:sz w:val="20"/>
              </w:rPr>
            </w:pPr>
            <w:r w:rsidRPr="003175C9">
              <w:rPr>
                <w:sz w:val="20"/>
              </w:rPr>
              <w:t>N/A</w:t>
            </w:r>
          </w:p>
        </w:tc>
        <w:tc>
          <w:tcPr>
            <w:tcW w:w="2142" w:type="dxa"/>
          </w:tcPr>
          <w:p w14:paraId="741D2652" w14:textId="77777777" w:rsidR="00E467D4" w:rsidRPr="00E467D4" w:rsidRDefault="00E467D4" w:rsidP="00E467D4">
            <w:pPr>
              <w:pStyle w:val="RPI-TableLeftAligned"/>
              <w:rPr>
                <w:sz w:val="20"/>
              </w:rPr>
            </w:pPr>
            <w:r w:rsidRPr="00E467D4">
              <w:rPr>
                <w:sz w:val="20"/>
              </w:rPr>
              <w:t>Pneumonia</w:t>
            </w:r>
          </w:p>
          <w:p w14:paraId="550074C5" w14:textId="1D540A22" w:rsidR="00F12E64" w:rsidRPr="003175C9" w:rsidRDefault="00E467D4" w:rsidP="003175C9">
            <w:pPr>
              <w:pStyle w:val="RPI-TableLeftAligned"/>
              <w:rPr>
                <w:sz w:val="20"/>
              </w:rPr>
            </w:pPr>
            <w:r w:rsidRPr="00E467D4">
              <w:rPr>
                <w:sz w:val="20"/>
              </w:rPr>
              <w:t>Urinary tract infection</w:t>
            </w:r>
          </w:p>
        </w:tc>
      </w:tr>
      <w:tr w:rsidR="00F12E64" w:rsidRPr="00653CFE" w14:paraId="0CCCB4E4" w14:textId="77777777" w:rsidTr="003175C9">
        <w:tc>
          <w:tcPr>
            <w:tcW w:w="4675" w:type="dxa"/>
            <w:gridSpan w:val="2"/>
          </w:tcPr>
          <w:p w14:paraId="660C76C0" w14:textId="2C52F827" w:rsidR="00F12E64" w:rsidRPr="003175C9" w:rsidRDefault="00F12E64" w:rsidP="003175C9">
            <w:pPr>
              <w:pStyle w:val="RPI-TableLeftAligned"/>
              <w:rPr>
                <w:sz w:val="20"/>
              </w:rPr>
            </w:pPr>
            <w:r w:rsidRPr="00677063">
              <w:rPr>
                <w:sz w:val="20"/>
              </w:rPr>
              <w:t xml:space="preserve">Skin </w:t>
            </w:r>
            <w:r>
              <w:rPr>
                <w:sz w:val="20"/>
              </w:rPr>
              <w:t>&amp;</w:t>
            </w:r>
            <w:r w:rsidRPr="00677063">
              <w:rPr>
                <w:sz w:val="20"/>
              </w:rPr>
              <w:t xml:space="preserve"> subcutaneous tissue</w:t>
            </w:r>
            <w:r>
              <w:rPr>
                <w:sz w:val="20"/>
              </w:rPr>
              <w:t xml:space="preserve"> </w:t>
            </w:r>
            <w:r w:rsidRPr="00677063">
              <w:rPr>
                <w:sz w:val="20"/>
              </w:rPr>
              <w:t>disorders</w:t>
            </w:r>
          </w:p>
        </w:tc>
        <w:tc>
          <w:tcPr>
            <w:tcW w:w="1842" w:type="dxa"/>
          </w:tcPr>
          <w:p w14:paraId="07347DF8" w14:textId="38A7A0D6" w:rsidR="00F12E64" w:rsidRPr="003175C9" w:rsidRDefault="00F12E64" w:rsidP="003175C9">
            <w:pPr>
              <w:pStyle w:val="RPI-TableLeftAligned"/>
              <w:rPr>
                <w:sz w:val="20"/>
              </w:rPr>
            </w:pPr>
            <w:r w:rsidRPr="003175C9">
              <w:rPr>
                <w:sz w:val="20"/>
              </w:rPr>
              <w:t>N/A</w:t>
            </w:r>
          </w:p>
        </w:tc>
        <w:tc>
          <w:tcPr>
            <w:tcW w:w="2142" w:type="dxa"/>
          </w:tcPr>
          <w:p w14:paraId="03D13AE2" w14:textId="1320F76D" w:rsidR="00F12E64" w:rsidRPr="003175C9" w:rsidRDefault="00500157" w:rsidP="003175C9">
            <w:pPr>
              <w:pStyle w:val="RPI-TableLeftAligned"/>
              <w:rPr>
                <w:sz w:val="20"/>
              </w:rPr>
            </w:pPr>
            <w:r w:rsidRPr="00500157">
              <w:rPr>
                <w:sz w:val="20"/>
              </w:rPr>
              <w:t>Rash</w:t>
            </w:r>
          </w:p>
        </w:tc>
      </w:tr>
      <w:tr w:rsidR="00F12E64" w:rsidRPr="00653CFE" w14:paraId="00D8BCC5" w14:textId="77777777" w:rsidTr="003175C9">
        <w:tc>
          <w:tcPr>
            <w:tcW w:w="4675" w:type="dxa"/>
            <w:gridSpan w:val="2"/>
            <w:tcBorders>
              <w:bottom w:val="single" w:sz="4" w:space="0" w:color="auto"/>
            </w:tcBorders>
          </w:tcPr>
          <w:p w14:paraId="24443891" w14:textId="047EC289" w:rsidR="00F12E64" w:rsidRPr="003175C9" w:rsidRDefault="00F12E64" w:rsidP="00F12E64">
            <w:pPr>
              <w:pStyle w:val="RPI-TableLeftAligned"/>
              <w:rPr>
                <w:sz w:val="20"/>
              </w:rPr>
            </w:pPr>
            <w:r w:rsidRPr="00677063">
              <w:rPr>
                <w:sz w:val="20"/>
              </w:rPr>
              <w:t>Investigations</w:t>
            </w:r>
          </w:p>
        </w:tc>
        <w:tc>
          <w:tcPr>
            <w:tcW w:w="1842" w:type="dxa"/>
            <w:tcBorders>
              <w:bottom w:val="single" w:sz="4" w:space="0" w:color="auto"/>
            </w:tcBorders>
          </w:tcPr>
          <w:p w14:paraId="683ACCD1" w14:textId="11D1FB53" w:rsidR="00F12E64" w:rsidRPr="003175C9" w:rsidRDefault="00F12E64" w:rsidP="003175C9">
            <w:pPr>
              <w:pStyle w:val="RPI-TableLeftAligned"/>
              <w:rPr>
                <w:sz w:val="20"/>
              </w:rPr>
            </w:pPr>
            <w:r w:rsidRPr="003175C9">
              <w:rPr>
                <w:sz w:val="20"/>
              </w:rPr>
              <w:t>N/A</w:t>
            </w:r>
          </w:p>
        </w:tc>
        <w:tc>
          <w:tcPr>
            <w:tcW w:w="2142" w:type="dxa"/>
            <w:tcBorders>
              <w:bottom w:val="single" w:sz="4" w:space="0" w:color="auto"/>
            </w:tcBorders>
          </w:tcPr>
          <w:p w14:paraId="48F73DE2" w14:textId="77777777" w:rsidR="00500157" w:rsidRPr="00500157" w:rsidRDefault="00500157" w:rsidP="00500157">
            <w:pPr>
              <w:pStyle w:val="RPI-TableLeftAligned"/>
              <w:rPr>
                <w:sz w:val="20"/>
              </w:rPr>
            </w:pPr>
            <w:r w:rsidRPr="00500157">
              <w:rPr>
                <w:sz w:val="20"/>
              </w:rPr>
              <w:t>Blood alkaline</w:t>
            </w:r>
          </w:p>
          <w:p w14:paraId="32D06C55" w14:textId="500DF120" w:rsidR="00F12E64" w:rsidRPr="003175C9" w:rsidRDefault="00500157" w:rsidP="003175C9">
            <w:pPr>
              <w:pStyle w:val="RPI-TableLeftAligned"/>
              <w:rPr>
                <w:sz w:val="20"/>
              </w:rPr>
            </w:pPr>
            <w:r w:rsidRPr="00500157">
              <w:rPr>
                <w:sz w:val="20"/>
              </w:rPr>
              <w:t>phosphatase increased</w:t>
            </w:r>
          </w:p>
        </w:tc>
      </w:tr>
      <w:tr w:rsidR="008F395E" w:rsidRPr="00653CFE" w14:paraId="4D4336FC" w14:textId="77777777" w:rsidTr="003175C9">
        <w:tc>
          <w:tcPr>
            <w:tcW w:w="289" w:type="dxa"/>
            <w:tcBorders>
              <w:top w:val="nil"/>
              <w:left w:val="nil"/>
              <w:bottom w:val="nil"/>
              <w:right w:val="nil"/>
            </w:tcBorders>
          </w:tcPr>
          <w:p w14:paraId="16228D81" w14:textId="7D071169" w:rsidR="008F395E" w:rsidRPr="008F395E" w:rsidRDefault="008F395E" w:rsidP="003175C9">
            <w:pPr>
              <w:pStyle w:val="RPI-TableLeftAligned"/>
              <w:rPr>
                <w:sz w:val="20"/>
              </w:rPr>
            </w:pPr>
            <w:r w:rsidRPr="008F395E">
              <w:rPr>
                <w:sz w:val="20"/>
              </w:rPr>
              <w:t>N/A</w:t>
            </w:r>
          </w:p>
        </w:tc>
        <w:tc>
          <w:tcPr>
            <w:tcW w:w="8370" w:type="dxa"/>
            <w:gridSpan w:val="3"/>
            <w:tcBorders>
              <w:top w:val="nil"/>
              <w:left w:val="nil"/>
              <w:bottom w:val="nil"/>
              <w:right w:val="nil"/>
            </w:tcBorders>
          </w:tcPr>
          <w:p w14:paraId="469B4217" w14:textId="215D2242" w:rsidR="008F395E" w:rsidRPr="003175C9" w:rsidRDefault="008F395E" w:rsidP="00500157">
            <w:pPr>
              <w:pStyle w:val="RPI-TableLeftAligned"/>
              <w:rPr>
                <w:sz w:val="20"/>
              </w:rPr>
            </w:pPr>
            <w:r>
              <w:rPr>
                <w:sz w:val="20"/>
              </w:rPr>
              <w:t>Not applicable</w:t>
            </w:r>
          </w:p>
        </w:tc>
      </w:tr>
      <w:tr w:rsidR="003175C9" w:rsidRPr="00653CFE" w14:paraId="67F33348" w14:textId="77777777" w:rsidTr="003175C9">
        <w:tc>
          <w:tcPr>
            <w:tcW w:w="289" w:type="dxa"/>
            <w:tcBorders>
              <w:top w:val="nil"/>
              <w:left w:val="nil"/>
              <w:bottom w:val="nil"/>
              <w:right w:val="nil"/>
            </w:tcBorders>
          </w:tcPr>
          <w:p w14:paraId="0C105575" w14:textId="62AD2F2E" w:rsidR="003175C9" w:rsidRPr="00500157" w:rsidRDefault="003175C9" w:rsidP="003175C9">
            <w:pPr>
              <w:pStyle w:val="RPI-TableLeftAligned"/>
              <w:rPr>
                <w:sz w:val="20"/>
              </w:rPr>
            </w:pPr>
            <w:r w:rsidRPr="007F16ED">
              <w:rPr>
                <w:sz w:val="20"/>
                <w:vertAlign w:val="superscript"/>
              </w:rPr>
              <w:t>a</w:t>
            </w:r>
            <w:r w:rsidRPr="003175C9">
              <w:rPr>
                <w:sz w:val="20"/>
              </w:rPr>
              <w:t xml:space="preserve"> </w:t>
            </w:r>
          </w:p>
        </w:tc>
        <w:tc>
          <w:tcPr>
            <w:tcW w:w="8370" w:type="dxa"/>
            <w:gridSpan w:val="3"/>
            <w:tcBorders>
              <w:top w:val="nil"/>
              <w:left w:val="nil"/>
              <w:bottom w:val="nil"/>
              <w:right w:val="nil"/>
            </w:tcBorders>
          </w:tcPr>
          <w:p w14:paraId="69AB33E8" w14:textId="25ED51E3" w:rsidR="003175C9" w:rsidRPr="00500157" w:rsidRDefault="003175C9" w:rsidP="00500157">
            <w:pPr>
              <w:pStyle w:val="RPI-TableLeftAligned"/>
              <w:rPr>
                <w:sz w:val="20"/>
              </w:rPr>
            </w:pPr>
            <w:r w:rsidRPr="003175C9">
              <w:rPr>
                <w:sz w:val="20"/>
              </w:rPr>
              <w:t>Cough includes cough, productive cough, and upper-airway cough syndrome.</w:t>
            </w:r>
          </w:p>
        </w:tc>
      </w:tr>
      <w:tr w:rsidR="003175C9" w:rsidRPr="00653CFE" w14:paraId="4ED163AE" w14:textId="77777777" w:rsidTr="003175C9">
        <w:tc>
          <w:tcPr>
            <w:tcW w:w="289" w:type="dxa"/>
            <w:tcBorders>
              <w:top w:val="nil"/>
              <w:left w:val="nil"/>
              <w:bottom w:val="nil"/>
              <w:right w:val="nil"/>
            </w:tcBorders>
          </w:tcPr>
          <w:p w14:paraId="78032F7D" w14:textId="4B92A1D1" w:rsidR="003175C9" w:rsidRPr="00500157" w:rsidRDefault="003175C9" w:rsidP="003175C9">
            <w:pPr>
              <w:pStyle w:val="RPI-TableLeftAligned"/>
              <w:rPr>
                <w:sz w:val="20"/>
              </w:rPr>
            </w:pPr>
            <w:r w:rsidRPr="00894406">
              <w:rPr>
                <w:sz w:val="20"/>
                <w:vertAlign w:val="superscript"/>
              </w:rPr>
              <w:t>b</w:t>
            </w:r>
          </w:p>
        </w:tc>
        <w:tc>
          <w:tcPr>
            <w:tcW w:w="8370" w:type="dxa"/>
            <w:gridSpan w:val="3"/>
            <w:tcBorders>
              <w:top w:val="nil"/>
              <w:left w:val="nil"/>
              <w:bottom w:val="nil"/>
              <w:right w:val="nil"/>
            </w:tcBorders>
          </w:tcPr>
          <w:p w14:paraId="2D41C28D" w14:textId="23F82301" w:rsidR="003175C9" w:rsidRPr="00500157" w:rsidRDefault="003175C9" w:rsidP="00500157">
            <w:pPr>
              <w:pStyle w:val="RPI-TableLeftAligned"/>
              <w:rPr>
                <w:sz w:val="20"/>
              </w:rPr>
            </w:pPr>
            <w:r w:rsidRPr="003175C9">
              <w:rPr>
                <w:sz w:val="20"/>
              </w:rPr>
              <w:t>Abdominal pain includes abdominal pain, abdominal pain upper, abdominal pain lower</w:t>
            </w:r>
          </w:p>
        </w:tc>
      </w:tr>
      <w:tr w:rsidR="003175C9" w:rsidRPr="00653CFE" w14:paraId="70841073" w14:textId="77777777" w:rsidTr="003175C9">
        <w:tc>
          <w:tcPr>
            <w:tcW w:w="289" w:type="dxa"/>
            <w:tcBorders>
              <w:top w:val="nil"/>
              <w:left w:val="nil"/>
              <w:bottom w:val="nil"/>
              <w:right w:val="nil"/>
            </w:tcBorders>
          </w:tcPr>
          <w:p w14:paraId="1BF4793E" w14:textId="5356B919" w:rsidR="003175C9" w:rsidRPr="00500157" w:rsidRDefault="003175C9" w:rsidP="003175C9">
            <w:pPr>
              <w:pStyle w:val="RPI-TableLeftAligned"/>
              <w:rPr>
                <w:sz w:val="20"/>
              </w:rPr>
            </w:pPr>
            <w:r w:rsidRPr="000F4A4A">
              <w:rPr>
                <w:sz w:val="20"/>
                <w:vertAlign w:val="superscript"/>
              </w:rPr>
              <w:t>c</w:t>
            </w:r>
            <w:r w:rsidRPr="003175C9">
              <w:rPr>
                <w:sz w:val="20"/>
              </w:rPr>
              <w:t xml:space="preserve"> </w:t>
            </w:r>
          </w:p>
        </w:tc>
        <w:tc>
          <w:tcPr>
            <w:tcW w:w="8370" w:type="dxa"/>
            <w:gridSpan w:val="3"/>
            <w:tcBorders>
              <w:top w:val="nil"/>
              <w:left w:val="nil"/>
              <w:bottom w:val="nil"/>
              <w:right w:val="nil"/>
            </w:tcBorders>
          </w:tcPr>
          <w:p w14:paraId="0CDC0A4E" w14:textId="175718D2" w:rsidR="003175C9" w:rsidRPr="00500157" w:rsidRDefault="003175C9" w:rsidP="00500157">
            <w:pPr>
              <w:pStyle w:val="RPI-TableLeftAligned"/>
              <w:rPr>
                <w:sz w:val="20"/>
              </w:rPr>
            </w:pPr>
            <w:r w:rsidRPr="003175C9">
              <w:rPr>
                <w:sz w:val="20"/>
              </w:rPr>
              <w:t>Hepatotoxicity includes alanine aminotransferase increased, aspartate aminotransferase increased,</w:t>
            </w:r>
            <w:r>
              <w:rPr>
                <w:sz w:val="20"/>
              </w:rPr>
              <w:t xml:space="preserve"> </w:t>
            </w:r>
            <w:r w:rsidRPr="003175C9">
              <w:rPr>
                <w:sz w:val="20"/>
              </w:rPr>
              <w:t>blood bilirubin increased, drug-induced liver injury, hepatitis, hepatotoxicity, liver function test</w:t>
            </w:r>
            <w:r>
              <w:rPr>
                <w:sz w:val="20"/>
              </w:rPr>
              <w:t xml:space="preserve"> </w:t>
            </w:r>
            <w:r w:rsidRPr="003175C9">
              <w:rPr>
                <w:sz w:val="20"/>
              </w:rPr>
              <w:t>increased, and transaminases increased.</w:t>
            </w:r>
          </w:p>
        </w:tc>
      </w:tr>
      <w:tr w:rsidR="003175C9" w:rsidRPr="00653CFE" w14:paraId="4CB48643" w14:textId="77777777" w:rsidTr="003175C9">
        <w:tc>
          <w:tcPr>
            <w:tcW w:w="289" w:type="dxa"/>
            <w:tcBorders>
              <w:top w:val="nil"/>
              <w:left w:val="nil"/>
              <w:bottom w:val="nil"/>
              <w:right w:val="nil"/>
            </w:tcBorders>
          </w:tcPr>
          <w:p w14:paraId="6AFB3DA5" w14:textId="554974DC" w:rsidR="003175C9" w:rsidRPr="00500157" w:rsidRDefault="003175C9" w:rsidP="00500157">
            <w:pPr>
              <w:pStyle w:val="RPI-TableLeftAligned"/>
              <w:rPr>
                <w:sz w:val="20"/>
              </w:rPr>
            </w:pPr>
            <w:r w:rsidRPr="0006474B">
              <w:rPr>
                <w:sz w:val="20"/>
                <w:vertAlign w:val="superscript"/>
              </w:rPr>
              <w:t>d</w:t>
            </w:r>
          </w:p>
        </w:tc>
        <w:tc>
          <w:tcPr>
            <w:tcW w:w="8370" w:type="dxa"/>
            <w:gridSpan w:val="3"/>
            <w:tcBorders>
              <w:top w:val="nil"/>
              <w:left w:val="nil"/>
              <w:bottom w:val="nil"/>
              <w:right w:val="nil"/>
            </w:tcBorders>
          </w:tcPr>
          <w:p w14:paraId="777E8B57" w14:textId="2A5A11C0" w:rsidR="003175C9" w:rsidRPr="00500157" w:rsidRDefault="003175C9" w:rsidP="00500157">
            <w:pPr>
              <w:pStyle w:val="RPI-TableLeftAligned"/>
              <w:rPr>
                <w:sz w:val="20"/>
              </w:rPr>
            </w:pPr>
            <w:r w:rsidRPr="003175C9">
              <w:rPr>
                <w:sz w:val="20"/>
              </w:rPr>
              <w:t xml:space="preserve">Musculoskeletal pain includes arthralgia, </w:t>
            </w:r>
            <w:proofErr w:type="gramStart"/>
            <w:r w:rsidRPr="003175C9">
              <w:rPr>
                <w:sz w:val="20"/>
              </w:rPr>
              <w:t>myalgia</w:t>
            </w:r>
            <w:proofErr w:type="gramEnd"/>
            <w:r w:rsidRPr="003175C9">
              <w:rPr>
                <w:sz w:val="20"/>
              </w:rPr>
              <w:t xml:space="preserve"> and back pain</w:t>
            </w:r>
          </w:p>
        </w:tc>
      </w:tr>
    </w:tbl>
    <w:p w14:paraId="12AFF4BD" w14:textId="30595ECD" w:rsidR="00991D32" w:rsidRPr="0077145F" w:rsidRDefault="00991D32" w:rsidP="00661619">
      <w:pPr>
        <w:pStyle w:val="RPI-Heading4"/>
        <w:spacing w:before="240" w:after="0" w:line="240" w:lineRule="auto"/>
      </w:pPr>
      <w:r w:rsidRPr="0077145F">
        <w:t xml:space="preserve">Reporting of suspected adverse </w:t>
      </w:r>
      <w:r w:rsidR="00CB28DC">
        <w:t>effects</w:t>
      </w:r>
    </w:p>
    <w:p w14:paraId="12AFF4BE" w14:textId="312A7FE4" w:rsidR="00991D32" w:rsidRDefault="00991D32" w:rsidP="00C302C5">
      <w:pPr>
        <w:pStyle w:val="RPI-Text"/>
      </w:pPr>
      <w:r>
        <w:t xml:space="preserve">Reporting suspected adverse reactions after </w:t>
      </w:r>
      <w:r w:rsidR="004F177A">
        <w:t>registration</w:t>
      </w:r>
      <w:r>
        <w:t xml:space="preserve"> of the medicin</w:t>
      </w:r>
      <w:r w:rsidR="004F177A">
        <w:t>al product</w:t>
      </w:r>
      <w:r>
        <w:t xml:space="preserve"> is important. It allows continued monitoring of the benefit</w:t>
      </w:r>
      <w:r w:rsidR="00350FFB">
        <w:t>-</w:t>
      </w:r>
      <w:r>
        <w:t>risk balance of the medic</w:t>
      </w:r>
      <w:r w:rsidR="00350FFB">
        <w:t>inal product</w:t>
      </w:r>
      <w:r>
        <w:t xml:space="preserve">. Healthcare professionals are asked to report any suspected adverse reactions </w:t>
      </w:r>
      <w:r w:rsidR="00350FFB">
        <w:t xml:space="preserve">at </w:t>
      </w:r>
      <w:hyperlink r:id="rId14" w:history="1">
        <w:r w:rsidR="004F177A" w:rsidRPr="004350CE">
          <w:rPr>
            <w:rStyle w:val="Hyperlink"/>
          </w:rPr>
          <w:t>https://www.tga.gov.au/reporting-problems</w:t>
        </w:r>
      </w:hyperlink>
      <w:r w:rsidR="00247CA7">
        <w:rPr>
          <w:rStyle w:val="Hyperlink"/>
        </w:rPr>
        <w:t>.</w:t>
      </w:r>
    </w:p>
    <w:p w14:paraId="12AFF4C0" w14:textId="77777777" w:rsidR="0032608A" w:rsidRDefault="0032608A" w:rsidP="003175C9">
      <w:pPr>
        <w:pStyle w:val="RPI-Heading2"/>
        <w:tabs>
          <w:tab w:val="clear" w:pos="1440"/>
          <w:tab w:val="num" w:pos="567"/>
        </w:tabs>
      </w:pPr>
      <w:r w:rsidRPr="00ED7DB4">
        <w:t>Overdose</w:t>
      </w:r>
      <w:r w:rsidR="00245127" w:rsidRPr="00ED7DB4">
        <w:t xml:space="preserve"> </w:t>
      </w:r>
    </w:p>
    <w:p w14:paraId="32B8328A" w14:textId="5114D7A2" w:rsidR="00FE6685" w:rsidRPr="00FE6685" w:rsidRDefault="00FE6685" w:rsidP="00767846">
      <w:pPr>
        <w:pStyle w:val="RPI-GuidanceText"/>
        <w:rPr>
          <w:color w:val="auto"/>
          <w:u w:val="single"/>
        </w:rPr>
      </w:pPr>
      <w:r w:rsidRPr="00FE6685">
        <w:rPr>
          <w:color w:val="auto"/>
          <w:u w:val="single"/>
        </w:rPr>
        <w:t xml:space="preserve">Symptoms and </w:t>
      </w:r>
      <w:r w:rsidR="009E5CEB">
        <w:rPr>
          <w:color w:val="auto"/>
          <w:u w:val="single"/>
        </w:rPr>
        <w:t>s</w:t>
      </w:r>
      <w:r w:rsidRPr="00FE6685">
        <w:rPr>
          <w:color w:val="auto"/>
          <w:u w:val="single"/>
        </w:rPr>
        <w:t>igns</w:t>
      </w:r>
    </w:p>
    <w:p w14:paraId="71151EB1" w14:textId="1866A79F" w:rsidR="00EA4700" w:rsidRDefault="00EA4700" w:rsidP="00767846">
      <w:pPr>
        <w:pStyle w:val="RPI-GuidanceText"/>
        <w:rPr>
          <w:color w:val="auto"/>
        </w:rPr>
      </w:pPr>
      <w:r w:rsidRPr="00EA4700">
        <w:rPr>
          <w:color w:val="auto"/>
        </w:rPr>
        <w:t xml:space="preserve">There is no clinical experience </w:t>
      </w:r>
      <w:r w:rsidR="006A7CAB">
        <w:rPr>
          <w:color w:val="auto"/>
        </w:rPr>
        <w:t>of</w:t>
      </w:r>
      <w:r w:rsidRPr="00EA4700">
        <w:rPr>
          <w:color w:val="auto"/>
        </w:rPr>
        <w:t xml:space="preserve"> overdose with </w:t>
      </w:r>
      <w:r w:rsidR="006A7CAB" w:rsidRPr="006A7CAB">
        <w:rPr>
          <w:color w:val="auto"/>
        </w:rPr>
        <w:t>LUMAKRAS</w:t>
      </w:r>
      <w:r w:rsidRPr="00EA4700">
        <w:rPr>
          <w:color w:val="auto"/>
        </w:rPr>
        <w:t>.</w:t>
      </w:r>
      <w:r w:rsidR="006A7CAB" w:rsidRPr="006A7CAB">
        <w:t xml:space="preserve"> </w:t>
      </w:r>
    </w:p>
    <w:p w14:paraId="4EC1AC47" w14:textId="77777777" w:rsidR="005A45C7" w:rsidRDefault="005A45C7" w:rsidP="00767846">
      <w:pPr>
        <w:pStyle w:val="RPI-GuidanceText"/>
        <w:rPr>
          <w:color w:val="auto"/>
          <w:u w:val="single"/>
        </w:rPr>
      </w:pPr>
    </w:p>
    <w:p w14:paraId="7492AD79" w14:textId="586FA960" w:rsidR="00FE6685" w:rsidRPr="00FE6685" w:rsidRDefault="00FE6685" w:rsidP="00767846">
      <w:pPr>
        <w:pStyle w:val="RPI-GuidanceText"/>
        <w:rPr>
          <w:color w:val="auto"/>
          <w:u w:val="single"/>
        </w:rPr>
      </w:pPr>
      <w:r w:rsidRPr="00FE6685">
        <w:rPr>
          <w:color w:val="auto"/>
          <w:u w:val="single"/>
        </w:rPr>
        <w:lastRenderedPageBreak/>
        <w:t>Treatment</w:t>
      </w:r>
    </w:p>
    <w:p w14:paraId="3E605204" w14:textId="27A14B0D" w:rsidR="00415FCA" w:rsidRDefault="00EA4700" w:rsidP="005C60CC">
      <w:pPr>
        <w:pStyle w:val="RPI-GuidanceText"/>
        <w:widowControl w:val="0"/>
        <w:rPr>
          <w:b/>
          <w:sz w:val="28"/>
        </w:rPr>
      </w:pPr>
      <w:r w:rsidRPr="00EA4700">
        <w:rPr>
          <w:color w:val="auto"/>
        </w:rPr>
        <w:t>In the event of a</w:t>
      </w:r>
      <w:r w:rsidR="001C42BF" w:rsidRPr="001C42BF">
        <w:t xml:space="preserve"> </w:t>
      </w:r>
      <w:r w:rsidR="006A7CAB" w:rsidRPr="006A7CAB">
        <w:rPr>
          <w:color w:val="auto"/>
        </w:rPr>
        <w:t xml:space="preserve">LUMAKRAS </w:t>
      </w:r>
      <w:r w:rsidRPr="00EA4700">
        <w:rPr>
          <w:color w:val="auto"/>
        </w:rPr>
        <w:t>overdose, the patient should be treated symptomatically, and supportive measures instituted as required.</w:t>
      </w:r>
      <w:r w:rsidR="00FE6685">
        <w:rPr>
          <w:color w:val="auto"/>
        </w:rPr>
        <w:t xml:space="preserve"> </w:t>
      </w:r>
      <w:r w:rsidR="00AE410B" w:rsidRPr="00FE6685">
        <w:rPr>
          <w:color w:val="auto"/>
        </w:rPr>
        <w:t xml:space="preserve">For advice on the management of overdose contact the Poisons </w:t>
      </w:r>
      <w:r w:rsidR="00350FFB" w:rsidRPr="00FE6685">
        <w:rPr>
          <w:color w:val="auto"/>
        </w:rPr>
        <w:t xml:space="preserve">Information </w:t>
      </w:r>
      <w:r w:rsidR="00AE410B" w:rsidRPr="00FE6685">
        <w:rPr>
          <w:color w:val="auto"/>
        </w:rPr>
        <w:t xml:space="preserve">Centre on </w:t>
      </w:r>
      <w:r w:rsidR="00350FFB" w:rsidRPr="00FE6685">
        <w:rPr>
          <w:color w:val="auto"/>
        </w:rPr>
        <w:t>131126</w:t>
      </w:r>
      <w:r w:rsidR="00AE410B" w:rsidRPr="00FE6685">
        <w:rPr>
          <w:color w:val="auto"/>
        </w:rPr>
        <w:t>.</w:t>
      </w:r>
    </w:p>
    <w:p w14:paraId="12AFF4C4" w14:textId="0BDD2851" w:rsidR="0032608A" w:rsidRPr="00ED7DB4" w:rsidRDefault="0032608A" w:rsidP="00740F45">
      <w:pPr>
        <w:pStyle w:val="RPI-Heading1"/>
      </w:pPr>
      <w:r w:rsidRPr="00ED7DB4">
        <w:t>PHARMACOLOGICAL PROPERTIES</w:t>
      </w:r>
    </w:p>
    <w:p w14:paraId="12AFF4C5" w14:textId="77777777" w:rsidR="0032608A" w:rsidRDefault="0032608A" w:rsidP="00DF38D0">
      <w:pPr>
        <w:pStyle w:val="RPI-Heading2"/>
        <w:tabs>
          <w:tab w:val="clear" w:pos="1440"/>
          <w:tab w:val="num" w:pos="567"/>
        </w:tabs>
      </w:pPr>
      <w:r w:rsidRPr="00ED7DB4">
        <w:t>Pharmacodynamic properties</w:t>
      </w:r>
      <w:r w:rsidR="00245127" w:rsidRPr="00ED7DB4">
        <w:t xml:space="preserve"> </w:t>
      </w:r>
    </w:p>
    <w:p w14:paraId="7D8EAB41" w14:textId="563D38EA" w:rsidR="0036567D" w:rsidRPr="0036567D" w:rsidRDefault="0036567D" w:rsidP="0085306F">
      <w:pPr>
        <w:pStyle w:val="RPI-Text"/>
        <w:spacing w:after="0"/>
      </w:pPr>
      <w:r w:rsidRPr="0036567D">
        <w:t xml:space="preserve">Pharmacotherapeutic group: </w:t>
      </w:r>
      <w:r w:rsidR="00F36A7E">
        <w:t>A</w:t>
      </w:r>
      <w:r w:rsidR="00580A2E" w:rsidRPr="00580A2E">
        <w:t>ntineoplastic agent</w:t>
      </w:r>
      <w:r w:rsidRPr="0036567D">
        <w:t>.</w:t>
      </w:r>
    </w:p>
    <w:p w14:paraId="377BBCA1" w14:textId="1C1A348D" w:rsidR="0036567D" w:rsidRDefault="0036567D" w:rsidP="0085306F">
      <w:pPr>
        <w:pStyle w:val="RPI-Text"/>
        <w:spacing w:before="0"/>
      </w:pPr>
      <w:r w:rsidRPr="0036567D">
        <w:t xml:space="preserve">Anatomical Therapeutic Chemical (ATC) code: </w:t>
      </w:r>
      <w:r w:rsidR="00662144" w:rsidRPr="00662144">
        <w:t>L01XX73</w:t>
      </w:r>
    </w:p>
    <w:p w14:paraId="12AFF4C6" w14:textId="7889ED0E" w:rsidR="00BD76C9" w:rsidRPr="0036567D" w:rsidRDefault="00BD76C9" w:rsidP="0036567D">
      <w:pPr>
        <w:pStyle w:val="RPI-Heading3"/>
      </w:pPr>
      <w:r w:rsidRPr="0036567D">
        <w:t xml:space="preserve">Mechanism of action </w:t>
      </w:r>
    </w:p>
    <w:p w14:paraId="08FD2B9F" w14:textId="71C90C75" w:rsidR="003B2335" w:rsidRPr="003B2335" w:rsidRDefault="003B2335" w:rsidP="003B2335">
      <w:pPr>
        <w:pStyle w:val="RPI-Text"/>
      </w:pPr>
      <w:r w:rsidRPr="003B2335">
        <w:t>Sotorasib is a KRAS</w:t>
      </w:r>
      <w:r w:rsidRPr="0085306F">
        <w:rPr>
          <w:vertAlign w:val="superscript"/>
        </w:rPr>
        <w:t>G12C</w:t>
      </w:r>
      <w:r w:rsidRPr="003B2335">
        <w:t xml:space="preserve"> inhibitor, which covalently and irreversibly binds to the unique cysteine of KRAS</w:t>
      </w:r>
      <w:r w:rsidRPr="0085306F">
        <w:rPr>
          <w:vertAlign w:val="superscript"/>
        </w:rPr>
        <w:t>G12C</w:t>
      </w:r>
      <w:r w:rsidRPr="003B2335">
        <w:t>. Inactivation of KRAS</w:t>
      </w:r>
      <w:r w:rsidRPr="0085306F">
        <w:rPr>
          <w:vertAlign w:val="superscript"/>
        </w:rPr>
        <w:t>G12C</w:t>
      </w:r>
      <w:r w:rsidRPr="003B2335">
        <w:t xml:space="preserve"> by sotorasib blocks tumo</w:t>
      </w:r>
      <w:r>
        <w:t>u</w:t>
      </w:r>
      <w:r w:rsidRPr="003B2335">
        <w:t>r cell signa</w:t>
      </w:r>
      <w:r>
        <w:t>l</w:t>
      </w:r>
      <w:r w:rsidRPr="003B2335">
        <w:t>ling and survival, inhibits cell growth, and promotes apoptosis selectively in tumo</w:t>
      </w:r>
      <w:r>
        <w:t>u</w:t>
      </w:r>
      <w:r w:rsidRPr="003B2335">
        <w:t>rs harbo</w:t>
      </w:r>
      <w:r w:rsidR="002C71DA">
        <w:t>u</w:t>
      </w:r>
      <w:r w:rsidRPr="003B2335">
        <w:t>ring KRAS</w:t>
      </w:r>
      <w:r w:rsidRPr="0085306F">
        <w:rPr>
          <w:vertAlign w:val="superscript"/>
        </w:rPr>
        <w:t>G12C</w:t>
      </w:r>
      <w:r w:rsidRPr="003B2335">
        <w:t>, an oncogenic driver of tumo</w:t>
      </w:r>
      <w:r w:rsidR="00CE21BC">
        <w:t>u</w:t>
      </w:r>
      <w:r w:rsidRPr="003B2335">
        <w:t>rigenesis across multiple cancer types. The potency and selectivity of sotorasib is enhanced through the unique binding to both the P2 pocket and the His95 surface groove, locking the protein in an inactive state that prevents downstream signal</w:t>
      </w:r>
      <w:r>
        <w:t>l</w:t>
      </w:r>
      <w:r w:rsidRPr="003B2335">
        <w:t xml:space="preserve">ing without affecting wild-type KRAS. </w:t>
      </w:r>
    </w:p>
    <w:p w14:paraId="64BA46BF" w14:textId="35F4E7C6" w:rsidR="003B2335" w:rsidRDefault="003B2335" w:rsidP="003B2335">
      <w:pPr>
        <w:pStyle w:val="RPI-Text"/>
      </w:pPr>
      <w:r w:rsidRPr="003B2335">
        <w:t xml:space="preserve">Sotorasib demonstrated </w:t>
      </w:r>
      <w:r w:rsidRPr="003B2335">
        <w:rPr>
          <w:i/>
          <w:iCs/>
        </w:rPr>
        <w:t>in vitro</w:t>
      </w:r>
      <w:r w:rsidRPr="003B2335">
        <w:t xml:space="preserve"> and </w:t>
      </w:r>
      <w:r w:rsidRPr="003B2335">
        <w:rPr>
          <w:i/>
          <w:iCs/>
        </w:rPr>
        <w:t>in vivo</w:t>
      </w:r>
      <w:r w:rsidRPr="003B2335">
        <w:t xml:space="preserve"> inhibition of KRAS</w:t>
      </w:r>
      <w:r w:rsidRPr="0085306F">
        <w:rPr>
          <w:vertAlign w:val="superscript"/>
        </w:rPr>
        <w:t>G12C</w:t>
      </w:r>
      <w:r w:rsidRPr="003B2335">
        <w:t xml:space="preserve"> with minimal detectable off-target activity against other cellular proteins and processes. Sotorasib impaired oncogenic signal</w:t>
      </w:r>
      <w:r>
        <w:t>l</w:t>
      </w:r>
      <w:r w:rsidRPr="003B2335">
        <w:t>ing and tumo</w:t>
      </w:r>
      <w:r>
        <w:t>u</w:t>
      </w:r>
      <w:r w:rsidRPr="003B2335">
        <w:t>r cell survival at clinically relevant exposures in preclinical models expressing KRAS</w:t>
      </w:r>
      <w:r w:rsidRPr="0085306F">
        <w:rPr>
          <w:vertAlign w:val="superscript"/>
        </w:rPr>
        <w:t>G12C</w:t>
      </w:r>
      <w:r w:rsidRPr="003B2335">
        <w:t>. Sotorasib also enhanced antigen presentation and inflammatory cytokine production only in tumo</w:t>
      </w:r>
      <w:r>
        <w:t>u</w:t>
      </w:r>
      <w:r w:rsidRPr="003B2335">
        <w:t>r cells with KRAS</w:t>
      </w:r>
      <w:r w:rsidRPr="0085306F">
        <w:rPr>
          <w:vertAlign w:val="superscript"/>
        </w:rPr>
        <w:t>G12C</w:t>
      </w:r>
      <w:r w:rsidRPr="003B2335">
        <w:t>. Sotorasib induced anti-tumo</w:t>
      </w:r>
      <w:r>
        <w:t>u</w:t>
      </w:r>
      <w:r w:rsidRPr="003B2335">
        <w:t>r inflammatory responses and immunity, driving tumo</w:t>
      </w:r>
      <w:r>
        <w:t>u</w:t>
      </w:r>
      <w:r w:rsidRPr="003B2335">
        <w:t>r regressions in immunocompetent mice implanted with KRAS</w:t>
      </w:r>
      <w:r w:rsidRPr="0085306F">
        <w:rPr>
          <w:vertAlign w:val="superscript"/>
        </w:rPr>
        <w:t>G12C</w:t>
      </w:r>
      <w:r w:rsidR="009C7939">
        <w:t>-</w:t>
      </w:r>
      <w:r w:rsidRPr="003B2335">
        <w:t>expressing tumo</w:t>
      </w:r>
      <w:r>
        <w:t>u</w:t>
      </w:r>
      <w:r w:rsidRPr="003B2335">
        <w:t>rs.</w:t>
      </w:r>
    </w:p>
    <w:p w14:paraId="3A43FF92" w14:textId="0F6C7797" w:rsidR="006E509C" w:rsidRPr="006E509C" w:rsidRDefault="006E509C" w:rsidP="003B2335">
      <w:pPr>
        <w:pStyle w:val="RPI-Heading3"/>
      </w:pPr>
      <w:r w:rsidRPr="006E509C">
        <w:t xml:space="preserve">Cardiac </w:t>
      </w:r>
      <w:r w:rsidR="009E5CEB">
        <w:t>e</w:t>
      </w:r>
      <w:r w:rsidRPr="006E509C">
        <w:t>lectrophysiology</w:t>
      </w:r>
    </w:p>
    <w:p w14:paraId="04111352" w14:textId="109203A5" w:rsidR="006E509C" w:rsidRPr="006E509C" w:rsidRDefault="006E509C" w:rsidP="00AB2B52">
      <w:pPr>
        <w:pStyle w:val="RPI-Text"/>
      </w:pPr>
      <w:r w:rsidRPr="006E509C">
        <w:t xml:space="preserve">The effect of </w:t>
      </w:r>
      <w:r w:rsidR="00C0375F">
        <w:t>LUMAKRAS</w:t>
      </w:r>
      <w:r w:rsidR="00C0375F" w:rsidRPr="006E509C">
        <w:t xml:space="preserve"> </w:t>
      </w:r>
      <w:r w:rsidRPr="006E509C">
        <w:t>on the QT interval was assessed in</w:t>
      </w:r>
      <w:r w:rsidR="00467F16">
        <w:t xml:space="preserve"> 156</w:t>
      </w:r>
      <w:r w:rsidRPr="006E509C">
        <w:rPr>
          <w:color w:val="FF0000"/>
        </w:rPr>
        <w:t xml:space="preserve"> </w:t>
      </w:r>
      <w:r w:rsidRPr="006E509C">
        <w:t>patients administered</w:t>
      </w:r>
      <w:r w:rsidRPr="00AB2B52">
        <w:t xml:space="preserve"> </w:t>
      </w:r>
      <w:r w:rsidR="009C7939" w:rsidRPr="009C7939">
        <w:t xml:space="preserve">LUMAKRAS </w:t>
      </w:r>
      <w:r w:rsidR="00467F16">
        <w:t xml:space="preserve">960 </w:t>
      </w:r>
      <w:r w:rsidRPr="006E509C">
        <w:t xml:space="preserve">mg once daily in clinical studies. </w:t>
      </w:r>
      <w:r w:rsidR="00C53461">
        <w:t>LUMAKRAS</w:t>
      </w:r>
      <w:r w:rsidRPr="006E509C">
        <w:t xml:space="preserve"> did not prolong the QT interval to any clinically relevant extent.</w:t>
      </w:r>
      <w:r w:rsidR="00467F16" w:rsidRPr="00467F16">
        <w:t xml:space="preserve"> At peak concentrations, the mean change from baseline was less than 5 </w:t>
      </w:r>
      <w:r w:rsidR="00C0375F">
        <w:t>milliseconds (</w:t>
      </w:r>
      <w:r w:rsidR="00467F16" w:rsidRPr="00467F16">
        <w:t>ms</w:t>
      </w:r>
      <w:r w:rsidR="00C0375F">
        <w:t>)</w:t>
      </w:r>
      <w:r w:rsidR="00467F16" w:rsidRPr="00467F16">
        <w:t>. No patients had a large mean increase in QTc (</w:t>
      </w:r>
      <w:r w:rsidR="00467F16">
        <w:t>&gt;</w:t>
      </w:r>
      <w:r w:rsidR="00467F16" w:rsidRPr="00467F16">
        <w:t>20 ms) in the stud</w:t>
      </w:r>
      <w:r w:rsidR="00C0375F">
        <w:t>ies</w:t>
      </w:r>
      <w:r w:rsidR="00467F16" w:rsidRPr="00467F16">
        <w:t>.</w:t>
      </w:r>
    </w:p>
    <w:p w14:paraId="12AFF4C8" w14:textId="5C40C4D3" w:rsidR="007F3C57" w:rsidRPr="00454267" w:rsidRDefault="00BD76C9" w:rsidP="0054201D">
      <w:pPr>
        <w:pStyle w:val="RPI-Heading3"/>
      </w:pPr>
      <w:r w:rsidRPr="00454267">
        <w:lastRenderedPageBreak/>
        <w:t>Clinical trials</w:t>
      </w:r>
      <w:r w:rsidR="00BC51D8">
        <w:t xml:space="preserve"> in NSCLC</w:t>
      </w:r>
      <w:r w:rsidRPr="00454267">
        <w:t xml:space="preserve"> </w:t>
      </w:r>
    </w:p>
    <w:p w14:paraId="688250EF" w14:textId="77777777" w:rsidR="007B14A7" w:rsidRDefault="007B14A7" w:rsidP="000B31D8">
      <w:pPr>
        <w:pStyle w:val="RPI-Heading4"/>
      </w:pPr>
      <w:r w:rsidRPr="007B14A7">
        <w:t>CodeBreaK 100</w:t>
      </w:r>
    </w:p>
    <w:p w14:paraId="4A48C3FC" w14:textId="2B6BFAD4" w:rsidR="006E509C" w:rsidRPr="006E509C" w:rsidRDefault="006E509C" w:rsidP="00AB2B52">
      <w:pPr>
        <w:pStyle w:val="RPI-Text"/>
      </w:pPr>
      <w:r w:rsidRPr="006E509C">
        <w:t xml:space="preserve">The efficacy of </w:t>
      </w:r>
      <w:r w:rsidR="00C53461">
        <w:t>LUMAKRAS</w:t>
      </w:r>
      <w:r w:rsidRPr="006E509C">
        <w:t xml:space="preserve"> was demonstrated in a single-arm, open-label, multicentr</w:t>
      </w:r>
      <w:r w:rsidRPr="00AB2B52">
        <w:t>e</w:t>
      </w:r>
      <w:r w:rsidRPr="006E509C">
        <w:t xml:space="preserve"> trial (CodeBreaK</w:t>
      </w:r>
      <w:r w:rsidRPr="00AB2B52">
        <w:t xml:space="preserve"> </w:t>
      </w:r>
      <w:r w:rsidRPr="006E509C">
        <w:t xml:space="preserve">100) that enrolled patients with locally advanced or metastatic </w:t>
      </w:r>
      <w:r w:rsidRPr="006E509C">
        <w:rPr>
          <w:i/>
          <w:iCs/>
        </w:rPr>
        <w:t>KRAS G12C</w:t>
      </w:r>
      <w:r w:rsidRPr="006E509C">
        <w:t>-mutated NSCLC who had disease progression on or after receiving prior therapy. Key eligibility criteria included progression on an immune checkpoint inhibitor and/or platinum-based chemotherapy, an Eastern Cooperative Oncology Group Performance Status (ECOG PS) of 0 or 1, and at least one measurable lesion as defined by Response Evaluation Criteria in Solid Tumo</w:t>
      </w:r>
      <w:r w:rsidR="00AB2B52" w:rsidRPr="00AB2B52">
        <w:t>u</w:t>
      </w:r>
      <w:r w:rsidRPr="006E509C">
        <w:t>rs (RECIST v1.1).</w:t>
      </w:r>
    </w:p>
    <w:p w14:paraId="58431645" w14:textId="55CE09A3" w:rsidR="006E509C" w:rsidRDefault="006E509C" w:rsidP="00AB2B52">
      <w:pPr>
        <w:pStyle w:val="RPI-Text"/>
      </w:pPr>
      <w:r w:rsidRPr="006E509C">
        <w:t xml:space="preserve">All patients were required to have </w:t>
      </w:r>
      <w:r w:rsidRPr="006E509C">
        <w:rPr>
          <w:i/>
          <w:iCs/>
        </w:rPr>
        <w:t>KRAS G12C</w:t>
      </w:r>
      <w:r w:rsidRPr="006E509C">
        <w:t>-mutated NSCLC prospectively identified in tumo</w:t>
      </w:r>
      <w:r w:rsidR="00AB2B52" w:rsidRPr="00AB2B52">
        <w:t>u</w:t>
      </w:r>
      <w:r w:rsidRPr="006E509C">
        <w:t xml:space="preserve">r samples by a validated test performed in a central laboratory. </w:t>
      </w:r>
      <w:r w:rsidR="002265DA" w:rsidRPr="002265DA">
        <w:t xml:space="preserve"> From the patients with </w:t>
      </w:r>
      <w:r w:rsidR="002265DA" w:rsidRPr="00C0375F">
        <w:rPr>
          <w:i/>
          <w:iCs/>
        </w:rPr>
        <w:t>KRAS G12C</w:t>
      </w:r>
      <w:r w:rsidR="002265DA" w:rsidRPr="002265DA">
        <w:t xml:space="preserve"> mutations confirmed in tumo</w:t>
      </w:r>
      <w:r w:rsidR="002C71DA">
        <w:t>u</w:t>
      </w:r>
      <w:r w:rsidR="002265DA" w:rsidRPr="002265DA">
        <w:t>r tissue, plasma samples from 112 patients were tested retrospectively using a separate validated test. 78 patients (70</w:t>
      </w:r>
      <w:r w:rsidR="002265DA">
        <w:t>%</w:t>
      </w:r>
      <w:r w:rsidR="002265DA" w:rsidRPr="002265DA">
        <w:t xml:space="preserve">) had </w:t>
      </w:r>
      <w:r w:rsidR="002265DA" w:rsidRPr="00C0375F">
        <w:rPr>
          <w:i/>
          <w:iCs/>
        </w:rPr>
        <w:t>KRAS G12C</w:t>
      </w:r>
      <w:r w:rsidR="002265DA" w:rsidRPr="002265DA">
        <w:t xml:space="preserve"> mutation identified in plasma specimen, and 31 patients (28</w:t>
      </w:r>
      <w:r w:rsidR="002265DA">
        <w:t>%</w:t>
      </w:r>
      <w:r w:rsidR="002265DA" w:rsidRPr="002265DA">
        <w:t xml:space="preserve">) did not have </w:t>
      </w:r>
      <w:r w:rsidR="002265DA" w:rsidRPr="00C0375F">
        <w:rPr>
          <w:i/>
          <w:iCs/>
        </w:rPr>
        <w:t>KRAS G12C</w:t>
      </w:r>
      <w:r w:rsidR="002265DA" w:rsidRPr="002265DA">
        <w:t xml:space="preserve"> mutation identified in plasma specimen.</w:t>
      </w:r>
    </w:p>
    <w:p w14:paraId="3211BCFC" w14:textId="35E4D9E7" w:rsidR="005067BE" w:rsidRPr="005067BE" w:rsidRDefault="005067BE" w:rsidP="005067BE">
      <w:pPr>
        <w:pStyle w:val="RPI-Text"/>
      </w:pPr>
      <w:r w:rsidRPr="005067BE">
        <w:t xml:space="preserve">A total of 126 patients were enrolled and treated with </w:t>
      </w:r>
      <w:r>
        <w:t>LUMAKRAS</w:t>
      </w:r>
      <w:r w:rsidRPr="005067BE">
        <w:t xml:space="preserve"> 960 mg once daily until disease progression or unacceptable toxicity; 12</w:t>
      </w:r>
      <w:r w:rsidR="00FF06BB">
        <w:t>4</w:t>
      </w:r>
      <w:r w:rsidRPr="005067BE">
        <w:t xml:space="preserve"> patients had at least one measurable lesion at baseline as assessed by Blinded Independent Central Review (BICR) according to RECIST v1.1 and were included in the analysis for response-related efficacy outcomes. The median duration of treatment was 5.5 months (range 0 to 1</w:t>
      </w:r>
      <w:r w:rsidR="00FF06BB">
        <w:t>5</w:t>
      </w:r>
      <w:r w:rsidRPr="005067BE">
        <w:t>) with 48</w:t>
      </w:r>
      <w:r w:rsidR="00E133E9">
        <w:t>%</w:t>
      </w:r>
      <w:r w:rsidRPr="005067BE">
        <w:t xml:space="preserve"> of patients treated for </w:t>
      </w:r>
      <w:r w:rsidR="00E133E9">
        <w:rPr>
          <w:rFonts w:cs="Arial"/>
        </w:rPr>
        <w:t>≥</w:t>
      </w:r>
      <w:r w:rsidR="00E133E9">
        <w:t xml:space="preserve"> </w:t>
      </w:r>
      <w:r w:rsidRPr="005067BE">
        <w:t xml:space="preserve">6 months and </w:t>
      </w:r>
      <w:r w:rsidR="00FF06BB">
        <w:t>33</w:t>
      </w:r>
      <w:r w:rsidR="00E133E9">
        <w:t>%</w:t>
      </w:r>
      <w:r w:rsidRPr="005067BE">
        <w:t xml:space="preserve"> of patients treated for </w:t>
      </w:r>
      <w:r w:rsidR="00E133E9" w:rsidRPr="00E133E9">
        <w:t>≥</w:t>
      </w:r>
      <w:r w:rsidRPr="005067BE">
        <w:t xml:space="preserve"> 9 months.  The major efficacy outcome measure was objective response rate (ORR) and duration of response (DOR) as evaluated by BICR according to RECIST v1.1. Additional efficacy outcome measures included disease control rate (DCR), time to response (TTR), progression-free survival (PFS), and overall survival (OS). </w:t>
      </w:r>
    </w:p>
    <w:p w14:paraId="2B62CE31" w14:textId="6A67CA52" w:rsidR="005067BE" w:rsidRPr="005067BE" w:rsidRDefault="005067BE" w:rsidP="005067BE">
      <w:pPr>
        <w:pStyle w:val="RPI-Text"/>
      </w:pPr>
      <w:r w:rsidRPr="005067BE">
        <w:t xml:space="preserve">The baseline demographic and disease characteristics of the study population </w:t>
      </w:r>
      <w:proofErr w:type="gramStart"/>
      <w:r w:rsidRPr="005067BE">
        <w:t>were</w:t>
      </w:r>
      <w:r w:rsidR="007B14A7">
        <w:t>:</w:t>
      </w:r>
      <w:proofErr w:type="gramEnd"/>
      <w:r w:rsidR="002C71DA">
        <w:t xml:space="preserve"> </w:t>
      </w:r>
      <w:r w:rsidRPr="005067BE">
        <w:t>median age 64 years (range 37 to 80) with 47</w:t>
      </w:r>
      <w:r w:rsidR="00BD0891">
        <w:t xml:space="preserve">% </w:t>
      </w:r>
      <w:r w:rsidR="00BD0891">
        <w:rPr>
          <w:rFonts w:cs="Arial"/>
        </w:rPr>
        <w:t>≥</w:t>
      </w:r>
      <w:r w:rsidRPr="005067BE">
        <w:t xml:space="preserve"> 65 years and 8</w:t>
      </w:r>
      <w:r w:rsidR="00BD0891">
        <w:t xml:space="preserve">% </w:t>
      </w:r>
      <w:r w:rsidR="00BD0891">
        <w:rPr>
          <w:rFonts w:cs="Arial"/>
        </w:rPr>
        <w:t>≥</w:t>
      </w:r>
      <w:r w:rsidRPr="005067BE">
        <w:t xml:space="preserve"> 75 years; 50</w:t>
      </w:r>
      <w:r w:rsidR="00BD0891">
        <w:t>%</w:t>
      </w:r>
      <w:r w:rsidRPr="005067BE">
        <w:t xml:space="preserve"> Female; 82</w:t>
      </w:r>
      <w:r w:rsidR="00BD0891">
        <w:t>%</w:t>
      </w:r>
      <w:r w:rsidRPr="005067BE">
        <w:t xml:space="preserve"> White, 15</w:t>
      </w:r>
      <w:r w:rsidR="00BD0891">
        <w:t>%</w:t>
      </w:r>
      <w:r w:rsidRPr="005067BE">
        <w:t xml:space="preserve"> Asian, 2</w:t>
      </w:r>
      <w:r w:rsidR="00BD0891">
        <w:t>%</w:t>
      </w:r>
      <w:r w:rsidRPr="005067BE">
        <w:t xml:space="preserve"> Black; 70</w:t>
      </w:r>
      <w:r w:rsidR="00BD0891">
        <w:t>%</w:t>
      </w:r>
      <w:r w:rsidRPr="005067BE">
        <w:t xml:space="preserve"> ECOG PS 1; 96</w:t>
      </w:r>
      <w:r w:rsidR="00BD0891">
        <w:t>%</w:t>
      </w:r>
      <w:r w:rsidRPr="005067BE">
        <w:t xml:space="preserve"> had stage IV disease; 99</w:t>
      </w:r>
      <w:r w:rsidR="00BD0891">
        <w:t>%</w:t>
      </w:r>
      <w:r w:rsidRPr="005067BE">
        <w:t xml:space="preserve"> with non</w:t>
      </w:r>
      <w:r w:rsidR="002C71DA">
        <w:t xml:space="preserve"> </w:t>
      </w:r>
      <w:r w:rsidRPr="005067BE">
        <w:t>squamous histology; 81</w:t>
      </w:r>
      <w:r w:rsidR="00BD0891">
        <w:t>%</w:t>
      </w:r>
      <w:r w:rsidRPr="005067BE">
        <w:t xml:space="preserve"> former smokers, 12</w:t>
      </w:r>
      <w:r w:rsidR="00BD0891">
        <w:t>%</w:t>
      </w:r>
      <w:r w:rsidRPr="005067BE">
        <w:t xml:space="preserve"> current smokers, 5</w:t>
      </w:r>
      <w:r w:rsidR="00BD0891">
        <w:t>%</w:t>
      </w:r>
      <w:r w:rsidRPr="005067BE">
        <w:t xml:space="preserve"> never smokers. All patients received at least 1 prior line of systemic therapy for metastatic NSCLC; 43</w:t>
      </w:r>
      <w:r w:rsidR="00BD0891">
        <w:t>%</w:t>
      </w:r>
      <w:r w:rsidRPr="005067BE">
        <w:t xml:space="preserve"> received only 1 prior line of therapy, 35</w:t>
      </w:r>
      <w:r w:rsidR="00BD0891">
        <w:t>%</w:t>
      </w:r>
      <w:r w:rsidRPr="005067BE">
        <w:t xml:space="preserve"> received 2 prior lines of therapy, 22</w:t>
      </w:r>
      <w:r w:rsidR="00BD0891">
        <w:t>%</w:t>
      </w:r>
      <w:r w:rsidRPr="005067BE">
        <w:t xml:space="preserve"> received 3 prior lines of therapy; 91</w:t>
      </w:r>
      <w:r w:rsidR="00BD0891">
        <w:t>%</w:t>
      </w:r>
      <w:r w:rsidRPr="005067BE">
        <w:t xml:space="preserve"> received prior anti-PD-1/PD-L1 </w:t>
      </w:r>
      <w:r w:rsidRPr="005067BE">
        <w:lastRenderedPageBreak/>
        <w:t>immunotherapy, 90</w:t>
      </w:r>
      <w:r w:rsidR="00BD0891">
        <w:t>%</w:t>
      </w:r>
      <w:r w:rsidRPr="005067BE">
        <w:t xml:space="preserve"> received prior platinum-based chemotherapy, 81</w:t>
      </w:r>
      <w:r w:rsidR="00BD0891">
        <w:t>%</w:t>
      </w:r>
      <w:r w:rsidRPr="005067BE">
        <w:t xml:space="preserve"> received both platinum-based chemotherapy and anti-PD-1/PD-L1. The sites of known extra-thoracic metastasis included 48</w:t>
      </w:r>
      <w:r w:rsidR="00BD0891">
        <w:t>%</w:t>
      </w:r>
      <w:r w:rsidRPr="005067BE">
        <w:t xml:space="preserve"> bone, 21</w:t>
      </w:r>
      <w:r w:rsidR="00BD0891">
        <w:t>%</w:t>
      </w:r>
      <w:r w:rsidRPr="005067BE">
        <w:t xml:space="preserve"> brain, and 21</w:t>
      </w:r>
      <w:r w:rsidR="00BD0891">
        <w:t>%</w:t>
      </w:r>
      <w:r w:rsidRPr="005067BE">
        <w:t xml:space="preserve"> liver.  </w:t>
      </w:r>
    </w:p>
    <w:p w14:paraId="7753411D" w14:textId="6B083A07" w:rsidR="005067BE" w:rsidRDefault="005067BE" w:rsidP="006965AD">
      <w:pPr>
        <w:pStyle w:val="RPI-Text"/>
        <w:spacing w:after="0"/>
      </w:pPr>
      <w:r w:rsidRPr="005067BE">
        <w:t>Efficacy results are summari</w:t>
      </w:r>
      <w:r w:rsidR="009C7939">
        <w:t>s</w:t>
      </w:r>
      <w:r w:rsidRPr="005067BE">
        <w:t xml:space="preserve">ed in Table </w:t>
      </w:r>
      <w:r w:rsidR="000068DA">
        <w:t>5</w:t>
      </w:r>
      <w:r w:rsidRPr="005067BE">
        <w:t>. The ORR was 37</w:t>
      </w:r>
      <w:r w:rsidR="00A02BB1">
        <w:t>%</w:t>
      </w:r>
      <w:r w:rsidRPr="005067BE">
        <w:t xml:space="preserve"> (95</w:t>
      </w:r>
      <w:r w:rsidR="00A02BB1">
        <w:t>%</w:t>
      </w:r>
      <w:r w:rsidRPr="005067BE">
        <w:t xml:space="preserve"> CI: 29, 47). The patients with objective responses had DOR ranging from 1.</w:t>
      </w:r>
      <w:r w:rsidR="00FF06BB">
        <w:t>2</w:t>
      </w:r>
      <w:r w:rsidRPr="005067BE">
        <w:t xml:space="preserve"> to </w:t>
      </w:r>
      <w:r w:rsidR="00FF06BB">
        <w:t>11.1</w:t>
      </w:r>
      <w:r w:rsidRPr="005067BE">
        <w:t xml:space="preserve"> months, and </w:t>
      </w:r>
      <w:r w:rsidR="00FF06BB">
        <w:t>43</w:t>
      </w:r>
      <w:r w:rsidR="00A02BB1">
        <w:t>%</w:t>
      </w:r>
      <w:r w:rsidRPr="005067BE">
        <w:t xml:space="preserve"> were still on therapy with ongoing response after a median duration of follow-up of </w:t>
      </w:r>
      <w:r w:rsidR="00693062">
        <w:t>9.</w:t>
      </w:r>
      <w:r w:rsidR="005F47E8">
        <w:t>6</w:t>
      </w:r>
      <w:r w:rsidRPr="005067BE">
        <w:t xml:space="preserve"> months. The median TTR was 1.4 months (range 1.2 to </w:t>
      </w:r>
      <w:r w:rsidR="00A27859">
        <w:t>10.1</w:t>
      </w:r>
      <w:r w:rsidRPr="005067BE">
        <w:t>), with 70</w:t>
      </w:r>
      <w:r w:rsidR="00A02BB1">
        <w:t>%</w:t>
      </w:r>
      <w:r w:rsidRPr="005067BE">
        <w:t xml:space="preserve"> of responses occurring within the first 7 weeks. Consistent efficacy results were seen in patients with </w:t>
      </w:r>
      <w:r w:rsidRPr="0085306F">
        <w:rPr>
          <w:i/>
          <w:iCs/>
        </w:rPr>
        <w:t>KRAS G12C</w:t>
      </w:r>
      <w:r w:rsidRPr="005067BE">
        <w:t xml:space="preserve"> mutation identified in either tissue or plasma specimens.</w:t>
      </w:r>
    </w:p>
    <w:p w14:paraId="233A2CEA" w14:textId="35A70E6A" w:rsidR="00A02BB1" w:rsidRPr="00A02BB1" w:rsidRDefault="00A02BB1" w:rsidP="006965AD">
      <w:pPr>
        <w:pStyle w:val="RPI-Caption"/>
        <w:spacing w:before="120"/>
        <w:ind w:left="907" w:hanging="907"/>
        <w:jc w:val="left"/>
      </w:pPr>
      <w:r w:rsidRPr="00A02BB1">
        <w:t xml:space="preserve">Table </w:t>
      </w:r>
      <w:r w:rsidR="000068DA">
        <w:t>5</w:t>
      </w:r>
      <w:r w:rsidRPr="00A02BB1">
        <w:t xml:space="preserve">. Efficacy </w:t>
      </w:r>
      <w:r>
        <w:t>r</w:t>
      </w:r>
      <w:r w:rsidRPr="00A02BB1">
        <w:t xml:space="preserve">esults in CodeBreaK 100 for </w:t>
      </w:r>
      <w:r w:rsidR="00E204CA">
        <w:t>pa</w:t>
      </w:r>
      <w:r w:rsidRPr="00A02BB1">
        <w:t xml:space="preserve">tients with </w:t>
      </w:r>
      <w:r w:rsidRPr="00A02BB1">
        <w:rPr>
          <w:i/>
        </w:rPr>
        <w:t>KRAS G12C</w:t>
      </w:r>
      <w:r w:rsidRPr="00A02BB1">
        <w:t xml:space="preserve">-mutated NSCLC </w:t>
      </w:r>
    </w:p>
    <w:tbl>
      <w:tblPr>
        <w:tblStyle w:val="TableGrid4"/>
        <w:tblW w:w="8755" w:type="dxa"/>
        <w:tblInd w:w="-113" w:type="dxa"/>
        <w:tblLook w:val="04A0" w:firstRow="1" w:lastRow="0" w:firstColumn="1" w:lastColumn="0" w:noHBand="0" w:noVBand="1"/>
      </w:tblPr>
      <w:tblGrid>
        <w:gridCol w:w="3703"/>
        <w:gridCol w:w="2693"/>
        <w:gridCol w:w="2359"/>
      </w:tblGrid>
      <w:tr w:rsidR="00A02BB1" w:rsidRPr="00A02BB1" w14:paraId="279D3DB1" w14:textId="77777777" w:rsidTr="00822B58">
        <w:trPr>
          <w:gridAfter w:val="1"/>
          <w:wAfter w:w="2359" w:type="dxa"/>
        </w:trPr>
        <w:tc>
          <w:tcPr>
            <w:tcW w:w="3703" w:type="dxa"/>
            <w:shd w:val="clear" w:color="auto" w:fill="D9D9D9"/>
          </w:tcPr>
          <w:p w14:paraId="09D9D804" w14:textId="77777777" w:rsidR="00A02BB1" w:rsidRPr="00E204CA" w:rsidRDefault="00A02BB1" w:rsidP="00E204CA">
            <w:pPr>
              <w:pStyle w:val="RPI-TableLeftAligned"/>
              <w:ind w:left="-142" w:firstLine="284"/>
              <w:rPr>
                <w:b/>
                <w:bCs/>
              </w:rPr>
            </w:pPr>
            <w:r w:rsidRPr="00E204CA">
              <w:rPr>
                <w:b/>
                <w:bCs/>
              </w:rPr>
              <w:t>Efficacy Parameter</w:t>
            </w:r>
          </w:p>
        </w:tc>
        <w:tc>
          <w:tcPr>
            <w:tcW w:w="2693" w:type="dxa"/>
            <w:shd w:val="clear" w:color="auto" w:fill="D9D9D9"/>
          </w:tcPr>
          <w:p w14:paraId="1FCA1BE7" w14:textId="56612E32" w:rsidR="00A02BB1" w:rsidRPr="00E204CA" w:rsidRDefault="00E204CA" w:rsidP="00E204CA">
            <w:pPr>
              <w:pStyle w:val="RPI-TableLeftAligned"/>
              <w:ind w:left="-142" w:firstLine="284"/>
              <w:jc w:val="center"/>
              <w:rPr>
                <w:b/>
                <w:bCs/>
              </w:rPr>
            </w:pPr>
            <w:r w:rsidRPr="00E204CA">
              <w:rPr>
                <w:b/>
                <w:bCs/>
              </w:rPr>
              <w:t>LUMAKRAS</w:t>
            </w:r>
            <w:r>
              <w:rPr>
                <w:b/>
                <w:bCs/>
              </w:rPr>
              <w:t xml:space="preserve"> </w:t>
            </w:r>
            <w:r w:rsidR="00A02BB1" w:rsidRPr="00E204CA">
              <w:rPr>
                <w:b/>
                <w:bCs/>
              </w:rPr>
              <w:t>N</w:t>
            </w:r>
            <w:r w:rsidR="00A02BB1" w:rsidRPr="00E204CA">
              <w:rPr>
                <w:b/>
                <w:bCs/>
              </w:rPr>
              <w:sym w:font="Symbol" w:char="F03D"/>
            </w:r>
            <w:r w:rsidR="00A02BB1" w:rsidRPr="00E204CA">
              <w:rPr>
                <w:b/>
                <w:bCs/>
              </w:rPr>
              <w:t>12</w:t>
            </w:r>
            <w:r w:rsidR="00693062">
              <w:rPr>
                <w:b/>
                <w:bCs/>
              </w:rPr>
              <w:t>4</w:t>
            </w:r>
          </w:p>
        </w:tc>
      </w:tr>
      <w:tr w:rsidR="00A02BB1" w:rsidRPr="00A02BB1" w14:paraId="59B51A0F" w14:textId="77777777" w:rsidTr="00822B58">
        <w:trPr>
          <w:gridAfter w:val="1"/>
          <w:wAfter w:w="2359" w:type="dxa"/>
        </w:trPr>
        <w:tc>
          <w:tcPr>
            <w:tcW w:w="3703" w:type="dxa"/>
          </w:tcPr>
          <w:p w14:paraId="565481CC" w14:textId="76F6A6A5" w:rsidR="00A02BB1" w:rsidRPr="00A02BB1" w:rsidRDefault="00A02BB1" w:rsidP="00E204CA">
            <w:pPr>
              <w:pStyle w:val="RPI-TableLeftAligned"/>
              <w:ind w:left="-142" w:firstLine="284"/>
              <w:rPr>
                <w:lang w:val="it-IT"/>
              </w:rPr>
            </w:pPr>
            <w:r w:rsidRPr="000B31D8">
              <w:rPr>
                <w:b/>
                <w:bCs/>
                <w:lang w:val="it-IT"/>
              </w:rPr>
              <w:t>ORR</w:t>
            </w:r>
            <w:r w:rsidRPr="00A02BB1">
              <w:rPr>
                <w:lang w:val="it-IT"/>
              </w:rPr>
              <w:t xml:space="preserve">, </w:t>
            </w:r>
            <w:r w:rsidRPr="00A02BB1">
              <w:sym w:font="Symbol" w:char="F025"/>
            </w:r>
            <w:r w:rsidRPr="00A02BB1">
              <w:rPr>
                <w:lang w:val="it-IT"/>
              </w:rPr>
              <w:t xml:space="preserve"> (95</w:t>
            </w:r>
            <w:r w:rsidRPr="00A02BB1">
              <w:sym w:font="Symbol" w:char="F025"/>
            </w:r>
            <w:r w:rsidRPr="00A02BB1">
              <w:rPr>
                <w:lang w:val="it-IT"/>
              </w:rPr>
              <w:t xml:space="preserve"> CI)</w:t>
            </w:r>
            <w:r w:rsidRPr="00A02BB1">
              <w:rPr>
                <w:bCs/>
                <w:vertAlign w:val="superscript"/>
                <w:lang w:val="it-IT"/>
              </w:rPr>
              <w:t>a</w:t>
            </w:r>
          </w:p>
          <w:p w14:paraId="0304486E" w14:textId="77777777" w:rsidR="00A02BB1" w:rsidRPr="00A02BB1" w:rsidRDefault="00A02BB1" w:rsidP="00E204CA">
            <w:pPr>
              <w:pStyle w:val="RPI-TableLeftAligned"/>
              <w:ind w:left="-142" w:firstLine="284"/>
              <w:rPr>
                <w:lang w:val="it-IT"/>
              </w:rPr>
            </w:pPr>
            <w:r w:rsidRPr="00A02BB1">
              <w:rPr>
                <w:lang w:val="it-IT"/>
              </w:rPr>
              <w:t xml:space="preserve">Complete response, </w:t>
            </w:r>
            <w:r w:rsidRPr="00A02BB1">
              <w:sym w:font="Symbol" w:char="F025"/>
            </w:r>
          </w:p>
          <w:p w14:paraId="565B44DA" w14:textId="77777777" w:rsidR="00A02BB1" w:rsidRPr="00A02BB1" w:rsidRDefault="00A02BB1" w:rsidP="00E204CA">
            <w:pPr>
              <w:pStyle w:val="RPI-TableLeftAligned"/>
              <w:ind w:left="-142" w:firstLine="284"/>
            </w:pPr>
            <w:r w:rsidRPr="00A02BB1">
              <w:t xml:space="preserve">Partial response, </w:t>
            </w:r>
            <w:r w:rsidRPr="00A02BB1">
              <w:sym w:font="Symbol" w:char="F025"/>
            </w:r>
          </w:p>
        </w:tc>
        <w:tc>
          <w:tcPr>
            <w:tcW w:w="2693" w:type="dxa"/>
          </w:tcPr>
          <w:p w14:paraId="066D5570" w14:textId="494343FA" w:rsidR="00A02BB1" w:rsidRPr="00A02BB1" w:rsidRDefault="00A02BB1" w:rsidP="00E204CA">
            <w:pPr>
              <w:pStyle w:val="RPI-TableLeftAligned"/>
              <w:ind w:left="-142" w:firstLine="284"/>
              <w:jc w:val="center"/>
            </w:pPr>
            <w:r w:rsidRPr="00A02BB1">
              <w:t>37.</w:t>
            </w:r>
            <w:r w:rsidR="00693062">
              <w:t>1</w:t>
            </w:r>
            <w:r w:rsidRPr="00A02BB1">
              <w:t xml:space="preserve"> (28.</w:t>
            </w:r>
            <w:r w:rsidR="00693062">
              <w:t>6</w:t>
            </w:r>
            <w:r w:rsidRPr="00A02BB1">
              <w:t>, 46.</w:t>
            </w:r>
            <w:r w:rsidR="00693062">
              <w:t>2</w:t>
            </w:r>
            <w:r w:rsidRPr="00A02BB1">
              <w:t>)</w:t>
            </w:r>
          </w:p>
          <w:p w14:paraId="2B7365EE" w14:textId="3493A124" w:rsidR="00A02BB1" w:rsidRPr="00A02BB1" w:rsidRDefault="00693062" w:rsidP="00E204CA">
            <w:pPr>
              <w:pStyle w:val="RPI-TableLeftAligned"/>
              <w:ind w:left="-142" w:firstLine="284"/>
              <w:jc w:val="center"/>
            </w:pPr>
            <w:r>
              <w:t>2.4</w:t>
            </w:r>
          </w:p>
          <w:p w14:paraId="051A36CD" w14:textId="1E99BB52" w:rsidR="00A02BB1" w:rsidRPr="00A02BB1" w:rsidRDefault="00A02BB1" w:rsidP="00E204CA">
            <w:pPr>
              <w:pStyle w:val="RPI-TableLeftAligned"/>
              <w:ind w:left="-142" w:firstLine="284"/>
              <w:jc w:val="center"/>
            </w:pPr>
            <w:r w:rsidRPr="00A02BB1">
              <w:t>3</w:t>
            </w:r>
            <w:r w:rsidR="00693062">
              <w:t>4.7</w:t>
            </w:r>
          </w:p>
        </w:tc>
      </w:tr>
      <w:tr w:rsidR="00A02BB1" w:rsidRPr="00A02BB1" w14:paraId="028635D0" w14:textId="77777777" w:rsidTr="00822B58">
        <w:trPr>
          <w:gridAfter w:val="1"/>
          <w:wAfter w:w="2359" w:type="dxa"/>
        </w:trPr>
        <w:tc>
          <w:tcPr>
            <w:tcW w:w="3703" w:type="dxa"/>
          </w:tcPr>
          <w:p w14:paraId="13B58526" w14:textId="6F6402BF" w:rsidR="00A02BB1" w:rsidRPr="00A02BB1" w:rsidRDefault="00A02BB1" w:rsidP="00E204CA">
            <w:pPr>
              <w:pStyle w:val="RPI-TableLeftAligned"/>
              <w:ind w:left="-142" w:firstLine="284"/>
            </w:pPr>
            <w:r w:rsidRPr="000B31D8">
              <w:rPr>
                <w:b/>
                <w:bCs/>
              </w:rPr>
              <w:t>DOR</w:t>
            </w:r>
            <w:r w:rsidRPr="00A02BB1">
              <w:rPr>
                <w:bCs/>
                <w:vertAlign w:val="superscript"/>
              </w:rPr>
              <w:t>a</w:t>
            </w:r>
          </w:p>
          <w:p w14:paraId="35C1B229" w14:textId="6ACA5A09" w:rsidR="00A02BB1" w:rsidRPr="00A02BB1" w:rsidRDefault="00A02BB1" w:rsidP="00E204CA">
            <w:pPr>
              <w:pStyle w:val="RPI-TableLeftAligned"/>
              <w:ind w:left="-142" w:firstLine="284"/>
            </w:pPr>
            <w:proofErr w:type="spellStart"/>
            <w:r w:rsidRPr="00A02BB1">
              <w:t>Median</w:t>
            </w:r>
            <w:r w:rsidRPr="00A02BB1">
              <w:rPr>
                <w:vertAlign w:val="superscript"/>
              </w:rPr>
              <w:t>b</w:t>
            </w:r>
            <w:proofErr w:type="spellEnd"/>
            <w:r w:rsidRPr="00A02BB1">
              <w:t>, months (</w:t>
            </w:r>
            <w:r w:rsidRPr="00A02BB1">
              <w:rPr>
                <w:bCs/>
              </w:rPr>
              <w:t>Range</w:t>
            </w:r>
            <w:r w:rsidRPr="00A02BB1">
              <w:t>)</w:t>
            </w:r>
          </w:p>
          <w:p w14:paraId="62DCA0F0" w14:textId="77777777" w:rsidR="00A02BB1" w:rsidRPr="00A02BB1" w:rsidRDefault="00A02BB1" w:rsidP="00E204CA">
            <w:pPr>
              <w:pStyle w:val="RPI-TableLeftAligned"/>
              <w:ind w:left="-142" w:firstLine="284"/>
            </w:pPr>
            <w:r w:rsidRPr="00A02BB1">
              <w:t xml:space="preserve">Patients with duration </w:t>
            </w:r>
            <w:r w:rsidRPr="00A02BB1">
              <w:sym w:font="Symbol" w:char="F0B3"/>
            </w:r>
            <w:r w:rsidRPr="00A02BB1">
              <w:t xml:space="preserve"> 6 months, </w:t>
            </w:r>
            <w:r w:rsidRPr="00A02BB1">
              <w:sym w:font="Symbol" w:char="F025"/>
            </w:r>
          </w:p>
        </w:tc>
        <w:tc>
          <w:tcPr>
            <w:tcW w:w="2693" w:type="dxa"/>
          </w:tcPr>
          <w:p w14:paraId="4517136B" w14:textId="77777777" w:rsidR="00A02BB1" w:rsidRPr="00A02BB1" w:rsidRDefault="00A02BB1" w:rsidP="00E204CA">
            <w:pPr>
              <w:pStyle w:val="RPI-TableLeftAligned"/>
              <w:ind w:left="-142" w:firstLine="284"/>
              <w:jc w:val="center"/>
            </w:pPr>
          </w:p>
          <w:p w14:paraId="2150CFDB" w14:textId="564BFD91" w:rsidR="00A02BB1" w:rsidRPr="00A02BB1" w:rsidRDefault="00693062" w:rsidP="00E204CA">
            <w:pPr>
              <w:pStyle w:val="RPI-TableLeftAligned"/>
              <w:ind w:left="-142" w:firstLine="284"/>
              <w:jc w:val="center"/>
            </w:pPr>
            <w:r>
              <w:t>10.0</w:t>
            </w:r>
            <w:r w:rsidR="00A02BB1" w:rsidRPr="00A02BB1">
              <w:t xml:space="preserve"> (1.</w:t>
            </w:r>
            <w:r>
              <w:t>2</w:t>
            </w:r>
            <w:r w:rsidR="00A02BB1" w:rsidRPr="00A02BB1">
              <w:t xml:space="preserve">, </w:t>
            </w:r>
            <w:r>
              <w:t>11.1</w:t>
            </w:r>
            <w:r w:rsidR="00A02BB1" w:rsidRPr="00A02BB1">
              <w:t>)</w:t>
            </w:r>
          </w:p>
          <w:p w14:paraId="3442D22F" w14:textId="3C4B8B9A" w:rsidR="00A02BB1" w:rsidRPr="00A02BB1" w:rsidRDefault="00A02BB1" w:rsidP="00E204CA">
            <w:pPr>
              <w:pStyle w:val="RPI-TableLeftAligned"/>
              <w:ind w:left="-142" w:firstLine="284"/>
              <w:jc w:val="center"/>
            </w:pPr>
            <w:r w:rsidRPr="00A02BB1">
              <w:t>5</w:t>
            </w:r>
            <w:r w:rsidR="00693062">
              <w:t>6.5</w:t>
            </w:r>
          </w:p>
        </w:tc>
      </w:tr>
      <w:tr w:rsidR="00A02BB1" w:rsidRPr="00A02BB1" w14:paraId="09BDDFD5" w14:textId="77777777" w:rsidTr="00822B58">
        <w:trPr>
          <w:gridAfter w:val="1"/>
          <w:wAfter w:w="2359" w:type="dxa"/>
        </w:trPr>
        <w:tc>
          <w:tcPr>
            <w:tcW w:w="3703" w:type="dxa"/>
          </w:tcPr>
          <w:p w14:paraId="71CB0CC7" w14:textId="77777777" w:rsidR="00A02BB1" w:rsidRPr="00A02BB1" w:rsidRDefault="00A02BB1" w:rsidP="00E204CA">
            <w:pPr>
              <w:pStyle w:val="RPI-TableLeftAligned"/>
              <w:ind w:left="-142" w:firstLine="284"/>
            </w:pPr>
            <w:r w:rsidRPr="000B31D8">
              <w:rPr>
                <w:b/>
                <w:bCs/>
              </w:rPr>
              <w:t>DCR</w:t>
            </w:r>
            <w:r w:rsidRPr="00A02BB1">
              <w:t xml:space="preserve"> (95</w:t>
            </w:r>
            <w:r w:rsidRPr="00A02BB1">
              <w:sym w:font="Symbol" w:char="F025"/>
            </w:r>
            <w:r w:rsidRPr="00A02BB1">
              <w:t xml:space="preserve"> CI)</w:t>
            </w:r>
          </w:p>
        </w:tc>
        <w:tc>
          <w:tcPr>
            <w:tcW w:w="2693" w:type="dxa"/>
          </w:tcPr>
          <w:p w14:paraId="15B6328C" w14:textId="0D8CB54D" w:rsidR="00A02BB1" w:rsidRPr="00A02BB1" w:rsidRDefault="00A02BB1" w:rsidP="00E204CA">
            <w:pPr>
              <w:pStyle w:val="RPI-TableLeftAligned"/>
              <w:ind w:left="-142" w:firstLine="284"/>
              <w:jc w:val="center"/>
            </w:pPr>
            <w:r w:rsidRPr="00A02BB1">
              <w:t>80.</w:t>
            </w:r>
            <w:r w:rsidR="00693062">
              <w:t>6</w:t>
            </w:r>
            <w:r w:rsidRPr="00A02BB1">
              <w:t xml:space="preserve"> (72.</w:t>
            </w:r>
            <w:r w:rsidR="00693062">
              <w:t>6</w:t>
            </w:r>
            <w:r w:rsidRPr="00A02BB1">
              <w:t>, 87.</w:t>
            </w:r>
            <w:r w:rsidR="00693062">
              <w:t>2</w:t>
            </w:r>
            <w:r w:rsidRPr="00A02BB1">
              <w:t>)</w:t>
            </w:r>
          </w:p>
        </w:tc>
      </w:tr>
      <w:tr w:rsidR="00A02BB1" w:rsidRPr="00A02BB1" w14:paraId="3F7F9182" w14:textId="77777777" w:rsidTr="00822B58">
        <w:trPr>
          <w:gridAfter w:val="1"/>
          <w:wAfter w:w="2359" w:type="dxa"/>
        </w:trPr>
        <w:tc>
          <w:tcPr>
            <w:tcW w:w="3703" w:type="dxa"/>
          </w:tcPr>
          <w:p w14:paraId="54409FFB" w14:textId="6FED06D3" w:rsidR="00A02BB1" w:rsidRPr="00A02BB1" w:rsidRDefault="00A02BB1" w:rsidP="00E204CA">
            <w:pPr>
              <w:pStyle w:val="RPI-TableLeftAligned"/>
              <w:ind w:left="-142" w:firstLine="284"/>
            </w:pPr>
            <w:bookmarkStart w:id="2" w:name="_Hlk52978572"/>
            <w:proofErr w:type="spellStart"/>
            <w:r w:rsidRPr="000B31D8">
              <w:rPr>
                <w:b/>
                <w:bCs/>
              </w:rPr>
              <w:t>PFS</w:t>
            </w:r>
            <w:r w:rsidRPr="00A02BB1">
              <w:rPr>
                <w:bCs/>
                <w:vertAlign w:val="superscript"/>
              </w:rPr>
              <w:t>a</w:t>
            </w:r>
            <w:proofErr w:type="spellEnd"/>
          </w:p>
          <w:p w14:paraId="4E464377" w14:textId="77777777" w:rsidR="00A02BB1" w:rsidRPr="00A02BB1" w:rsidRDefault="00A02BB1" w:rsidP="00E204CA">
            <w:pPr>
              <w:pStyle w:val="RPI-TableLeftAligned"/>
              <w:ind w:left="-142" w:firstLine="284"/>
            </w:pPr>
            <w:r w:rsidRPr="00A02BB1">
              <w:t>Median, months (95</w:t>
            </w:r>
            <w:r w:rsidRPr="00A02BB1">
              <w:sym w:font="Symbol" w:char="F025"/>
            </w:r>
            <w:r w:rsidRPr="00A02BB1">
              <w:t xml:space="preserve"> CI)</w:t>
            </w:r>
          </w:p>
          <w:p w14:paraId="7896F98E" w14:textId="77777777" w:rsidR="00A02BB1" w:rsidRPr="00A02BB1" w:rsidRDefault="00A02BB1" w:rsidP="00E204CA">
            <w:pPr>
              <w:pStyle w:val="RPI-TableLeftAligned"/>
              <w:ind w:left="-142" w:firstLine="284"/>
            </w:pPr>
            <w:r w:rsidRPr="00A02BB1">
              <w:t xml:space="preserve">6-month PFS, </w:t>
            </w:r>
            <w:r w:rsidRPr="00A02BB1">
              <w:sym w:font="Symbol" w:char="F025"/>
            </w:r>
            <w:r w:rsidRPr="00A02BB1">
              <w:t xml:space="preserve"> (95</w:t>
            </w:r>
            <w:r w:rsidRPr="00A02BB1">
              <w:sym w:font="Symbol" w:char="F025"/>
            </w:r>
            <w:r w:rsidRPr="00A02BB1">
              <w:t xml:space="preserve"> CI)</w:t>
            </w:r>
          </w:p>
          <w:p w14:paraId="52F0A7CF" w14:textId="77777777" w:rsidR="00A02BB1" w:rsidRPr="00A02BB1" w:rsidRDefault="00A02BB1" w:rsidP="00E204CA">
            <w:pPr>
              <w:pStyle w:val="RPI-TableLeftAligned"/>
              <w:ind w:left="-142" w:firstLine="284"/>
            </w:pPr>
            <w:r w:rsidRPr="00A02BB1">
              <w:t xml:space="preserve">9-month PFS, </w:t>
            </w:r>
            <w:r w:rsidRPr="00A02BB1">
              <w:sym w:font="Symbol" w:char="F025"/>
            </w:r>
            <w:r w:rsidRPr="00A02BB1">
              <w:t xml:space="preserve"> (95</w:t>
            </w:r>
            <w:r w:rsidRPr="00A02BB1">
              <w:sym w:font="Symbol" w:char="F025"/>
            </w:r>
            <w:r w:rsidRPr="00A02BB1">
              <w:t xml:space="preserve"> CI)</w:t>
            </w:r>
          </w:p>
        </w:tc>
        <w:tc>
          <w:tcPr>
            <w:tcW w:w="2693" w:type="dxa"/>
          </w:tcPr>
          <w:p w14:paraId="75628756" w14:textId="77777777" w:rsidR="00A02BB1" w:rsidRPr="00A02BB1" w:rsidRDefault="00A02BB1" w:rsidP="00E204CA">
            <w:pPr>
              <w:pStyle w:val="RPI-TableLeftAligned"/>
              <w:ind w:left="-142" w:firstLine="284"/>
              <w:jc w:val="center"/>
            </w:pPr>
          </w:p>
          <w:p w14:paraId="5FEEF7F5" w14:textId="2DFEA72D" w:rsidR="00A02BB1" w:rsidRPr="00A02BB1" w:rsidRDefault="00A02BB1" w:rsidP="00E204CA">
            <w:pPr>
              <w:pStyle w:val="RPI-TableLeftAligned"/>
              <w:ind w:left="-142" w:firstLine="284"/>
              <w:jc w:val="center"/>
            </w:pPr>
            <w:r w:rsidRPr="00A02BB1">
              <w:t>6.</w:t>
            </w:r>
            <w:r w:rsidR="00693062">
              <w:t>8</w:t>
            </w:r>
            <w:r w:rsidRPr="00A02BB1">
              <w:t xml:space="preserve"> (</w:t>
            </w:r>
            <w:r w:rsidR="00693062">
              <w:t>5.1</w:t>
            </w:r>
            <w:r w:rsidRPr="00A02BB1">
              <w:t>, 8.</w:t>
            </w:r>
            <w:r w:rsidR="00693062">
              <w:t>2</w:t>
            </w:r>
            <w:r w:rsidRPr="00A02BB1">
              <w:t>)</w:t>
            </w:r>
          </w:p>
          <w:p w14:paraId="6DAB6CCF" w14:textId="32972782" w:rsidR="00A02BB1" w:rsidRPr="00A02BB1" w:rsidRDefault="00A02BB1" w:rsidP="00E204CA">
            <w:pPr>
              <w:pStyle w:val="RPI-TableLeftAligned"/>
              <w:ind w:left="-142" w:firstLine="284"/>
              <w:jc w:val="center"/>
            </w:pPr>
            <w:r w:rsidRPr="00A02BB1">
              <w:t>5</w:t>
            </w:r>
            <w:r w:rsidR="00693062">
              <w:t>2.2</w:t>
            </w:r>
            <w:r w:rsidRPr="00A02BB1">
              <w:t xml:space="preserve"> (4</w:t>
            </w:r>
            <w:r w:rsidR="00693062">
              <w:t>2.6</w:t>
            </w:r>
            <w:r w:rsidRPr="00A02BB1">
              <w:t>, 60.</w:t>
            </w:r>
            <w:r w:rsidR="00693062">
              <w:t>9</w:t>
            </w:r>
            <w:r w:rsidRPr="00A02BB1">
              <w:t>)</w:t>
            </w:r>
          </w:p>
          <w:p w14:paraId="647A363C" w14:textId="2BF62BEF" w:rsidR="00A02BB1" w:rsidRPr="00A02BB1" w:rsidRDefault="00A02BB1" w:rsidP="00E204CA">
            <w:pPr>
              <w:pStyle w:val="RPI-TableLeftAligned"/>
              <w:ind w:left="-142" w:firstLine="284"/>
              <w:jc w:val="center"/>
            </w:pPr>
            <w:r w:rsidRPr="00A02BB1">
              <w:t>3</w:t>
            </w:r>
            <w:r w:rsidR="00693062">
              <w:t>7</w:t>
            </w:r>
            <w:r w:rsidRPr="00A02BB1">
              <w:t>.2 (2</w:t>
            </w:r>
            <w:r w:rsidR="00693062">
              <w:t>8.1</w:t>
            </w:r>
            <w:r w:rsidRPr="00A02BB1">
              <w:t>, 4</w:t>
            </w:r>
            <w:r w:rsidR="00693062">
              <w:t>6.3</w:t>
            </w:r>
            <w:r w:rsidRPr="00A02BB1">
              <w:t>)</w:t>
            </w:r>
          </w:p>
        </w:tc>
      </w:tr>
      <w:tr w:rsidR="00A02BB1" w:rsidRPr="00A02BB1" w14:paraId="0BCF6B37" w14:textId="77777777" w:rsidTr="00822B58">
        <w:trPr>
          <w:gridAfter w:val="1"/>
          <w:wAfter w:w="2359" w:type="dxa"/>
        </w:trPr>
        <w:tc>
          <w:tcPr>
            <w:tcW w:w="3703" w:type="dxa"/>
            <w:shd w:val="clear" w:color="auto" w:fill="D9D9D9"/>
          </w:tcPr>
          <w:p w14:paraId="1BFE0FC8" w14:textId="77777777" w:rsidR="00A02BB1" w:rsidRPr="00E204CA" w:rsidRDefault="00A02BB1" w:rsidP="00E204CA">
            <w:pPr>
              <w:pStyle w:val="RPI-TableLeftAligned"/>
              <w:ind w:left="-142" w:firstLine="284"/>
              <w:rPr>
                <w:b/>
                <w:bCs/>
              </w:rPr>
            </w:pPr>
            <w:r w:rsidRPr="00E204CA">
              <w:rPr>
                <w:b/>
                <w:bCs/>
              </w:rPr>
              <w:t>Efficacy Parameter</w:t>
            </w:r>
          </w:p>
        </w:tc>
        <w:tc>
          <w:tcPr>
            <w:tcW w:w="2693" w:type="dxa"/>
            <w:shd w:val="clear" w:color="auto" w:fill="D9D9D9"/>
          </w:tcPr>
          <w:p w14:paraId="7CB0202D" w14:textId="77777777" w:rsidR="00A02BB1" w:rsidRPr="00E204CA" w:rsidRDefault="00A02BB1" w:rsidP="00E204CA">
            <w:pPr>
              <w:pStyle w:val="RPI-TableLeftAligned"/>
              <w:ind w:left="-142" w:firstLine="284"/>
              <w:jc w:val="center"/>
              <w:rPr>
                <w:b/>
                <w:bCs/>
              </w:rPr>
            </w:pPr>
            <w:r w:rsidRPr="00E204CA">
              <w:rPr>
                <w:b/>
                <w:bCs/>
              </w:rPr>
              <w:t>N</w:t>
            </w:r>
            <w:r w:rsidRPr="00E204CA">
              <w:rPr>
                <w:b/>
                <w:bCs/>
              </w:rPr>
              <w:sym w:font="Symbol" w:char="F03D"/>
            </w:r>
            <w:r w:rsidRPr="00E204CA">
              <w:rPr>
                <w:b/>
                <w:bCs/>
              </w:rPr>
              <w:t>126</w:t>
            </w:r>
          </w:p>
        </w:tc>
      </w:tr>
      <w:bookmarkEnd w:id="2"/>
      <w:tr w:rsidR="00A02BB1" w:rsidRPr="00A02BB1" w14:paraId="6A1FC215" w14:textId="77777777" w:rsidTr="00822B58">
        <w:trPr>
          <w:gridAfter w:val="1"/>
          <w:wAfter w:w="2359" w:type="dxa"/>
        </w:trPr>
        <w:tc>
          <w:tcPr>
            <w:tcW w:w="3703" w:type="dxa"/>
            <w:tcBorders>
              <w:bottom w:val="single" w:sz="4" w:space="0" w:color="auto"/>
            </w:tcBorders>
          </w:tcPr>
          <w:p w14:paraId="2F50E30A" w14:textId="77777777" w:rsidR="00A02BB1" w:rsidRPr="000B31D8" w:rsidRDefault="00A02BB1" w:rsidP="00E204CA">
            <w:pPr>
              <w:pStyle w:val="RPI-TableLeftAligned"/>
              <w:ind w:left="-142" w:firstLine="284"/>
              <w:rPr>
                <w:b/>
                <w:bCs/>
              </w:rPr>
            </w:pPr>
            <w:r w:rsidRPr="000B31D8">
              <w:rPr>
                <w:b/>
                <w:bCs/>
              </w:rPr>
              <w:t>OS</w:t>
            </w:r>
          </w:p>
          <w:p w14:paraId="4D22CA1A" w14:textId="77777777" w:rsidR="00A02BB1" w:rsidRPr="00A02BB1" w:rsidRDefault="00A02BB1" w:rsidP="00E204CA">
            <w:pPr>
              <w:pStyle w:val="RPI-TableLeftAligned"/>
              <w:ind w:left="-142" w:firstLine="284"/>
            </w:pPr>
            <w:r w:rsidRPr="00A02BB1">
              <w:t>Median, months (95</w:t>
            </w:r>
            <w:r w:rsidRPr="00A02BB1">
              <w:sym w:font="Symbol" w:char="F025"/>
            </w:r>
            <w:r w:rsidRPr="00A02BB1">
              <w:t xml:space="preserve"> CI)</w:t>
            </w:r>
          </w:p>
          <w:p w14:paraId="4AB02E9F" w14:textId="77777777" w:rsidR="00A02BB1" w:rsidRPr="00A02BB1" w:rsidRDefault="00A02BB1" w:rsidP="00E204CA">
            <w:pPr>
              <w:pStyle w:val="RPI-TableLeftAligned"/>
              <w:ind w:left="-142" w:firstLine="284"/>
            </w:pPr>
            <w:r w:rsidRPr="00A02BB1">
              <w:t xml:space="preserve">6-month OS, </w:t>
            </w:r>
            <w:r w:rsidRPr="00A02BB1">
              <w:sym w:font="Symbol" w:char="F025"/>
            </w:r>
            <w:r w:rsidRPr="00A02BB1">
              <w:t xml:space="preserve"> (95</w:t>
            </w:r>
            <w:r w:rsidRPr="00A02BB1">
              <w:sym w:font="Symbol" w:char="F025"/>
            </w:r>
            <w:r w:rsidRPr="00A02BB1">
              <w:t xml:space="preserve"> CI)</w:t>
            </w:r>
          </w:p>
          <w:p w14:paraId="63F9682B" w14:textId="77777777" w:rsidR="00A02BB1" w:rsidRPr="00A02BB1" w:rsidRDefault="00A02BB1" w:rsidP="00E204CA">
            <w:pPr>
              <w:pStyle w:val="RPI-TableLeftAligned"/>
              <w:ind w:left="-142" w:firstLine="284"/>
            </w:pPr>
            <w:r w:rsidRPr="00A02BB1">
              <w:t xml:space="preserve">9-month OS, </w:t>
            </w:r>
            <w:r w:rsidRPr="00A02BB1">
              <w:sym w:font="Symbol" w:char="F025"/>
            </w:r>
            <w:r w:rsidRPr="00A02BB1">
              <w:t xml:space="preserve"> (95</w:t>
            </w:r>
            <w:r w:rsidRPr="00A02BB1">
              <w:sym w:font="Symbol" w:char="F025"/>
            </w:r>
            <w:r w:rsidRPr="00A02BB1">
              <w:t xml:space="preserve"> CI)</w:t>
            </w:r>
          </w:p>
          <w:p w14:paraId="721E34BA" w14:textId="77777777" w:rsidR="00A02BB1" w:rsidRPr="00A02BB1" w:rsidRDefault="00A02BB1" w:rsidP="00E204CA">
            <w:pPr>
              <w:pStyle w:val="RPI-TableLeftAligned"/>
              <w:ind w:left="-142" w:firstLine="284"/>
            </w:pPr>
            <w:r w:rsidRPr="00A02BB1">
              <w:t xml:space="preserve">12-month OS, </w:t>
            </w:r>
            <w:r w:rsidRPr="00A02BB1">
              <w:sym w:font="Symbol" w:char="F025"/>
            </w:r>
            <w:r w:rsidRPr="00A02BB1">
              <w:t xml:space="preserve"> (95</w:t>
            </w:r>
            <w:r w:rsidRPr="00A02BB1">
              <w:sym w:font="Symbol" w:char="F025"/>
            </w:r>
            <w:r w:rsidRPr="00A02BB1">
              <w:t xml:space="preserve"> CI)</w:t>
            </w:r>
          </w:p>
        </w:tc>
        <w:tc>
          <w:tcPr>
            <w:tcW w:w="2693" w:type="dxa"/>
            <w:tcBorders>
              <w:bottom w:val="single" w:sz="4" w:space="0" w:color="auto"/>
            </w:tcBorders>
          </w:tcPr>
          <w:p w14:paraId="0BD9AE1F" w14:textId="77777777" w:rsidR="00A02BB1" w:rsidRPr="00A02BB1" w:rsidRDefault="00A02BB1" w:rsidP="00E204CA">
            <w:pPr>
              <w:pStyle w:val="RPI-TableLeftAligned"/>
              <w:ind w:left="-142" w:firstLine="284"/>
              <w:jc w:val="center"/>
            </w:pPr>
          </w:p>
          <w:p w14:paraId="38F99A21" w14:textId="1E00361C" w:rsidR="00A02BB1" w:rsidRPr="00A02BB1" w:rsidRDefault="00A02BB1" w:rsidP="00E204CA">
            <w:pPr>
              <w:pStyle w:val="RPI-TableLeftAligned"/>
              <w:ind w:left="-142" w:firstLine="284"/>
              <w:jc w:val="center"/>
            </w:pPr>
            <w:r w:rsidRPr="00A02BB1">
              <w:t>12</w:t>
            </w:r>
            <w:r w:rsidR="00693062">
              <w:t>.5</w:t>
            </w:r>
            <w:r w:rsidRPr="00A02BB1">
              <w:t xml:space="preserve"> (</w:t>
            </w:r>
            <w:r w:rsidR="00693062">
              <w:t>10.0</w:t>
            </w:r>
            <w:r w:rsidRPr="00A02BB1">
              <w:t>, NE)</w:t>
            </w:r>
          </w:p>
          <w:p w14:paraId="5A9AA6AC" w14:textId="77777777" w:rsidR="00A02BB1" w:rsidRPr="00A02BB1" w:rsidRDefault="00A02BB1" w:rsidP="00E204CA">
            <w:pPr>
              <w:pStyle w:val="RPI-TableLeftAligned"/>
              <w:ind w:left="-142" w:firstLine="284"/>
              <w:jc w:val="center"/>
            </w:pPr>
            <w:r w:rsidRPr="00A02BB1">
              <w:t>75.5 (66.8, 82.2)</w:t>
            </w:r>
          </w:p>
          <w:p w14:paraId="79F907A5" w14:textId="780BB6FF" w:rsidR="00A02BB1" w:rsidRPr="00A02BB1" w:rsidRDefault="00A02BB1" w:rsidP="00E204CA">
            <w:pPr>
              <w:pStyle w:val="RPI-TableLeftAligned"/>
              <w:ind w:left="-142" w:firstLine="284"/>
              <w:jc w:val="center"/>
            </w:pPr>
            <w:r w:rsidRPr="00A02BB1">
              <w:t>63.</w:t>
            </w:r>
            <w:r w:rsidR="00693062">
              <w:t>5</w:t>
            </w:r>
            <w:r w:rsidRPr="00A02BB1">
              <w:t xml:space="preserve"> (5</w:t>
            </w:r>
            <w:r w:rsidR="00693062">
              <w:t>4.3</w:t>
            </w:r>
            <w:r w:rsidRPr="00A02BB1">
              <w:t>, 71.</w:t>
            </w:r>
            <w:r w:rsidR="00693062">
              <w:t>4</w:t>
            </w:r>
            <w:r w:rsidRPr="00A02BB1">
              <w:t>)</w:t>
            </w:r>
          </w:p>
          <w:p w14:paraId="61A74C1C" w14:textId="0527BB60" w:rsidR="00A02BB1" w:rsidRPr="00A02BB1" w:rsidRDefault="00A02BB1" w:rsidP="00E204CA">
            <w:pPr>
              <w:pStyle w:val="RPI-TableLeftAligned"/>
              <w:ind w:left="-142" w:firstLine="284"/>
              <w:jc w:val="center"/>
            </w:pPr>
            <w:r w:rsidRPr="00A02BB1">
              <w:t>51.</w:t>
            </w:r>
            <w:r w:rsidR="00693062">
              <w:t>4</w:t>
            </w:r>
            <w:r w:rsidRPr="00A02BB1">
              <w:t xml:space="preserve"> (</w:t>
            </w:r>
            <w:r w:rsidR="00693062">
              <w:t>41.</w:t>
            </w:r>
            <w:r w:rsidR="00505875">
              <w:t>9</w:t>
            </w:r>
            <w:r w:rsidRPr="00A02BB1">
              <w:t>, 6</w:t>
            </w:r>
            <w:r w:rsidR="00693062">
              <w:t>0.1</w:t>
            </w:r>
            <w:r w:rsidRPr="00A02BB1">
              <w:t>)</w:t>
            </w:r>
          </w:p>
        </w:tc>
      </w:tr>
      <w:tr w:rsidR="00A02BB1" w:rsidRPr="00A02BB1" w14:paraId="4D4A728F" w14:textId="77777777" w:rsidTr="00822B58">
        <w:trPr>
          <w:trHeight w:val="758"/>
        </w:trPr>
        <w:tc>
          <w:tcPr>
            <w:tcW w:w="8755" w:type="dxa"/>
            <w:gridSpan w:val="3"/>
            <w:tcBorders>
              <w:top w:val="nil"/>
              <w:left w:val="nil"/>
              <w:bottom w:val="nil"/>
              <w:right w:val="nil"/>
            </w:tcBorders>
          </w:tcPr>
          <w:p w14:paraId="5F659FC1" w14:textId="77777777" w:rsidR="00A02BB1" w:rsidRPr="00A02BB1" w:rsidRDefault="00A02BB1" w:rsidP="00E204CA">
            <w:pPr>
              <w:pStyle w:val="RPI-TableLeftAligned"/>
              <w:ind w:left="113"/>
              <w:rPr>
                <w:sz w:val="18"/>
                <w:szCs w:val="18"/>
              </w:rPr>
            </w:pPr>
            <w:r w:rsidRPr="00A02BB1">
              <w:rPr>
                <w:sz w:val="18"/>
                <w:szCs w:val="18"/>
              </w:rPr>
              <w:t xml:space="preserve">CI </w:t>
            </w:r>
            <w:r w:rsidRPr="00A02BB1">
              <w:rPr>
                <w:sz w:val="18"/>
                <w:szCs w:val="18"/>
              </w:rPr>
              <w:sym w:font="Symbol" w:char="F03D"/>
            </w:r>
            <w:r w:rsidRPr="00A02BB1">
              <w:rPr>
                <w:sz w:val="18"/>
                <w:szCs w:val="18"/>
              </w:rPr>
              <w:t xml:space="preserve"> confidence interval; DCR </w:t>
            </w:r>
            <w:r w:rsidRPr="00A02BB1">
              <w:rPr>
                <w:sz w:val="18"/>
                <w:szCs w:val="18"/>
              </w:rPr>
              <w:sym w:font="Symbol" w:char="F03D"/>
            </w:r>
            <w:r w:rsidRPr="00A02BB1">
              <w:rPr>
                <w:sz w:val="18"/>
                <w:szCs w:val="18"/>
              </w:rPr>
              <w:t xml:space="preserve"> disease control rate; DOR </w:t>
            </w:r>
            <w:r w:rsidRPr="00A02BB1">
              <w:rPr>
                <w:sz w:val="18"/>
                <w:szCs w:val="18"/>
              </w:rPr>
              <w:sym w:font="Symbol" w:char="F03D"/>
            </w:r>
            <w:r w:rsidRPr="00A02BB1">
              <w:rPr>
                <w:sz w:val="18"/>
                <w:szCs w:val="18"/>
              </w:rPr>
              <w:t xml:space="preserve"> duration of response; NE </w:t>
            </w:r>
            <w:r w:rsidRPr="00A02BB1">
              <w:rPr>
                <w:sz w:val="18"/>
                <w:szCs w:val="18"/>
              </w:rPr>
              <w:sym w:font="Symbol" w:char="F03D"/>
            </w:r>
            <w:r w:rsidRPr="00A02BB1">
              <w:rPr>
                <w:sz w:val="18"/>
                <w:szCs w:val="18"/>
              </w:rPr>
              <w:t xml:space="preserve"> not estimable; ORR </w:t>
            </w:r>
            <w:r w:rsidRPr="00A02BB1">
              <w:rPr>
                <w:sz w:val="18"/>
                <w:szCs w:val="18"/>
              </w:rPr>
              <w:sym w:font="Symbol" w:char="F03D"/>
            </w:r>
            <w:r w:rsidRPr="00A02BB1">
              <w:rPr>
                <w:sz w:val="18"/>
                <w:szCs w:val="18"/>
              </w:rPr>
              <w:t xml:space="preserve"> objective response rate; OS </w:t>
            </w:r>
            <w:r w:rsidRPr="00A02BB1">
              <w:rPr>
                <w:sz w:val="18"/>
                <w:szCs w:val="18"/>
              </w:rPr>
              <w:sym w:font="Symbol" w:char="F03D"/>
            </w:r>
            <w:r w:rsidRPr="00A02BB1">
              <w:rPr>
                <w:sz w:val="18"/>
                <w:szCs w:val="18"/>
              </w:rPr>
              <w:t xml:space="preserve"> overall survival; PFS </w:t>
            </w:r>
            <w:r w:rsidRPr="00A02BB1">
              <w:rPr>
                <w:sz w:val="18"/>
                <w:szCs w:val="18"/>
              </w:rPr>
              <w:sym w:font="Symbol" w:char="F03D"/>
            </w:r>
            <w:r w:rsidRPr="00A02BB1">
              <w:rPr>
                <w:sz w:val="18"/>
                <w:szCs w:val="18"/>
              </w:rPr>
              <w:t xml:space="preserve"> progression-free survival</w:t>
            </w:r>
          </w:p>
          <w:p w14:paraId="58AEA02E" w14:textId="77777777" w:rsidR="00A02BB1" w:rsidRPr="00A02BB1" w:rsidRDefault="00A02BB1" w:rsidP="00E204CA">
            <w:pPr>
              <w:pStyle w:val="RPI-TableLeftAligned"/>
              <w:ind w:left="-142" w:firstLine="284"/>
              <w:rPr>
                <w:sz w:val="18"/>
                <w:szCs w:val="18"/>
              </w:rPr>
            </w:pPr>
            <w:r w:rsidRPr="00A02BB1">
              <w:rPr>
                <w:rFonts w:eastAsia="MS Mincho"/>
                <w:vertAlign w:val="superscript"/>
                <w:lang w:eastAsia="ja-JP"/>
              </w:rPr>
              <w:t>a</w:t>
            </w:r>
            <w:r w:rsidRPr="00A02BB1">
              <w:rPr>
                <w:sz w:val="18"/>
                <w:szCs w:val="18"/>
              </w:rPr>
              <w:t xml:space="preserve"> Response-related efficacy outcome</w:t>
            </w:r>
          </w:p>
          <w:p w14:paraId="3E43E239" w14:textId="77777777" w:rsidR="00A02BB1" w:rsidRPr="00A02BB1" w:rsidRDefault="00A02BB1" w:rsidP="00E204CA">
            <w:pPr>
              <w:pStyle w:val="RPI-TableLeftAligned"/>
              <w:ind w:left="-142" w:firstLine="284"/>
              <w:rPr>
                <w:rFonts w:eastAsia="MS Mincho"/>
                <w:sz w:val="18"/>
                <w:szCs w:val="22"/>
                <w:lang w:eastAsia="ja-JP"/>
              </w:rPr>
            </w:pPr>
            <w:r w:rsidRPr="00A02BB1">
              <w:rPr>
                <w:sz w:val="18"/>
                <w:szCs w:val="18"/>
                <w:vertAlign w:val="superscript"/>
              </w:rPr>
              <w:t>b</w:t>
            </w:r>
            <w:r w:rsidRPr="00A02BB1">
              <w:rPr>
                <w:sz w:val="18"/>
                <w:szCs w:val="18"/>
              </w:rPr>
              <w:t xml:space="preserve"> Estimate using Kaplan-Meier method</w:t>
            </w:r>
          </w:p>
        </w:tc>
      </w:tr>
    </w:tbl>
    <w:p w14:paraId="12AFF4CA" w14:textId="03382C3C" w:rsidR="0032608A" w:rsidRDefault="0032608A" w:rsidP="00DF38D0">
      <w:pPr>
        <w:pStyle w:val="RPI-Heading2"/>
        <w:tabs>
          <w:tab w:val="clear" w:pos="1440"/>
          <w:tab w:val="num" w:pos="567"/>
        </w:tabs>
      </w:pPr>
      <w:r w:rsidRPr="00ED7DB4">
        <w:t>Pharmacokinetic properties</w:t>
      </w:r>
      <w:r w:rsidR="00245127" w:rsidRPr="00ED7DB4">
        <w:t xml:space="preserve"> </w:t>
      </w:r>
    </w:p>
    <w:p w14:paraId="6688AA15" w14:textId="18AF8287" w:rsidR="002A25D1" w:rsidRDefault="002A25D1" w:rsidP="002A25D1">
      <w:pPr>
        <w:pStyle w:val="RPI-Text"/>
      </w:pPr>
      <w:r w:rsidRPr="002A25D1">
        <w:t xml:space="preserve">The pharmacokinetics of sotorasib have been </w:t>
      </w:r>
      <w:r w:rsidR="00FB631E" w:rsidRPr="002A25D1">
        <w:t>characteri</w:t>
      </w:r>
      <w:r w:rsidR="00FB631E">
        <w:t>s</w:t>
      </w:r>
      <w:r w:rsidR="00FB631E" w:rsidRPr="002A25D1">
        <w:t xml:space="preserve">ed </w:t>
      </w:r>
      <w:r w:rsidRPr="002A25D1">
        <w:t xml:space="preserve">in patients with </w:t>
      </w:r>
      <w:r w:rsidRPr="000B31D8">
        <w:rPr>
          <w:i/>
          <w:iCs/>
        </w:rPr>
        <w:t>KRAS G12C-</w:t>
      </w:r>
      <w:r w:rsidRPr="002A25D1">
        <w:t xml:space="preserve">mutated solid </w:t>
      </w:r>
      <w:r w:rsidR="002C71DA" w:rsidRPr="002A25D1">
        <w:t>tumours</w:t>
      </w:r>
      <w:r w:rsidRPr="002A25D1">
        <w:t>, including NSCLC, and healthy subjects.</w:t>
      </w:r>
    </w:p>
    <w:p w14:paraId="12AFF4CC" w14:textId="7192C5BD" w:rsidR="007F3C57" w:rsidRDefault="007F3C57" w:rsidP="005067BE">
      <w:pPr>
        <w:pStyle w:val="RPI-Heading4"/>
      </w:pPr>
      <w:r>
        <w:lastRenderedPageBreak/>
        <w:t>Absorption</w:t>
      </w:r>
    </w:p>
    <w:p w14:paraId="2E559D67" w14:textId="01DCEBDD" w:rsidR="00AB2B52" w:rsidRDefault="00AB2B52" w:rsidP="00AB2B52">
      <w:pPr>
        <w:pStyle w:val="RPI-Text"/>
      </w:pPr>
      <w:r w:rsidRPr="00AB2B52">
        <w:t xml:space="preserve">Following an oral, single-dose administration, sotorasib was absorbed with median time to achieve peak concentration of </w:t>
      </w:r>
      <w:r w:rsidR="002A25D1">
        <w:t>1</w:t>
      </w:r>
      <w:r w:rsidRPr="00AB2B52">
        <w:t xml:space="preserve"> hour. </w:t>
      </w:r>
    </w:p>
    <w:p w14:paraId="1DA3D852" w14:textId="7CDCB405" w:rsidR="00AB2B52" w:rsidRDefault="00AB2B52" w:rsidP="00822B58">
      <w:pPr>
        <w:pStyle w:val="RPI-Text"/>
      </w:pPr>
      <w:r w:rsidRPr="00822B58">
        <w:rPr>
          <w:i/>
          <w:iCs/>
        </w:rPr>
        <w:t xml:space="preserve">Effect of </w:t>
      </w:r>
      <w:r w:rsidR="00F90ADE" w:rsidRPr="00822B58">
        <w:rPr>
          <w:i/>
          <w:iCs/>
        </w:rPr>
        <w:t>f</w:t>
      </w:r>
      <w:r w:rsidRPr="00822B58">
        <w:rPr>
          <w:i/>
          <w:iCs/>
        </w:rPr>
        <w:t>ood</w:t>
      </w:r>
      <w:r w:rsidR="00822B58" w:rsidRPr="00822B58">
        <w:rPr>
          <w:i/>
          <w:iCs/>
        </w:rPr>
        <w:t xml:space="preserve"> - </w:t>
      </w:r>
      <w:r>
        <w:t xml:space="preserve">Following administration of sotorasib with a high-fat, high-calorie meal, there was no effect on </w:t>
      </w:r>
      <w:proofErr w:type="gramStart"/>
      <w:r>
        <w:t>C</w:t>
      </w:r>
      <w:r w:rsidRPr="00D8077D">
        <w:rPr>
          <w:vertAlign w:val="subscript"/>
        </w:rPr>
        <w:t>max</w:t>
      </w:r>
      <w:proofErr w:type="gramEnd"/>
      <w:r>
        <w:t xml:space="preserve"> and AUC increased by 38% compared to administration under fasted conditions. Sotorasib can be administered with or without food.</w:t>
      </w:r>
    </w:p>
    <w:p w14:paraId="12AFF4CD" w14:textId="5BD0F3A3" w:rsidR="007F3C57" w:rsidRDefault="007F3C57" w:rsidP="005067BE">
      <w:pPr>
        <w:pStyle w:val="RPI-Heading4"/>
      </w:pPr>
      <w:r>
        <w:t>Distribution</w:t>
      </w:r>
    </w:p>
    <w:p w14:paraId="7269C961" w14:textId="0A439CF3" w:rsidR="00AB2B52" w:rsidRDefault="008F47E0" w:rsidP="008F47E0">
      <w:pPr>
        <w:pStyle w:val="RPI-Text"/>
      </w:pPr>
      <w:r w:rsidRPr="008F47E0">
        <w:t>The mean volume of distribution at steady state of sotorasib was</w:t>
      </w:r>
      <w:r w:rsidR="00DB7BFD">
        <w:t xml:space="preserve"> 211</w:t>
      </w:r>
      <w:r w:rsidRPr="008F47E0">
        <w:t xml:space="preserve"> L</w:t>
      </w:r>
      <w:r w:rsidRPr="008F47E0">
        <w:rPr>
          <w:i/>
          <w:iCs/>
        </w:rPr>
        <w:t>. In vitro</w:t>
      </w:r>
      <w:r w:rsidRPr="008F47E0">
        <w:t xml:space="preserve">, plasma protein binding of sotorasib was </w:t>
      </w:r>
      <w:r w:rsidR="00DB7BFD">
        <w:t>89</w:t>
      </w:r>
      <w:r w:rsidRPr="008F47E0">
        <w:t>%.</w:t>
      </w:r>
    </w:p>
    <w:p w14:paraId="12AFF4CE" w14:textId="4C79A989" w:rsidR="007F3C57" w:rsidRPr="00454267" w:rsidRDefault="00BD76C9" w:rsidP="006965AD">
      <w:pPr>
        <w:pStyle w:val="RPI-Heading4"/>
        <w:widowControl w:val="0"/>
      </w:pPr>
      <w:r w:rsidRPr="00454267">
        <w:t xml:space="preserve">Metabolism </w:t>
      </w:r>
    </w:p>
    <w:p w14:paraId="6D13F763" w14:textId="3809E9BE" w:rsidR="00AB2B52" w:rsidRDefault="008F47E0" w:rsidP="006965AD">
      <w:pPr>
        <w:pStyle w:val="RPI-Text"/>
        <w:widowControl w:val="0"/>
      </w:pPr>
      <w:r>
        <w:t xml:space="preserve">The main metabolic pathways of sotorasib were </w:t>
      </w:r>
      <w:r w:rsidR="00EE740B">
        <w:t xml:space="preserve">non-enzymatic </w:t>
      </w:r>
      <w:r>
        <w:t>conjugative and oxidative metabolism</w:t>
      </w:r>
      <w:r w:rsidR="00EE740B">
        <w:t xml:space="preserve"> by CYP3As</w:t>
      </w:r>
      <w:r>
        <w:t>.</w:t>
      </w:r>
    </w:p>
    <w:p w14:paraId="12AFF4CF" w14:textId="4540C181" w:rsidR="007F3C57" w:rsidRDefault="00BD76C9" w:rsidP="005067BE">
      <w:pPr>
        <w:pStyle w:val="RPI-Heading4"/>
      </w:pPr>
      <w:r w:rsidRPr="00454267">
        <w:t xml:space="preserve">Excretion </w:t>
      </w:r>
    </w:p>
    <w:p w14:paraId="604C52BE" w14:textId="7D572F85" w:rsidR="008F47E0" w:rsidRDefault="008F47E0" w:rsidP="008F47E0">
      <w:pPr>
        <w:pStyle w:val="RPI-Text"/>
      </w:pPr>
      <w:r w:rsidRPr="008F47E0">
        <w:t xml:space="preserve">At </w:t>
      </w:r>
      <w:r w:rsidR="00217F46">
        <w:t xml:space="preserve">sotorasib </w:t>
      </w:r>
      <w:r w:rsidRPr="008F47E0">
        <w:t xml:space="preserve">960 mg once daily, the steady state apparent clearance is </w:t>
      </w:r>
      <w:r w:rsidR="004C7699">
        <w:t xml:space="preserve">26.2 </w:t>
      </w:r>
      <w:r w:rsidRPr="008F47E0">
        <w:t xml:space="preserve">L/hr. The mean half-life is </w:t>
      </w:r>
      <w:r w:rsidR="004C7699">
        <w:t>5</w:t>
      </w:r>
      <w:r w:rsidRPr="008F47E0">
        <w:t xml:space="preserve"> hours. </w:t>
      </w:r>
      <w:r w:rsidR="004C7699" w:rsidRPr="004C7699">
        <w:t>Steady state was reached within 22 days and remained stable. No accumulation with multiple dosing was observed. Sotorasib is primarily eliminated in f</w:t>
      </w:r>
      <w:r w:rsidR="002C71DA">
        <w:t>a</w:t>
      </w:r>
      <w:r w:rsidR="004C7699" w:rsidRPr="004C7699">
        <w:t>eces, with approximately 74</w:t>
      </w:r>
      <w:r w:rsidR="004C7699">
        <w:t>%</w:t>
      </w:r>
      <w:r w:rsidR="004C7699" w:rsidRPr="004C7699">
        <w:t xml:space="preserve"> of the dose recovered in f</w:t>
      </w:r>
      <w:r w:rsidR="00BE3BA7">
        <w:t>a</w:t>
      </w:r>
      <w:r w:rsidR="004C7699" w:rsidRPr="004C7699">
        <w:t>eces and 6</w:t>
      </w:r>
      <w:r w:rsidR="004C7699">
        <w:t>%</w:t>
      </w:r>
      <w:r w:rsidR="004C7699" w:rsidRPr="004C7699">
        <w:t xml:space="preserve"> (1</w:t>
      </w:r>
      <w:r w:rsidR="004C7699">
        <w:t>%</w:t>
      </w:r>
      <w:r w:rsidR="004C7699" w:rsidRPr="004C7699">
        <w:t xml:space="preserve"> unchanged) recovered in urine</w:t>
      </w:r>
      <w:r w:rsidRPr="008F47E0">
        <w:t>.</w:t>
      </w:r>
    </w:p>
    <w:p w14:paraId="7FA0084D" w14:textId="2AD5DA65" w:rsidR="008F47E0" w:rsidRDefault="008F47E0" w:rsidP="008F47E0">
      <w:pPr>
        <w:pStyle w:val="RPI-Heading3"/>
      </w:pPr>
      <w:r w:rsidRPr="008F47E0">
        <w:t xml:space="preserve">Special </w:t>
      </w:r>
      <w:r w:rsidR="00F90ADE">
        <w:t>p</w:t>
      </w:r>
      <w:r w:rsidRPr="008F47E0">
        <w:t>opulations</w:t>
      </w:r>
    </w:p>
    <w:p w14:paraId="50A65A57" w14:textId="6D2075FF" w:rsidR="00F671CC" w:rsidRDefault="00F671CC" w:rsidP="00F671CC">
      <w:pPr>
        <w:pStyle w:val="RPI-Text"/>
      </w:pPr>
      <w:r w:rsidRPr="00F671CC">
        <w:t xml:space="preserve">No clinically meaningful differences in the pharmacokinetics of sotorasib were observed based on age, sex, race, body weight, line of therapy, ECOG PS, mild renal impairment (creatinine clearance: </w:t>
      </w:r>
      <w:r>
        <w:rPr>
          <w:rFonts w:cs="Arial"/>
        </w:rPr>
        <w:t>≥</w:t>
      </w:r>
      <w:r w:rsidRPr="00F671CC">
        <w:t xml:space="preserve"> 60 mL/min), or mild hepatic impairment (AST or ALT </w:t>
      </w:r>
      <w:r>
        <w:t>&lt;</w:t>
      </w:r>
      <w:r w:rsidRPr="00F671CC">
        <w:t xml:space="preserve"> 2.5 × ULN or total bilirubin </w:t>
      </w:r>
      <w:r>
        <w:t>&lt;</w:t>
      </w:r>
      <w:r w:rsidRPr="00F671CC">
        <w:t xml:space="preserve"> 1.5 × ULN). The effect of moderate to severe renal or hepatic impairment on sotorasib pharmacokinetics has not been studied.</w:t>
      </w:r>
    </w:p>
    <w:p w14:paraId="2A834E96" w14:textId="0424D585" w:rsidR="008F47E0" w:rsidRDefault="008F47E0" w:rsidP="008F47E0">
      <w:pPr>
        <w:pStyle w:val="RPI-Heading3"/>
      </w:pPr>
      <w:r w:rsidRPr="008F47E0">
        <w:t xml:space="preserve">Drug </w:t>
      </w:r>
      <w:r w:rsidR="00F90ADE">
        <w:t>i</w:t>
      </w:r>
      <w:r w:rsidRPr="008F47E0">
        <w:t xml:space="preserve">nteraction </w:t>
      </w:r>
      <w:r w:rsidR="00F90ADE">
        <w:t>s</w:t>
      </w:r>
      <w:r w:rsidRPr="008F47E0">
        <w:t>tudies</w:t>
      </w:r>
    </w:p>
    <w:p w14:paraId="39EB5D7F" w14:textId="02A71949" w:rsidR="008F47E0" w:rsidRDefault="007A73E4" w:rsidP="008F47E0">
      <w:pPr>
        <w:pStyle w:val="RPI-Heading3"/>
        <w:rPr>
          <w:i/>
          <w:iCs/>
          <w:u w:val="none"/>
        </w:rPr>
      </w:pPr>
      <w:r w:rsidRPr="007A73E4">
        <w:rPr>
          <w:i/>
          <w:iCs/>
          <w:u w:val="none"/>
        </w:rPr>
        <w:t xml:space="preserve">Effect of </w:t>
      </w:r>
      <w:r w:rsidR="00B67B15">
        <w:rPr>
          <w:i/>
          <w:iCs/>
          <w:u w:val="none"/>
        </w:rPr>
        <w:t>o</w:t>
      </w:r>
      <w:r w:rsidRPr="007A73E4">
        <w:rPr>
          <w:i/>
          <w:iCs/>
          <w:u w:val="none"/>
        </w:rPr>
        <w:t xml:space="preserve">ther </w:t>
      </w:r>
      <w:r w:rsidR="00B67B15">
        <w:rPr>
          <w:i/>
          <w:iCs/>
          <w:u w:val="none"/>
        </w:rPr>
        <w:t xml:space="preserve">medicines </w:t>
      </w:r>
      <w:r w:rsidRPr="007A73E4">
        <w:rPr>
          <w:i/>
          <w:iCs/>
          <w:u w:val="none"/>
        </w:rPr>
        <w:t xml:space="preserve">on </w:t>
      </w:r>
      <w:r w:rsidR="00B67B15">
        <w:rPr>
          <w:i/>
          <w:iCs/>
          <w:u w:val="none"/>
        </w:rPr>
        <w:t>s</w:t>
      </w:r>
      <w:r w:rsidRPr="007A73E4">
        <w:rPr>
          <w:i/>
          <w:iCs/>
          <w:u w:val="none"/>
        </w:rPr>
        <w:t>otorasib</w:t>
      </w:r>
    </w:p>
    <w:p w14:paraId="7D3699B3" w14:textId="5DF7D091" w:rsidR="007A73E4" w:rsidRPr="007A73E4" w:rsidRDefault="007A73E4" w:rsidP="007A73E4">
      <w:pPr>
        <w:widowControl w:val="0"/>
        <w:suppressAutoHyphens w:val="0"/>
        <w:spacing w:line="358" w:lineRule="auto"/>
        <w:ind w:right="139"/>
        <w:rPr>
          <w:rFonts w:eastAsia="Arial" w:cs="Arial"/>
          <w:szCs w:val="22"/>
        </w:rPr>
      </w:pPr>
      <w:r w:rsidRPr="007A73E4">
        <w:rPr>
          <w:rFonts w:eastAsia="Arial" w:cs="Arial"/>
          <w:i/>
          <w:szCs w:val="22"/>
        </w:rPr>
        <w:t>Aci</w:t>
      </w:r>
      <w:r w:rsidRPr="007A73E4">
        <w:rPr>
          <w:rFonts w:eastAsia="Arial" w:cs="Arial"/>
          <w:i/>
          <w:spacing w:val="2"/>
          <w:szCs w:val="22"/>
        </w:rPr>
        <w:t>d</w:t>
      </w:r>
      <w:r w:rsidRPr="007A73E4">
        <w:rPr>
          <w:rFonts w:eastAsia="Arial" w:cs="Arial"/>
          <w:i/>
          <w:spacing w:val="-2"/>
          <w:szCs w:val="22"/>
        </w:rPr>
        <w:t>-</w:t>
      </w:r>
      <w:r w:rsidR="009E5CEB">
        <w:rPr>
          <w:rFonts w:eastAsia="Arial" w:cs="Arial"/>
          <w:i/>
          <w:spacing w:val="-2"/>
          <w:szCs w:val="22"/>
        </w:rPr>
        <w:t>r</w:t>
      </w:r>
      <w:r w:rsidRPr="007A73E4">
        <w:rPr>
          <w:rFonts w:eastAsia="Arial" w:cs="Arial"/>
          <w:i/>
          <w:szCs w:val="22"/>
        </w:rPr>
        <w:t xml:space="preserve">educing </w:t>
      </w:r>
      <w:r w:rsidR="009E5CEB">
        <w:rPr>
          <w:rFonts w:eastAsia="Arial" w:cs="Arial"/>
          <w:i/>
          <w:szCs w:val="22"/>
        </w:rPr>
        <w:t>a</w:t>
      </w:r>
      <w:r w:rsidRPr="007A73E4">
        <w:rPr>
          <w:rFonts w:eastAsia="Arial" w:cs="Arial"/>
          <w:i/>
          <w:szCs w:val="22"/>
        </w:rPr>
        <w:t>gents:</w:t>
      </w:r>
      <w:r w:rsidRPr="007A73E4">
        <w:rPr>
          <w:rFonts w:eastAsia="Arial" w:cs="Arial"/>
          <w:i/>
          <w:spacing w:val="1"/>
          <w:szCs w:val="22"/>
        </w:rPr>
        <w:t xml:space="preserve"> </w:t>
      </w:r>
      <w:r w:rsidRPr="007A73E4">
        <w:rPr>
          <w:rFonts w:eastAsia="Arial" w:cs="Arial"/>
          <w:szCs w:val="22"/>
        </w:rPr>
        <w:t>Under</w:t>
      </w:r>
      <w:r w:rsidRPr="007A73E4">
        <w:rPr>
          <w:rFonts w:eastAsia="Arial" w:cs="Arial"/>
          <w:spacing w:val="-1"/>
          <w:szCs w:val="22"/>
        </w:rPr>
        <w:t xml:space="preserve"> </w:t>
      </w:r>
      <w:r w:rsidRPr="007A73E4">
        <w:rPr>
          <w:rFonts w:eastAsia="Arial" w:cs="Arial"/>
          <w:szCs w:val="22"/>
        </w:rPr>
        <w:t>fed</w:t>
      </w:r>
      <w:r w:rsidRPr="007A73E4">
        <w:rPr>
          <w:rFonts w:eastAsia="Arial" w:cs="Arial"/>
          <w:spacing w:val="-1"/>
          <w:szCs w:val="22"/>
        </w:rPr>
        <w:t xml:space="preserve"> </w:t>
      </w:r>
      <w:r w:rsidRPr="007A73E4">
        <w:rPr>
          <w:rFonts w:eastAsia="Arial" w:cs="Arial"/>
          <w:szCs w:val="22"/>
        </w:rPr>
        <w:t>conditions</w:t>
      </w:r>
      <w:r w:rsidR="00BE3BA7">
        <w:rPr>
          <w:rFonts w:eastAsia="Arial" w:cs="Arial"/>
          <w:szCs w:val="22"/>
        </w:rPr>
        <w:t xml:space="preserve"> </w:t>
      </w:r>
      <w:r w:rsidR="00BE3BA7" w:rsidRPr="00BE3BA7">
        <w:rPr>
          <w:rFonts w:eastAsia="Arial" w:cs="Arial"/>
          <w:szCs w:val="22"/>
        </w:rPr>
        <w:t>(standard-calorie moderate-fat meals)</w:t>
      </w:r>
      <w:r w:rsidRPr="007A73E4">
        <w:rPr>
          <w:rFonts w:eastAsia="Arial" w:cs="Arial"/>
          <w:szCs w:val="22"/>
        </w:rPr>
        <w:t>,</w:t>
      </w:r>
      <w:r w:rsidRPr="007A73E4">
        <w:rPr>
          <w:rFonts w:eastAsia="Arial" w:cs="Arial"/>
          <w:spacing w:val="2"/>
          <w:szCs w:val="22"/>
        </w:rPr>
        <w:t xml:space="preserve"> </w:t>
      </w:r>
      <w:r w:rsidRPr="007A73E4">
        <w:rPr>
          <w:rFonts w:eastAsia="Arial" w:cs="Arial"/>
          <w:spacing w:val="-1"/>
          <w:szCs w:val="22"/>
        </w:rPr>
        <w:t>coadministratio</w:t>
      </w:r>
      <w:r w:rsidRPr="007A73E4">
        <w:rPr>
          <w:rFonts w:eastAsia="Arial" w:cs="Arial"/>
          <w:szCs w:val="22"/>
        </w:rPr>
        <w:t>n</w:t>
      </w:r>
      <w:r w:rsidRPr="007A73E4">
        <w:rPr>
          <w:rFonts w:eastAsia="Arial" w:cs="Arial"/>
          <w:spacing w:val="-1"/>
          <w:szCs w:val="22"/>
        </w:rPr>
        <w:t xml:space="preserve"> o</w:t>
      </w:r>
      <w:r w:rsidRPr="007A73E4">
        <w:rPr>
          <w:rFonts w:eastAsia="Arial" w:cs="Arial"/>
          <w:szCs w:val="22"/>
        </w:rPr>
        <w:t>f</w:t>
      </w:r>
      <w:r w:rsidRPr="007A73E4">
        <w:rPr>
          <w:rFonts w:eastAsia="Arial" w:cs="Arial"/>
          <w:spacing w:val="1"/>
          <w:szCs w:val="22"/>
        </w:rPr>
        <w:t xml:space="preserve"> </w:t>
      </w:r>
      <w:r w:rsidRPr="007A73E4">
        <w:rPr>
          <w:rFonts w:eastAsia="Arial" w:cs="Arial"/>
          <w:szCs w:val="22"/>
        </w:rPr>
        <w:t xml:space="preserve">multiple doses of the omeprazole </w:t>
      </w:r>
      <w:r w:rsidR="00BE3BA7">
        <w:rPr>
          <w:rFonts w:eastAsia="Arial" w:cs="Arial"/>
          <w:szCs w:val="22"/>
        </w:rPr>
        <w:t>(</w:t>
      </w:r>
      <w:r w:rsidR="00BE3BA7" w:rsidRPr="007A73E4">
        <w:rPr>
          <w:rFonts w:eastAsia="Arial" w:cs="Arial"/>
          <w:szCs w:val="22"/>
        </w:rPr>
        <w:t>PPI</w:t>
      </w:r>
      <w:r w:rsidR="00BE3BA7">
        <w:rPr>
          <w:rFonts w:eastAsia="Arial" w:cs="Arial"/>
          <w:szCs w:val="22"/>
        </w:rPr>
        <w:t>)</w:t>
      </w:r>
      <w:r w:rsidR="00BE3BA7" w:rsidRPr="007A73E4">
        <w:rPr>
          <w:rFonts w:eastAsia="Arial" w:cs="Arial"/>
          <w:szCs w:val="22"/>
        </w:rPr>
        <w:t xml:space="preserve"> </w:t>
      </w:r>
      <w:r w:rsidRPr="007A73E4">
        <w:rPr>
          <w:rFonts w:eastAsia="Arial" w:cs="Arial"/>
          <w:szCs w:val="22"/>
        </w:rPr>
        <w:t>with</w:t>
      </w:r>
      <w:r w:rsidRPr="007A73E4">
        <w:rPr>
          <w:rFonts w:eastAsia="Arial" w:cs="Arial"/>
          <w:spacing w:val="-4"/>
          <w:szCs w:val="22"/>
        </w:rPr>
        <w:t xml:space="preserve"> </w:t>
      </w:r>
      <w:r w:rsidRPr="007A73E4">
        <w:rPr>
          <w:rFonts w:eastAsia="Arial" w:cs="Arial"/>
          <w:szCs w:val="22"/>
        </w:rPr>
        <w:t>a</w:t>
      </w:r>
      <w:r w:rsidRPr="007A73E4">
        <w:rPr>
          <w:rFonts w:eastAsia="Arial" w:cs="Arial"/>
          <w:spacing w:val="1"/>
          <w:szCs w:val="22"/>
        </w:rPr>
        <w:t xml:space="preserve"> </w:t>
      </w:r>
      <w:r w:rsidRPr="007A73E4">
        <w:rPr>
          <w:rFonts w:eastAsia="Arial" w:cs="Arial"/>
          <w:szCs w:val="22"/>
        </w:rPr>
        <w:t>single</w:t>
      </w:r>
      <w:r w:rsidRPr="007A73E4">
        <w:rPr>
          <w:rFonts w:eastAsia="Arial" w:cs="Arial"/>
          <w:spacing w:val="-3"/>
          <w:szCs w:val="22"/>
        </w:rPr>
        <w:t xml:space="preserve"> </w:t>
      </w:r>
      <w:r w:rsidR="00217F46" w:rsidRPr="00BE3BA7">
        <w:rPr>
          <w:rFonts w:eastAsia="Arial" w:cs="Arial"/>
          <w:spacing w:val="-1"/>
          <w:szCs w:val="22"/>
        </w:rPr>
        <w:t xml:space="preserve">LUMAKRAS </w:t>
      </w:r>
      <w:r w:rsidRPr="007A73E4">
        <w:rPr>
          <w:rFonts w:eastAsia="Arial" w:cs="Arial"/>
          <w:szCs w:val="22"/>
        </w:rPr>
        <w:t>dose</w:t>
      </w:r>
      <w:r w:rsidRPr="007A73E4">
        <w:rPr>
          <w:rFonts w:eastAsia="Arial" w:cs="Arial"/>
          <w:spacing w:val="-3"/>
          <w:szCs w:val="22"/>
        </w:rPr>
        <w:t xml:space="preserve"> </w:t>
      </w:r>
      <w:r w:rsidRPr="007A73E4">
        <w:rPr>
          <w:rFonts w:eastAsia="Arial" w:cs="Arial"/>
          <w:spacing w:val="2"/>
          <w:szCs w:val="22"/>
        </w:rPr>
        <w:t>o</w:t>
      </w:r>
      <w:r w:rsidRPr="007A73E4">
        <w:rPr>
          <w:rFonts w:eastAsia="Arial" w:cs="Arial"/>
          <w:szCs w:val="22"/>
        </w:rPr>
        <w:t>f</w:t>
      </w:r>
      <w:r w:rsidRPr="007A73E4">
        <w:rPr>
          <w:rFonts w:eastAsia="Arial" w:cs="Arial"/>
          <w:spacing w:val="-2"/>
          <w:szCs w:val="22"/>
        </w:rPr>
        <w:t xml:space="preserve"> </w:t>
      </w:r>
      <w:r w:rsidRPr="007A73E4">
        <w:rPr>
          <w:rFonts w:eastAsia="Arial" w:cs="Arial"/>
          <w:szCs w:val="22"/>
        </w:rPr>
        <w:t>960</w:t>
      </w:r>
      <w:r w:rsidRPr="007A73E4">
        <w:rPr>
          <w:rFonts w:eastAsia="Arial" w:cs="Arial"/>
          <w:spacing w:val="3"/>
          <w:szCs w:val="22"/>
        </w:rPr>
        <w:t xml:space="preserve"> </w:t>
      </w:r>
      <w:r w:rsidRPr="007A73E4">
        <w:rPr>
          <w:rFonts w:eastAsia="Arial" w:cs="Arial"/>
          <w:spacing w:val="-2"/>
          <w:szCs w:val="22"/>
        </w:rPr>
        <w:t>m</w:t>
      </w:r>
      <w:r w:rsidRPr="007A73E4">
        <w:rPr>
          <w:rFonts w:eastAsia="Arial" w:cs="Arial"/>
          <w:szCs w:val="22"/>
        </w:rPr>
        <w:t>g</w:t>
      </w:r>
      <w:r w:rsidRPr="007A73E4">
        <w:rPr>
          <w:rFonts w:eastAsia="Arial" w:cs="Arial"/>
          <w:spacing w:val="-2"/>
          <w:szCs w:val="22"/>
        </w:rPr>
        <w:t xml:space="preserve"> </w:t>
      </w:r>
      <w:r w:rsidRPr="007A73E4">
        <w:rPr>
          <w:rFonts w:eastAsia="Arial" w:cs="Arial"/>
          <w:szCs w:val="22"/>
        </w:rPr>
        <w:t>decreased</w:t>
      </w:r>
      <w:r w:rsidRPr="007A73E4">
        <w:rPr>
          <w:rFonts w:eastAsia="Arial" w:cs="Arial"/>
          <w:spacing w:val="2"/>
          <w:szCs w:val="22"/>
        </w:rPr>
        <w:t xml:space="preserve"> </w:t>
      </w:r>
      <w:r w:rsidRPr="007A73E4">
        <w:rPr>
          <w:rFonts w:eastAsia="Arial" w:cs="Arial"/>
          <w:spacing w:val="-1"/>
          <w:szCs w:val="22"/>
        </w:rPr>
        <w:t xml:space="preserve">sotorasib </w:t>
      </w:r>
      <w:r w:rsidRPr="007A73E4">
        <w:rPr>
          <w:rFonts w:eastAsia="Arial" w:cs="Arial"/>
          <w:spacing w:val="-1"/>
          <w:position w:val="2"/>
          <w:szCs w:val="22"/>
        </w:rPr>
        <w:t>C</w:t>
      </w:r>
      <w:r w:rsidRPr="007A73E4">
        <w:rPr>
          <w:rFonts w:eastAsia="Arial" w:cs="Arial"/>
          <w:spacing w:val="-1"/>
          <w:sz w:val="14"/>
          <w:szCs w:val="14"/>
        </w:rPr>
        <w:t>ma</w:t>
      </w:r>
      <w:r w:rsidRPr="007A73E4">
        <w:rPr>
          <w:rFonts w:eastAsia="Arial" w:cs="Arial"/>
          <w:sz w:val="14"/>
          <w:szCs w:val="14"/>
        </w:rPr>
        <w:t>x</w:t>
      </w:r>
      <w:r w:rsidRPr="007A73E4">
        <w:rPr>
          <w:rFonts w:eastAsia="Arial" w:cs="Arial"/>
          <w:spacing w:val="-5"/>
          <w:sz w:val="14"/>
          <w:szCs w:val="14"/>
        </w:rPr>
        <w:t xml:space="preserve"> </w:t>
      </w:r>
      <w:r w:rsidRPr="007A73E4">
        <w:rPr>
          <w:rFonts w:eastAsia="Arial" w:cs="Arial"/>
          <w:spacing w:val="1"/>
          <w:position w:val="2"/>
          <w:szCs w:val="22"/>
        </w:rPr>
        <w:t>b</w:t>
      </w:r>
      <w:r w:rsidRPr="007A73E4">
        <w:rPr>
          <w:rFonts w:eastAsia="Arial" w:cs="Arial"/>
          <w:position w:val="2"/>
          <w:szCs w:val="22"/>
        </w:rPr>
        <w:t>y</w:t>
      </w:r>
      <w:r w:rsidRPr="007A73E4">
        <w:rPr>
          <w:rFonts w:eastAsia="Arial" w:cs="Arial"/>
          <w:spacing w:val="2"/>
          <w:position w:val="2"/>
          <w:szCs w:val="22"/>
        </w:rPr>
        <w:t xml:space="preserve"> </w:t>
      </w:r>
      <w:r w:rsidR="00BE3BA7">
        <w:rPr>
          <w:rFonts w:eastAsia="Arial" w:cs="Arial"/>
          <w:spacing w:val="2"/>
          <w:position w:val="2"/>
          <w:szCs w:val="22"/>
        </w:rPr>
        <w:t>65</w:t>
      </w:r>
      <w:r w:rsidRPr="007A73E4">
        <w:rPr>
          <w:rFonts w:eastAsia="Arial" w:cs="Arial"/>
          <w:spacing w:val="1"/>
          <w:position w:val="2"/>
          <w:szCs w:val="22"/>
        </w:rPr>
        <w:t>%</w:t>
      </w:r>
      <w:r w:rsidRPr="007A73E4">
        <w:rPr>
          <w:rFonts w:eastAsia="Arial" w:cs="Arial"/>
          <w:spacing w:val="2"/>
          <w:position w:val="2"/>
          <w:szCs w:val="22"/>
        </w:rPr>
        <w:t xml:space="preserve"> </w:t>
      </w:r>
      <w:r w:rsidR="00BE3BA7">
        <w:rPr>
          <w:rFonts w:eastAsia="Arial" w:cs="Arial"/>
          <w:spacing w:val="2"/>
          <w:position w:val="2"/>
          <w:szCs w:val="22"/>
        </w:rPr>
        <w:t xml:space="preserve">and </w:t>
      </w:r>
      <w:r w:rsidRPr="007A73E4">
        <w:rPr>
          <w:rFonts w:eastAsia="Arial" w:cs="Arial"/>
          <w:position w:val="2"/>
          <w:szCs w:val="22"/>
        </w:rPr>
        <w:t>AUC</w:t>
      </w:r>
      <w:r w:rsidR="00BE3BA7">
        <w:rPr>
          <w:rFonts w:eastAsia="Arial" w:cs="Arial"/>
          <w:position w:val="2"/>
          <w:szCs w:val="22"/>
        </w:rPr>
        <w:t xml:space="preserve"> by 57%. </w:t>
      </w:r>
    </w:p>
    <w:p w14:paraId="32B36828" w14:textId="77777777" w:rsidR="007A73E4" w:rsidRPr="007A73E4" w:rsidRDefault="007A73E4" w:rsidP="007A73E4">
      <w:pPr>
        <w:widowControl w:val="0"/>
        <w:suppressAutoHyphens w:val="0"/>
        <w:spacing w:before="5" w:line="120" w:lineRule="exact"/>
        <w:rPr>
          <w:rFonts w:ascii="Calibri" w:eastAsia="Calibri" w:hAnsi="Calibri"/>
          <w:sz w:val="12"/>
          <w:szCs w:val="12"/>
        </w:rPr>
      </w:pPr>
    </w:p>
    <w:p w14:paraId="073CE5CC" w14:textId="442EE7EC" w:rsidR="00BE3BA7" w:rsidRDefault="00BE3BA7" w:rsidP="007A73E4">
      <w:pPr>
        <w:widowControl w:val="0"/>
        <w:suppressAutoHyphens w:val="0"/>
        <w:spacing w:line="358" w:lineRule="auto"/>
        <w:ind w:right="139"/>
        <w:rPr>
          <w:rFonts w:eastAsia="Arial" w:cs="Arial"/>
          <w:iCs/>
          <w:szCs w:val="22"/>
        </w:rPr>
      </w:pPr>
      <w:r w:rsidRPr="00BE3BA7">
        <w:rPr>
          <w:rFonts w:eastAsia="Arial" w:cs="Arial"/>
          <w:iCs/>
          <w:szCs w:val="22"/>
        </w:rPr>
        <w:t>Coadministration of a single dose of famotidine (H</w:t>
      </w:r>
      <w:r w:rsidRPr="0061266E">
        <w:rPr>
          <w:rFonts w:eastAsia="Arial" w:cs="Arial"/>
          <w:iCs/>
          <w:szCs w:val="22"/>
          <w:vertAlign w:val="subscript"/>
        </w:rPr>
        <w:t>2</w:t>
      </w:r>
      <w:r w:rsidR="007B14A7">
        <w:rPr>
          <w:rFonts w:eastAsia="Arial" w:cs="Arial"/>
          <w:iCs/>
          <w:szCs w:val="22"/>
        </w:rPr>
        <w:t>-</w:t>
      </w:r>
      <w:r w:rsidRPr="00BE3BA7">
        <w:rPr>
          <w:rFonts w:eastAsia="Arial" w:cs="Arial"/>
          <w:iCs/>
          <w:szCs w:val="22"/>
        </w:rPr>
        <w:t xml:space="preserve">receptor antagonist) given 10 hours prior to and 2 hours after a single dose of </w:t>
      </w:r>
      <w:r w:rsidR="007B14A7">
        <w:rPr>
          <w:rFonts w:eastAsia="Arial" w:cs="Arial"/>
          <w:iCs/>
          <w:szCs w:val="22"/>
        </w:rPr>
        <w:t xml:space="preserve">sotorasib </w:t>
      </w:r>
      <w:r w:rsidRPr="00BE3BA7">
        <w:rPr>
          <w:rFonts w:eastAsia="Arial" w:cs="Arial"/>
          <w:iCs/>
          <w:szCs w:val="22"/>
        </w:rPr>
        <w:t xml:space="preserve">960 mg decreased </w:t>
      </w:r>
      <w:r w:rsidR="00217F46" w:rsidRPr="00BE3BA7">
        <w:rPr>
          <w:rFonts w:eastAsia="Arial" w:cs="Arial"/>
          <w:spacing w:val="-1"/>
          <w:szCs w:val="22"/>
        </w:rPr>
        <w:t xml:space="preserve">LUMAKRAS </w:t>
      </w:r>
      <w:r w:rsidRPr="00BE3BA7">
        <w:rPr>
          <w:rFonts w:eastAsia="Arial" w:cs="Arial"/>
          <w:iCs/>
          <w:szCs w:val="22"/>
        </w:rPr>
        <w:t>C</w:t>
      </w:r>
      <w:r w:rsidRPr="00BE3BA7">
        <w:rPr>
          <w:rFonts w:eastAsia="Arial" w:cs="Arial"/>
          <w:iCs/>
          <w:szCs w:val="22"/>
          <w:vertAlign w:val="subscript"/>
        </w:rPr>
        <w:t>max</w:t>
      </w:r>
      <w:r w:rsidRPr="00BE3BA7">
        <w:rPr>
          <w:rFonts w:eastAsia="Arial" w:cs="Arial"/>
          <w:iCs/>
          <w:szCs w:val="22"/>
        </w:rPr>
        <w:t xml:space="preserve"> by 35</w:t>
      </w:r>
      <w:r>
        <w:rPr>
          <w:rFonts w:eastAsia="Arial" w:cs="Arial"/>
          <w:iCs/>
          <w:szCs w:val="22"/>
        </w:rPr>
        <w:t>%</w:t>
      </w:r>
      <w:r w:rsidRPr="00BE3BA7">
        <w:rPr>
          <w:rFonts w:eastAsia="Arial" w:cs="Arial"/>
          <w:iCs/>
          <w:szCs w:val="22"/>
        </w:rPr>
        <w:t xml:space="preserve"> and AUC by 38</w:t>
      </w:r>
      <w:r>
        <w:rPr>
          <w:rFonts w:eastAsia="Arial" w:cs="Arial"/>
          <w:iCs/>
          <w:szCs w:val="22"/>
        </w:rPr>
        <w:t>%</w:t>
      </w:r>
      <w:r w:rsidRPr="00BE3BA7">
        <w:rPr>
          <w:rFonts w:eastAsia="Arial" w:cs="Arial"/>
          <w:iCs/>
          <w:szCs w:val="22"/>
        </w:rPr>
        <w:t>.</w:t>
      </w:r>
    </w:p>
    <w:p w14:paraId="27AF9163" w14:textId="1EBBFFF9" w:rsidR="007A73E4" w:rsidRPr="007A73E4" w:rsidRDefault="007A73E4" w:rsidP="007A73E4">
      <w:pPr>
        <w:widowControl w:val="0"/>
        <w:suppressAutoHyphens w:val="0"/>
        <w:spacing w:line="358" w:lineRule="auto"/>
        <w:ind w:right="139"/>
        <w:rPr>
          <w:rFonts w:eastAsia="Arial" w:cs="Arial"/>
          <w:iCs/>
          <w:szCs w:val="22"/>
        </w:rPr>
      </w:pPr>
      <w:r w:rsidRPr="007A73E4">
        <w:rPr>
          <w:rFonts w:eastAsia="Arial" w:cs="Arial"/>
          <w:iCs/>
          <w:szCs w:val="22"/>
        </w:rPr>
        <w:t xml:space="preserve">Under fasted conditions, coadministration of multiple doses of omeprazole with a single dose of 960 mg </w:t>
      </w:r>
      <w:r w:rsidR="00BE3BA7">
        <w:rPr>
          <w:rFonts w:eastAsia="Arial" w:cs="Arial"/>
          <w:iCs/>
          <w:szCs w:val="22"/>
        </w:rPr>
        <w:t>LUMAKRAS</w:t>
      </w:r>
      <w:r w:rsidR="0056503B" w:rsidRPr="0056503B">
        <w:rPr>
          <w:rFonts w:eastAsia="Arial" w:cs="Arial"/>
          <w:iCs/>
          <w:szCs w:val="22"/>
        </w:rPr>
        <w:t xml:space="preserve"> </w:t>
      </w:r>
      <w:r w:rsidRPr="007A73E4">
        <w:rPr>
          <w:rFonts w:eastAsia="Arial" w:cs="Arial"/>
          <w:iCs/>
          <w:szCs w:val="22"/>
        </w:rPr>
        <w:t>decreased sotorasib C</w:t>
      </w:r>
      <w:r w:rsidRPr="00BE3BA7">
        <w:rPr>
          <w:rFonts w:eastAsia="Arial" w:cs="Arial"/>
          <w:iCs/>
          <w:szCs w:val="22"/>
          <w:vertAlign w:val="subscript"/>
        </w:rPr>
        <w:t>max</w:t>
      </w:r>
      <w:r w:rsidRPr="007A73E4">
        <w:rPr>
          <w:rFonts w:eastAsia="Arial" w:cs="Arial"/>
          <w:iCs/>
          <w:szCs w:val="22"/>
        </w:rPr>
        <w:t xml:space="preserve"> by </w:t>
      </w:r>
      <w:r w:rsidR="00BE3BA7">
        <w:rPr>
          <w:rFonts w:eastAsia="Arial" w:cs="Arial"/>
          <w:iCs/>
          <w:szCs w:val="22"/>
        </w:rPr>
        <w:t>5</w:t>
      </w:r>
      <w:r w:rsidR="006E4854">
        <w:rPr>
          <w:rFonts w:eastAsia="Arial" w:cs="Arial"/>
          <w:iCs/>
          <w:szCs w:val="22"/>
        </w:rPr>
        <w:t>7</w:t>
      </w:r>
      <w:r w:rsidRPr="007A73E4">
        <w:rPr>
          <w:rFonts w:eastAsia="Arial" w:cs="Arial"/>
          <w:iCs/>
          <w:szCs w:val="22"/>
        </w:rPr>
        <w:t xml:space="preserve">% and AUC by </w:t>
      </w:r>
      <w:r w:rsidR="006E4854">
        <w:rPr>
          <w:rFonts w:eastAsia="Arial" w:cs="Arial"/>
          <w:iCs/>
          <w:szCs w:val="22"/>
        </w:rPr>
        <w:t>42</w:t>
      </w:r>
      <w:r w:rsidRPr="007A73E4">
        <w:rPr>
          <w:rFonts w:eastAsia="Arial" w:cs="Arial"/>
          <w:iCs/>
          <w:szCs w:val="22"/>
        </w:rPr>
        <w:t>%</w:t>
      </w:r>
      <w:r w:rsidR="00BE3BA7">
        <w:rPr>
          <w:rFonts w:eastAsia="Arial" w:cs="Arial"/>
          <w:iCs/>
          <w:szCs w:val="22"/>
        </w:rPr>
        <w:t xml:space="preserve"> (see section 4.5</w:t>
      </w:r>
      <w:r w:rsidR="00BE3BA7" w:rsidRPr="00BE3BA7">
        <w:t xml:space="preserve"> </w:t>
      </w:r>
      <w:r w:rsidR="00BE3BA7" w:rsidRPr="00BE3BA7">
        <w:rPr>
          <w:rFonts w:eastAsia="Arial" w:cs="Arial"/>
          <w:iCs/>
          <w:szCs w:val="22"/>
        </w:rPr>
        <w:t>Interaction with other medicines and other forms of interaction</w:t>
      </w:r>
      <w:r w:rsidR="00BE3BA7">
        <w:rPr>
          <w:rFonts w:eastAsia="Arial" w:cs="Arial"/>
          <w:iCs/>
          <w:szCs w:val="22"/>
        </w:rPr>
        <w:t>).</w:t>
      </w:r>
    </w:p>
    <w:p w14:paraId="1EDE3AEE" w14:textId="07092F15" w:rsidR="007A73E4" w:rsidRDefault="007A73E4" w:rsidP="00EF7910">
      <w:pPr>
        <w:pStyle w:val="RPI-Text"/>
      </w:pPr>
      <w:r w:rsidRPr="007A73E4">
        <w:rPr>
          <w:rFonts w:eastAsia="Arial" w:cs="Arial"/>
          <w:i/>
          <w:szCs w:val="22"/>
        </w:rPr>
        <w:t>Strong CYP3</w:t>
      </w:r>
      <w:r w:rsidRPr="007A73E4">
        <w:rPr>
          <w:rFonts w:eastAsia="Arial" w:cs="Arial"/>
          <w:i/>
          <w:spacing w:val="2"/>
          <w:szCs w:val="22"/>
        </w:rPr>
        <w:t>A</w:t>
      </w:r>
      <w:r w:rsidRPr="007A73E4">
        <w:rPr>
          <w:rFonts w:eastAsia="Arial" w:cs="Arial"/>
          <w:i/>
          <w:szCs w:val="22"/>
        </w:rPr>
        <w:t>4</w:t>
      </w:r>
      <w:r w:rsidRPr="007A73E4">
        <w:rPr>
          <w:rFonts w:eastAsia="Arial" w:cs="Arial"/>
          <w:i/>
          <w:spacing w:val="-1"/>
          <w:szCs w:val="22"/>
        </w:rPr>
        <w:t xml:space="preserve"> </w:t>
      </w:r>
      <w:r w:rsidR="009E5CEB">
        <w:rPr>
          <w:rFonts w:eastAsia="Arial" w:cs="Arial"/>
          <w:i/>
          <w:spacing w:val="-1"/>
          <w:szCs w:val="22"/>
        </w:rPr>
        <w:t>i</w:t>
      </w:r>
      <w:r w:rsidRPr="007A73E4">
        <w:rPr>
          <w:rFonts w:eastAsia="Arial" w:cs="Arial"/>
          <w:i/>
          <w:spacing w:val="-1"/>
          <w:szCs w:val="22"/>
        </w:rPr>
        <w:t>nducers</w:t>
      </w:r>
      <w:r w:rsidRPr="007A73E4">
        <w:t xml:space="preserve">: Coadministration of </w:t>
      </w:r>
      <w:r w:rsidR="00F90ADE">
        <w:t>LUMAKRAS</w:t>
      </w:r>
      <w:r w:rsidR="0056503B" w:rsidRPr="0056503B">
        <w:t xml:space="preserve"> </w:t>
      </w:r>
      <w:r w:rsidRPr="007A73E4">
        <w:t>with multiple doses of rifampin (a strong CYP3A4 inducer) decreased sotorasib C</w:t>
      </w:r>
      <w:r w:rsidRPr="007A73E4">
        <w:rPr>
          <w:vertAlign w:val="subscript"/>
        </w:rPr>
        <w:t>max</w:t>
      </w:r>
      <w:r w:rsidRPr="007A73E4">
        <w:t xml:space="preserve"> by 35% and AUC by 51%</w:t>
      </w:r>
      <w:r w:rsidR="00EF7910" w:rsidRPr="00EF7910">
        <w:t xml:space="preserve"> (see section 4.5 </w:t>
      </w:r>
      <w:r w:rsidR="00BE3BA7" w:rsidRPr="00BE3BA7">
        <w:t>Interaction with other medicines and other forms of interaction</w:t>
      </w:r>
      <w:r w:rsidR="00EF7910" w:rsidRPr="00EF7910">
        <w:t>).</w:t>
      </w:r>
    </w:p>
    <w:p w14:paraId="64E312EB" w14:textId="19B65B96" w:rsidR="00EF7910" w:rsidRDefault="00EF7910" w:rsidP="00EF7910">
      <w:pPr>
        <w:pStyle w:val="RPI-Text"/>
      </w:pPr>
      <w:r w:rsidRPr="00EF7910">
        <w:rPr>
          <w:i/>
          <w:iCs/>
        </w:rPr>
        <w:t>Strong CYP3A4 Inhibitors and Transporter Systems</w:t>
      </w:r>
      <w:r>
        <w:t xml:space="preserve">: No clinically meaningful effect on the exposure of sotorasib was observed following coadministration of </w:t>
      </w:r>
      <w:bookmarkStart w:id="3" w:name="_Hlk54965258"/>
      <w:r w:rsidR="00BE3BA7">
        <w:t>LUMAKRAS</w:t>
      </w:r>
      <w:r>
        <w:t xml:space="preserve"> </w:t>
      </w:r>
      <w:bookmarkEnd w:id="3"/>
      <w:r>
        <w:t>with itraconazole (a strong CYP3A4 inhibitor</w:t>
      </w:r>
      <w:r w:rsidR="00BE3BA7" w:rsidRPr="00BE3BA7">
        <w:t xml:space="preserve"> and P-glycoprotein [P-gp] inhibitor</w:t>
      </w:r>
      <w:r>
        <w:t xml:space="preserve">), single dose of rifampin </w:t>
      </w:r>
      <w:r w:rsidR="00187237">
        <w:t>[</w:t>
      </w:r>
      <w:r>
        <w:t xml:space="preserve">an </w:t>
      </w:r>
      <w:r w:rsidR="00187237" w:rsidRPr="00187237">
        <w:t>organic-anion-transporting polypeptides</w:t>
      </w:r>
      <w:r w:rsidR="00187237">
        <w:t xml:space="preserve"> (OATP) </w:t>
      </w:r>
      <w:r>
        <w:t>OATP1B1/1B3 inhibitor</w:t>
      </w:r>
      <w:r w:rsidR="00187237">
        <w:t>]</w:t>
      </w:r>
      <w:r>
        <w:t xml:space="preserve">, or metformin (a </w:t>
      </w:r>
      <w:r w:rsidR="00187237" w:rsidRPr="00187237">
        <w:t xml:space="preserve">multidrug and toxin extrusion (MATE) </w:t>
      </w:r>
      <w:r w:rsidRPr="0085306F">
        <w:rPr>
          <w:i/>
          <w:iCs/>
        </w:rPr>
        <w:t>MATE1</w:t>
      </w:r>
      <w:r w:rsidR="00BE3BA7" w:rsidRPr="0085306F">
        <w:rPr>
          <w:i/>
          <w:iCs/>
        </w:rPr>
        <w:t>/MAT</w:t>
      </w:r>
      <w:r w:rsidR="00187237" w:rsidRPr="0085306F">
        <w:rPr>
          <w:i/>
          <w:iCs/>
        </w:rPr>
        <w:t>E</w:t>
      </w:r>
      <w:r w:rsidR="00BE3BA7" w:rsidRPr="0085306F">
        <w:rPr>
          <w:i/>
          <w:iCs/>
        </w:rPr>
        <w:t>2-K</w:t>
      </w:r>
      <w:r>
        <w:t xml:space="preserve"> substrate).</w:t>
      </w:r>
    </w:p>
    <w:p w14:paraId="6C2A78A9" w14:textId="0A5F0CDA" w:rsidR="00EF7910" w:rsidRPr="00EF7910" w:rsidRDefault="00EF7910" w:rsidP="00EF7910">
      <w:pPr>
        <w:pStyle w:val="RPI-Text"/>
        <w:rPr>
          <w:i/>
          <w:iCs/>
        </w:rPr>
      </w:pPr>
      <w:r w:rsidRPr="00EF7910">
        <w:rPr>
          <w:i/>
          <w:iCs/>
        </w:rPr>
        <w:t xml:space="preserve">Effect of </w:t>
      </w:r>
      <w:r>
        <w:rPr>
          <w:i/>
          <w:iCs/>
        </w:rPr>
        <w:t>s</w:t>
      </w:r>
      <w:r w:rsidRPr="00EF7910">
        <w:rPr>
          <w:i/>
          <w:iCs/>
        </w:rPr>
        <w:t>otorasib on</w:t>
      </w:r>
      <w:r>
        <w:rPr>
          <w:i/>
          <w:iCs/>
        </w:rPr>
        <w:t xml:space="preserve"> o</w:t>
      </w:r>
      <w:r w:rsidRPr="00EF7910">
        <w:rPr>
          <w:i/>
          <w:iCs/>
        </w:rPr>
        <w:t xml:space="preserve">ther </w:t>
      </w:r>
      <w:r w:rsidR="00F90ADE">
        <w:rPr>
          <w:i/>
          <w:iCs/>
        </w:rPr>
        <w:t>medicines</w:t>
      </w:r>
    </w:p>
    <w:p w14:paraId="112E1BBD" w14:textId="63210DA8" w:rsidR="00C64A0C" w:rsidRPr="00C64A0C" w:rsidRDefault="00C64A0C" w:rsidP="00C64A0C">
      <w:pPr>
        <w:pStyle w:val="RPI-Text"/>
      </w:pPr>
      <w:r w:rsidRPr="00C64A0C">
        <w:rPr>
          <w:i/>
          <w:iCs/>
        </w:rPr>
        <w:t>CYP3A4 substrates</w:t>
      </w:r>
      <w:r w:rsidRPr="00C64A0C">
        <w:t xml:space="preserve">: Coadministration of </w:t>
      </w:r>
      <w:r>
        <w:t xml:space="preserve">LUMAKRAS </w:t>
      </w:r>
      <w:r w:rsidRPr="00C64A0C">
        <w:t>with midazolam (a sensitive CYP3A4 substrate) decreased midazolam C</w:t>
      </w:r>
      <w:r w:rsidRPr="00C64A0C">
        <w:rPr>
          <w:vertAlign w:val="subscript"/>
        </w:rPr>
        <w:t>max</w:t>
      </w:r>
      <w:r w:rsidRPr="00C64A0C">
        <w:t xml:space="preserve"> by 48</w:t>
      </w:r>
      <w:r>
        <w:t xml:space="preserve">% </w:t>
      </w:r>
      <w:r w:rsidRPr="00C64A0C">
        <w:t>and AUC by 53</w:t>
      </w:r>
      <w:r>
        <w:t>% (</w:t>
      </w:r>
      <w:r w:rsidRPr="00C64A0C">
        <w:t xml:space="preserve">see </w:t>
      </w:r>
      <w:r>
        <w:t xml:space="preserve">section 4.5 </w:t>
      </w:r>
      <w:r w:rsidRPr="00C64A0C">
        <w:t xml:space="preserve">Interaction with </w:t>
      </w:r>
      <w:r>
        <w:t>o</w:t>
      </w:r>
      <w:r w:rsidRPr="00C64A0C">
        <w:t>ther medicines and other forms of interaction).</w:t>
      </w:r>
    </w:p>
    <w:p w14:paraId="61C1521F" w14:textId="795314CD" w:rsidR="0061266E" w:rsidRPr="0017229A" w:rsidRDefault="0061266E" w:rsidP="00EF7910">
      <w:pPr>
        <w:pStyle w:val="RPI-Text"/>
        <w:rPr>
          <w:i/>
          <w:iCs/>
        </w:rPr>
      </w:pPr>
      <w:r w:rsidRPr="0017229A">
        <w:rPr>
          <w:i/>
          <w:iCs/>
        </w:rPr>
        <w:t xml:space="preserve">P-gp substrates: </w:t>
      </w:r>
      <w:r w:rsidRPr="0017229A">
        <w:t>Coadministration of LUMAKRAS with digoxin (a P-gp substrate) increased digoxin Cmax by 91% and AUC by 21%.</w:t>
      </w:r>
      <w:r w:rsidRPr="0017229A">
        <w:rPr>
          <w:i/>
          <w:iCs/>
        </w:rPr>
        <w:t xml:space="preserve"> </w:t>
      </w:r>
    </w:p>
    <w:p w14:paraId="7361573B" w14:textId="0EB496D9" w:rsidR="00EF7910" w:rsidRPr="0017229A" w:rsidRDefault="00EF7910" w:rsidP="00EF7910">
      <w:pPr>
        <w:pStyle w:val="RPI-Text"/>
      </w:pPr>
      <w:r w:rsidRPr="0017229A">
        <w:rPr>
          <w:i/>
          <w:iCs/>
        </w:rPr>
        <w:t xml:space="preserve">Transporter </w:t>
      </w:r>
      <w:r w:rsidR="002D3960">
        <w:rPr>
          <w:i/>
          <w:iCs/>
        </w:rPr>
        <w:t>s</w:t>
      </w:r>
      <w:r w:rsidRPr="0017229A">
        <w:rPr>
          <w:i/>
          <w:iCs/>
        </w:rPr>
        <w:t>ystems</w:t>
      </w:r>
      <w:r w:rsidRPr="0017229A">
        <w:t>: No clinically meaningful effect on the exposure of metformin</w:t>
      </w:r>
      <w:r w:rsidR="00AD69C2" w:rsidRPr="0017229A">
        <w:t xml:space="preserve"> </w:t>
      </w:r>
      <w:r w:rsidR="00187237" w:rsidRPr="0017229A">
        <w:t>(</w:t>
      </w:r>
      <w:r w:rsidRPr="0017229A">
        <w:t xml:space="preserve">a </w:t>
      </w:r>
      <w:r w:rsidRPr="0017229A">
        <w:rPr>
          <w:i/>
          <w:iCs/>
        </w:rPr>
        <w:t>MATE1</w:t>
      </w:r>
      <w:r w:rsidR="006F61F8" w:rsidRPr="0017229A">
        <w:rPr>
          <w:i/>
          <w:iCs/>
        </w:rPr>
        <w:t>/MATE2-K</w:t>
      </w:r>
      <w:r w:rsidR="006F61F8" w:rsidRPr="0017229A">
        <w:t xml:space="preserve"> substrate</w:t>
      </w:r>
      <w:r w:rsidR="00187237" w:rsidRPr="0017229A">
        <w:t>)</w:t>
      </w:r>
      <w:r w:rsidRPr="0017229A">
        <w:t xml:space="preserve"> </w:t>
      </w:r>
      <w:r w:rsidR="00957C61">
        <w:t>or digoxin (a sensitive P-</w:t>
      </w:r>
      <w:proofErr w:type="spellStart"/>
      <w:r w:rsidR="00957C61">
        <w:t>gP</w:t>
      </w:r>
      <w:proofErr w:type="spellEnd"/>
      <w:r w:rsidR="00957C61">
        <w:t xml:space="preserve"> substrate) </w:t>
      </w:r>
      <w:r w:rsidRPr="0017229A">
        <w:t>w</w:t>
      </w:r>
      <w:r w:rsidR="00957C61">
        <w:t>ere</w:t>
      </w:r>
      <w:r w:rsidRPr="0017229A">
        <w:t xml:space="preserve"> observed following coadministration of </w:t>
      </w:r>
      <w:r w:rsidR="006F61F8" w:rsidRPr="0017229A">
        <w:t>LUMAKRAS</w:t>
      </w:r>
      <w:r w:rsidRPr="0017229A">
        <w:t>.</w:t>
      </w:r>
    </w:p>
    <w:p w14:paraId="0A67EE6A" w14:textId="0D03DA35" w:rsidR="00EF7910" w:rsidRPr="0017229A" w:rsidRDefault="00EF7910" w:rsidP="00EF7910">
      <w:pPr>
        <w:pStyle w:val="RPI-Text"/>
        <w:rPr>
          <w:i/>
          <w:iCs/>
        </w:rPr>
      </w:pPr>
      <w:r w:rsidRPr="0017229A">
        <w:rPr>
          <w:i/>
          <w:iCs/>
        </w:rPr>
        <w:t>In vitro studies</w:t>
      </w:r>
    </w:p>
    <w:p w14:paraId="0713AF3D" w14:textId="2A80D298" w:rsidR="002D3633" w:rsidRPr="002D3633" w:rsidRDefault="00457323" w:rsidP="002D3633">
      <w:pPr>
        <w:pStyle w:val="RPI-Text"/>
      </w:pPr>
      <w:r w:rsidRPr="0017229A">
        <w:rPr>
          <w:i/>
          <w:iCs/>
        </w:rPr>
        <w:t>Cytochrome P450 (</w:t>
      </w:r>
      <w:r w:rsidR="002D3633" w:rsidRPr="0017229A">
        <w:rPr>
          <w:i/>
          <w:iCs/>
        </w:rPr>
        <w:t>CYP</w:t>
      </w:r>
      <w:r w:rsidRPr="0017229A">
        <w:rPr>
          <w:i/>
          <w:iCs/>
        </w:rPr>
        <w:t>) e</w:t>
      </w:r>
      <w:r w:rsidR="002D3633" w:rsidRPr="0017229A">
        <w:rPr>
          <w:i/>
          <w:iCs/>
        </w:rPr>
        <w:t>nzymes</w:t>
      </w:r>
      <w:r w:rsidR="002D3633" w:rsidRPr="0017229A">
        <w:t xml:space="preserve">: </w:t>
      </w:r>
      <w:r w:rsidR="00651238" w:rsidRPr="0017229A">
        <w:t>S</w:t>
      </w:r>
      <w:r w:rsidR="002D3633" w:rsidRPr="0017229A">
        <w:t xml:space="preserve">otorasib </w:t>
      </w:r>
      <w:r w:rsidR="00651238" w:rsidRPr="0017229A">
        <w:t xml:space="preserve">may induce CYP2C8, CYP2C9, </w:t>
      </w:r>
      <w:r w:rsidR="00683D1D">
        <w:t xml:space="preserve">CYP2C19 </w:t>
      </w:r>
      <w:r w:rsidR="00651238" w:rsidRPr="0017229A">
        <w:t xml:space="preserve">and CYP2B6. Sotorasib </w:t>
      </w:r>
      <w:r w:rsidR="002D3633" w:rsidRPr="0017229A">
        <w:t xml:space="preserve">does not inhibit CYP1A2, CYP2B6, CYP2C9, </w:t>
      </w:r>
      <w:r w:rsidR="0019604A">
        <w:t xml:space="preserve">or </w:t>
      </w:r>
      <w:r w:rsidR="002D3633" w:rsidRPr="0017229A">
        <w:t>CYP2C19 at clinically relevant concentrations.</w:t>
      </w:r>
      <w:r w:rsidR="0019604A">
        <w:t xml:space="preserve"> Sotorasib inhibited CYP2D6 with Ki=18.2µM. </w:t>
      </w:r>
    </w:p>
    <w:p w14:paraId="2C0D72EA" w14:textId="4BC9C97F" w:rsidR="00EF7910" w:rsidRPr="007A73E4" w:rsidRDefault="00EF7910" w:rsidP="00EF7910">
      <w:pPr>
        <w:pStyle w:val="RPI-Text"/>
      </w:pPr>
      <w:r w:rsidRPr="00EF7910">
        <w:rPr>
          <w:i/>
          <w:iCs/>
        </w:rPr>
        <w:t xml:space="preserve">Transporter </w:t>
      </w:r>
      <w:r w:rsidR="002A4D9A">
        <w:rPr>
          <w:i/>
          <w:iCs/>
        </w:rPr>
        <w:t>s</w:t>
      </w:r>
      <w:r w:rsidRPr="00EF7910">
        <w:rPr>
          <w:i/>
          <w:iCs/>
        </w:rPr>
        <w:t>ystems</w:t>
      </w:r>
      <w:r>
        <w:t xml:space="preserve">: </w:t>
      </w:r>
      <w:r w:rsidR="00651238">
        <w:t>S</w:t>
      </w:r>
      <w:r>
        <w:t xml:space="preserve">otorasib may have the potential to inhibit </w:t>
      </w:r>
      <w:r w:rsidR="00DA7919">
        <w:t>b</w:t>
      </w:r>
      <w:r w:rsidR="009A7D31" w:rsidRPr="009A7D31">
        <w:t>reast cancer resistance protei</w:t>
      </w:r>
      <w:r w:rsidR="009A7D31">
        <w:t>n (</w:t>
      </w:r>
      <w:r>
        <w:t>BCRP</w:t>
      </w:r>
      <w:r w:rsidR="009A7D31">
        <w:t>)</w:t>
      </w:r>
      <w:r w:rsidR="0019604A">
        <w:t xml:space="preserve">, OATP1B1, </w:t>
      </w:r>
      <w:r w:rsidR="00EF7C75" w:rsidRPr="00EF7C75">
        <w:t>OATP1B3,</w:t>
      </w:r>
      <w:r w:rsidR="00EF7C75">
        <w:t xml:space="preserve"> </w:t>
      </w:r>
      <w:r w:rsidR="0019604A">
        <w:t>OCT1, and OAT3</w:t>
      </w:r>
      <w:r>
        <w:t>; the clinical relevance of these findings is unknown.</w:t>
      </w:r>
    </w:p>
    <w:p w14:paraId="12AFF4D0" w14:textId="77777777" w:rsidR="0032608A" w:rsidRDefault="0032608A" w:rsidP="00752FD5">
      <w:pPr>
        <w:pStyle w:val="RPI-Heading2"/>
      </w:pPr>
      <w:r w:rsidRPr="00ED7DB4">
        <w:lastRenderedPageBreak/>
        <w:t>Preclinical safety data</w:t>
      </w:r>
    </w:p>
    <w:p w14:paraId="08A31242" w14:textId="77777777" w:rsidR="00284814" w:rsidRDefault="00284814" w:rsidP="00BD76C9">
      <w:pPr>
        <w:pStyle w:val="RPI-Heading3"/>
      </w:pPr>
      <w:r w:rsidRPr="00284814">
        <w:t>Reproductive toxicity and fertility</w:t>
      </w:r>
    </w:p>
    <w:p w14:paraId="64E849A4" w14:textId="3BDF03F0" w:rsidR="00284814" w:rsidRPr="00284814" w:rsidRDefault="00284814" w:rsidP="00877C88">
      <w:pPr>
        <w:pStyle w:val="RPI-Text"/>
        <w:rPr>
          <w:rFonts w:eastAsia="Arial"/>
        </w:rPr>
      </w:pPr>
      <w:r w:rsidRPr="00284814">
        <w:rPr>
          <w:rFonts w:eastAsia="Arial"/>
        </w:rPr>
        <w:t>Fertility/early embryonic development studies were not conducted with sotorasib. There were no adverse effects on male or female reproductive organs in general toxicology studies conducted in dogs and rats.</w:t>
      </w:r>
    </w:p>
    <w:p w14:paraId="12AFF4D2" w14:textId="73001310" w:rsidR="00BD76C9" w:rsidRDefault="00BD76C9" w:rsidP="00BD76C9">
      <w:pPr>
        <w:pStyle w:val="RPI-Heading3"/>
      </w:pPr>
      <w:r w:rsidRPr="00454267">
        <w:t>Genotoxicity</w:t>
      </w:r>
    </w:p>
    <w:p w14:paraId="38B61BAD" w14:textId="020FBD5D" w:rsidR="00284814" w:rsidRPr="00284814" w:rsidRDefault="00284814" w:rsidP="00877C88">
      <w:pPr>
        <w:pStyle w:val="RPI-Text"/>
        <w:rPr>
          <w:rFonts w:eastAsia="Arial"/>
        </w:rPr>
      </w:pPr>
      <w:r w:rsidRPr="00284814">
        <w:rPr>
          <w:rFonts w:eastAsia="Arial"/>
        </w:rPr>
        <w:t>Sotorasib</w:t>
      </w:r>
      <w:r w:rsidRPr="00284814">
        <w:rPr>
          <w:rFonts w:eastAsia="Arial"/>
          <w:spacing w:val="-1"/>
        </w:rPr>
        <w:t xml:space="preserve"> </w:t>
      </w:r>
      <w:r w:rsidRPr="00284814">
        <w:rPr>
          <w:rFonts w:eastAsia="Arial"/>
        </w:rPr>
        <w:t>was not mutagenic in a bacterial mutagenicity (Ames) assay. Sotorasib</w:t>
      </w:r>
      <w:r w:rsidRPr="00284814">
        <w:rPr>
          <w:rFonts w:eastAsia="Arial"/>
          <w:spacing w:val="3"/>
        </w:rPr>
        <w:t xml:space="preserve"> </w:t>
      </w:r>
      <w:r w:rsidRPr="00284814">
        <w:rPr>
          <w:rFonts w:eastAsia="Arial"/>
          <w:spacing w:val="-1"/>
        </w:rPr>
        <w:t xml:space="preserve">was </w:t>
      </w:r>
      <w:r w:rsidRPr="00284814">
        <w:rPr>
          <w:rFonts w:eastAsia="Arial"/>
        </w:rPr>
        <w:t>not genotoxic in the</w:t>
      </w:r>
      <w:r w:rsidRPr="00284814">
        <w:rPr>
          <w:rFonts w:eastAsia="Arial"/>
          <w:spacing w:val="1"/>
        </w:rPr>
        <w:t xml:space="preserve"> </w:t>
      </w:r>
      <w:r w:rsidRPr="00284814">
        <w:rPr>
          <w:rFonts w:eastAsia="Arial"/>
          <w:i/>
          <w:spacing w:val="-1"/>
        </w:rPr>
        <w:t>i</w:t>
      </w:r>
      <w:r w:rsidRPr="00284814">
        <w:rPr>
          <w:rFonts w:eastAsia="Arial"/>
          <w:i/>
        </w:rPr>
        <w:t>n</w:t>
      </w:r>
      <w:r w:rsidRPr="00284814">
        <w:rPr>
          <w:rFonts w:eastAsia="Arial"/>
          <w:i/>
          <w:spacing w:val="-1"/>
        </w:rPr>
        <w:t xml:space="preserve"> viv</w:t>
      </w:r>
      <w:r w:rsidRPr="00284814">
        <w:rPr>
          <w:rFonts w:eastAsia="Arial"/>
          <w:i/>
        </w:rPr>
        <w:t>o</w:t>
      </w:r>
      <w:r w:rsidRPr="00284814">
        <w:rPr>
          <w:rFonts w:eastAsia="Arial"/>
          <w:i/>
          <w:spacing w:val="3"/>
        </w:rPr>
        <w:t xml:space="preserve"> </w:t>
      </w:r>
      <w:r w:rsidRPr="00284814">
        <w:rPr>
          <w:rFonts w:eastAsia="Arial"/>
        </w:rPr>
        <w:t>rat</w:t>
      </w:r>
      <w:r w:rsidRPr="00284814">
        <w:rPr>
          <w:rFonts w:eastAsia="Arial"/>
          <w:spacing w:val="-1"/>
        </w:rPr>
        <w:t xml:space="preserve"> </w:t>
      </w:r>
      <w:r w:rsidRPr="00284814">
        <w:rPr>
          <w:rFonts w:eastAsia="Arial"/>
        </w:rPr>
        <w:t>micronucleus</w:t>
      </w:r>
      <w:r w:rsidRPr="00284814">
        <w:rPr>
          <w:rFonts w:eastAsia="Arial"/>
          <w:spacing w:val="-1"/>
        </w:rPr>
        <w:t xml:space="preserve"> </w:t>
      </w:r>
      <w:r w:rsidRPr="00284814">
        <w:rPr>
          <w:rFonts w:eastAsia="Arial"/>
        </w:rPr>
        <w:t>and</w:t>
      </w:r>
      <w:r w:rsidRPr="00284814">
        <w:rPr>
          <w:rFonts w:eastAsia="Arial"/>
          <w:spacing w:val="-1"/>
        </w:rPr>
        <w:t xml:space="preserve"> </w:t>
      </w:r>
      <w:r w:rsidRPr="00284814">
        <w:rPr>
          <w:rFonts w:eastAsia="Arial"/>
        </w:rPr>
        <w:t>comet</w:t>
      </w:r>
      <w:r w:rsidRPr="00284814">
        <w:rPr>
          <w:rFonts w:eastAsia="Arial"/>
          <w:spacing w:val="-1"/>
        </w:rPr>
        <w:t xml:space="preserve"> </w:t>
      </w:r>
      <w:r w:rsidRPr="00284814">
        <w:rPr>
          <w:rFonts w:eastAsia="Arial"/>
        </w:rPr>
        <w:t>assays.</w:t>
      </w:r>
    </w:p>
    <w:p w14:paraId="12AFF4D3" w14:textId="77777777" w:rsidR="00BD76C9" w:rsidRDefault="00BD76C9" w:rsidP="00BD76C9">
      <w:pPr>
        <w:pStyle w:val="RPI-Heading3"/>
      </w:pPr>
      <w:r w:rsidRPr="00454267">
        <w:t>Carcinogenicity</w:t>
      </w:r>
    </w:p>
    <w:p w14:paraId="12AFF4D4" w14:textId="54FD335F" w:rsidR="00CC667D" w:rsidRDefault="00EF7910" w:rsidP="00877C88">
      <w:pPr>
        <w:pStyle w:val="RPI-Text"/>
      </w:pPr>
      <w:r w:rsidRPr="00EF7910">
        <w:t xml:space="preserve">Carcinogenicity studies have not been performed with sotorasib. </w:t>
      </w:r>
    </w:p>
    <w:p w14:paraId="12AFF4D5" w14:textId="77777777" w:rsidR="0032608A" w:rsidRPr="00ED7DB4" w:rsidRDefault="001A1ABD" w:rsidP="00740F45">
      <w:pPr>
        <w:pStyle w:val="RPI-Heading1"/>
      </w:pPr>
      <w:r w:rsidRPr="00ED7DB4">
        <w:t>P</w:t>
      </w:r>
      <w:r w:rsidR="0032608A" w:rsidRPr="00ED7DB4">
        <w:t>HARMACEUTICAL PARTICULARS</w:t>
      </w:r>
    </w:p>
    <w:p w14:paraId="12AFF4D6" w14:textId="77777777" w:rsidR="0032608A" w:rsidRDefault="0032608A" w:rsidP="00DF38D0">
      <w:pPr>
        <w:pStyle w:val="RPI-Heading2"/>
        <w:tabs>
          <w:tab w:val="clear" w:pos="1440"/>
          <w:tab w:val="num" w:pos="567"/>
        </w:tabs>
      </w:pPr>
      <w:r w:rsidRPr="00ED7DB4">
        <w:t>List of excipients</w:t>
      </w:r>
    </w:p>
    <w:p w14:paraId="488AD25C" w14:textId="2C47646C" w:rsidR="000D3892" w:rsidRDefault="000D3892" w:rsidP="000D3892">
      <w:pPr>
        <w:pStyle w:val="RPI-Text"/>
      </w:pPr>
      <w:r w:rsidRPr="000D3892">
        <w:t>The core tablets contain</w:t>
      </w:r>
      <w:r>
        <w:t xml:space="preserve"> microcrystalline cellulose, lactose</w:t>
      </w:r>
      <w:r w:rsidR="0085524F">
        <w:t xml:space="preserve"> monohydrate</w:t>
      </w:r>
      <w:r>
        <w:t xml:space="preserve">, croscarmellose sodium, and magnesium stearate (vegetable source). </w:t>
      </w:r>
      <w:r w:rsidRPr="000D3892">
        <w:t>The film coating contains</w:t>
      </w:r>
      <w:r>
        <w:t xml:space="preserve"> polyvinyl alcohol, titanium dioxide, polyethylene glycol, </w:t>
      </w:r>
      <w:r w:rsidR="003771F6">
        <w:t xml:space="preserve">purified </w:t>
      </w:r>
      <w:r>
        <w:t>talc</w:t>
      </w:r>
      <w:r w:rsidR="00A4177E">
        <w:t>,</w:t>
      </w:r>
      <w:r>
        <w:t xml:space="preserve"> and iron oxide yellow. </w:t>
      </w:r>
    </w:p>
    <w:p w14:paraId="12AFF4D9" w14:textId="77777777" w:rsidR="0032608A" w:rsidRDefault="0032608A" w:rsidP="00DF38D0">
      <w:pPr>
        <w:pStyle w:val="RPI-Heading2"/>
        <w:tabs>
          <w:tab w:val="clear" w:pos="1440"/>
          <w:tab w:val="num" w:pos="567"/>
        </w:tabs>
      </w:pPr>
      <w:r w:rsidRPr="00ED7DB4">
        <w:t>Incompatibilities</w:t>
      </w:r>
    </w:p>
    <w:p w14:paraId="12AFF4DB" w14:textId="44148847" w:rsidR="00676E09" w:rsidRDefault="00D62316" w:rsidP="00676E09">
      <w:pPr>
        <w:pStyle w:val="RPI-Text"/>
      </w:pPr>
      <w:r>
        <w:t>I</w:t>
      </w:r>
      <w:r w:rsidR="00676E09" w:rsidRPr="00454267">
        <w:t>ncompatibilities were either not assessed or not identified as part of the registration of this medicine.</w:t>
      </w:r>
    </w:p>
    <w:p w14:paraId="12AFF4DD" w14:textId="77777777" w:rsidR="0032608A" w:rsidRDefault="0032608A" w:rsidP="00DF38D0">
      <w:pPr>
        <w:pStyle w:val="RPI-Heading2"/>
        <w:tabs>
          <w:tab w:val="clear" w:pos="1440"/>
          <w:tab w:val="num" w:pos="567"/>
        </w:tabs>
      </w:pPr>
      <w:r w:rsidRPr="00ED7DB4">
        <w:t>S</w:t>
      </w:r>
      <w:r w:rsidR="00494E8C" w:rsidRPr="00ED7DB4">
        <w:t>helf life</w:t>
      </w:r>
    </w:p>
    <w:p w14:paraId="5BA31C29" w14:textId="1A27226F" w:rsidR="003771F6" w:rsidRDefault="00676E09" w:rsidP="00C302C5">
      <w:pPr>
        <w:pStyle w:val="RPI-Text"/>
      </w:pPr>
      <w:r w:rsidRPr="00454267">
        <w:t xml:space="preserve">Information on the shelf life can be found on the public summary of the </w:t>
      </w:r>
      <w:r w:rsidR="00247CA7">
        <w:t>Australian Register of Therapeutic Goods (</w:t>
      </w:r>
      <w:r w:rsidRPr="00454267">
        <w:t>ARTG</w:t>
      </w:r>
      <w:r w:rsidR="00247CA7">
        <w:t>)</w:t>
      </w:r>
      <w:r w:rsidRPr="00454267">
        <w:t xml:space="preserve">. </w:t>
      </w:r>
    </w:p>
    <w:p w14:paraId="12AFF4DF" w14:textId="7E88A807" w:rsidR="00676E09" w:rsidRPr="00454267" w:rsidRDefault="00676E09" w:rsidP="00C302C5">
      <w:pPr>
        <w:pStyle w:val="RPI-Text"/>
      </w:pPr>
      <w:r w:rsidRPr="00454267">
        <w:t>The expiry date can be found on the packaging.</w:t>
      </w:r>
    </w:p>
    <w:p w14:paraId="12AFF4E0" w14:textId="77777777" w:rsidR="0032608A" w:rsidRDefault="0032608A" w:rsidP="00DF38D0">
      <w:pPr>
        <w:pStyle w:val="RPI-Heading2"/>
        <w:tabs>
          <w:tab w:val="clear" w:pos="1440"/>
          <w:tab w:val="num" w:pos="567"/>
        </w:tabs>
      </w:pPr>
      <w:r w:rsidRPr="00ED7DB4">
        <w:t>Special precautions for storage</w:t>
      </w:r>
    </w:p>
    <w:p w14:paraId="12AFF4E2" w14:textId="3DDC24F3" w:rsidR="002C6CA1" w:rsidRPr="00AA7F38" w:rsidRDefault="00D8077D" w:rsidP="00D8077D">
      <w:pPr>
        <w:pStyle w:val="RPI-Text"/>
      </w:pPr>
      <w:r>
        <w:t xml:space="preserve">Store below 30°C. </w:t>
      </w:r>
    </w:p>
    <w:p w14:paraId="12AFF4E3" w14:textId="77777777" w:rsidR="0032608A" w:rsidRPr="004F69CF" w:rsidRDefault="0032608A" w:rsidP="00DF38D0">
      <w:pPr>
        <w:pStyle w:val="RPI-Heading2"/>
        <w:tabs>
          <w:tab w:val="clear" w:pos="1440"/>
          <w:tab w:val="num" w:pos="567"/>
        </w:tabs>
      </w:pPr>
      <w:r w:rsidRPr="00ED7DB4">
        <w:t>Nature and contents of container</w:t>
      </w:r>
    </w:p>
    <w:p w14:paraId="7170BD64" w14:textId="03A4D700" w:rsidR="00571CAB" w:rsidRPr="00643F26" w:rsidRDefault="00C53461" w:rsidP="00DE48A5">
      <w:pPr>
        <w:pStyle w:val="RPI-Text"/>
      </w:pPr>
      <w:r>
        <w:t>LUMAKRAS</w:t>
      </w:r>
      <w:r w:rsidR="00B832AC" w:rsidRPr="00B832AC">
        <w:t xml:space="preserve"> tablets are supplied in</w:t>
      </w:r>
      <w:r w:rsidR="008C2C53">
        <w:t xml:space="preserve"> either </w:t>
      </w:r>
      <w:r w:rsidR="00D8077D" w:rsidRPr="00D8077D">
        <w:t>PVC/PVDC</w:t>
      </w:r>
      <w:r w:rsidR="00D8077D">
        <w:t>/A</w:t>
      </w:r>
      <w:r w:rsidR="006F500D">
        <w:t xml:space="preserve">luminium </w:t>
      </w:r>
      <w:r w:rsidR="008C2C53">
        <w:t>or P</w:t>
      </w:r>
      <w:r w:rsidR="00D62316" w:rsidRPr="00D62316">
        <w:t>VC/</w:t>
      </w:r>
      <w:r w:rsidR="00D62316">
        <w:t>Aclar</w:t>
      </w:r>
      <w:r w:rsidR="008C2C53">
        <w:t>/</w:t>
      </w:r>
      <w:r w:rsidR="00702E9D">
        <w:t xml:space="preserve"> </w:t>
      </w:r>
      <w:r w:rsidR="00D62316" w:rsidRPr="00D62316">
        <w:t>Aluminium blister</w:t>
      </w:r>
      <w:r w:rsidR="00643F26">
        <w:t xml:space="preserve"> pack</w:t>
      </w:r>
      <w:r w:rsidR="00004404">
        <w:t>s</w:t>
      </w:r>
      <w:r w:rsidR="00643F26">
        <w:t xml:space="preserve">. Each blister </w:t>
      </w:r>
      <w:r w:rsidR="00CE07DD">
        <w:t xml:space="preserve">strip </w:t>
      </w:r>
      <w:r w:rsidR="00643F26">
        <w:t xml:space="preserve">contains </w:t>
      </w:r>
      <w:r w:rsidR="00F410FF" w:rsidRPr="00D8077D">
        <w:t>8 film</w:t>
      </w:r>
      <w:r w:rsidR="00F410FF">
        <w:t xml:space="preserve"> </w:t>
      </w:r>
      <w:r w:rsidR="00F410FF" w:rsidRPr="00D8077D">
        <w:t>coated tablets</w:t>
      </w:r>
      <w:r w:rsidR="00D8077D" w:rsidRPr="00D8077D">
        <w:t xml:space="preserve">. </w:t>
      </w:r>
      <w:r w:rsidR="00D62316" w:rsidRPr="00643F26">
        <w:t xml:space="preserve">Each pack contains </w:t>
      </w:r>
      <w:r w:rsidR="00FD0A66">
        <w:t>240 film coated tablets (</w:t>
      </w:r>
      <w:r w:rsidR="00D62316" w:rsidRPr="00643F26">
        <w:t>30 blister</w:t>
      </w:r>
      <w:r w:rsidR="00DE48A5">
        <w:t xml:space="preserve"> strips</w:t>
      </w:r>
      <w:r w:rsidR="00FD0A66">
        <w:t>)</w:t>
      </w:r>
      <w:r w:rsidR="00D8077D" w:rsidRPr="00643F26">
        <w:t>.</w:t>
      </w:r>
    </w:p>
    <w:p w14:paraId="12AFF4E5" w14:textId="77777777" w:rsidR="0032608A" w:rsidRDefault="0032608A" w:rsidP="00DF38D0">
      <w:pPr>
        <w:pStyle w:val="RPI-Heading2"/>
        <w:tabs>
          <w:tab w:val="clear" w:pos="1440"/>
          <w:tab w:val="num" w:pos="567"/>
        </w:tabs>
      </w:pPr>
      <w:r w:rsidRPr="00ED7DB4">
        <w:lastRenderedPageBreak/>
        <w:t>Special precautions for disposal</w:t>
      </w:r>
      <w:r w:rsidRPr="00DF38D0">
        <w:t xml:space="preserve"> </w:t>
      </w:r>
    </w:p>
    <w:p w14:paraId="12AFF4E6" w14:textId="2BA1814D" w:rsidR="00B54FFD" w:rsidRDefault="008438E2" w:rsidP="00417A40">
      <w:pPr>
        <w:pStyle w:val="RPI-GuidanceText"/>
        <w:rPr>
          <w:color w:val="auto"/>
        </w:rPr>
      </w:pPr>
      <w:r w:rsidRPr="00417A40">
        <w:rPr>
          <w:color w:val="auto"/>
        </w:rPr>
        <w:t>A</w:t>
      </w:r>
      <w:r w:rsidR="00417A40" w:rsidRPr="00417A40">
        <w:rPr>
          <w:color w:val="auto"/>
        </w:rPr>
        <w:t>ny unused medicine or waste material should be disposed of by taking to your local pharmacy</w:t>
      </w:r>
      <w:r w:rsidRPr="00417A40">
        <w:rPr>
          <w:color w:val="auto"/>
        </w:rPr>
        <w:t>.</w:t>
      </w:r>
    </w:p>
    <w:p w14:paraId="12AFF4E7" w14:textId="149E160F" w:rsidR="008438E2" w:rsidRPr="00752FD5" w:rsidRDefault="008438E2" w:rsidP="00DF38D0">
      <w:pPr>
        <w:pStyle w:val="RPI-Heading2"/>
        <w:tabs>
          <w:tab w:val="clear" w:pos="1440"/>
          <w:tab w:val="num" w:pos="567"/>
        </w:tabs>
      </w:pPr>
      <w:r w:rsidRPr="00752FD5">
        <w:t>Physicochemical properties</w:t>
      </w:r>
    </w:p>
    <w:tbl>
      <w:tblPr>
        <w:tblStyle w:val="TableGrid"/>
        <w:tblW w:w="88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9"/>
        <w:gridCol w:w="3243"/>
      </w:tblGrid>
      <w:tr w:rsidR="00BB156A" w14:paraId="7A132F35" w14:textId="77777777" w:rsidTr="009C3C3F">
        <w:tc>
          <w:tcPr>
            <w:tcW w:w="2093" w:type="dxa"/>
          </w:tcPr>
          <w:p w14:paraId="5C89187F" w14:textId="77777777" w:rsidR="00BB156A" w:rsidRDefault="00BB156A" w:rsidP="009C3C3F">
            <w:pPr>
              <w:pStyle w:val="RPI-Text"/>
              <w:spacing w:line="240" w:lineRule="auto"/>
            </w:pPr>
            <w:r w:rsidRPr="00B832AC">
              <w:rPr>
                <w:u w:val="single"/>
              </w:rPr>
              <w:t>Chemical Structure</w:t>
            </w:r>
          </w:p>
        </w:tc>
        <w:tc>
          <w:tcPr>
            <w:tcW w:w="3549" w:type="dxa"/>
          </w:tcPr>
          <w:p w14:paraId="127D9C00" w14:textId="77777777" w:rsidR="00BB156A" w:rsidRPr="00C247B2" w:rsidRDefault="00BB156A" w:rsidP="009C3C3F">
            <w:pPr>
              <w:pStyle w:val="RPI-Text"/>
              <w:spacing w:line="240" w:lineRule="auto"/>
            </w:pPr>
            <w:r>
              <w:rPr>
                <w:noProof/>
              </w:rPr>
              <w:drawing>
                <wp:inline distT="0" distB="0" distL="0" distR="0" wp14:anchorId="56C2C91A" wp14:editId="09A9C0EB">
                  <wp:extent cx="1990396" cy="1927860"/>
                  <wp:effectExtent l="0" t="0" r="0" b="0"/>
                  <wp:docPr id="1" name="Picture 1" descr="GRH2367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H2367 GRAPH MISC 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3511" cy="1940563"/>
                          </a:xfrm>
                          <a:prstGeom prst="rect">
                            <a:avLst/>
                          </a:prstGeom>
                        </pic:spPr>
                      </pic:pic>
                    </a:graphicData>
                  </a:graphic>
                </wp:inline>
              </w:drawing>
            </w:r>
          </w:p>
        </w:tc>
        <w:tc>
          <w:tcPr>
            <w:tcW w:w="3243" w:type="dxa"/>
          </w:tcPr>
          <w:p w14:paraId="77D679FF" w14:textId="77777777" w:rsidR="00BB156A" w:rsidRPr="00C247B2" w:rsidRDefault="00BB156A" w:rsidP="009C3C3F">
            <w:pPr>
              <w:pStyle w:val="RPI-Text"/>
              <w:spacing w:line="240" w:lineRule="auto"/>
            </w:pPr>
            <w:r>
              <w:t xml:space="preserve">Sotorasib </w:t>
            </w:r>
            <w:r w:rsidRPr="00FE4C53">
              <w:t>contain</w:t>
            </w:r>
            <w:r>
              <w:t xml:space="preserve">s </w:t>
            </w:r>
            <w:r w:rsidRPr="00FE4C53">
              <w:t>one asymmetric centre and one chiral axis</w:t>
            </w:r>
            <w:r>
              <w:t xml:space="preserve"> </w:t>
            </w:r>
            <w:r w:rsidRPr="00FE4C53">
              <w:t>in the indicated (S)- and (M)- configuration.</w:t>
            </w:r>
          </w:p>
        </w:tc>
      </w:tr>
      <w:tr w:rsidR="00BB156A" w14:paraId="7D6F07CB" w14:textId="77777777" w:rsidTr="009C3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Borders>
              <w:top w:val="nil"/>
              <w:left w:val="nil"/>
              <w:bottom w:val="nil"/>
              <w:right w:val="nil"/>
            </w:tcBorders>
          </w:tcPr>
          <w:p w14:paraId="4D0702F5" w14:textId="77777777" w:rsidR="00BB156A" w:rsidRDefault="00BB156A" w:rsidP="009C3C3F">
            <w:pPr>
              <w:pStyle w:val="RPI-Text"/>
              <w:spacing w:line="240" w:lineRule="auto"/>
            </w:pPr>
            <w:r w:rsidRPr="00B832AC">
              <w:t>Chemical name</w:t>
            </w:r>
            <w:r>
              <w:t xml:space="preserve"> (IUPAC):</w:t>
            </w:r>
          </w:p>
        </w:tc>
        <w:tc>
          <w:tcPr>
            <w:tcW w:w="6792" w:type="dxa"/>
            <w:gridSpan w:val="2"/>
            <w:tcBorders>
              <w:top w:val="nil"/>
              <w:left w:val="nil"/>
              <w:bottom w:val="nil"/>
              <w:right w:val="nil"/>
            </w:tcBorders>
          </w:tcPr>
          <w:p w14:paraId="210950D7" w14:textId="77777777" w:rsidR="00BB156A" w:rsidRDefault="00BB156A" w:rsidP="009C3C3F">
            <w:pPr>
              <w:pStyle w:val="RPI-Text"/>
              <w:spacing w:line="240" w:lineRule="auto"/>
            </w:pPr>
            <w:r w:rsidRPr="00D028CB">
              <w:t>6-fluoro-7-(2-fluoro-6-</w:t>
            </w:r>
            <w:proofErr w:type="gramStart"/>
            <w:r w:rsidRPr="00D028CB">
              <w:t>hydroxyphenyl)-(</w:t>
            </w:r>
            <w:proofErr w:type="gramEnd"/>
            <w:r w:rsidRPr="00D028CB">
              <w:t>1M)-1-[4-methyl-2-(propan-2-yl)pyridin-3-yl]-4- [(2S)-2- methyl-4-(prop-2-enoyl)piperazin-1-yl]pyrido[2,3-d]pyrimidin-2(1H)-one</w:t>
            </w:r>
          </w:p>
        </w:tc>
      </w:tr>
      <w:tr w:rsidR="00BB156A" w14:paraId="6F4D7E6E" w14:textId="77777777" w:rsidTr="009C3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Borders>
              <w:top w:val="nil"/>
              <w:left w:val="nil"/>
              <w:bottom w:val="nil"/>
              <w:right w:val="nil"/>
            </w:tcBorders>
          </w:tcPr>
          <w:p w14:paraId="278ADFB9" w14:textId="77777777" w:rsidR="00BB156A" w:rsidRDefault="00BB156A" w:rsidP="009C3C3F">
            <w:pPr>
              <w:pStyle w:val="RPI-Text"/>
              <w:spacing w:line="240" w:lineRule="auto"/>
            </w:pPr>
            <w:r>
              <w:t>Molecular formula:</w:t>
            </w:r>
          </w:p>
        </w:tc>
        <w:tc>
          <w:tcPr>
            <w:tcW w:w="6792" w:type="dxa"/>
            <w:gridSpan w:val="2"/>
            <w:tcBorders>
              <w:top w:val="nil"/>
              <w:left w:val="nil"/>
              <w:bottom w:val="nil"/>
              <w:right w:val="nil"/>
            </w:tcBorders>
          </w:tcPr>
          <w:p w14:paraId="15B5821E" w14:textId="77777777" w:rsidR="00BB156A" w:rsidRDefault="00BB156A" w:rsidP="009C3C3F">
            <w:pPr>
              <w:pStyle w:val="RPI-Text"/>
              <w:spacing w:line="240" w:lineRule="auto"/>
            </w:pPr>
            <w:r w:rsidRPr="00C247B2">
              <w:rPr>
                <w:rFonts w:eastAsia="Arial" w:cs="Arial"/>
                <w:spacing w:val="-1"/>
                <w:position w:val="2"/>
                <w:szCs w:val="22"/>
                <w:lang w:val="en-US"/>
              </w:rPr>
              <w:t>C</w:t>
            </w:r>
            <w:r w:rsidRPr="00C247B2">
              <w:rPr>
                <w:rFonts w:eastAsia="Arial" w:cs="Arial"/>
                <w:szCs w:val="22"/>
                <w:vertAlign w:val="subscript"/>
                <w:lang w:val="en-US"/>
              </w:rPr>
              <w:t>30</w:t>
            </w:r>
            <w:r w:rsidRPr="00C247B2">
              <w:rPr>
                <w:rFonts w:eastAsia="Arial" w:cs="Arial"/>
                <w:spacing w:val="-1"/>
                <w:position w:val="2"/>
                <w:szCs w:val="22"/>
                <w:lang w:val="en-US"/>
              </w:rPr>
              <w:t>H</w:t>
            </w:r>
            <w:r w:rsidRPr="00C247B2">
              <w:rPr>
                <w:rFonts w:eastAsia="Arial" w:cs="Arial"/>
                <w:szCs w:val="22"/>
                <w:vertAlign w:val="subscript"/>
                <w:lang w:val="en-US"/>
              </w:rPr>
              <w:t>30</w:t>
            </w:r>
            <w:r w:rsidRPr="00C247B2">
              <w:rPr>
                <w:rFonts w:eastAsia="Arial" w:cs="Arial"/>
                <w:position w:val="2"/>
                <w:szCs w:val="22"/>
                <w:lang w:val="en-US"/>
              </w:rPr>
              <w:t>F</w:t>
            </w:r>
            <w:r w:rsidRPr="00C247B2">
              <w:rPr>
                <w:rFonts w:eastAsia="Arial" w:cs="Arial"/>
                <w:szCs w:val="22"/>
                <w:vertAlign w:val="subscript"/>
                <w:lang w:val="en-US"/>
              </w:rPr>
              <w:t>2</w:t>
            </w:r>
            <w:r w:rsidRPr="00C247B2">
              <w:rPr>
                <w:rFonts w:eastAsia="Arial" w:cs="Arial"/>
                <w:spacing w:val="4"/>
                <w:position w:val="2"/>
                <w:szCs w:val="22"/>
                <w:lang w:val="en-US"/>
              </w:rPr>
              <w:t>N</w:t>
            </w:r>
            <w:r w:rsidRPr="00C247B2">
              <w:rPr>
                <w:rFonts w:eastAsia="Arial" w:cs="Arial"/>
                <w:szCs w:val="22"/>
                <w:vertAlign w:val="subscript"/>
                <w:lang w:val="en-US"/>
              </w:rPr>
              <w:t>6</w:t>
            </w:r>
            <w:r w:rsidRPr="00C247B2">
              <w:rPr>
                <w:rFonts w:eastAsia="Arial" w:cs="Arial"/>
                <w:spacing w:val="1"/>
                <w:position w:val="2"/>
                <w:szCs w:val="22"/>
                <w:lang w:val="en-US"/>
              </w:rPr>
              <w:t>O</w:t>
            </w:r>
            <w:r w:rsidRPr="00C247B2">
              <w:rPr>
                <w:rFonts w:eastAsia="Arial" w:cs="Arial"/>
                <w:szCs w:val="22"/>
                <w:vertAlign w:val="subscript"/>
                <w:lang w:val="en-US"/>
              </w:rPr>
              <w:t>3</w:t>
            </w:r>
          </w:p>
        </w:tc>
      </w:tr>
      <w:tr w:rsidR="00BB156A" w14:paraId="6D55BA36" w14:textId="77777777" w:rsidTr="009C3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tcBorders>
              <w:top w:val="nil"/>
              <w:left w:val="nil"/>
              <w:bottom w:val="nil"/>
              <w:right w:val="nil"/>
            </w:tcBorders>
          </w:tcPr>
          <w:p w14:paraId="0AF83162" w14:textId="77777777" w:rsidR="00BB156A" w:rsidRDefault="00BB156A" w:rsidP="009C3C3F">
            <w:pPr>
              <w:pStyle w:val="RPI-Text"/>
              <w:spacing w:line="240" w:lineRule="auto"/>
            </w:pPr>
            <w:r>
              <w:t>Molecular weight:</w:t>
            </w:r>
          </w:p>
        </w:tc>
        <w:tc>
          <w:tcPr>
            <w:tcW w:w="6792" w:type="dxa"/>
            <w:gridSpan w:val="2"/>
            <w:tcBorders>
              <w:top w:val="nil"/>
              <w:left w:val="nil"/>
              <w:bottom w:val="nil"/>
              <w:right w:val="nil"/>
            </w:tcBorders>
          </w:tcPr>
          <w:p w14:paraId="6E8B33F9" w14:textId="77777777" w:rsidR="00BB156A" w:rsidRPr="00C247B2" w:rsidRDefault="00BB156A" w:rsidP="009C3C3F">
            <w:pPr>
              <w:pStyle w:val="RPI-Text"/>
              <w:spacing w:line="240" w:lineRule="auto"/>
              <w:rPr>
                <w:rFonts w:eastAsia="Arial" w:cs="Arial"/>
                <w:spacing w:val="-1"/>
                <w:position w:val="2"/>
                <w:szCs w:val="22"/>
                <w:lang w:val="en-US"/>
              </w:rPr>
            </w:pPr>
            <w:r w:rsidRPr="00C247B2">
              <w:t>560.</w:t>
            </w:r>
            <w:r>
              <w:t>6 Daltons</w:t>
            </w:r>
          </w:p>
        </w:tc>
      </w:tr>
      <w:tr w:rsidR="00BB156A" w14:paraId="020A0DDF" w14:textId="77777777" w:rsidTr="009C3C3F">
        <w:tc>
          <w:tcPr>
            <w:tcW w:w="2093" w:type="dxa"/>
          </w:tcPr>
          <w:p w14:paraId="0CD5930B" w14:textId="77777777" w:rsidR="00BB156A" w:rsidRPr="00FE4C53" w:rsidRDefault="00BB156A" w:rsidP="009C3C3F">
            <w:pPr>
              <w:pStyle w:val="RPI-Text"/>
              <w:spacing w:line="240" w:lineRule="auto"/>
              <w:rPr>
                <w:u w:val="single"/>
              </w:rPr>
            </w:pPr>
            <w:r w:rsidRPr="00FE4C53">
              <w:rPr>
                <w:u w:val="single"/>
              </w:rPr>
              <w:t>CAS number</w:t>
            </w:r>
          </w:p>
        </w:tc>
        <w:tc>
          <w:tcPr>
            <w:tcW w:w="6792" w:type="dxa"/>
            <w:gridSpan w:val="2"/>
          </w:tcPr>
          <w:p w14:paraId="7876D659" w14:textId="77777777" w:rsidR="00BB156A" w:rsidRPr="00C247B2" w:rsidRDefault="00BB156A" w:rsidP="009C3C3F">
            <w:pPr>
              <w:pStyle w:val="RPI-Heading3"/>
              <w:spacing w:line="240" w:lineRule="auto"/>
            </w:pPr>
            <w:r w:rsidRPr="008A1B56">
              <w:rPr>
                <w:u w:val="none"/>
              </w:rPr>
              <w:t>2296729-00-3</w:t>
            </w:r>
          </w:p>
        </w:tc>
      </w:tr>
    </w:tbl>
    <w:p w14:paraId="56301DEA" w14:textId="575C8C1E" w:rsidR="003446B7" w:rsidRDefault="00FE4C53" w:rsidP="00FE4C53">
      <w:pPr>
        <w:pStyle w:val="RPI-GuidanceText"/>
        <w:rPr>
          <w:color w:val="auto"/>
        </w:rPr>
      </w:pPr>
      <w:r w:rsidRPr="00FE4C53">
        <w:rPr>
          <w:color w:val="auto"/>
        </w:rPr>
        <w:t>Sotorasib is a white</w:t>
      </w:r>
      <w:r w:rsidR="003771F6">
        <w:rPr>
          <w:color w:val="auto"/>
        </w:rPr>
        <w:t xml:space="preserve">, </w:t>
      </w:r>
      <w:r w:rsidRPr="00FE4C53">
        <w:rPr>
          <w:color w:val="auto"/>
        </w:rPr>
        <w:t>off-white</w:t>
      </w:r>
      <w:r w:rsidR="003771F6">
        <w:rPr>
          <w:color w:val="auto"/>
        </w:rPr>
        <w:t xml:space="preserve">, or </w:t>
      </w:r>
      <w:r w:rsidRPr="00FE4C53">
        <w:rPr>
          <w:color w:val="auto"/>
        </w:rPr>
        <w:t xml:space="preserve">yellow to light brown crystalline powder </w:t>
      </w:r>
      <w:r w:rsidR="003446B7">
        <w:rPr>
          <w:color w:val="auto"/>
        </w:rPr>
        <w:t>with low hygroscopicity</w:t>
      </w:r>
      <w:r w:rsidR="007A28D9">
        <w:rPr>
          <w:color w:val="auto"/>
        </w:rPr>
        <w:t xml:space="preserve">. The </w:t>
      </w:r>
      <w:r w:rsidR="003446B7">
        <w:rPr>
          <w:color w:val="auto"/>
        </w:rPr>
        <w:t xml:space="preserve">melting point </w:t>
      </w:r>
      <w:r w:rsidR="007A28D9">
        <w:rPr>
          <w:color w:val="auto"/>
        </w:rPr>
        <w:t xml:space="preserve">is </w:t>
      </w:r>
      <w:r w:rsidR="003446B7">
        <w:rPr>
          <w:color w:val="auto"/>
        </w:rPr>
        <w:t xml:space="preserve">approximately 289°C. </w:t>
      </w:r>
    </w:p>
    <w:p w14:paraId="7F745833" w14:textId="56456B32" w:rsidR="00FE4C53" w:rsidRDefault="003446B7" w:rsidP="00FE4C53">
      <w:pPr>
        <w:pStyle w:val="RPI-GuidanceText"/>
        <w:rPr>
          <w:color w:val="auto"/>
        </w:rPr>
      </w:pPr>
      <w:r>
        <w:rPr>
          <w:color w:val="auto"/>
        </w:rPr>
        <w:t xml:space="preserve">Sotorasib </w:t>
      </w:r>
      <w:r w:rsidR="00FE4C53" w:rsidRPr="00FE4C53">
        <w:rPr>
          <w:color w:val="auto"/>
        </w:rPr>
        <w:t>is almost insoluble in water.</w:t>
      </w:r>
      <w:r w:rsidR="00A30297">
        <w:rPr>
          <w:color w:val="auto"/>
        </w:rPr>
        <w:t xml:space="preserve"> </w:t>
      </w:r>
      <w:r w:rsidR="006868F5" w:rsidRPr="006868F5">
        <w:rPr>
          <w:color w:val="auto"/>
        </w:rPr>
        <w:t>The solubility of sotorasib in aqueous media decreases over the range pH 1.2 to 6.8 from 1.3 mg/mL to 0.03 mg/mL.</w:t>
      </w:r>
      <w:r w:rsidR="006868F5">
        <w:rPr>
          <w:color w:val="auto"/>
        </w:rPr>
        <w:t xml:space="preserve"> </w:t>
      </w:r>
      <w:r w:rsidR="00A30297">
        <w:rPr>
          <w:color w:val="auto"/>
        </w:rPr>
        <w:t>A</w:t>
      </w:r>
      <w:r w:rsidR="006D2A56">
        <w:rPr>
          <w:color w:val="auto"/>
        </w:rPr>
        <w:t>n</w:t>
      </w:r>
      <w:r w:rsidR="00A30297">
        <w:rPr>
          <w:color w:val="auto"/>
        </w:rPr>
        <w:t xml:space="preserve"> </w:t>
      </w:r>
      <w:r w:rsidR="006D2A56">
        <w:rPr>
          <w:color w:val="auto"/>
        </w:rPr>
        <w:t xml:space="preserve">aqueous </w:t>
      </w:r>
      <w:r>
        <w:rPr>
          <w:color w:val="auto"/>
        </w:rPr>
        <w:t xml:space="preserve">0.06 mg/mL </w:t>
      </w:r>
      <w:r w:rsidR="006D2A56">
        <w:rPr>
          <w:color w:val="auto"/>
        </w:rPr>
        <w:t xml:space="preserve">solution </w:t>
      </w:r>
      <w:r w:rsidR="00A30297">
        <w:rPr>
          <w:color w:val="auto"/>
        </w:rPr>
        <w:t>has a pH of 5.6</w:t>
      </w:r>
      <w:r w:rsidR="003771F6">
        <w:rPr>
          <w:color w:val="auto"/>
        </w:rPr>
        <w:t xml:space="preserve">. </w:t>
      </w:r>
      <w:r w:rsidR="006868F5" w:rsidRPr="006868F5">
        <w:rPr>
          <w:color w:val="auto"/>
        </w:rPr>
        <w:t xml:space="preserve">Sotorasib </w:t>
      </w:r>
      <w:r w:rsidR="006868F5">
        <w:rPr>
          <w:color w:val="auto"/>
        </w:rPr>
        <w:t>has</w:t>
      </w:r>
      <w:r w:rsidR="00FF0CFE">
        <w:rPr>
          <w:color w:val="auto"/>
        </w:rPr>
        <w:t xml:space="preserve"> </w:t>
      </w:r>
      <w:r w:rsidR="00A30297">
        <w:rPr>
          <w:color w:val="auto"/>
        </w:rPr>
        <w:t xml:space="preserve">pKa </w:t>
      </w:r>
      <w:r w:rsidR="006D2A56">
        <w:rPr>
          <w:color w:val="auto"/>
        </w:rPr>
        <w:t xml:space="preserve">values </w:t>
      </w:r>
      <w:r w:rsidR="006868F5">
        <w:rPr>
          <w:color w:val="auto"/>
        </w:rPr>
        <w:t xml:space="preserve">of </w:t>
      </w:r>
      <w:r w:rsidR="00DF5867">
        <w:rPr>
          <w:color w:val="auto"/>
        </w:rPr>
        <w:t xml:space="preserve">4.56 and </w:t>
      </w:r>
      <w:r w:rsidR="00A30297">
        <w:rPr>
          <w:color w:val="auto"/>
        </w:rPr>
        <w:t>8.06.</w:t>
      </w:r>
      <w:r>
        <w:rPr>
          <w:color w:val="auto"/>
        </w:rPr>
        <w:t xml:space="preserve"> The partition coefficient </w:t>
      </w:r>
      <w:r w:rsidR="009616A5">
        <w:rPr>
          <w:color w:val="auto"/>
        </w:rPr>
        <w:t xml:space="preserve">(log </w:t>
      </w:r>
      <w:r w:rsidR="009616A5" w:rsidRPr="009B53AB">
        <w:rPr>
          <w:color w:val="auto"/>
        </w:rPr>
        <w:t>D</w:t>
      </w:r>
      <w:r w:rsidR="009616A5">
        <w:rPr>
          <w:color w:val="auto"/>
        </w:rPr>
        <w:t xml:space="preserve">) </w:t>
      </w:r>
      <w:r w:rsidR="003771F6">
        <w:rPr>
          <w:color w:val="auto"/>
        </w:rPr>
        <w:t xml:space="preserve">at pH 7.4 </w:t>
      </w:r>
      <w:r>
        <w:rPr>
          <w:color w:val="auto"/>
        </w:rPr>
        <w:t xml:space="preserve">is 2.44. </w:t>
      </w:r>
    </w:p>
    <w:p w14:paraId="12AFF4EC" w14:textId="77777777" w:rsidR="00584696" w:rsidRDefault="00584696" w:rsidP="00740F45">
      <w:pPr>
        <w:pStyle w:val="RPI-Heading1"/>
      </w:pPr>
      <w:r w:rsidRPr="00ED7DB4">
        <w:t xml:space="preserve">MEDICINE </w:t>
      </w:r>
      <w:r w:rsidRPr="00417A40">
        <w:t>SCHEDULE</w:t>
      </w:r>
      <w:r w:rsidR="00447352" w:rsidRPr="00417A40">
        <w:t xml:space="preserve"> (POISONS STANDARD)</w:t>
      </w:r>
    </w:p>
    <w:p w14:paraId="12AFF4ED" w14:textId="4E8008B4" w:rsidR="00B54FFD" w:rsidRPr="00B54FFD" w:rsidRDefault="005541A3" w:rsidP="00C302C5">
      <w:pPr>
        <w:pStyle w:val="RPI-Text"/>
      </w:pPr>
      <w:r w:rsidRPr="005541A3">
        <w:t>Schedule 4 – Prescription Only Medicine</w:t>
      </w:r>
      <w:r>
        <w:t>.</w:t>
      </w:r>
    </w:p>
    <w:p w14:paraId="12AFF4EE" w14:textId="77777777" w:rsidR="00584696" w:rsidRDefault="00584696" w:rsidP="00740F45">
      <w:pPr>
        <w:pStyle w:val="RPI-Heading1"/>
      </w:pPr>
      <w:r w:rsidRPr="00ED7DB4">
        <w:t>SPONSOR</w:t>
      </w:r>
    </w:p>
    <w:p w14:paraId="12AFF4F0" w14:textId="77777777" w:rsidR="00E0347C" w:rsidRDefault="00E0347C" w:rsidP="003771F6">
      <w:pPr>
        <w:pStyle w:val="RPI-Text"/>
        <w:widowControl w:val="0"/>
      </w:pPr>
      <w:r>
        <w:t>Amgen Australia Pty Ltd</w:t>
      </w:r>
    </w:p>
    <w:p w14:paraId="1BF95F9F" w14:textId="5399C545" w:rsidR="00C149CD" w:rsidRDefault="00E0347C" w:rsidP="003771F6">
      <w:pPr>
        <w:pStyle w:val="RPI-Text"/>
        <w:widowControl w:val="0"/>
      </w:pPr>
      <w:r>
        <w:t xml:space="preserve">Level </w:t>
      </w:r>
      <w:r w:rsidR="002A364E">
        <w:t>11</w:t>
      </w:r>
      <w:r>
        <w:t>, 1</w:t>
      </w:r>
      <w:r w:rsidR="002A364E">
        <w:t>0 Carrington St</w:t>
      </w:r>
    </w:p>
    <w:p w14:paraId="12AFF4F4" w14:textId="65052B2E" w:rsidR="00E0347C" w:rsidRDefault="002A364E" w:rsidP="003771F6">
      <w:pPr>
        <w:pStyle w:val="RPI-Text"/>
        <w:widowControl w:val="0"/>
      </w:pPr>
      <w:r>
        <w:lastRenderedPageBreak/>
        <w:t xml:space="preserve">Sydney </w:t>
      </w:r>
      <w:r w:rsidR="00E0347C">
        <w:t>NSW 2</w:t>
      </w:r>
      <w:r>
        <w:t>000</w:t>
      </w:r>
    </w:p>
    <w:p w14:paraId="12AFF4F5" w14:textId="12567ADA" w:rsidR="00E0347C" w:rsidRDefault="002A364E" w:rsidP="003771F6">
      <w:pPr>
        <w:pStyle w:val="RPI-Text"/>
        <w:widowControl w:val="0"/>
      </w:pPr>
      <w:r>
        <w:t>Ph</w:t>
      </w:r>
      <w:r w:rsidR="00447352" w:rsidRPr="00624519">
        <w:t>: 1800</w:t>
      </w:r>
      <w:r w:rsidR="00624519" w:rsidRPr="00624519">
        <w:t xml:space="preserve"> 803 638</w:t>
      </w:r>
    </w:p>
    <w:p w14:paraId="53096F9E" w14:textId="361EDFA4" w:rsidR="002A364E" w:rsidRDefault="00FE7A11" w:rsidP="003771F6">
      <w:pPr>
        <w:pStyle w:val="RPI-Text"/>
        <w:widowControl w:val="0"/>
      </w:pPr>
      <w:hyperlink r:id="rId16" w:history="1">
        <w:r w:rsidR="002A364E" w:rsidRPr="004A49B6">
          <w:rPr>
            <w:rStyle w:val="Hyperlink"/>
          </w:rPr>
          <w:t>www.amgenmedinfo.com.au</w:t>
        </w:r>
      </w:hyperlink>
    </w:p>
    <w:p w14:paraId="12AFF4F6" w14:textId="070B2EA7" w:rsidR="00E0347C" w:rsidRDefault="00E0347C" w:rsidP="003771F6">
      <w:pPr>
        <w:pStyle w:val="RPI-Text"/>
        <w:widowControl w:val="0"/>
      </w:pPr>
      <w:r>
        <w:t>Email</w:t>
      </w:r>
      <w:r w:rsidR="00447352">
        <w:t>: medinfo.JAPAC@amgen.com</w:t>
      </w:r>
    </w:p>
    <w:p w14:paraId="12AFF4F7" w14:textId="77777777" w:rsidR="00584696" w:rsidRDefault="00584696" w:rsidP="00740F45">
      <w:pPr>
        <w:pStyle w:val="RPI-Heading1"/>
      </w:pPr>
      <w:r w:rsidRPr="00ED7DB4">
        <w:t>DATE OF FIRST APPROVAL</w:t>
      </w:r>
      <w:r w:rsidR="00E0347C">
        <w:t xml:space="preserve"> </w:t>
      </w:r>
    </w:p>
    <w:p w14:paraId="28445CAF" w14:textId="6646ECFE" w:rsidR="0006267F" w:rsidRPr="0006267F" w:rsidRDefault="00B54FFD" w:rsidP="00C302C5">
      <w:pPr>
        <w:pStyle w:val="RPI-Text"/>
        <w:rPr>
          <w:color w:val="FF0000"/>
        </w:rPr>
      </w:pPr>
      <w:r w:rsidRPr="00417A40">
        <w:t xml:space="preserve">Date of </w:t>
      </w:r>
      <w:r w:rsidR="00417A40" w:rsidRPr="00417A40">
        <w:t>first inclusion in the Australian Register of</w:t>
      </w:r>
      <w:r w:rsidR="0006267F">
        <w:t xml:space="preserve"> </w:t>
      </w:r>
      <w:r w:rsidR="00417A40" w:rsidRPr="00417A40">
        <w:t>Therapeutic Goods</w:t>
      </w:r>
      <w:r w:rsidRPr="00417A40">
        <w:t>:</w:t>
      </w:r>
      <w:r w:rsidRPr="0006267F">
        <w:t xml:space="preserve"> </w:t>
      </w:r>
      <w:r w:rsidR="00EF0A66">
        <w:t>30 March 2022</w:t>
      </w:r>
      <w:r w:rsidR="006C5E5D" w:rsidRPr="0006267F">
        <w:rPr>
          <w:color w:val="FF0000"/>
        </w:rPr>
        <w:t xml:space="preserve"> </w:t>
      </w:r>
    </w:p>
    <w:p w14:paraId="12AFF4FA" w14:textId="77777777" w:rsidR="00584696" w:rsidRPr="00740F45" w:rsidRDefault="00584696" w:rsidP="00740F45">
      <w:pPr>
        <w:pStyle w:val="RPI-Heading1"/>
      </w:pPr>
      <w:r w:rsidRPr="00740F45">
        <w:t xml:space="preserve">DATE OF REVISION </w:t>
      </w:r>
    </w:p>
    <w:p w14:paraId="180A151D" w14:textId="1A100971" w:rsidR="00750F06" w:rsidRPr="00D30279" w:rsidRDefault="00750F06" w:rsidP="00051153">
      <w:pPr>
        <w:pStyle w:val="RPI-Text"/>
      </w:pPr>
      <w:r w:rsidRPr="00D30279">
        <w:t>Not applicable.</w:t>
      </w:r>
    </w:p>
    <w:p w14:paraId="12AFF4FD" w14:textId="1E86F2B2" w:rsidR="00584696" w:rsidRDefault="00584696" w:rsidP="005F521C">
      <w:pPr>
        <w:pStyle w:val="RPI-Heading0"/>
      </w:pPr>
      <w:r w:rsidRPr="00ED7DB4">
        <w:t>SUMMARY TABLE OF CHANGES</w:t>
      </w:r>
    </w:p>
    <w:tbl>
      <w:tblPr>
        <w:tblStyle w:val="TableGrid"/>
        <w:tblW w:w="0" w:type="auto"/>
        <w:tblLook w:val="04A0" w:firstRow="1" w:lastRow="0" w:firstColumn="1" w:lastColumn="0" w:noHBand="0" w:noVBand="1"/>
      </w:tblPr>
      <w:tblGrid>
        <w:gridCol w:w="1978"/>
        <w:gridCol w:w="5230"/>
      </w:tblGrid>
      <w:tr w:rsidR="00AA7F38" w14:paraId="12AFF501" w14:textId="77777777" w:rsidTr="00DE48A5">
        <w:tc>
          <w:tcPr>
            <w:tcW w:w="1978" w:type="dxa"/>
            <w:tcBorders>
              <w:bottom w:val="single" w:sz="4" w:space="0" w:color="auto"/>
            </w:tcBorders>
          </w:tcPr>
          <w:p w14:paraId="12AFF4FF" w14:textId="77777777" w:rsidR="00AA7F38" w:rsidRPr="002610B1" w:rsidRDefault="00AA7F38" w:rsidP="0054201D">
            <w:pPr>
              <w:pStyle w:val="RPI-TableLeftAligned"/>
              <w:rPr>
                <w:b/>
                <w:bCs/>
              </w:rPr>
            </w:pPr>
            <w:r w:rsidRPr="002610B1">
              <w:rPr>
                <w:b/>
                <w:bCs/>
              </w:rPr>
              <w:t>Section changed</w:t>
            </w:r>
          </w:p>
        </w:tc>
        <w:tc>
          <w:tcPr>
            <w:tcW w:w="5230" w:type="dxa"/>
            <w:tcBorders>
              <w:bottom w:val="single" w:sz="4" w:space="0" w:color="auto"/>
            </w:tcBorders>
          </w:tcPr>
          <w:p w14:paraId="12AFF500" w14:textId="77777777" w:rsidR="00AA7F38" w:rsidRPr="002610B1" w:rsidRDefault="00AA7F38" w:rsidP="0054201D">
            <w:pPr>
              <w:pStyle w:val="RPI-TableLeftAligned"/>
              <w:rPr>
                <w:b/>
                <w:bCs/>
              </w:rPr>
            </w:pPr>
            <w:r w:rsidRPr="002610B1">
              <w:rPr>
                <w:b/>
                <w:bCs/>
              </w:rPr>
              <w:t>Summary of new information</w:t>
            </w:r>
          </w:p>
        </w:tc>
      </w:tr>
      <w:tr w:rsidR="00AA7F38" w14:paraId="12AFF504" w14:textId="77777777" w:rsidTr="00DE48A5">
        <w:tc>
          <w:tcPr>
            <w:tcW w:w="1978" w:type="dxa"/>
            <w:tcBorders>
              <w:bottom w:val="single" w:sz="4" w:space="0" w:color="auto"/>
            </w:tcBorders>
          </w:tcPr>
          <w:p w14:paraId="12AFF502" w14:textId="3CA83A68" w:rsidR="00AA7F38" w:rsidRPr="007A28D9" w:rsidRDefault="007A28D9" w:rsidP="0054201D">
            <w:pPr>
              <w:pStyle w:val="RPI-TableLeftAligned"/>
            </w:pPr>
            <w:r w:rsidRPr="007A28D9">
              <w:t xml:space="preserve">All </w:t>
            </w:r>
          </w:p>
        </w:tc>
        <w:tc>
          <w:tcPr>
            <w:tcW w:w="5230" w:type="dxa"/>
            <w:tcBorders>
              <w:bottom w:val="single" w:sz="4" w:space="0" w:color="auto"/>
            </w:tcBorders>
          </w:tcPr>
          <w:p w14:paraId="12AFF503" w14:textId="06D9DF1D" w:rsidR="00AA7F38" w:rsidRPr="007A28D9" w:rsidRDefault="00DE48A5" w:rsidP="0054201D">
            <w:pPr>
              <w:pStyle w:val="RPI-TableLeftAligned"/>
            </w:pPr>
            <w:r>
              <w:t>P</w:t>
            </w:r>
            <w:r w:rsidR="00DA7919">
              <w:t xml:space="preserve">rovisionally </w:t>
            </w:r>
            <w:r w:rsidR="000653BF">
              <w:t>registered</w:t>
            </w:r>
            <w:r w:rsidR="00DA7919">
              <w:t xml:space="preserve"> </w:t>
            </w:r>
            <w:r w:rsidR="003771F6">
              <w:t>pr</w:t>
            </w:r>
            <w:r w:rsidR="00415FCA">
              <w:t>escription medicine</w:t>
            </w:r>
          </w:p>
        </w:tc>
      </w:tr>
    </w:tbl>
    <w:p w14:paraId="12AFF523" w14:textId="37311278" w:rsidR="0017460D" w:rsidRPr="00490E90" w:rsidRDefault="0017460D" w:rsidP="00490E90">
      <w:pPr>
        <w:rPr>
          <w:lang w:val="en-AU"/>
        </w:rPr>
      </w:pPr>
    </w:p>
    <w:sectPr w:rsidR="0017460D" w:rsidRPr="00490E90" w:rsidSect="006965AD">
      <w:headerReference w:type="default" r:id="rId17"/>
      <w:footerReference w:type="default" r:id="rId18"/>
      <w:pgSz w:w="11906" w:h="16838"/>
      <w:pgMar w:top="1383" w:right="1440" w:bottom="170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3412" w14:textId="77777777" w:rsidR="004924C5" w:rsidRDefault="004924C5" w:rsidP="00245127">
      <w:r>
        <w:separator/>
      </w:r>
    </w:p>
  </w:endnote>
  <w:endnote w:type="continuationSeparator" w:id="0">
    <w:p w14:paraId="55C2896E" w14:textId="77777777" w:rsidR="004924C5" w:rsidRDefault="004924C5" w:rsidP="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F52B" w14:textId="17054943" w:rsidR="003313E4" w:rsidRDefault="00497E9F" w:rsidP="004F69CF">
    <w:pPr>
      <w:pStyle w:val="RPI-Footer"/>
    </w:pPr>
    <w:r>
      <w:t>AU LUMAKRAS PI v1.0</w:t>
    </w:r>
    <w:r w:rsidR="003313E4">
      <w:tab/>
    </w:r>
    <w:r w:rsidR="003313E4">
      <w:tab/>
      <w:t xml:space="preserve">Page </w:t>
    </w:r>
    <w:r w:rsidR="003313E4">
      <w:rPr>
        <w:bCs/>
      </w:rPr>
      <w:fldChar w:fldCharType="begin"/>
    </w:r>
    <w:r w:rsidR="003313E4">
      <w:rPr>
        <w:bCs/>
      </w:rPr>
      <w:instrText xml:space="preserve"> PAGE  \* Arabic  \* MERGEFORMAT </w:instrText>
    </w:r>
    <w:r w:rsidR="003313E4">
      <w:rPr>
        <w:bCs/>
      </w:rPr>
      <w:fldChar w:fldCharType="separate"/>
    </w:r>
    <w:r w:rsidR="003313E4">
      <w:rPr>
        <w:bCs/>
        <w:noProof/>
      </w:rPr>
      <w:t>1</w:t>
    </w:r>
    <w:r w:rsidR="003313E4">
      <w:rPr>
        <w:bCs/>
      </w:rPr>
      <w:fldChar w:fldCharType="end"/>
    </w:r>
    <w:r w:rsidR="003313E4">
      <w:t xml:space="preserve"> of </w:t>
    </w:r>
    <w:r w:rsidR="003313E4">
      <w:rPr>
        <w:bCs/>
      </w:rPr>
      <w:fldChar w:fldCharType="begin"/>
    </w:r>
    <w:r w:rsidR="003313E4">
      <w:rPr>
        <w:bCs/>
      </w:rPr>
      <w:instrText xml:space="preserve"> NUMPAGES  \* Arabic  \* MERGEFORMAT </w:instrText>
    </w:r>
    <w:r w:rsidR="003313E4">
      <w:rPr>
        <w:bCs/>
      </w:rPr>
      <w:fldChar w:fldCharType="separate"/>
    </w:r>
    <w:r w:rsidR="003313E4">
      <w:rPr>
        <w:bCs/>
        <w:noProof/>
      </w:rPr>
      <w:t>10</w:t>
    </w:r>
    <w:r w:rsidR="003313E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93D4" w14:textId="77777777" w:rsidR="004924C5" w:rsidRDefault="004924C5" w:rsidP="00245127">
      <w:r>
        <w:separator/>
      </w:r>
    </w:p>
  </w:footnote>
  <w:footnote w:type="continuationSeparator" w:id="0">
    <w:p w14:paraId="525430D0" w14:textId="77777777" w:rsidR="004924C5" w:rsidRDefault="004924C5" w:rsidP="0024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659"/>
    </w:tblGrid>
    <w:tr w:rsidR="005A45C7" w:rsidRPr="000B2145" w14:paraId="2A298F7A" w14:textId="77777777" w:rsidTr="005A45C7">
      <w:trPr>
        <w:trHeight w:val="1124"/>
      </w:trPr>
      <w:tc>
        <w:tcPr>
          <w:tcW w:w="9039" w:type="dxa"/>
          <w:shd w:val="clear" w:color="auto" w:fill="E4F2E0"/>
        </w:tcPr>
        <w:p w14:paraId="0F0DC127" w14:textId="77777777" w:rsidR="005A45C7" w:rsidRPr="00491474" w:rsidRDefault="005A45C7" w:rsidP="005A45C7">
          <w:pPr>
            <w:pStyle w:val="Footer"/>
            <w:rPr>
              <w:b w:val="0"/>
              <w:sz w:val="18"/>
              <w:szCs w:val="18"/>
            </w:rPr>
          </w:pPr>
          <w:bookmarkStart w:id="4" w:name="_Hlk109054010"/>
          <w:r w:rsidRPr="00EE2A41">
            <w:rPr>
              <w:sz w:val="18"/>
              <w:szCs w:val="18"/>
            </w:rPr>
            <w:t xml:space="preserve">Attachment </w:t>
          </w:r>
          <w:r w:rsidRPr="00491474">
            <w:rPr>
              <w:sz w:val="18"/>
              <w:szCs w:val="18"/>
            </w:rPr>
            <w:t xml:space="preserve">AusPAR - Lumakras - </w:t>
          </w:r>
          <w:proofErr w:type="spellStart"/>
          <w:r w:rsidRPr="00491474">
            <w:rPr>
              <w:sz w:val="18"/>
              <w:szCs w:val="18"/>
            </w:rPr>
            <w:t>sotorasib</w:t>
          </w:r>
          <w:proofErr w:type="spellEnd"/>
          <w:r w:rsidRPr="00491474">
            <w:rPr>
              <w:sz w:val="18"/>
              <w:szCs w:val="18"/>
            </w:rPr>
            <w:t xml:space="preserve"> - Amgen Australia Pty Ltd - PM-2021-00026-1-4</w:t>
          </w:r>
        </w:p>
        <w:p w14:paraId="1DB7AB0B" w14:textId="77777777" w:rsidR="005A45C7" w:rsidRPr="000E4791" w:rsidRDefault="005A45C7" w:rsidP="005A45C7">
          <w:pPr>
            <w:pStyle w:val="Footer"/>
            <w:rPr>
              <w:b w:val="0"/>
              <w:sz w:val="18"/>
              <w:szCs w:val="18"/>
            </w:rPr>
          </w:pPr>
          <w:r w:rsidRPr="00491474">
            <w:rPr>
              <w:sz w:val="18"/>
              <w:szCs w:val="18"/>
            </w:rPr>
            <w:t>Final 30 May 2023</w:t>
          </w:r>
          <w:r>
            <w:rPr>
              <w:sz w:val="18"/>
              <w:szCs w:val="18"/>
            </w:rPr>
            <w:t>.</w:t>
          </w:r>
          <w:r w:rsidRPr="00EE2A41">
            <w:rPr>
              <w:sz w:val="18"/>
              <w:szCs w:val="18"/>
            </w:rPr>
            <w:t xml:space="preserve"> This is the Product Information that was approved with the submission described in this AusPAR. It may have been superseded. For the most recent PI, please refer to the TGA website at</w:t>
          </w:r>
          <w:r w:rsidRPr="000E4791">
            <w:rPr>
              <w:sz w:val="18"/>
              <w:szCs w:val="18"/>
            </w:rPr>
            <w:t xml:space="preserve"> &lt;</w:t>
          </w:r>
          <w:hyperlink r:id="rId1" w:history="1">
            <w:r w:rsidRPr="000E4791">
              <w:rPr>
                <w:rStyle w:val="Hyperlink"/>
                <w:sz w:val="18"/>
                <w:szCs w:val="18"/>
              </w:rPr>
              <w:t>https://www.tga.gov.au/product-information-pi</w:t>
            </w:r>
          </w:hyperlink>
          <w:r w:rsidRPr="000E4791">
            <w:rPr>
              <w:sz w:val="18"/>
              <w:szCs w:val="18"/>
              <w:u w:val="single"/>
            </w:rPr>
            <w:t>&gt;</w:t>
          </w:r>
        </w:p>
      </w:tc>
    </w:tr>
    <w:bookmarkEnd w:id="4"/>
  </w:tbl>
  <w:p w14:paraId="790C8D4E" w14:textId="77777777" w:rsidR="005A45C7" w:rsidRDefault="005A45C7" w:rsidP="005A45C7"/>
  <w:p w14:paraId="12AFF52A" w14:textId="677B1CCB" w:rsidR="003313E4" w:rsidRPr="00270360" w:rsidRDefault="003313E4" w:rsidP="00270360">
    <w:pPr>
      <w:pStyle w:val="Header"/>
    </w:pPr>
    <w:r w:rsidRPr="00270360">
      <w:t>LUMAKRAS</w:t>
    </w:r>
    <w:r w:rsidRPr="006965AD">
      <w:rPr>
        <w:rFonts w:cs="Arial"/>
        <w:vertAlign w:val="superscript"/>
      </w:rPr>
      <w:t>®</w:t>
    </w:r>
    <w:r w:rsidRPr="00270360">
      <w:t xml:space="preserve"> Product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2" w15:restartNumberingAfterBreak="0">
    <w:nsid w:val="24D1181D"/>
    <w:multiLevelType w:val="hybridMultilevel"/>
    <w:tmpl w:val="3CBA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4" w15:restartNumberingAfterBreak="0">
    <w:nsid w:val="2F0D4841"/>
    <w:multiLevelType w:val="hybridMultilevel"/>
    <w:tmpl w:val="34A88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0273A6"/>
    <w:multiLevelType w:val="multilevel"/>
    <w:tmpl w:val="C1C094CA"/>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6" w15:restartNumberingAfterBreak="0">
    <w:nsid w:val="76265814"/>
    <w:multiLevelType w:val="hybridMultilevel"/>
    <w:tmpl w:val="9530E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8A"/>
    <w:rsid w:val="00003D9A"/>
    <w:rsid w:val="00004404"/>
    <w:rsid w:val="00006740"/>
    <w:rsid w:val="000068DA"/>
    <w:rsid w:val="00010E35"/>
    <w:rsid w:val="0002471F"/>
    <w:rsid w:val="0003223E"/>
    <w:rsid w:val="00041F33"/>
    <w:rsid w:val="00043215"/>
    <w:rsid w:val="00043356"/>
    <w:rsid w:val="00051153"/>
    <w:rsid w:val="000571A9"/>
    <w:rsid w:val="00061C63"/>
    <w:rsid w:val="0006267F"/>
    <w:rsid w:val="000653BF"/>
    <w:rsid w:val="00065C4E"/>
    <w:rsid w:val="00070A0E"/>
    <w:rsid w:val="00074D31"/>
    <w:rsid w:val="00081B1B"/>
    <w:rsid w:val="000A1A5D"/>
    <w:rsid w:val="000B2BFD"/>
    <w:rsid w:val="000B31D8"/>
    <w:rsid w:val="000C2D48"/>
    <w:rsid w:val="000D3892"/>
    <w:rsid w:val="000F075A"/>
    <w:rsid w:val="000F0B6D"/>
    <w:rsid w:val="001020BE"/>
    <w:rsid w:val="00102499"/>
    <w:rsid w:val="001055A4"/>
    <w:rsid w:val="001068A4"/>
    <w:rsid w:val="00110210"/>
    <w:rsid w:val="00111970"/>
    <w:rsid w:val="001268A2"/>
    <w:rsid w:val="0013029B"/>
    <w:rsid w:val="001318CD"/>
    <w:rsid w:val="00135834"/>
    <w:rsid w:val="0014430B"/>
    <w:rsid w:val="00155E5A"/>
    <w:rsid w:val="00162085"/>
    <w:rsid w:val="0017229A"/>
    <w:rsid w:val="0017460D"/>
    <w:rsid w:val="001765D2"/>
    <w:rsid w:val="00176CF9"/>
    <w:rsid w:val="00185B3D"/>
    <w:rsid w:val="00187237"/>
    <w:rsid w:val="00193F97"/>
    <w:rsid w:val="0019526E"/>
    <w:rsid w:val="0019604A"/>
    <w:rsid w:val="001A1ABD"/>
    <w:rsid w:val="001B05C9"/>
    <w:rsid w:val="001B55F8"/>
    <w:rsid w:val="001C06E3"/>
    <w:rsid w:val="001C42BF"/>
    <w:rsid w:val="001D5D0D"/>
    <w:rsid w:val="001E090A"/>
    <w:rsid w:val="001F6C0B"/>
    <w:rsid w:val="00200B42"/>
    <w:rsid w:val="00215C4D"/>
    <w:rsid w:val="00216E3D"/>
    <w:rsid w:val="00217F46"/>
    <w:rsid w:val="00222940"/>
    <w:rsid w:val="002265DA"/>
    <w:rsid w:val="00235DE3"/>
    <w:rsid w:val="00240DEE"/>
    <w:rsid w:val="00245127"/>
    <w:rsid w:val="0024779A"/>
    <w:rsid w:val="0024797E"/>
    <w:rsid w:val="00247CA7"/>
    <w:rsid w:val="00253982"/>
    <w:rsid w:val="00254C15"/>
    <w:rsid w:val="00257820"/>
    <w:rsid w:val="002610B1"/>
    <w:rsid w:val="002631F6"/>
    <w:rsid w:val="00266BD6"/>
    <w:rsid w:val="00270360"/>
    <w:rsid w:val="0027449B"/>
    <w:rsid w:val="00274EE2"/>
    <w:rsid w:val="002754CE"/>
    <w:rsid w:val="002814EC"/>
    <w:rsid w:val="002818F3"/>
    <w:rsid w:val="00283898"/>
    <w:rsid w:val="00284814"/>
    <w:rsid w:val="002A25D1"/>
    <w:rsid w:val="002A311A"/>
    <w:rsid w:val="002A364E"/>
    <w:rsid w:val="002A4D9A"/>
    <w:rsid w:val="002B15CF"/>
    <w:rsid w:val="002C07AA"/>
    <w:rsid w:val="002C382F"/>
    <w:rsid w:val="002C6CA1"/>
    <w:rsid w:val="002C71DA"/>
    <w:rsid w:val="002D3633"/>
    <w:rsid w:val="002D3960"/>
    <w:rsid w:val="002D76AC"/>
    <w:rsid w:val="002F0C68"/>
    <w:rsid w:val="002F31B7"/>
    <w:rsid w:val="0030188A"/>
    <w:rsid w:val="00311811"/>
    <w:rsid w:val="0031295D"/>
    <w:rsid w:val="00313791"/>
    <w:rsid w:val="0031422A"/>
    <w:rsid w:val="00315F04"/>
    <w:rsid w:val="003175C9"/>
    <w:rsid w:val="00322ECD"/>
    <w:rsid w:val="003249F4"/>
    <w:rsid w:val="00324C12"/>
    <w:rsid w:val="0032608A"/>
    <w:rsid w:val="0032627D"/>
    <w:rsid w:val="00326E7B"/>
    <w:rsid w:val="003313E4"/>
    <w:rsid w:val="003362A5"/>
    <w:rsid w:val="003362BE"/>
    <w:rsid w:val="00336C5A"/>
    <w:rsid w:val="00337121"/>
    <w:rsid w:val="00340B05"/>
    <w:rsid w:val="003446B7"/>
    <w:rsid w:val="00350FFB"/>
    <w:rsid w:val="00351864"/>
    <w:rsid w:val="00352CA1"/>
    <w:rsid w:val="00352D64"/>
    <w:rsid w:val="00354016"/>
    <w:rsid w:val="00356651"/>
    <w:rsid w:val="00356BFC"/>
    <w:rsid w:val="00360A1B"/>
    <w:rsid w:val="0036567D"/>
    <w:rsid w:val="00367CD7"/>
    <w:rsid w:val="00367EE9"/>
    <w:rsid w:val="00372EFE"/>
    <w:rsid w:val="003771F6"/>
    <w:rsid w:val="00377C15"/>
    <w:rsid w:val="00382A4A"/>
    <w:rsid w:val="00383EA8"/>
    <w:rsid w:val="00385D12"/>
    <w:rsid w:val="00390651"/>
    <w:rsid w:val="003B2335"/>
    <w:rsid w:val="003C3C81"/>
    <w:rsid w:val="003C782F"/>
    <w:rsid w:val="003D39EE"/>
    <w:rsid w:val="003D4013"/>
    <w:rsid w:val="003E0A6C"/>
    <w:rsid w:val="003E0D65"/>
    <w:rsid w:val="003E25E0"/>
    <w:rsid w:val="003F1F5F"/>
    <w:rsid w:val="003F2490"/>
    <w:rsid w:val="003F57DE"/>
    <w:rsid w:val="003F5AD3"/>
    <w:rsid w:val="00400752"/>
    <w:rsid w:val="00403D02"/>
    <w:rsid w:val="00414762"/>
    <w:rsid w:val="00415C65"/>
    <w:rsid w:val="00415FCA"/>
    <w:rsid w:val="00417A3A"/>
    <w:rsid w:val="00417A40"/>
    <w:rsid w:val="0042113C"/>
    <w:rsid w:val="004404CC"/>
    <w:rsid w:val="00444000"/>
    <w:rsid w:val="004452FC"/>
    <w:rsid w:val="00447104"/>
    <w:rsid w:val="00447352"/>
    <w:rsid w:val="00450DD8"/>
    <w:rsid w:val="00454267"/>
    <w:rsid w:val="0045486F"/>
    <w:rsid w:val="00454EF4"/>
    <w:rsid w:val="00456508"/>
    <w:rsid w:val="00457323"/>
    <w:rsid w:val="004620EF"/>
    <w:rsid w:val="00464111"/>
    <w:rsid w:val="004657E6"/>
    <w:rsid w:val="00466251"/>
    <w:rsid w:val="004666D3"/>
    <w:rsid w:val="00467F16"/>
    <w:rsid w:val="00477356"/>
    <w:rsid w:val="004812EC"/>
    <w:rsid w:val="00483125"/>
    <w:rsid w:val="00483807"/>
    <w:rsid w:val="00490E90"/>
    <w:rsid w:val="004924C5"/>
    <w:rsid w:val="004927F4"/>
    <w:rsid w:val="00494E8C"/>
    <w:rsid w:val="00497E9F"/>
    <w:rsid w:val="004A14D7"/>
    <w:rsid w:val="004B2848"/>
    <w:rsid w:val="004B3A36"/>
    <w:rsid w:val="004C5E5A"/>
    <w:rsid w:val="004C7699"/>
    <w:rsid w:val="004D1CA9"/>
    <w:rsid w:val="004D4C07"/>
    <w:rsid w:val="004D4CF4"/>
    <w:rsid w:val="004D566B"/>
    <w:rsid w:val="004E0A2C"/>
    <w:rsid w:val="004F177A"/>
    <w:rsid w:val="004F4550"/>
    <w:rsid w:val="004F6556"/>
    <w:rsid w:val="004F6768"/>
    <w:rsid w:val="004F69CF"/>
    <w:rsid w:val="00500157"/>
    <w:rsid w:val="0050060F"/>
    <w:rsid w:val="00500869"/>
    <w:rsid w:val="00505875"/>
    <w:rsid w:val="005067BE"/>
    <w:rsid w:val="00507CA9"/>
    <w:rsid w:val="00507D9D"/>
    <w:rsid w:val="00513B50"/>
    <w:rsid w:val="0051574F"/>
    <w:rsid w:val="00516753"/>
    <w:rsid w:val="00522425"/>
    <w:rsid w:val="00524624"/>
    <w:rsid w:val="0053053A"/>
    <w:rsid w:val="00531D0C"/>
    <w:rsid w:val="00540320"/>
    <w:rsid w:val="0054201D"/>
    <w:rsid w:val="00551967"/>
    <w:rsid w:val="005541A3"/>
    <w:rsid w:val="00557E99"/>
    <w:rsid w:val="00562F3B"/>
    <w:rsid w:val="005640DB"/>
    <w:rsid w:val="0056503B"/>
    <w:rsid w:val="00565D91"/>
    <w:rsid w:val="00570375"/>
    <w:rsid w:val="00571CAB"/>
    <w:rsid w:val="00574670"/>
    <w:rsid w:val="005747A7"/>
    <w:rsid w:val="005768BA"/>
    <w:rsid w:val="00580A2E"/>
    <w:rsid w:val="00582883"/>
    <w:rsid w:val="00584696"/>
    <w:rsid w:val="005A139A"/>
    <w:rsid w:val="005A35BF"/>
    <w:rsid w:val="005A45C7"/>
    <w:rsid w:val="005A61CC"/>
    <w:rsid w:val="005A684B"/>
    <w:rsid w:val="005B2EDB"/>
    <w:rsid w:val="005B51E3"/>
    <w:rsid w:val="005B5DA5"/>
    <w:rsid w:val="005C11BF"/>
    <w:rsid w:val="005C5509"/>
    <w:rsid w:val="005C60CC"/>
    <w:rsid w:val="005D0C11"/>
    <w:rsid w:val="005D242D"/>
    <w:rsid w:val="005E2051"/>
    <w:rsid w:val="005E594C"/>
    <w:rsid w:val="005E739D"/>
    <w:rsid w:val="005E78A1"/>
    <w:rsid w:val="005F1DB5"/>
    <w:rsid w:val="005F228F"/>
    <w:rsid w:val="005F47E8"/>
    <w:rsid w:val="005F521C"/>
    <w:rsid w:val="005F5861"/>
    <w:rsid w:val="00600001"/>
    <w:rsid w:val="00605047"/>
    <w:rsid w:val="00605AB7"/>
    <w:rsid w:val="0061266E"/>
    <w:rsid w:val="00616F8C"/>
    <w:rsid w:val="0062149E"/>
    <w:rsid w:val="00624519"/>
    <w:rsid w:val="00625683"/>
    <w:rsid w:val="00625A31"/>
    <w:rsid w:val="0062658E"/>
    <w:rsid w:val="00626DB3"/>
    <w:rsid w:val="00634B5E"/>
    <w:rsid w:val="006369AB"/>
    <w:rsid w:val="00637A8F"/>
    <w:rsid w:val="00640303"/>
    <w:rsid w:val="00643F26"/>
    <w:rsid w:val="006444C3"/>
    <w:rsid w:val="00651238"/>
    <w:rsid w:val="00653CFE"/>
    <w:rsid w:val="00654CD5"/>
    <w:rsid w:val="0065704E"/>
    <w:rsid w:val="00661619"/>
    <w:rsid w:val="00662144"/>
    <w:rsid w:val="0066332F"/>
    <w:rsid w:val="00664C04"/>
    <w:rsid w:val="00664EA3"/>
    <w:rsid w:val="006674A1"/>
    <w:rsid w:val="00676E09"/>
    <w:rsid w:val="00677063"/>
    <w:rsid w:val="00677868"/>
    <w:rsid w:val="006809D3"/>
    <w:rsid w:val="00683D1D"/>
    <w:rsid w:val="006868F5"/>
    <w:rsid w:val="006913A1"/>
    <w:rsid w:val="00692AA6"/>
    <w:rsid w:val="00693062"/>
    <w:rsid w:val="0069628D"/>
    <w:rsid w:val="006965AD"/>
    <w:rsid w:val="00696881"/>
    <w:rsid w:val="006A054D"/>
    <w:rsid w:val="006A48B4"/>
    <w:rsid w:val="006A7CAB"/>
    <w:rsid w:val="006B61D4"/>
    <w:rsid w:val="006C031D"/>
    <w:rsid w:val="006C3D65"/>
    <w:rsid w:val="006C5E5D"/>
    <w:rsid w:val="006D10DC"/>
    <w:rsid w:val="006D2A56"/>
    <w:rsid w:val="006D7055"/>
    <w:rsid w:val="006D7609"/>
    <w:rsid w:val="006E0644"/>
    <w:rsid w:val="006E4854"/>
    <w:rsid w:val="006E509C"/>
    <w:rsid w:val="006F1473"/>
    <w:rsid w:val="006F4EDB"/>
    <w:rsid w:val="006F500D"/>
    <w:rsid w:val="006F61F8"/>
    <w:rsid w:val="00702E9D"/>
    <w:rsid w:val="007044C2"/>
    <w:rsid w:val="00721967"/>
    <w:rsid w:val="00723B1F"/>
    <w:rsid w:val="007247C1"/>
    <w:rsid w:val="00732D97"/>
    <w:rsid w:val="0073769E"/>
    <w:rsid w:val="00740F45"/>
    <w:rsid w:val="00743FA6"/>
    <w:rsid w:val="00745EC5"/>
    <w:rsid w:val="00750F06"/>
    <w:rsid w:val="00752FD5"/>
    <w:rsid w:val="0075677C"/>
    <w:rsid w:val="00757D1F"/>
    <w:rsid w:val="0076100B"/>
    <w:rsid w:val="00761A33"/>
    <w:rsid w:val="0076394A"/>
    <w:rsid w:val="007667C2"/>
    <w:rsid w:val="00767846"/>
    <w:rsid w:val="00770764"/>
    <w:rsid w:val="0077145F"/>
    <w:rsid w:val="007720ED"/>
    <w:rsid w:val="00780BB8"/>
    <w:rsid w:val="0078615D"/>
    <w:rsid w:val="0078692F"/>
    <w:rsid w:val="00795C65"/>
    <w:rsid w:val="007A28D9"/>
    <w:rsid w:val="007A73E4"/>
    <w:rsid w:val="007B14A7"/>
    <w:rsid w:val="007B3A82"/>
    <w:rsid w:val="007B51E9"/>
    <w:rsid w:val="007B607C"/>
    <w:rsid w:val="007B76C7"/>
    <w:rsid w:val="007C12D8"/>
    <w:rsid w:val="007E2FEC"/>
    <w:rsid w:val="007E54F8"/>
    <w:rsid w:val="007F106B"/>
    <w:rsid w:val="007F1A01"/>
    <w:rsid w:val="007F3C57"/>
    <w:rsid w:val="007F3F0A"/>
    <w:rsid w:val="00802BA1"/>
    <w:rsid w:val="00807A63"/>
    <w:rsid w:val="00813486"/>
    <w:rsid w:val="00814967"/>
    <w:rsid w:val="0081713C"/>
    <w:rsid w:val="0082136F"/>
    <w:rsid w:val="00822B58"/>
    <w:rsid w:val="00826A5E"/>
    <w:rsid w:val="00833209"/>
    <w:rsid w:val="008438E2"/>
    <w:rsid w:val="0084424E"/>
    <w:rsid w:val="00844FA8"/>
    <w:rsid w:val="00846B59"/>
    <w:rsid w:val="00847A00"/>
    <w:rsid w:val="008500D0"/>
    <w:rsid w:val="008509B0"/>
    <w:rsid w:val="00851D8B"/>
    <w:rsid w:val="0085229E"/>
    <w:rsid w:val="0085306F"/>
    <w:rsid w:val="0085524F"/>
    <w:rsid w:val="00871071"/>
    <w:rsid w:val="00872D45"/>
    <w:rsid w:val="0087770A"/>
    <w:rsid w:val="00877C88"/>
    <w:rsid w:val="00881167"/>
    <w:rsid w:val="008838D1"/>
    <w:rsid w:val="00887792"/>
    <w:rsid w:val="008924A0"/>
    <w:rsid w:val="00892BA1"/>
    <w:rsid w:val="008946A7"/>
    <w:rsid w:val="00896FBE"/>
    <w:rsid w:val="00897627"/>
    <w:rsid w:val="008978EC"/>
    <w:rsid w:val="00897ADD"/>
    <w:rsid w:val="00897C0E"/>
    <w:rsid w:val="008A0632"/>
    <w:rsid w:val="008A1B56"/>
    <w:rsid w:val="008A3725"/>
    <w:rsid w:val="008A612E"/>
    <w:rsid w:val="008A62E1"/>
    <w:rsid w:val="008B1AA2"/>
    <w:rsid w:val="008B2514"/>
    <w:rsid w:val="008B3174"/>
    <w:rsid w:val="008B31C3"/>
    <w:rsid w:val="008B6B6F"/>
    <w:rsid w:val="008C20AD"/>
    <w:rsid w:val="008C2C53"/>
    <w:rsid w:val="008E259C"/>
    <w:rsid w:val="008E315F"/>
    <w:rsid w:val="008F2B28"/>
    <w:rsid w:val="008F33E0"/>
    <w:rsid w:val="008F395E"/>
    <w:rsid w:val="008F47E0"/>
    <w:rsid w:val="0090299E"/>
    <w:rsid w:val="009039CF"/>
    <w:rsid w:val="0091217E"/>
    <w:rsid w:val="0093076B"/>
    <w:rsid w:val="009319C4"/>
    <w:rsid w:val="00932588"/>
    <w:rsid w:val="00935C1A"/>
    <w:rsid w:val="00940285"/>
    <w:rsid w:val="009436D6"/>
    <w:rsid w:val="0094408F"/>
    <w:rsid w:val="00952FE5"/>
    <w:rsid w:val="00955A4D"/>
    <w:rsid w:val="009565C6"/>
    <w:rsid w:val="00957C61"/>
    <w:rsid w:val="009616A5"/>
    <w:rsid w:val="00961FF0"/>
    <w:rsid w:val="00966F32"/>
    <w:rsid w:val="00977211"/>
    <w:rsid w:val="009849DB"/>
    <w:rsid w:val="00990EF4"/>
    <w:rsid w:val="00991D32"/>
    <w:rsid w:val="00991F32"/>
    <w:rsid w:val="009930DE"/>
    <w:rsid w:val="00993E1E"/>
    <w:rsid w:val="00996302"/>
    <w:rsid w:val="009A0F6B"/>
    <w:rsid w:val="009A77AA"/>
    <w:rsid w:val="009A7D31"/>
    <w:rsid w:val="009B3B7B"/>
    <w:rsid w:val="009B53AB"/>
    <w:rsid w:val="009B67F3"/>
    <w:rsid w:val="009C1520"/>
    <w:rsid w:val="009C3C3F"/>
    <w:rsid w:val="009C57A5"/>
    <w:rsid w:val="009C7939"/>
    <w:rsid w:val="009D0522"/>
    <w:rsid w:val="009E03DA"/>
    <w:rsid w:val="009E2EB2"/>
    <w:rsid w:val="009E5CEB"/>
    <w:rsid w:val="009F2F3B"/>
    <w:rsid w:val="00A02BB1"/>
    <w:rsid w:val="00A13411"/>
    <w:rsid w:val="00A14674"/>
    <w:rsid w:val="00A22209"/>
    <w:rsid w:val="00A26D60"/>
    <w:rsid w:val="00A27859"/>
    <w:rsid w:val="00A30297"/>
    <w:rsid w:val="00A32A6A"/>
    <w:rsid w:val="00A4177E"/>
    <w:rsid w:val="00A4690D"/>
    <w:rsid w:val="00A51692"/>
    <w:rsid w:val="00A5593C"/>
    <w:rsid w:val="00A63ED8"/>
    <w:rsid w:val="00A64100"/>
    <w:rsid w:val="00A66B68"/>
    <w:rsid w:val="00A71A0F"/>
    <w:rsid w:val="00A761BA"/>
    <w:rsid w:val="00A82B7B"/>
    <w:rsid w:val="00AA04B9"/>
    <w:rsid w:val="00AA07CB"/>
    <w:rsid w:val="00AA303C"/>
    <w:rsid w:val="00AA56B5"/>
    <w:rsid w:val="00AA7F38"/>
    <w:rsid w:val="00AB12CC"/>
    <w:rsid w:val="00AB28EC"/>
    <w:rsid w:val="00AB2B52"/>
    <w:rsid w:val="00AB76BE"/>
    <w:rsid w:val="00AC443D"/>
    <w:rsid w:val="00AD0005"/>
    <w:rsid w:val="00AD2206"/>
    <w:rsid w:val="00AD2CAE"/>
    <w:rsid w:val="00AD3D46"/>
    <w:rsid w:val="00AD4380"/>
    <w:rsid w:val="00AD5613"/>
    <w:rsid w:val="00AD570C"/>
    <w:rsid w:val="00AD69C2"/>
    <w:rsid w:val="00AD7BBF"/>
    <w:rsid w:val="00AE0084"/>
    <w:rsid w:val="00AE410B"/>
    <w:rsid w:val="00AE447A"/>
    <w:rsid w:val="00AE643A"/>
    <w:rsid w:val="00AE6964"/>
    <w:rsid w:val="00AE7F25"/>
    <w:rsid w:val="00AF075F"/>
    <w:rsid w:val="00B01276"/>
    <w:rsid w:val="00B12712"/>
    <w:rsid w:val="00B12CB4"/>
    <w:rsid w:val="00B12DC2"/>
    <w:rsid w:val="00B1426E"/>
    <w:rsid w:val="00B170CD"/>
    <w:rsid w:val="00B20219"/>
    <w:rsid w:val="00B21956"/>
    <w:rsid w:val="00B22B02"/>
    <w:rsid w:val="00B260C6"/>
    <w:rsid w:val="00B3052F"/>
    <w:rsid w:val="00B3196B"/>
    <w:rsid w:val="00B34AFB"/>
    <w:rsid w:val="00B36319"/>
    <w:rsid w:val="00B37AE5"/>
    <w:rsid w:val="00B40067"/>
    <w:rsid w:val="00B45C95"/>
    <w:rsid w:val="00B50380"/>
    <w:rsid w:val="00B50834"/>
    <w:rsid w:val="00B52AE9"/>
    <w:rsid w:val="00B5342F"/>
    <w:rsid w:val="00B54FFD"/>
    <w:rsid w:val="00B6303D"/>
    <w:rsid w:val="00B65E15"/>
    <w:rsid w:val="00B67B15"/>
    <w:rsid w:val="00B72315"/>
    <w:rsid w:val="00B74887"/>
    <w:rsid w:val="00B7542E"/>
    <w:rsid w:val="00B77767"/>
    <w:rsid w:val="00B832AC"/>
    <w:rsid w:val="00B86D84"/>
    <w:rsid w:val="00B87933"/>
    <w:rsid w:val="00B87ECA"/>
    <w:rsid w:val="00B9455F"/>
    <w:rsid w:val="00B949D7"/>
    <w:rsid w:val="00B95567"/>
    <w:rsid w:val="00BB012C"/>
    <w:rsid w:val="00BB156A"/>
    <w:rsid w:val="00BB5BA6"/>
    <w:rsid w:val="00BB6C39"/>
    <w:rsid w:val="00BC091D"/>
    <w:rsid w:val="00BC51D8"/>
    <w:rsid w:val="00BC6541"/>
    <w:rsid w:val="00BD0891"/>
    <w:rsid w:val="00BD76C9"/>
    <w:rsid w:val="00BE1CF8"/>
    <w:rsid w:val="00BE3BA7"/>
    <w:rsid w:val="00BE4270"/>
    <w:rsid w:val="00BE5130"/>
    <w:rsid w:val="00BF7ABB"/>
    <w:rsid w:val="00C0375F"/>
    <w:rsid w:val="00C149CD"/>
    <w:rsid w:val="00C247B2"/>
    <w:rsid w:val="00C25C14"/>
    <w:rsid w:val="00C302C5"/>
    <w:rsid w:val="00C3408E"/>
    <w:rsid w:val="00C34655"/>
    <w:rsid w:val="00C35327"/>
    <w:rsid w:val="00C35F24"/>
    <w:rsid w:val="00C378FD"/>
    <w:rsid w:val="00C454B1"/>
    <w:rsid w:val="00C53461"/>
    <w:rsid w:val="00C57F20"/>
    <w:rsid w:val="00C6342B"/>
    <w:rsid w:val="00C6370A"/>
    <w:rsid w:val="00C64A0C"/>
    <w:rsid w:val="00C71194"/>
    <w:rsid w:val="00C727C8"/>
    <w:rsid w:val="00C72AA5"/>
    <w:rsid w:val="00C8146E"/>
    <w:rsid w:val="00C82BCB"/>
    <w:rsid w:val="00CA71AE"/>
    <w:rsid w:val="00CB28DC"/>
    <w:rsid w:val="00CB297C"/>
    <w:rsid w:val="00CB507C"/>
    <w:rsid w:val="00CC3E94"/>
    <w:rsid w:val="00CC667D"/>
    <w:rsid w:val="00CC707C"/>
    <w:rsid w:val="00CC72EB"/>
    <w:rsid w:val="00CD0C00"/>
    <w:rsid w:val="00CD2C03"/>
    <w:rsid w:val="00CD3E34"/>
    <w:rsid w:val="00CE07DD"/>
    <w:rsid w:val="00CE1A19"/>
    <w:rsid w:val="00CE1AB0"/>
    <w:rsid w:val="00CE21BC"/>
    <w:rsid w:val="00CE6795"/>
    <w:rsid w:val="00CE6815"/>
    <w:rsid w:val="00CE791F"/>
    <w:rsid w:val="00CF1CB6"/>
    <w:rsid w:val="00CF4CA9"/>
    <w:rsid w:val="00CF684E"/>
    <w:rsid w:val="00D0000C"/>
    <w:rsid w:val="00D0077F"/>
    <w:rsid w:val="00D015E4"/>
    <w:rsid w:val="00D028CB"/>
    <w:rsid w:val="00D0683E"/>
    <w:rsid w:val="00D07FED"/>
    <w:rsid w:val="00D108C9"/>
    <w:rsid w:val="00D12727"/>
    <w:rsid w:val="00D14D58"/>
    <w:rsid w:val="00D17118"/>
    <w:rsid w:val="00D21DBE"/>
    <w:rsid w:val="00D2383A"/>
    <w:rsid w:val="00D30279"/>
    <w:rsid w:val="00D31650"/>
    <w:rsid w:val="00D334C6"/>
    <w:rsid w:val="00D3569B"/>
    <w:rsid w:val="00D370C5"/>
    <w:rsid w:val="00D40FA0"/>
    <w:rsid w:val="00D442D7"/>
    <w:rsid w:val="00D460C3"/>
    <w:rsid w:val="00D4637C"/>
    <w:rsid w:val="00D54383"/>
    <w:rsid w:val="00D54B3A"/>
    <w:rsid w:val="00D62316"/>
    <w:rsid w:val="00D70D79"/>
    <w:rsid w:val="00D7477E"/>
    <w:rsid w:val="00D8077D"/>
    <w:rsid w:val="00D8093E"/>
    <w:rsid w:val="00D81DD3"/>
    <w:rsid w:val="00D83ADF"/>
    <w:rsid w:val="00D842C2"/>
    <w:rsid w:val="00D8568E"/>
    <w:rsid w:val="00D94EED"/>
    <w:rsid w:val="00DA5563"/>
    <w:rsid w:val="00DA7919"/>
    <w:rsid w:val="00DA7E04"/>
    <w:rsid w:val="00DB1224"/>
    <w:rsid w:val="00DB21DA"/>
    <w:rsid w:val="00DB7BFD"/>
    <w:rsid w:val="00DC1852"/>
    <w:rsid w:val="00DD2BAD"/>
    <w:rsid w:val="00DD3F72"/>
    <w:rsid w:val="00DE2662"/>
    <w:rsid w:val="00DE452D"/>
    <w:rsid w:val="00DE48A5"/>
    <w:rsid w:val="00DE4AF4"/>
    <w:rsid w:val="00DF38D0"/>
    <w:rsid w:val="00DF5867"/>
    <w:rsid w:val="00E0347C"/>
    <w:rsid w:val="00E03983"/>
    <w:rsid w:val="00E04A9D"/>
    <w:rsid w:val="00E104D8"/>
    <w:rsid w:val="00E12843"/>
    <w:rsid w:val="00E133E9"/>
    <w:rsid w:val="00E143FE"/>
    <w:rsid w:val="00E164AA"/>
    <w:rsid w:val="00E204CA"/>
    <w:rsid w:val="00E20568"/>
    <w:rsid w:val="00E23B30"/>
    <w:rsid w:val="00E251B1"/>
    <w:rsid w:val="00E304D9"/>
    <w:rsid w:val="00E33B57"/>
    <w:rsid w:val="00E3414A"/>
    <w:rsid w:val="00E4296B"/>
    <w:rsid w:val="00E467D4"/>
    <w:rsid w:val="00E50A15"/>
    <w:rsid w:val="00E52642"/>
    <w:rsid w:val="00E5732C"/>
    <w:rsid w:val="00E71063"/>
    <w:rsid w:val="00E71161"/>
    <w:rsid w:val="00E75A17"/>
    <w:rsid w:val="00E76553"/>
    <w:rsid w:val="00E76D62"/>
    <w:rsid w:val="00E8161F"/>
    <w:rsid w:val="00E81EEE"/>
    <w:rsid w:val="00E83075"/>
    <w:rsid w:val="00E8374E"/>
    <w:rsid w:val="00E8612A"/>
    <w:rsid w:val="00E861C3"/>
    <w:rsid w:val="00E877C1"/>
    <w:rsid w:val="00EA11C1"/>
    <w:rsid w:val="00EA4700"/>
    <w:rsid w:val="00EA53A9"/>
    <w:rsid w:val="00EA7720"/>
    <w:rsid w:val="00EB0479"/>
    <w:rsid w:val="00EB5343"/>
    <w:rsid w:val="00EB7232"/>
    <w:rsid w:val="00EC3F79"/>
    <w:rsid w:val="00EC4BDB"/>
    <w:rsid w:val="00EC516F"/>
    <w:rsid w:val="00ED1E7C"/>
    <w:rsid w:val="00ED2EB2"/>
    <w:rsid w:val="00ED7DB4"/>
    <w:rsid w:val="00EE1D39"/>
    <w:rsid w:val="00EE482D"/>
    <w:rsid w:val="00EE5935"/>
    <w:rsid w:val="00EE60BB"/>
    <w:rsid w:val="00EE740B"/>
    <w:rsid w:val="00EF0A66"/>
    <w:rsid w:val="00EF1D4D"/>
    <w:rsid w:val="00EF1E5D"/>
    <w:rsid w:val="00EF29B7"/>
    <w:rsid w:val="00EF396F"/>
    <w:rsid w:val="00EF54E3"/>
    <w:rsid w:val="00EF7910"/>
    <w:rsid w:val="00EF7C75"/>
    <w:rsid w:val="00F01CEC"/>
    <w:rsid w:val="00F025AF"/>
    <w:rsid w:val="00F05FD9"/>
    <w:rsid w:val="00F062B9"/>
    <w:rsid w:val="00F12E64"/>
    <w:rsid w:val="00F1786B"/>
    <w:rsid w:val="00F222D7"/>
    <w:rsid w:val="00F25077"/>
    <w:rsid w:val="00F302DC"/>
    <w:rsid w:val="00F36537"/>
    <w:rsid w:val="00F36A7E"/>
    <w:rsid w:val="00F3722F"/>
    <w:rsid w:val="00F410FF"/>
    <w:rsid w:val="00F46989"/>
    <w:rsid w:val="00F52928"/>
    <w:rsid w:val="00F529C1"/>
    <w:rsid w:val="00F5401F"/>
    <w:rsid w:val="00F54932"/>
    <w:rsid w:val="00F61621"/>
    <w:rsid w:val="00F66321"/>
    <w:rsid w:val="00F671CC"/>
    <w:rsid w:val="00F67E10"/>
    <w:rsid w:val="00F839EF"/>
    <w:rsid w:val="00F84B3B"/>
    <w:rsid w:val="00F859C3"/>
    <w:rsid w:val="00F871B1"/>
    <w:rsid w:val="00F87CC1"/>
    <w:rsid w:val="00F90ADE"/>
    <w:rsid w:val="00FA0992"/>
    <w:rsid w:val="00FA3732"/>
    <w:rsid w:val="00FA4F22"/>
    <w:rsid w:val="00FB3D93"/>
    <w:rsid w:val="00FB631E"/>
    <w:rsid w:val="00FC34AF"/>
    <w:rsid w:val="00FC4F09"/>
    <w:rsid w:val="00FD0A66"/>
    <w:rsid w:val="00FD37C8"/>
    <w:rsid w:val="00FE1227"/>
    <w:rsid w:val="00FE1EEB"/>
    <w:rsid w:val="00FE36FF"/>
    <w:rsid w:val="00FE4C53"/>
    <w:rsid w:val="00FE64FF"/>
    <w:rsid w:val="00FE6685"/>
    <w:rsid w:val="00FE7A11"/>
    <w:rsid w:val="00FF06BB"/>
    <w:rsid w:val="00FF0CFE"/>
    <w:rsid w:val="00FF44A6"/>
    <w:rsid w:val="00FF623F"/>
    <w:rsid w:val="7800B00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AFF469"/>
  <w15:docId w15:val="{0CCF1DA9-8205-4ECF-A7B8-355C2DA5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F6B"/>
    <w:pPr>
      <w:suppressAutoHyphens/>
      <w:spacing w:after="0" w:line="240" w:lineRule="auto"/>
    </w:pPr>
    <w:rPr>
      <w:rFonts w:ascii="Arial" w:eastAsia="Times New Roman" w:hAnsi="Arial" w:cs="Times New Roman"/>
      <w:szCs w:val="20"/>
      <w:lang w:val="en-US"/>
    </w:rPr>
  </w:style>
  <w:style w:type="paragraph" w:styleId="Heading1">
    <w:name w:val="heading 1"/>
    <w:basedOn w:val="Normal"/>
    <w:next w:val="Text"/>
    <w:link w:val="Heading1Char"/>
    <w:qFormat/>
    <w:rsid w:val="009A0F6B"/>
    <w:pPr>
      <w:keepNext/>
      <w:numPr>
        <w:numId w:val="4"/>
      </w:numPr>
      <w:spacing w:before="120" w:after="120"/>
      <w:outlineLvl w:val="0"/>
    </w:pPr>
    <w:rPr>
      <w:b/>
    </w:rPr>
  </w:style>
  <w:style w:type="paragraph" w:styleId="Heading2">
    <w:name w:val="heading 2"/>
    <w:basedOn w:val="Heading1"/>
    <w:next w:val="Text"/>
    <w:link w:val="Heading2Char"/>
    <w:qFormat/>
    <w:rsid w:val="009A0F6B"/>
    <w:pPr>
      <w:numPr>
        <w:ilvl w:val="1"/>
      </w:numPr>
      <w:outlineLvl w:val="1"/>
    </w:pPr>
  </w:style>
  <w:style w:type="paragraph" w:styleId="Heading3">
    <w:name w:val="heading 3"/>
    <w:basedOn w:val="Heading2"/>
    <w:next w:val="Text"/>
    <w:link w:val="Heading3Char"/>
    <w:qFormat/>
    <w:rsid w:val="009A0F6B"/>
    <w:pPr>
      <w:numPr>
        <w:ilvl w:val="2"/>
      </w:numPr>
      <w:outlineLvl w:val="2"/>
    </w:pPr>
  </w:style>
  <w:style w:type="paragraph" w:styleId="Heading4">
    <w:name w:val="heading 4"/>
    <w:basedOn w:val="Heading2"/>
    <w:next w:val="Text"/>
    <w:link w:val="Heading4Char"/>
    <w:qFormat/>
    <w:rsid w:val="009A0F6B"/>
    <w:pPr>
      <w:numPr>
        <w:ilvl w:val="3"/>
      </w:numPr>
      <w:outlineLvl w:val="3"/>
    </w:pPr>
  </w:style>
  <w:style w:type="paragraph" w:styleId="Heading5">
    <w:name w:val="heading 5"/>
    <w:basedOn w:val="Heading2"/>
    <w:next w:val="Text"/>
    <w:link w:val="Heading5Char"/>
    <w:qFormat/>
    <w:rsid w:val="009A0F6B"/>
    <w:pPr>
      <w:numPr>
        <w:ilvl w:val="4"/>
      </w:numPr>
      <w:outlineLvl w:val="4"/>
    </w:pPr>
  </w:style>
  <w:style w:type="paragraph" w:styleId="Heading6">
    <w:name w:val="heading 6"/>
    <w:basedOn w:val="Heading2"/>
    <w:next w:val="Text"/>
    <w:link w:val="Heading6Char"/>
    <w:qFormat/>
    <w:rsid w:val="009A0F6B"/>
    <w:pPr>
      <w:numPr>
        <w:ilvl w:val="5"/>
      </w:numPr>
      <w:outlineLvl w:val="5"/>
    </w:pPr>
  </w:style>
  <w:style w:type="paragraph" w:styleId="Heading7">
    <w:name w:val="heading 7"/>
    <w:basedOn w:val="Heading2"/>
    <w:next w:val="Text"/>
    <w:link w:val="Heading7Char"/>
    <w:qFormat/>
    <w:rsid w:val="009A0F6B"/>
    <w:pPr>
      <w:numPr>
        <w:ilvl w:val="6"/>
      </w:numPr>
      <w:outlineLvl w:val="6"/>
    </w:pPr>
  </w:style>
  <w:style w:type="paragraph" w:styleId="Heading8">
    <w:name w:val="heading 8"/>
    <w:basedOn w:val="Heading2"/>
    <w:next w:val="Text"/>
    <w:link w:val="Heading8Char"/>
    <w:qFormat/>
    <w:rsid w:val="009A0F6B"/>
    <w:pPr>
      <w:numPr>
        <w:ilvl w:val="7"/>
      </w:numPr>
      <w:outlineLvl w:val="7"/>
    </w:pPr>
  </w:style>
  <w:style w:type="paragraph" w:styleId="Heading9">
    <w:name w:val="heading 9"/>
    <w:basedOn w:val="Heading2"/>
    <w:next w:val="Text"/>
    <w:link w:val="Heading9Char"/>
    <w:qFormat/>
    <w:rsid w:val="009A0F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8A"/>
    <w:pPr>
      <w:ind w:left="720"/>
      <w:contextualSpacing/>
    </w:pPr>
  </w:style>
  <w:style w:type="character" w:customStyle="1" w:styleId="Heading1Char">
    <w:name w:val="Heading 1 Char"/>
    <w:basedOn w:val="DefaultParagraphFont"/>
    <w:link w:val="Heading1"/>
    <w:rsid w:val="001A1ABD"/>
    <w:rPr>
      <w:rFonts w:ascii="Arial" w:eastAsia="Times New Roman" w:hAnsi="Arial" w:cs="Times New Roman"/>
      <w:b/>
      <w:szCs w:val="20"/>
      <w:lang w:val="en-US"/>
    </w:rPr>
  </w:style>
  <w:style w:type="character" w:customStyle="1" w:styleId="Heading2Char">
    <w:name w:val="Heading 2 Char"/>
    <w:basedOn w:val="DefaultParagraphFont"/>
    <w:link w:val="Heading2"/>
    <w:rsid w:val="001A1ABD"/>
    <w:rPr>
      <w:rFonts w:ascii="Arial" w:eastAsia="Times New Roman" w:hAnsi="Arial" w:cs="Times New Roman"/>
      <w:b/>
      <w:szCs w:val="20"/>
      <w:lang w:val="en-US"/>
    </w:rPr>
  </w:style>
  <w:style w:type="character" w:customStyle="1" w:styleId="Heading3Char">
    <w:name w:val="Heading 3 Char"/>
    <w:basedOn w:val="DefaultParagraphFont"/>
    <w:link w:val="Heading3"/>
    <w:rsid w:val="003C782F"/>
    <w:rPr>
      <w:rFonts w:ascii="Arial" w:eastAsia="Times New Roman" w:hAnsi="Arial" w:cs="Times New Roman"/>
      <w:b/>
      <w:szCs w:val="20"/>
      <w:lang w:val="en-US"/>
    </w:rPr>
  </w:style>
  <w:style w:type="paragraph" w:styleId="Header">
    <w:name w:val="header"/>
    <w:basedOn w:val="Normal"/>
    <w:link w:val="HeaderChar"/>
    <w:rsid w:val="009A0F6B"/>
    <w:pPr>
      <w:keepLines/>
      <w:pBdr>
        <w:bottom w:val="single" w:sz="12" w:space="6" w:color="auto"/>
      </w:pBdr>
      <w:tabs>
        <w:tab w:val="right" w:pos="8640"/>
      </w:tabs>
      <w:spacing w:line="200" w:lineRule="atLeast"/>
    </w:pPr>
    <w:rPr>
      <w:b/>
      <w:sz w:val="20"/>
    </w:rPr>
  </w:style>
  <w:style w:type="character" w:customStyle="1" w:styleId="HeaderChar">
    <w:name w:val="Header Char"/>
    <w:basedOn w:val="DefaultParagraphFont"/>
    <w:link w:val="Header"/>
    <w:rsid w:val="00245127"/>
    <w:rPr>
      <w:rFonts w:ascii="Arial" w:eastAsia="Times New Roman" w:hAnsi="Arial" w:cs="Times New Roman"/>
      <w:b/>
      <w:sz w:val="20"/>
      <w:szCs w:val="20"/>
      <w:lang w:val="en-US"/>
    </w:rPr>
  </w:style>
  <w:style w:type="paragraph" w:styleId="Footer">
    <w:name w:val="footer"/>
    <w:basedOn w:val="Normal"/>
    <w:link w:val="FooterChar"/>
    <w:rsid w:val="009A0F6B"/>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basedOn w:val="DefaultParagraphFont"/>
    <w:link w:val="Footer"/>
    <w:rsid w:val="00245127"/>
    <w:rPr>
      <w:rFonts w:ascii="Arial" w:eastAsia="Times New Roman" w:hAnsi="Arial" w:cs="Times New Roman"/>
      <w:b/>
      <w:sz w:val="20"/>
      <w:szCs w:val="20"/>
      <w:lang w:val="en-US"/>
    </w:rPr>
  </w:style>
  <w:style w:type="paragraph" w:styleId="BalloonText">
    <w:name w:val="Balloon Text"/>
    <w:basedOn w:val="Normal"/>
    <w:link w:val="BalloonTextChar"/>
    <w:rsid w:val="009A0F6B"/>
    <w:rPr>
      <w:rFonts w:ascii="Tahoma" w:hAnsi="Tahoma" w:cs="Tahoma"/>
      <w:sz w:val="16"/>
      <w:szCs w:val="16"/>
    </w:rPr>
  </w:style>
  <w:style w:type="character" w:customStyle="1" w:styleId="BalloonTextChar">
    <w:name w:val="Balloon Text Char"/>
    <w:basedOn w:val="DefaultParagraphFont"/>
    <w:link w:val="BalloonText"/>
    <w:rsid w:val="009A0F6B"/>
    <w:rPr>
      <w:rFonts w:ascii="Tahoma" w:eastAsia="Times New Roman" w:hAnsi="Tahoma" w:cs="Tahoma"/>
      <w:sz w:val="16"/>
      <w:szCs w:val="16"/>
      <w:lang w:val="en-US"/>
    </w:rPr>
  </w:style>
  <w:style w:type="character" w:styleId="Hyperlink">
    <w:name w:val="Hyperlink"/>
    <w:basedOn w:val="DefaultParagraphFont"/>
    <w:uiPriority w:val="99"/>
    <w:rsid w:val="009A0F6B"/>
    <w:rPr>
      <w:color w:val="0000FF"/>
      <w:u w:val="single"/>
    </w:rPr>
  </w:style>
  <w:style w:type="character" w:customStyle="1" w:styleId="Heading4Char">
    <w:name w:val="Heading 4 Char"/>
    <w:basedOn w:val="DefaultParagraphFont"/>
    <w:link w:val="Heading4"/>
    <w:rsid w:val="00B86D84"/>
    <w:rPr>
      <w:rFonts w:ascii="Arial" w:eastAsia="Times New Roman" w:hAnsi="Arial" w:cs="Times New Roman"/>
      <w:b/>
      <w:szCs w:val="20"/>
      <w:lang w:val="en-US"/>
    </w:rPr>
  </w:style>
  <w:style w:type="character" w:customStyle="1" w:styleId="Heading5Char">
    <w:name w:val="Heading 5 Char"/>
    <w:basedOn w:val="DefaultParagraphFont"/>
    <w:link w:val="Heading5"/>
    <w:rsid w:val="00B86D84"/>
    <w:rPr>
      <w:rFonts w:ascii="Arial" w:eastAsia="Times New Roman" w:hAnsi="Arial" w:cs="Times New Roman"/>
      <w:b/>
      <w:szCs w:val="20"/>
      <w:lang w:val="en-US"/>
    </w:rPr>
  </w:style>
  <w:style w:type="character" w:customStyle="1" w:styleId="Heading6Char">
    <w:name w:val="Heading 6 Char"/>
    <w:basedOn w:val="DefaultParagraphFont"/>
    <w:link w:val="Heading6"/>
    <w:rsid w:val="00B86D84"/>
    <w:rPr>
      <w:rFonts w:ascii="Arial" w:eastAsia="Times New Roman" w:hAnsi="Arial" w:cs="Times New Roman"/>
      <w:b/>
      <w:szCs w:val="20"/>
      <w:lang w:val="en-US"/>
    </w:rPr>
  </w:style>
  <w:style w:type="character" w:customStyle="1" w:styleId="Heading7Char">
    <w:name w:val="Heading 7 Char"/>
    <w:basedOn w:val="DefaultParagraphFont"/>
    <w:link w:val="Heading7"/>
    <w:rsid w:val="00B86D84"/>
    <w:rPr>
      <w:rFonts w:ascii="Arial" w:eastAsia="Times New Roman" w:hAnsi="Arial" w:cs="Times New Roman"/>
      <w:b/>
      <w:szCs w:val="20"/>
      <w:lang w:val="en-US"/>
    </w:rPr>
  </w:style>
  <w:style w:type="character" w:customStyle="1" w:styleId="Heading8Char">
    <w:name w:val="Heading 8 Char"/>
    <w:basedOn w:val="DefaultParagraphFont"/>
    <w:link w:val="Heading8"/>
    <w:rsid w:val="00B86D84"/>
    <w:rPr>
      <w:rFonts w:ascii="Arial" w:eastAsia="Times New Roman" w:hAnsi="Arial" w:cs="Times New Roman"/>
      <w:b/>
      <w:szCs w:val="20"/>
      <w:lang w:val="en-US"/>
    </w:rPr>
  </w:style>
  <w:style w:type="character" w:customStyle="1" w:styleId="Heading9Char">
    <w:name w:val="Heading 9 Char"/>
    <w:basedOn w:val="DefaultParagraphFont"/>
    <w:link w:val="Heading9"/>
    <w:rsid w:val="00B86D84"/>
    <w:rPr>
      <w:rFonts w:ascii="Arial" w:eastAsia="Times New Roman" w:hAnsi="Arial" w:cs="Times New Roman"/>
      <w:b/>
      <w:szCs w:val="20"/>
      <w:lang w:val="en-US"/>
    </w:rPr>
  </w:style>
  <w:style w:type="paragraph" w:customStyle="1" w:styleId="Text">
    <w:name w:val="Text"/>
    <w:basedOn w:val="Normal"/>
    <w:link w:val="TextChar"/>
    <w:rsid w:val="009A0F6B"/>
    <w:pPr>
      <w:spacing w:before="120" w:after="120" w:line="360" w:lineRule="auto"/>
    </w:pPr>
  </w:style>
  <w:style w:type="paragraph" w:styleId="Caption">
    <w:name w:val="caption"/>
    <w:basedOn w:val="Normal"/>
    <w:next w:val="Text"/>
    <w:qFormat/>
    <w:rsid w:val="009A0F6B"/>
    <w:pPr>
      <w:keepNext/>
      <w:spacing w:before="300" w:after="100"/>
      <w:jc w:val="center"/>
    </w:pPr>
    <w:rPr>
      <w:b/>
    </w:rPr>
  </w:style>
  <w:style w:type="paragraph" w:styleId="Title">
    <w:name w:val="Title"/>
    <w:basedOn w:val="Normal"/>
    <w:link w:val="TitleChar"/>
    <w:qFormat/>
    <w:rsid w:val="009A0F6B"/>
    <w:pPr>
      <w:suppressAutoHyphens w:val="0"/>
      <w:spacing w:before="240" w:after="60"/>
      <w:jc w:val="center"/>
      <w:outlineLvl w:val="0"/>
    </w:pPr>
    <w:rPr>
      <w:b/>
      <w:kern w:val="28"/>
      <w:sz w:val="32"/>
    </w:rPr>
  </w:style>
  <w:style w:type="character" w:customStyle="1" w:styleId="TitleChar">
    <w:name w:val="Title Char"/>
    <w:basedOn w:val="DefaultParagraphFont"/>
    <w:link w:val="Title"/>
    <w:rsid w:val="00B86D84"/>
    <w:rPr>
      <w:rFonts w:ascii="Arial" w:eastAsia="Times New Roman" w:hAnsi="Arial" w:cs="Times New Roman"/>
      <w:b/>
      <w:kern w:val="28"/>
      <w:sz w:val="32"/>
      <w:szCs w:val="20"/>
      <w:lang w:val="en-US"/>
    </w:rPr>
  </w:style>
  <w:style w:type="paragraph" w:customStyle="1" w:styleId="Heading7Bold">
    <w:name w:val="Heading 7Bold"/>
    <w:basedOn w:val="Normal"/>
    <w:next w:val="Text"/>
    <w:rsid w:val="009A0F6B"/>
    <w:pPr>
      <w:keepNext/>
      <w:spacing w:before="120" w:after="120"/>
    </w:pPr>
    <w:rPr>
      <w:b/>
    </w:rPr>
  </w:style>
  <w:style w:type="paragraph" w:customStyle="1" w:styleId="Heading8BoldItalic">
    <w:name w:val="Heading 8BoldItalic"/>
    <w:basedOn w:val="Normal"/>
    <w:next w:val="Text"/>
    <w:rsid w:val="009A0F6B"/>
    <w:pPr>
      <w:keepNext/>
      <w:spacing w:before="120" w:after="120"/>
    </w:pPr>
    <w:rPr>
      <w:b/>
      <w:i/>
    </w:rPr>
  </w:style>
  <w:style w:type="paragraph" w:customStyle="1" w:styleId="Heading9Italic">
    <w:name w:val="Heading 9Italic"/>
    <w:basedOn w:val="Normal"/>
    <w:next w:val="Text"/>
    <w:rsid w:val="009A0F6B"/>
    <w:pPr>
      <w:keepNext/>
      <w:spacing w:before="120" w:after="120"/>
    </w:pPr>
    <w:rPr>
      <w:i/>
    </w:rPr>
  </w:style>
  <w:style w:type="paragraph" w:customStyle="1" w:styleId="CenterBold">
    <w:name w:val="CenterBold"/>
    <w:basedOn w:val="Normal"/>
    <w:next w:val="Normal"/>
    <w:rsid w:val="009A0F6B"/>
    <w:pPr>
      <w:keepNext/>
      <w:keepLines/>
      <w:spacing w:before="300" w:after="120"/>
      <w:jc w:val="center"/>
    </w:pPr>
    <w:rPr>
      <w:b/>
    </w:rPr>
  </w:style>
  <w:style w:type="paragraph" w:customStyle="1" w:styleId="Confidential">
    <w:name w:val="Confidential"/>
    <w:basedOn w:val="Normal"/>
    <w:semiHidden/>
    <w:rsid w:val="009A0F6B"/>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9A0F6B"/>
    <w:pPr>
      <w:spacing w:before="400" w:after="400"/>
    </w:pPr>
    <w:rPr>
      <w:sz w:val="24"/>
    </w:rPr>
  </w:style>
  <w:style w:type="paragraph" w:customStyle="1" w:styleId="FigureLegend">
    <w:name w:val="FigureLegend"/>
    <w:basedOn w:val="Text"/>
    <w:rsid w:val="009A0F6B"/>
    <w:pPr>
      <w:keepLines/>
      <w:spacing w:after="0" w:line="240" w:lineRule="auto"/>
    </w:pPr>
    <w:rPr>
      <w:sz w:val="18"/>
    </w:rPr>
  </w:style>
  <w:style w:type="paragraph" w:customStyle="1" w:styleId="FlushLeftBold">
    <w:name w:val="FlushLeftBold"/>
    <w:basedOn w:val="Normal"/>
    <w:next w:val="Text"/>
    <w:rsid w:val="009A0F6B"/>
    <w:pPr>
      <w:keepNext/>
      <w:keepLines/>
      <w:spacing w:before="120" w:after="120"/>
    </w:pPr>
    <w:rPr>
      <w:b/>
    </w:rPr>
  </w:style>
  <w:style w:type="paragraph" w:customStyle="1" w:styleId="FootnoteLine">
    <w:name w:val="FootnoteLine"/>
    <w:basedOn w:val="Normal"/>
    <w:next w:val="Normal"/>
    <w:semiHidden/>
    <w:rsid w:val="009A0F6B"/>
    <w:pPr>
      <w:pBdr>
        <w:bottom w:val="single" w:sz="6" w:space="6" w:color="auto"/>
      </w:pBdr>
      <w:spacing w:line="160" w:lineRule="atLeast"/>
    </w:pPr>
    <w:rPr>
      <w:sz w:val="16"/>
    </w:rPr>
  </w:style>
  <w:style w:type="paragraph" w:customStyle="1" w:styleId="FootnoteText1">
    <w:name w:val="Footnote Text1"/>
    <w:basedOn w:val="TableLeftAlign"/>
    <w:next w:val="Text"/>
    <w:rsid w:val="009A0F6B"/>
    <w:pPr>
      <w:keepLines/>
      <w:spacing w:before="0" w:after="0" w:line="240" w:lineRule="auto"/>
      <w:ind w:left="144" w:hanging="144"/>
    </w:pPr>
    <w:rPr>
      <w:sz w:val="18"/>
    </w:rPr>
  </w:style>
  <w:style w:type="paragraph" w:customStyle="1" w:styleId="TableLeftAlign">
    <w:name w:val="TableLeftAlign"/>
    <w:basedOn w:val="Normal"/>
    <w:rsid w:val="009A0F6B"/>
    <w:pPr>
      <w:spacing w:before="60" w:after="60" w:line="240" w:lineRule="atLeast"/>
    </w:pPr>
  </w:style>
  <w:style w:type="paragraph" w:customStyle="1" w:styleId="Insert">
    <w:name w:val="Insert"/>
    <w:basedOn w:val="Normal"/>
    <w:rsid w:val="009A0F6B"/>
    <w:pPr>
      <w:spacing w:before="100" w:after="100"/>
      <w:jc w:val="center"/>
    </w:pPr>
  </w:style>
  <w:style w:type="character" w:styleId="PageNumber">
    <w:name w:val="page number"/>
    <w:basedOn w:val="DefaultParagraphFont"/>
    <w:semiHidden/>
    <w:rsid w:val="009A0F6B"/>
  </w:style>
  <w:style w:type="paragraph" w:customStyle="1" w:styleId="TextList">
    <w:name w:val="TextList"/>
    <w:basedOn w:val="Text"/>
    <w:rsid w:val="009A0F6B"/>
    <w:pPr>
      <w:spacing w:after="100" w:line="280" w:lineRule="atLeast"/>
      <w:ind w:left="360" w:hanging="360"/>
    </w:pPr>
  </w:style>
  <w:style w:type="paragraph" w:customStyle="1" w:styleId="RefList">
    <w:name w:val="RefList#"/>
    <w:basedOn w:val="TextList"/>
    <w:rsid w:val="009A0F6B"/>
    <w:pPr>
      <w:keepLines/>
      <w:spacing w:after="0" w:line="240" w:lineRule="auto"/>
    </w:pPr>
  </w:style>
  <w:style w:type="paragraph" w:customStyle="1" w:styleId="RefListAlpha">
    <w:name w:val="RefListAlpha"/>
    <w:basedOn w:val="Text"/>
    <w:rsid w:val="009A0F6B"/>
    <w:pPr>
      <w:keepLines/>
      <w:spacing w:line="240" w:lineRule="auto"/>
    </w:pPr>
  </w:style>
  <w:style w:type="paragraph" w:customStyle="1" w:styleId="RightTabBold">
    <w:name w:val="RightTabBold"/>
    <w:basedOn w:val="Normal"/>
    <w:semiHidden/>
    <w:rsid w:val="009A0F6B"/>
    <w:pPr>
      <w:tabs>
        <w:tab w:val="right" w:pos="8640"/>
      </w:tabs>
      <w:spacing w:before="100" w:after="100"/>
    </w:pPr>
    <w:rPr>
      <w:b/>
    </w:rPr>
  </w:style>
  <w:style w:type="paragraph" w:customStyle="1" w:styleId="SectionBreak">
    <w:name w:val="SectionBreak"/>
    <w:basedOn w:val="Normal"/>
    <w:next w:val="Text"/>
    <w:semiHidden/>
    <w:rsid w:val="009A0F6B"/>
  </w:style>
  <w:style w:type="paragraph" w:styleId="TableofFigures">
    <w:name w:val="table of figures"/>
    <w:basedOn w:val="Text"/>
    <w:next w:val="Text"/>
    <w:rsid w:val="009A0F6B"/>
    <w:pPr>
      <w:keepLines/>
      <w:tabs>
        <w:tab w:val="right" w:leader="dot" w:pos="8640"/>
      </w:tabs>
      <w:spacing w:before="0" w:line="240" w:lineRule="auto"/>
      <w:ind w:left="1426" w:right="1080" w:hanging="1426"/>
    </w:pPr>
    <w:rPr>
      <w:color w:val="0000FF"/>
    </w:rPr>
  </w:style>
  <w:style w:type="paragraph" w:customStyle="1" w:styleId="TableCenterAlign">
    <w:name w:val="TableCenterAlign"/>
    <w:basedOn w:val="Normal"/>
    <w:rsid w:val="009A0F6B"/>
    <w:pPr>
      <w:spacing w:before="60" w:after="60" w:line="240" w:lineRule="atLeast"/>
      <w:jc w:val="center"/>
    </w:pPr>
  </w:style>
  <w:style w:type="paragraph" w:customStyle="1" w:styleId="TextBullet">
    <w:name w:val="TextBullet"/>
    <w:basedOn w:val="Normal"/>
    <w:rsid w:val="009A0F6B"/>
    <w:pPr>
      <w:numPr>
        <w:numId w:val="2"/>
      </w:numPr>
      <w:spacing w:after="100"/>
    </w:pPr>
  </w:style>
  <w:style w:type="paragraph" w:customStyle="1" w:styleId="TextDash">
    <w:name w:val="TextDash"/>
    <w:basedOn w:val="TextBullet"/>
    <w:rsid w:val="009A0F6B"/>
    <w:pPr>
      <w:numPr>
        <w:numId w:val="1"/>
      </w:numPr>
    </w:pPr>
  </w:style>
  <w:style w:type="paragraph" w:customStyle="1" w:styleId="TextIndent">
    <w:name w:val="TextIndent"/>
    <w:basedOn w:val="Text"/>
    <w:rsid w:val="009A0F6B"/>
    <w:pPr>
      <w:spacing w:line="280" w:lineRule="atLeast"/>
      <w:ind w:left="360"/>
    </w:pPr>
  </w:style>
  <w:style w:type="paragraph" w:customStyle="1" w:styleId="TextSingleSpace">
    <w:name w:val="TextSingleSpace"/>
    <w:basedOn w:val="Text"/>
    <w:rsid w:val="009A0F6B"/>
    <w:pPr>
      <w:spacing w:line="240" w:lineRule="auto"/>
    </w:pPr>
  </w:style>
  <w:style w:type="paragraph" w:styleId="TOC1">
    <w:name w:val="toc 1"/>
    <w:basedOn w:val="Text"/>
    <w:next w:val="Text"/>
    <w:autoRedefine/>
    <w:rsid w:val="009A0F6B"/>
    <w:pPr>
      <w:keepLines/>
      <w:tabs>
        <w:tab w:val="right" w:leader="dot" w:pos="8640"/>
      </w:tabs>
      <w:spacing w:before="200" w:after="0" w:line="240" w:lineRule="auto"/>
      <w:ind w:left="547" w:right="1080" w:hanging="547"/>
    </w:pPr>
    <w:rPr>
      <w:noProof/>
      <w:color w:val="0000FF"/>
    </w:rPr>
  </w:style>
  <w:style w:type="paragraph" w:styleId="TOC2">
    <w:name w:val="toc 2"/>
    <w:basedOn w:val="TOC1"/>
    <w:next w:val="Text"/>
    <w:autoRedefine/>
    <w:rsid w:val="009A0F6B"/>
    <w:pPr>
      <w:tabs>
        <w:tab w:val="left" w:pos="1267"/>
      </w:tabs>
      <w:spacing w:before="60"/>
      <w:ind w:left="1267" w:hanging="720"/>
    </w:pPr>
  </w:style>
  <w:style w:type="paragraph" w:styleId="TOC3">
    <w:name w:val="toc 3"/>
    <w:basedOn w:val="TOC2"/>
    <w:next w:val="Text"/>
    <w:autoRedefine/>
    <w:rsid w:val="009A0F6B"/>
    <w:pPr>
      <w:tabs>
        <w:tab w:val="clear" w:pos="1267"/>
        <w:tab w:val="left" w:pos="2246"/>
      </w:tabs>
      <w:ind w:left="2261" w:hanging="994"/>
    </w:pPr>
  </w:style>
  <w:style w:type="paragraph" w:styleId="TOC4">
    <w:name w:val="toc 4"/>
    <w:basedOn w:val="TOC3"/>
    <w:next w:val="Text"/>
    <w:autoRedefine/>
    <w:semiHidden/>
    <w:rsid w:val="009A0F6B"/>
    <w:pPr>
      <w:ind w:left="3384" w:hanging="1123"/>
    </w:pPr>
  </w:style>
  <w:style w:type="paragraph" w:styleId="TOC5">
    <w:name w:val="toc 5"/>
    <w:basedOn w:val="TOC2"/>
    <w:next w:val="Text"/>
    <w:autoRedefine/>
    <w:semiHidden/>
    <w:rsid w:val="009A0F6B"/>
  </w:style>
  <w:style w:type="paragraph" w:styleId="TOC6">
    <w:name w:val="toc 6"/>
    <w:basedOn w:val="TOC2"/>
    <w:next w:val="Text"/>
    <w:autoRedefine/>
    <w:semiHidden/>
    <w:rsid w:val="009A0F6B"/>
  </w:style>
  <w:style w:type="paragraph" w:styleId="TOC7">
    <w:name w:val="toc 7"/>
    <w:basedOn w:val="Normal"/>
    <w:next w:val="Normal"/>
    <w:autoRedefine/>
    <w:semiHidden/>
    <w:rsid w:val="009A0F6B"/>
    <w:pPr>
      <w:tabs>
        <w:tab w:val="right" w:leader="dot" w:pos="8640"/>
      </w:tabs>
      <w:ind w:left="1320"/>
    </w:pPr>
  </w:style>
  <w:style w:type="paragraph" w:styleId="TOC8">
    <w:name w:val="toc 8"/>
    <w:basedOn w:val="Normal"/>
    <w:next w:val="Normal"/>
    <w:autoRedefine/>
    <w:semiHidden/>
    <w:rsid w:val="009A0F6B"/>
    <w:pPr>
      <w:tabs>
        <w:tab w:val="right" w:leader="dot" w:pos="8640"/>
      </w:tabs>
      <w:ind w:left="1540"/>
    </w:pPr>
  </w:style>
  <w:style w:type="paragraph" w:styleId="TOC9">
    <w:name w:val="toc 9"/>
    <w:basedOn w:val="Normal"/>
    <w:next w:val="Normal"/>
    <w:autoRedefine/>
    <w:semiHidden/>
    <w:rsid w:val="009A0F6B"/>
    <w:pPr>
      <w:tabs>
        <w:tab w:val="right" w:leader="dot" w:pos="8640"/>
      </w:tabs>
      <w:ind w:left="1760"/>
    </w:pPr>
  </w:style>
  <w:style w:type="paragraph" w:customStyle="1" w:styleId="Heading0">
    <w:name w:val="Heading 0"/>
    <w:basedOn w:val="Normal"/>
    <w:next w:val="Text"/>
    <w:rsid w:val="009A0F6B"/>
    <w:pPr>
      <w:keepNext/>
      <w:pageBreakBefore/>
      <w:spacing w:before="120" w:after="120"/>
      <w:ind w:left="1440" w:hanging="1440"/>
    </w:pPr>
    <w:rPr>
      <w:b/>
    </w:rPr>
  </w:style>
  <w:style w:type="paragraph" w:customStyle="1" w:styleId="NumberRestart">
    <w:name w:val="NumberRestart"/>
    <w:basedOn w:val="Text"/>
    <w:semiHidden/>
    <w:rsid w:val="009A0F6B"/>
    <w:pPr>
      <w:numPr>
        <w:numId w:val="3"/>
      </w:numPr>
      <w:outlineLvl w:val="0"/>
    </w:pPr>
  </w:style>
  <w:style w:type="paragraph" w:styleId="DocumentMap">
    <w:name w:val="Document Map"/>
    <w:basedOn w:val="Normal"/>
    <w:link w:val="DocumentMapChar"/>
    <w:semiHidden/>
    <w:rsid w:val="009A0F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D84"/>
    <w:rPr>
      <w:rFonts w:ascii="Tahoma" w:eastAsia="Times New Roman" w:hAnsi="Tahoma" w:cs="Tahoma"/>
      <w:szCs w:val="20"/>
      <w:shd w:val="clear" w:color="auto" w:fill="000080"/>
      <w:lang w:val="en-US"/>
    </w:rPr>
  </w:style>
  <w:style w:type="paragraph" w:customStyle="1" w:styleId="TablePageNumber">
    <w:name w:val="TablePageNumber"/>
    <w:basedOn w:val="Normal"/>
    <w:next w:val="Text"/>
    <w:rsid w:val="009A0F6B"/>
    <w:pPr>
      <w:spacing w:line="240" w:lineRule="atLeast"/>
      <w:jc w:val="right"/>
    </w:pPr>
    <w:rPr>
      <w:sz w:val="20"/>
    </w:rPr>
  </w:style>
  <w:style w:type="table" w:styleId="TableGrid">
    <w:name w:val="Table Grid"/>
    <w:basedOn w:val="TableNormal"/>
    <w:uiPriority w:val="59"/>
    <w:rsid w:val="00AA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Heading1">
    <w:name w:val="RPI - Heading 1"/>
    <w:basedOn w:val="Heading1"/>
    <w:link w:val="RPI-Heading1Char"/>
    <w:qFormat/>
    <w:rsid w:val="00740F45"/>
    <w:pPr>
      <w:tabs>
        <w:tab w:val="clear" w:pos="1440"/>
        <w:tab w:val="num" w:pos="567"/>
      </w:tabs>
    </w:pPr>
    <w:rPr>
      <w:sz w:val="28"/>
      <w:lang w:val="en-AU"/>
    </w:rPr>
  </w:style>
  <w:style w:type="paragraph" w:customStyle="1" w:styleId="RPI-Heading2">
    <w:name w:val="RPI - Heading 2"/>
    <w:basedOn w:val="Heading2"/>
    <w:qFormat/>
    <w:rsid w:val="00752FD5"/>
    <w:rPr>
      <w:sz w:val="24"/>
      <w:lang w:val="en-AU"/>
    </w:rPr>
  </w:style>
  <w:style w:type="paragraph" w:customStyle="1" w:styleId="RPI-Footer">
    <w:name w:val="RPI - Footer"/>
    <w:basedOn w:val="Footer"/>
    <w:qFormat/>
    <w:rsid w:val="009F2F3B"/>
    <w:pPr>
      <w:tabs>
        <w:tab w:val="clear" w:pos="8640"/>
        <w:tab w:val="right" w:pos="8647"/>
      </w:tabs>
    </w:pPr>
    <w:rPr>
      <w:lang w:val="en-AU"/>
    </w:rPr>
  </w:style>
  <w:style w:type="paragraph" w:customStyle="1" w:styleId="RPI-Header">
    <w:name w:val="RPI - Header"/>
    <w:basedOn w:val="Heading1"/>
    <w:qFormat/>
    <w:rsid w:val="009F2F3B"/>
    <w:pPr>
      <w:numPr>
        <w:numId w:val="0"/>
      </w:numPr>
      <w:spacing w:before="0" w:after="240"/>
      <w:jc w:val="center"/>
    </w:pPr>
    <w:rPr>
      <w:caps/>
      <w:lang w:val="en-AU"/>
    </w:rPr>
  </w:style>
  <w:style w:type="paragraph" w:customStyle="1" w:styleId="RPI-Text">
    <w:name w:val="RPI - Text"/>
    <w:basedOn w:val="Text"/>
    <w:link w:val="RPI-TextChar"/>
    <w:qFormat/>
    <w:rsid w:val="009F2F3B"/>
    <w:rPr>
      <w:lang w:val="en-AU"/>
    </w:rPr>
  </w:style>
  <w:style w:type="paragraph" w:customStyle="1" w:styleId="RPI-Heading0">
    <w:name w:val="RPI - Heading 0"/>
    <w:basedOn w:val="Heading0"/>
    <w:qFormat/>
    <w:rsid w:val="009F2F3B"/>
    <w:pPr>
      <w:pageBreakBefore w:val="0"/>
    </w:pPr>
    <w:rPr>
      <w:caps/>
      <w:sz w:val="28"/>
      <w:lang w:val="en-AU"/>
    </w:rPr>
  </w:style>
  <w:style w:type="paragraph" w:customStyle="1" w:styleId="RPI-Heading3">
    <w:name w:val="RPI - Heading 3"/>
    <w:basedOn w:val="Text"/>
    <w:qFormat/>
    <w:rsid w:val="00CD0C00"/>
    <w:pPr>
      <w:keepNext/>
    </w:pPr>
    <w:rPr>
      <w:u w:val="single"/>
      <w:lang w:val="en-AU"/>
    </w:rPr>
  </w:style>
  <w:style w:type="paragraph" w:customStyle="1" w:styleId="RPI-Heading4">
    <w:name w:val="RPI - Heading 4"/>
    <w:basedOn w:val="Text"/>
    <w:qFormat/>
    <w:rsid w:val="00CD0C00"/>
    <w:pPr>
      <w:keepNext/>
    </w:pPr>
    <w:rPr>
      <w:i/>
      <w:lang w:val="en-AU"/>
    </w:rPr>
  </w:style>
  <w:style w:type="paragraph" w:customStyle="1" w:styleId="RPI-TableLeftAligned">
    <w:name w:val="RPI - Table Left Aligned"/>
    <w:basedOn w:val="TableLeftAlign"/>
    <w:qFormat/>
    <w:rsid w:val="009F2F3B"/>
    <w:rPr>
      <w:lang w:val="en-AU"/>
    </w:rPr>
  </w:style>
  <w:style w:type="paragraph" w:customStyle="1" w:styleId="RPI-TableCenterAligned">
    <w:name w:val="RPI - Table Center Aligned"/>
    <w:basedOn w:val="TableCenterAlign"/>
    <w:qFormat/>
    <w:rsid w:val="009F2F3B"/>
    <w:rPr>
      <w:lang w:val="en-AU"/>
    </w:rPr>
  </w:style>
  <w:style w:type="paragraph" w:customStyle="1" w:styleId="RPI-GuidanceText">
    <w:name w:val="RPI - Guidance Text"/>
    <w:basedOn w:val="Text"/>
    <w:qFormat/>
    <w:rsid w:val="009F2F3B"/>
    <w:rPr>
      <w:color w:val="FF0000"/>
      <w:lang w:val="en-AU"/>
    </w:rPr>
  </w:style>
  <w:style w:type="paragraph" w:customStyle="1" w:styleId="RPI-Caption">
    <w:name w:val="RPI - Caption"/>
    <w:basedOn w:val="Caption"/>
    <w:qFormat/>
    <w:rsid w:val="009F2F3B"/>
    <w:rPr>
      <w:lang w:val="en-AU"/>
    </w:rPr>
  </w:style>
  <w:style w:type="paragraph" w:customStyle="1" w:styleId="RPI-FootnoteText">
    <w:name w:val="RPI - Footnote Text"/>
    <w:basedOn w:val="FootnoteText1"/>
    <w:link w:val="RPI-FootnoteTextChar"/>
    <w:qFormat/>
    <w:rsid w:val="004E0A2C"/>
  </w:style>
  <w:style w:type="paragraph" w:customStyle="1" w:styleId="RPI-BoxedWarning">
    <w:name w:val="RPI - Boxed Warning"/>
    <w:basedOn w:val="RPI-Text"/>
    <w:link w:val="RPI-BoxedWarningChar"/>
    <w:qFormat/>
    <w:rsid w:val="004E0A2C"/>
    <w:pPr>
      <w:pBdr>
        <w:top w:val="single" w:sz="4" w:space="1" w:color="auto"/>
        <w:left w:val="single" w:sz="4" w:space="4" w:color="auto"/>
        <w:bottom w:val="single" w:sz="4" w:space="1" w:color="auto"/>
        <w:right w:val="single" w:sz="4" w:space="4" w:color="auto"/>
      </w:pBdr>
    </w:pPr>
  </w:style>
  <w:style w:type="character" w:customStyle="1" w:styleId="RPI-Heading1Char">
    <w:name w:val="RPI - Heading 1 Char"/>
    <w:basedOn w:val="Heading1Char"/>
    <w:link w:val="RPI-Heading1"/>
    <w:rsid w:val="00740F45"/>
    <w:rPr>
      <w:rFonts w:ascii="Arial" w:eastAsia="Times New Roman" w:hAnsi="Arial" w:cs="Times New Roman"/>
      <w:b/>
      <w:sz w:val="28"/>
      <w:szCs w:val="20"/>
      <w:lang w:val="en-AU"/>
    </w:rPr>
  </w:style>
  <w:style w:type="character" w:customStyle="1" w:styleId="RPI-FootnoteTextChar">
    <w:name w:val="RPI - Footnote Text Char"/>
    <w:basedOn w:val="RPI-Heading1Char"/>
    <w:link w:val="RPI-FootnoteText"/>
    <w:rsid w:val="005A61CC"/>
    <w:rPr>
      <w:rFonts w:ascii="Arial" w:eastAsia="Times New Roman" w:hAnsi="Arial" w:cs="Times New Roman"/>
      <w:b w:val="0"/>
      <w:sz w:val="18"/>
      <w:szCs w:val="20"/>
      <w:lang w:val="en-US"/>
    </w:rPr>
  </w:style>
  <w:style w:type="character" w:customStyle="1" w:styleId="TextChar">
    <w:name w:val="Text Char"/>
    <w:basedOn w:val="DefaultParagraphFont"/>
    <w:link w:val="Text"/>
    <w:rsid w:val="004E0A2C"/>
    <w:rPr>
      <w:rFonts w:ascii="Arial" w:eastAsia="Times New Roman" w:hAnsi="Arial" w:cs="Times New Roman"/>
      <w:szCs w:val="20"/>
      <w:lang w:val="en-US"/>
    </w:rPr>
  </w:style>
  <w:style w:type="character" w:customStyle="1" w:styleId="RPI-TextChar">
    <w:name w:val="RPI - Text Char"/>
    <w:basedOn w:val="TextChar"/>
    <w:link w:val="RPI-Text"/>
    <w:rsid w:val="004E0A2C"/>
    <w:rPr>
      <w:rFonts w:ascii="Arial" w:eastAsia="Times New Roman" w:hAnsi="Arial" w:cs="Times New Roman"/>
      <w:szCs w:val="20"/>
      <w:lang w:val="en-AU"/>
    </w:rPr>
  </w:style>
  <w:style w:type="character" w:customStyle="1" w:styleId="RPI-BoxedWarningChar">
    <w:name w:val="RPI - Boxed Warning Char"/>
    <w:basedOn w:val="RPI-TextChar"/>
    <w:link w:val="RPI-BoxedWarning"/>
    <w:rsid w:val="004E0A2C"/>
    <w:rPr>
      <w:rFonts w:ascii="Arial" w:eastAsia="Times New Roman" w:hAnsi="Arial" w:cs="Times New Roman"/>
      <w:szCs w:val="20"/>
      <w:lang w:val="en-AU"/>
    </w:rPr>
  </w:style>
  <w:style w:type="paragraph" w:customStyle="1" w:styleId="RPI-Textbold">
    <w:name w:val="RPI - Text bold"/>
    <w:basedOn w:val="RPI-Text"/>
    <w:link w:val="RPI-TextboldChar"/>
    <w:qFormat/>
    <w:rsid w:val="00490E90"/>
    <w:rPr>
      <w:b/>
    </w:rPr>
  </w:style>
  <w:style w:type="character" w:customStyle="1" w:styleId="RPI-TextboldChar">
    <w:name w:val="RPI - Text bold Char"/>
    <w:basedOn w:val="RPI-TextChar"/>
    <w:link w:val="RPI-Textbold"/>
    <w:rsid w:val="00490E90"/>
    <w:rPr>
      <w:rFonts w:ascii="Arial" w:eastAsia="Times New Roman" w:hAnsi="Arial" w:cs="Times New Roman"/>
      <w:b/>
      <w:szCs w:val="20"/>
      <w:lang w:val="en-AU"/>
    </w:rPr>
  </w:style>
  <w:style w:type="character" w:styleId="CommentReference">
    <w:name w:val="annotation reference"/>
    <w:basedOn w:val="DefaultParagraphFont"/>
    <w:uiPriority w:val="99"/>
    <w:semiHidden/>
    <w:unhideWhenUsed/>
    <w:rsid w:val="00605047"/>
    <w:rPr>
      <w:sz w:val="16"/>
      <w:szCs w:val="16"/>
    </w:rPr>
  </w:style>
  <w:style w:type="paragraph" w:styleId="CommentText">
    <w:name w:val="annotation text"/>
    <w:basedOn w:val="Normal"/>
    <w:link w:val="CommentTextChar"/>
    <w:uiPriority w:val="99"/>
    <w:semiHidden/>
    <w:unhideWhenUsed/>
    <w:rsid w:val="00605047"/>
    <w:rPr>
      <w:sz w:val="20"/>
    </w:rPr>
  </w:style>
  <w:style w:type="character" w:customStyle="1" w:styleId="CommentTextChar">
    <w:name w:val="Comment Text Char"/>
    <w:basedOn w:val="DefaultParagraphFont"/>
    <w:link w:val="CommentText"/>
    <w:uiPriority w:val="99"/>
    <w:semiHidden/>
    <w:rsid w:val="0060504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5047"/>
    <w:rPr>
      <w:b/>
      <w:bCs/>
    </w:rPr>
  </w:style>
  <w:style w:type="character" w:customStyle="1" w:styleId="CommentSubjectChar">
    <w:name w:val="Comment Subject Char"/>
    <w:basedOn w:val="CommentTextChar"/>
    <w:link w:val="CommentSubject"/>
    <w:uiPriority w:val="99"/>
    <w:semiHidden/>
    <w:rsid w:val="00605047"/>
    <w:rPr>
      <w:rFonts w:ascii="Arial" w:eastAsia="Times New Roman" w:hAnsi="Arial" w:cs="Times New Roman"/>
      <w:b/>
      <w:bCs/>
      <w:sz w:val="20"/>
      <w:szCs w:val="20"/>
      <w:lang w:val="en-US"/>
    </w:rPr>
  </w:style>
  <w:style w:type="table" w:customStyle="1" w:styleId="TableGrid1">
    <w:name w:val="Table Grid1"/>
    <w:basedOn w:val="TableNormal"/>
    <w:next w:val="TableGrid"/>
    <w:uiPriority w:val="39"/>
    <w:rsid w:val="00692AA6"/>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3E1E"/>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993E1E"/>
    <w:pPr>
      <w:suppressAutoHyphens w:val="0"/>
      <w:spacing w:before="60" w:after="60"/>
    </w:pPr>
    <w:rPr>
      <w:rFonts w:cs="Arial"/>
      <w:b/>
      <w:szCs w:val="24"/>
    </w:rPr>
  </w:style>
  <w:style w:type="table" w:customStyle="1" w:styleId="TableGrid3">
    <w:name w:val="Table Grid3"/>
    <w:basedOn w:val="TableNormal"/>
    <w:next w:val="TableGrid"/>
    <w:uiPriority w:val="39"/>
    <w:rsid w:val="00993E1E"/>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993E1E"/>
    <w:rPr>
      <w:rFonts w:ascii="Arial" w:eastAsia="Times New Roman" w:hAnsi="Arial" w:cs="Arial"/>
      <w:b/>
      <w:szCs w:val="24"/>
      <w:lang w:val="en-US"/>
    </w:rPr>
  </w:style>
  <w:style w:type="paragraph" w:customStyle="1" w:styleId="BodyText2">
    <w:name w:val="BodyText 2"/>
    <w:basedOn w:val="Normal"/>
    <w:link w:val="BodyText2Char"/>
    <w:qFormat/>
    <w:rsid w:val="003E0D65"/>
    <w:pPr>
      <w:tabs>
        <w:tab w:val="left" w:pos="2430"/>
      </w:tabs>
      <w:suppressAutoHyphens w:val="0"/>
      <w:spacing w:line="360" w:lineRule="auto"/>
      <w:ind w:left="720"/>
    </w:pPr>
    <w:rPr>
      <w:rFonts w:cs="Arial"/>
      <w:szCs w:val="24"/>
    </w:rPr>
  </w:style>
  <w:style w:type="character" w:customStyle="1" w:styleId="BodyText2Char">
    <w:name w:val="BodyText 2 Char"/>
    <w:basedOn w:val="DefaultParagraphFont"/>
    <w:link w:val="BodyText2"/>
    <w:rsid w:val="003E0D65"/>
    <w:rPr>
      <w:rFonts w:ascii="Arial" w:eastAsia="Times New Roman" w:hAnsi="Arial" w:cs="Arial"/>
      <w:szCs w:val="24"/>
      <w:lang w:val="en-US"/>
    </w:rPr>
  </w:style>
  <w:style w:type="paragraph" w:customStyle="1" w:styleId="TableHeading9pt">
    <w:name w:val="Table Heading 9 pt"/>
    <w:basedOn w:val="Normal"/>
    <w:qFormat/>
    <w:rsid w:val="003E0D65"/>
    <w:pPr>
      <w:suppressAutoHyphens w:val="0"/>
      <w:jc w:val="center"/>
    </w:pPr>
    <w:rPr>
      <w:rFonts w:cs="Arial"/>
      <w:b/>
      <w:sz w:val="18"/>
      <w:szCs w:val="18"/>
    </w:rPr>
  </w:style>
  <w:style w:type="paragraph" w:customStyle="1" w:styleId="TableText9pt">
    <w:name w:val="Table Text 9 pt"/>
    <w:basedOn w:val="Normal"/>
    <w:qFormat/>
    <w:rsid w:val="003E0D65"/>
    <w:pPr>
      <w:suppressAutoHyphens w:val="0"/>
    </w:pPr>
    <w:rPr>
      <w:rFonts w:cs="Arial"/>
      <w:sz w:val="18"/>
      <w:szCs w:val="18"/>
    </w:rPr>
  </w:style>
  <w:style w:type="paragraph" w:styleId="EndnoteText">
    <w:name w:val="endnote text"/>
    <w:basedOn w:val="Normal"/>
    <w:link w:val="EndnoteTextChar"/>
    <w:rsid w:val="00E133E9"/>
    <w:rPr>
      <w:sz w:val="20"/>
    </w:rPr>
  </w:style>
  <w:style w:type="character" w:customStyle="1" w:styleId="EndnoteTextChar">
    <w:name w:val="Endnote Text Char"/>
    <w:basedOn w:val="DefaultParagraphFont"/>
    <w:link w:val="EndnoteText"/>
    <w:rsid w:val="00E133E9"/>
    <w:rPr>
      <w:rFonts w:ascii="Arial" w:eastAsia="Times New Roman" w:hAnsi="Arial" w:cs="Times New Roman"/>
      <w:sz w:val="20"/>
      <w:szCs w:val="20"/>
      <w:lang w:val="en-US"/>
    </w:rPr>
  </w:style>
  <w:style w:type="character" w:styleId="EndnoteReference">
    <w:name w:val="endnote reference"/>
    <w:basedOn w:val="DefaultParagraphFont"/>
    <w:rsid w:val="00E133E9"/>
    <w:rPr>
      <w:vertAlign w:val="superscript"/>
    </w:rPr>
  </w:style>
  <w:style w:type="paragraph" w:customStyle="1" w:styleId="Graphic4">
    <w:name w:val="Graphic 4"/>
    <w:basedOn w:val="Normal"/>
    <w:qFormat/>
    <w:rsid w:val="00E133E9"/>
    <w:pPr>
      <w:suppressAutoHyphens w:val="0"/>
      <w:spacing w:line="360" w:lineRule="auto"/>
      <w:ind w:left="2880"/>
      <w:jc w:val="center"/>
    </w:pPr>
    <w:rPr>
      <w:rFonts w:cs="Arial"/>
      <w:szCs w:val="24"/>
      <w:lang w:val="en-AU"/>
    </w:rPr>
  </w:style>
  <w:style w:type="table" w:customStyle="1" w:styleId="TableGrid4">
    <w:name w:val="Table Grid4"/>
    <w:basedOn w:val="TableNormal"/>
    <w:next w:val="TableGrid"/>
    <w:uiPriority w:val="39"/>
    <w:rsid w:val="00A02BB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060F"/>
    <w:rPr>
      <w:color w:val="954F72" w:themeColor="followedHyperlink"/>
      <w:u w:val="single"/>
    </w:rPr>
  </w:style>
  <w:style w:type="character" w:styleId="UnresolvedMention">
    <w:name w:val="Unresolved Mention"/>
    <w:basedOn w:val="DefaultParagraphFont"/>
    <w:uiPriority w:val="99"/>
    <w:semiHidden/>
    <w:unhideWhenUsed/>
    <w:rsid w:val="002A364E"/>
    <w:rPr>
      <w:color w:val="605E5C"/>
      <w:shd w:val="clear" w:color="auto" w:fill="E1DFDD"/>
    </w:rPr>
  </w:style>
  <w:style w:type="paragraph" w:styleId="Revision">
    <w:name w:val="Revision"/>
    <w:hidden/>
    <w:uiPriority w:val="99"/>
    <w:semiHidden/>
    <w:rsid w:val="00D8093E"/>
    <w:pPr>
      <w:spacing w:after="0" w:line="240" w:lineRule="auto"/>
    </w:pPr>
    <w:rPr>
      <w:rFonts w:ascii="Arial" w:eastAsia="Times New Roman" w:hAnsi="Arial" w:cs="Times New Roman"/>
      <w:szCs w:val="20"/>
      <w:lang w:val="en-US"/>
    </w:rPr>
  </w:style>
  <w:style w:type="paragraph" w:styleId="ListBullet">
    <w:name w:val="List Bullet"/>
    <w:basedOn w:val="Normal"/>
    <w:link w:val="ListBulletChar"/>
    <w:rsid w:val="00887792"/>
    <w:pPr>
      <w:tabs>
        <w:tab w:val="num" w:pos="360"/>
      </w:tabs>
      <w:suppressAutoHyphens w:val="0"/>
      <w:ind w:left="360" w:hanging="360"/>
    </w:pPr>
    <w:rPr>
      <w:rFonts w:ascii="Times New Roman" w:eastAsia="MS Mincho" w:hAnsi="Times New Roman"/>
      <w:i/>
      <w:sz w:val="24"/>
      <w:szCs w:val="24"/>
      <w:lang w:eastAsia="ja-JP"/>
    </w:rPr>
  </w:style>
  <w:style w:type="character" w:customStyle="1" w:styleId="ListBulletChar">
    <w:name w:val="List Bullet Char"/>
    <w:link w:val="ListBullet"/>
    <w:rsid w:val="00887792"/>
    <w:rPr>
      <w:rFonts w:ascii="Times New Roman" w:eastAsia="MS Mincho" w:hAnsi="Times New Roman" w:cs="Times New Roman"/>
      <w:i/>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4047">
      <w:bodyDiv w:val="1"/>
      <w:marLeft w:val="0"/>
      <w:marRight w:val="0"/>
      <w:marTop w:val="0"/>
      <w:marBottom w:val="0"/>
      <w:divBdr>
        <w:top w:val="none" w:sz="0" w:space="0" w:color="auto"/>
        <w:left w:val="none" w:sz="0" w:space="0" w:color="auto"/>
        <w:bottom w:val="none" w:sz="0" w:space="0" w:color="auto"/>
        <w:right w:val="none" w:sz="0" w:space="0" w:color="auto"/>
      </w:divBdr>
    </w:div>
    <w:div w:id="116131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gov.au/reporting-problem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mgenmedinfo.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ga.gov.au/reporting-problem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C37FCD93B783240B3061804782C88E6" ma:contentTypeVersion="12" ma:contentTypeDescription="Create a new document." ma:contentTypeScope="" ma:versionID="715eb689fd57cad1e532ab582a5e3506">
  <xsd:schema xmlns:xsd="http://www.w3.org/2001/XMLSchema" xmlns:xs="http://www.w3.org/2001/XMLSchema" xmlns:p="http://schemas.microsoft.com/office/2006/metadata/properties" xmlns:ns3="41d82056-7627-4bc8-b21e-0724267a84b2" xmlns:ns4="44000eb2-0dd1-44cc-a3c8-00e058cb6a9f" targetNamespace="http://schemas.microsoft.com/office/2006/metadata/properties" ma:root="true" ma:fieldsID="d9af72e9f6c6b0121ca5498b4e3dfec2" ns3:_="" ns4:_="">
    <xsd:import namespace="41d82056-7627-4bc8-b21e-0724267a84b2"/>
    <xsd:import namespace="44000eb2-0dd1-44cc-a3c8-00e058cb6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82056-7627-4bc8-b21e-0724267a8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00eb2-0dd1-44cc-a3c8-00e058cb6a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93ACD-E828-4BB8-B958-79D3263309E9}">
  <ds:schemaRefs>
    <ds:schemaRef ds:uri="http://schemas.microsoft.com/sharepoint/v3/contenttype/forms"/>
  </ds:schemaRefs>
</ds:datastoreItem>
</file>

<file path=customXml/itemProps2.xml><?xml version="1.0" encoding="utf-8"?>
<ds:datastoreItem xmlns:ds="http://schemas.openxmlformats.org/officeDocument/2006/customXml" ds:itemID="{61C38124-A32E-4218-A82E-7A11DF07F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E66588-62A1-49A8-A3BB-54F50835FDA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35AFE37-BC70-4D98-B418-875D1033B0AB}">
  <ds:schemaRefs>
    <ds:schemaRef ds:uri="http://schemas.openxmlformats.org/officeDocument/2006/bibliography"/>
  </ds:schemaRefs>
</ds:datastoreItem>
</file>

<file path=customXml/itemProps5.xml><?xml version="1.0" encoding="utf-8"?>
<ds:datastoreItem xmlns:ds="http://schemas.openxmlformats.org/officeDocument/2006/customXml" ds:itemID="{390C4B3E-EFF1-4CD1-86F4-919648792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82056-7627-4bc8-b21e-0724267a84b2"/>
    <ds:schemaRef ds:uri="44000eb2-0dd1-44cc-a3c8-00e058cb6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4497</Words>
  <Characters>26311</Characters>
  <Application>Microsoft Office Word</Application>
  <DocSecurity>0</DocSecurity>
  <Lines>657</Lines>
  <Paragraphs>433</Paragraphs>
  <ScaleCrop>false</ScaleCrop>
  <HeadingPairs>
    <vt:vector size="2" baseType="variant">
      <vt:variant>
        <vt:lpstr>Title</vt:lpstr>
      </vt:variant>
      <vt:variant>
        <vt:i4>1</vt:i4>
      </vt:variant>
    </vt:vector>
  </HeadingPairs>
  <TitlesOfParts>
    <vt:vector size="1" baseType="lpstr">
      <vt:lpstr/>
    </vt:vector>
  </TitlesOfParts>
  <Company>Agen Australia Pty Ltd</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Lumakras</dc:title>
  <dc:subject>prescription medicines</dc:subject>
  <dc:creator>LACK, Janet</dc:creator>
  <cp:keywords/>
  <dc:description/>
  <cp:lastModifiedBy>LACK, Janet</cp:lastModifiedBy>
  <cp:revision>2</cp:revision>
  <cp:lastPrinted>2021-08-05T01:51:00Z</cp:lastPrinted>
  <dcterms:created xsi:type="dcterms:W3CDTF">2023-06-15T01:00:00Z</dcterms:created>
  <dcterms:modified xsi:type="dcterms:W3CDTF">2023-06-15T01:00:00Z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1084882f-e14b-4fc7-bdd1-c36b4942baa7</vt:lpwstr>
  </property>
  <property fmtid="{D5CDD505-2E9C-101B-9397-08002B2CF9AE}" pid="3" name="bjSaver">
    <vt:lpwstr>sxTKbu8ST3z2i6dZd3j0KJLfigCAdOpm</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ContentTypeId">
    <vt:lpwstr>0x010100AC37FCD93B783240B3061804782C88E6</vt:lpwstr>
  </property>
  <property fmtid="{D5CDD505-2E9C-101B-9397-08002B2CF9AE}" pid="7" name="_dlc_DocIdItemGuid">
    <vt:lpwstr>9e5c2333-2d51-4d3c-9fc3-d7708077b392</vt:lpwstr>
  </property>
  <property fmtid="{D5CDD505-2E9C-101B-9397-08002B2CF9AE}" pid="8" name="bjDocumentSecurityLabel">
    <vt:lpwstr>Internal Use Only - General Business</vt:lpwstr>
  </property>
  <property fmtid="{D5CDD505-2E9C-101B-9397-08002B2CF9AE}" pid="9" name="MSIP_Label_1bb233fc-b10c-4dce-b8fe-3e15f9800d99_Enabled">
    <vt:lpwstr>true</vt:lpwstr>
  </property>
  <property fmtid="{D5CDD505-2E9C-101B-9397-08002B2CF9AE}" pid="10" name="MSIP_Label_1bb233fc-b10c-4dce-b8fe-3e15f9800d99_SetDate">
    <vt:lpwstr>2021-12-16T05:50:34Z</vt:lpwstr>
  </property>
  <property fmtid="{D5CDD505-2E9C-101B-9397-08002B2CF9AE}" pid="11" name="MSIP_Label_1bb233fc-b10c-4dce-b8fe-3e15f9800d99_Method">
    <vt:lpwstr>Privileged</vt:lpwstr>
  </property>
  <property fmtid="{D5CDD505-2E9C-101B-9397-08002B2CF9AE}" pid="12" name="MSIP_Label_1bb233fc-b10c-4dce-b8fe-3e15f9800d99_Name">
    <vt:lpwstr>Confidential_</vt:lpwstr>
  </property>
  <property fmtid="{D5CDD505-2E9C-101B-9397-08002B2CF9AE}" pid="13" name="MSIP_Label_1bb233fc-b10c-4dce-b8fe-3e15f9800d99_SiteId">
    <vt:lpwstr>4b4266a6-1368-41af-ad5a-59eb634f7ad8</vt:lpwstr>
  </property>
  <property fmtid="{D5CDD505-2E9C-101B-9397-08002B2CF9AE}" pid="14" name="MSIP_Label_1bb233fc-b10c-4dce-b8fe-3e15f9800d99_ActionId">
    <vt:lpwstr>28893c2f-582c-458f-9736-dcf188c05acf</vt:lpwstr>
  </property>
  <property fmtid="{D5CDD505-2E9C-101B-9397-08002B2CF9AE}" pid="15" name="MSIP_Label_1bb233fc-b10c-4dce-b8fe-3e15f9800d99_ContentBits">
    <vt:lpwstr>0</vt:lpwstr>
  </property>
</Properties>
</file>