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57FAA0BA" w:rsidR="00F02AEC" w:rsidRPr="00215D48" w:rsidRDefault="00346EC2" w:rsidP="007452E8">
            <w:pPr>
              <w:pStyle w:val="Title"/>
            </w:pPr>
            <w:r w:rsidRPr="00346EC2">
              <w:t xml:space="preserve">Australian Public Assessment Report for </w:t>
            </w:r>
            <w:proofErr w:type="spellStart"/>
            <w:r w:rsidR="00E71EEC">
              <w:t>Livtencity</w:t>
            </w:r>
            <w:proofErr w:type="spellEnd"/>
          </w:p>
        </w:tc>
      </w:tr>
      <w:tr w:rsidR="00F02AEC" w:rsidRPr="00215D48" w14:paraId="318A40A3" w14:textId="77777777" w:rsidTr="00346EC2">
        <w:trPr>
          <w:trHeight w:val="995"/>
        </w:trPr>
        <w:tc>
          <w:tcPr>
            <w:tcW w:w="8720" w:type="dxa"/>
          </w:tcPr>
          <w:p w14:paraId="1AA7C701" w14:textId="01C1A55B" w:rsidR="00F02AEC" w:rsidRPr="00215D48" w:rsidRDefault="00346EC2" w:rsidP="007452E8">
            <w:pPr>
              <w:pStyle w:val="Subtitle"/>
              <w:ind w:left="0"/>
            </w:pPr>
            <w:r w:rsidRPr="00346EC2">
              <w:t xml:space="preserve">Active ingredient: </w:t>
            </w:r>
            <w:proofErr w:type="spellStart"/>
            <w:r w:rsidR="00E71EEC">
              <w:t>Maribavir</w:t>
            </w:r>
            <w:proofErr w:type="spellEnd"/>
          </w:p>
        </w:tc>
      </w:tr>
      <w:tr w:rsidR="00346EC2" w:rsidRPr="00215D48" w14:paraId="362CCAE4" w14:textId="77777777" w:rsidTr="007452E8">
        <w:trPr>
          <w:trHeight w:val="1916"/>
        </w:trPr>
        <w:tc>
          <w:tcPr>
            <w:tcW w:w="8720" w:type="dxa"/>
          </w:tcPr>
          <w:p w14:paraId="709C45C0" w14:textId="7644BBBD" w:rsidR="00346EC2" w:rsidRPr="00215D48" w:rsidRDefault="00346EC2" w:rsidP="007452E8">
            <w:pPr>
              <w:pStyle w:val="Subtitle"/>
              <w:ind w:left="0"/>
            </w:pPr>
            <w:r w:rsidRPr="00346EC2">
              <w:t xml:space="preserve">Sponsor: </w:t>
            </w:r>
            <w:r w:rsidR="00E71EEC">
              <w:t>Takeda Pharmaceuticals Australia Pty Ltd</w:t>
            </w:r>
          </w:p>
        </w:tc>
      </w:tr>
      <w:tr w:rsidR="00F02AEC" w:rsidRPr="00215D48" w14:paraId="37F2AA1F" w14:textId="77777777" w:rsidTr="007452E8">
        <w:tc>
          <w:tcPr>
            <w:tcW w:w="8720" w:type="dxa"/>
          </w:tcPr>
          <w:p w14:paraId="1FDE8DCD" w14:textId="4E4C9036" w:rsidR="00F02AEC" w:rsidRPr="00215D48" w:rsidRDefault="002505B3" w:rsidP="007452E8">
            <w:pPr>
              <w:pStyle w:val="Date"/>
            </w:pPr>
            <w:r>
              <w:t>May</w:t>
            </w:r>
            <w:r w:rsidRPr="00215D48">
              <w:t xml:space="preserve"> </w:t>
            </w:r>
            <w:r w:rsidR="00E71EEC">
              <w:t>2023</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2ADE2747"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0F15B4">
          <w:rPr>
            <w:rStyle w:val="Hyperlink"/>
          </w:rPr>
          <w:t>TGA website</w:t>
        </w:r>
      </w:hyperlink>
      <w:r w:rsidRPr="003C6D1F">
        <w:t>.</w:t>
      </w:r>
    </w:p>
    <w:p w14:paraId="737B7A99" w14:textId="77777777" w:rsidR="00346EC2" w:rsidRDefault="00346EC2" w:rsidP="00346EC2">
      <w:pPr>
        <w:pStyle w:val="NonTOCHeading20"/>
      </w:pPr>
      <w:r>
        <w:t xml:space="preserve">About </w:t>
      </w:r>
      <w:proofErr w:type="spellStart"/>
      <w:r>
        <w:t>AusPARs</w:t>
      </w:r>
      <w:proofErr w:type="spellEnd"/>
    </w:p>
    <w:p w14:paraId="631B2209" w14:textId="2795A137"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proofErr w:type="spellStart"/>
      <w:r w:rsidRPr="003C6D1F">
        <w:t>AusPARs</w:t>
      </w:r>
      <w:proofErr w:type="spellEnd"/>
      <w:r w:rsidRPr="003C6D1F">
        <w:t xml:space="preserve"> are prepared and published by the TGA.</w:t>
      </w:r>
    </w:p>
    <w:p w14:paraId="451B8FD7" w14:textId="77777777" w:rsidR="00346EC2" w:rsidRPr="003C6D1F" w:rsidRDefault="00346EC2" w:rsidP="00346EC2">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32568D54" w:rsidR="00175CD8" w:rsidRPr="00346EC2" w:rsidRDefault="00F02AEC" w:rsidP="00346EC2">
      <w:pPr>
        <w:pStyle w:val="LegalCopy"/>
        <w:rPr>
          <w:rFonts w:cs="Arial"/>
        </w:rPr>
      </w:pPr>
      <w:r w:rsidRPr="00215D48">
        <w:rPr>
          <w:rFonts w:cs="Arial"/>
        </w:rPr>
        <w:t>© Commonwealth of Australia 20</w:t>
      </w:r>
      <w:r>
        <w:rPr>
          <w:rFonts w:cs="Arial"/>
        </w:rPr>
        <w:t>2</w:t>
      </w:r>
      <w:r w:rsidR="00E47E0C">
        <w:rPr>
          <w:rFonts w:cs="Arial"/>
        </w:rPr>
        <w:t>3</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489160EC" w14:textId="24AAEB08" w:rsidR="001D123C" w:rsidRDefault="00F02AEC">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35918971" w:history="1">
            <w:r w:rsidR="001D123C" w:rsidRPr="00F02994">
              <w:rPr>
                <w:rStyle w:val="Hyperlink"/>
                <w:noProof/>
              </w:rPr>
              <w:t>List of abbreviations</w:t>
            </w:r>
            <w:r w:rsidR="001D123C">
              <w:rPr>
                <w:noProof/>
                <w:webHidden/>
              </w:rPr>
              <w:tab/>
            </w:r>
            <w:r w:rsidR="001D123C">
              <w:rPr>
                <w:noProof/>
                <w:webHidden/>
              </w:rPr>
              <w:fldChar w:fldCharType="begin"/>
            </w:r>
            <w:r w:rsidR="001D123C">
              <w:rPr>
                <w:noProof/>
                <w:webHidden/>
              </w:rPr>
              <w:instrText xml:space="preserve"> PAGEREF _Toc135918971 \h </w:instrText>
            </w:r>
            <w:r w:rsidR="001D123C">
              <w:rPr>
                <w:noProof/>
                <w:webHidden/>
              </w:rPr>
            </w:r>
            <w:r w:rsidR="001D123C">
              <w:rPr>
                <w:noProof/>
                <w:webHidden/>
              </w:rPr>
              <w:fldChar w:fldCharType="separate"/>
            </w:r>
            <w:r w:rsidR="00124E8E">
              <w:rPr>
                <w:noProof/>
                <w:webHidden/>
              </w:rPr>
              <w:t>4</w:t>
            </w:r>
            <w:r w:rsidR="001D123C">
              <w:rPr>
                <w:noProof/>
                <w:webHidden/>
              </w:rPr>
              <w:fldChar w:fldCharType="end"/>
            </w:r>
          </w:hyperlink>
        </w:p>
        <w:p w14:paraId="0C400F2F" w14:textId="5FE0D3E9" w:rsidR="001D123C" w:rsidRDefault="00124E8E">
          <w:pPr>
            <w:pStyle w:val="TOC1"/>
            <w:rPr>
              <w:rFonts w:asciiTheme="minorHAnsi" w:eastAsiaTheme="minorEastAsia" w:hAnsiTheme="minorHAnsi" w:cstheme="minorBidi"/>
              <w:b w:val="0"/>
              <w:noProof/>
              <w:color w:val="auto"/>
              <w:sz w:val="22"/>
              <w:szCs w:val="22"/>
              <w:lang w:eastAsia="en-AU"/>
            </w:rPr>
          </w:pPr>
          <w:hyperlink w:anchor="_Toc135918972" w:history="1">
            <w:r w:rsidR="001D123C" w:rsidRPr="00F02994">
              <w:rPr>
                <w:rStyle w:val="Hyperlink"/>
                <w:noProof/>
              </w:rPr>
              <w:t>Product submission</w:t>
            </w:r>
            <w:r w:rsidR="001D123C">
              <w:rPr>
                <w:noProof/>
                <w:webHidden/>
              </w:rPr>
              <w:tab/>
            </w:r>
            <w:r w:rsidR="001D123C">
              <w:rPr>
                <w:noProof/>
                <w:webHidden/>
              </w:rPr>
              <w:fldChar w:fldCharType="begin"/>
            </w:r>
            <w:r w:rsidR="001D123C">
              <w:rPr>
                <w:noProof/>
                <w:webHidden/>
              </w:rPr>
              <w:instrText xml:space="preserve"> PAGEREF _Toc135918972 \h </w:instrText>
            </w:r>
            <w:r w:rsidR="001D123C">
              <w:rPr>
                <w:noProof/>
                <w:webHidden/>
              </w:rPr>
            </w:r>
            <w:r w:rsidR="001D123C">
              <w:rPr>
                <w:noProof/>
                <w:webHidden/>
              </w:rPr>
              <w:fldChar w:fldCharType="separate"/>
            </w:r>
            <w:r>
              <w:rPr>
                <w:noProof/>
                <w:webHidden/>
              </w:rPr>
              <w:t>5</w:t>
            </w:r>
            <w:r w:rsidR="001D123C">
              <w:rPr>
                <w:noProof/>
                <w:webHidden/>
              </w:rPr>
              <w:fldChar w:fldCharType="end"/>
            </w:r>
          </w:hyperlink>
        </w:p>
        <w:p w14:paraId="10934290" w14:textId="75054797" w:rsidR="001D123C" w:rsidRDefault="00124E8E">
          <w:pPr>
            <w:pStyle w:val="TOC2"/>
            <w:rPr>
              <w:rFonts w:asciiTheme="minorHAnsi" w:eastAsiaTheme="minorEastAsia" w:hAnsiTheme="minorHAnsi" w:cstheme="minorBidi"/>
              <w:b w:val="0"/>
              <w:noProof/>
              <w:color w:val="auto"/>
              <w:sz w:val="22"/>
              <w:szCs w:val="22"/>
              <w:lang w:eastAsia="en-AU"/>
            </w:rPr>
          </w:pPr>
          <w:hyperlink w:anchor="_Toc135918973" w:history="1">
            <w:r w:rsidR="001D123C" w:rsidRPr="00F02994">
              <w:rPr>
                <w:rStyle w:val="Hyperlink"/>
                <w:noProof/>
                <w:lang w:eastAsia="en-AU"/>
              </w:rPr>
              <w:t>Submission details</w:t>
            </w:r>
            <w:r w:rsidR="001D123C">
              <w:rPr>
                <w:noProof/>
                <w:webHidden/>
              </w:rPr>
              <w:tab/>
            </w:r>
            <w:r w:rsidR="001D123C">
              <w:rPr>
                <w:noProof/>
                <w:webHidden/>
              </w:rPr>
              <w:fldChar w:fldCharType="begin"/>
            </w:r>
            <w:r w:rsidR="001D123C">
              <w:rPr>
                <w:noProof/>
                <w:webHidden/>
              </w:rPr>
              <w:instrText xml:space="preserve"> PAGEREF _Toc135918973 \h </w:instrText>
            </w:r>
            <w:r w:rsidR="001D123C">
              <w:rPr>
                <w:noProof/>
                <w:webHidden/>
              </w:rPr>
            </w:r>
            <w:r w:rsidR="001D123C">
              <w:rPr>
                <w:noProof/>
                <w:webHidden/>
              </w:rPr>
              <w:fldChar w:fldCharType="separate"/>
            </w:r>
            <w:r>
              <w:rPr>
                <w:noProof/>
                <w:webHidden/>
              </w:rPr>
              <w:t>5</w:t>
            </w:r>
            <w:r w:rsidR="001D123C">
              <w:rPr>
                <w:noProof/>
                <w:webHidden/>
              </w:rPr>
              <w:fldChar w:fldCharType="end"/>
            </w:r>
          </w:hyperlink>
        </w:p>
        <w:p w14:paraId="7C6D4289" w14:textId="31ECEE11" w:rsidR="001D123C" w:rsidRDefault="00124E8E">
          <w:pPr>
            <w:pStyle w:val="TOC2"/>
            <w:rPr>
              <w:rFonts w:asciiTheme="minorHAnsi" w:eastAsiaTheme="minorEastAsia" w:hAnsiTheme="minorHAnsi" w:cstheme="minorBidi"/>
              <w:b w:val="0"/>
              <w:noProof/>
              <w:color w:val="auto"/>
              <w:sz w:val="22"/>
              <w:szCs w:val="22"/>
              <w:lang w:eastAsia="en-AU"/>
            </w:rPr>
          </w:pPr>
          <w:hyperlink w:anchor="_Toc135918974" w:history="1">
            <w:r w:rsidR="001D123C" w:rsidRPr="00F02994">
              <w:rPr>
                <w:rStyle w:val="Hyperlink"/>
                <w:noProof/>
              </w:rPr>
              <w:t>Product background</w:t>
            </w:r>
            <w:r w:rsidR="001D123C">
              <w:rPr>
                <w:noProof/>
                <w:webHidden/>
              </w:rPr>
              <w:tab/>
            </w:r>
            <w:r w:rsidR="001D123C">
              <w:rPr>
                <w:noProof/>
                <w:webHidden/>
              </w:rPr>
              <w:fldChar w:fldCharType="begin"/>
            </w:r>
            <w:r w:rsidR="001D123C">
              <w:rPr>
                <w:noProof/>
                <w:webHidden/>
              </w:rPr>
              <w:instrText xml:space="preserve"> PAGEREF _Toc135918974 \h </w:instrText>
            </w:r>
            <w:r w:rsidR="001D123C">
              <w:rPr>
                <w:noProof/>
                <w:webHidden/>
              </w:rPr>
            </w:r>
            <w:r w:rsidR="001D123C">
              <w:rPr>
                <w:noProof/>
                <w:webHidden/>
              </w:rPr>
              <w:fldChar w:fldCharType="separate"/>
            </w:r>
            <w:r>
              <w:rPr>
                <w:noProof/>
                <w:webHidden/>
              </w:rPr>
              <w:t>6</w:t>
            </w:r>
            <w:r w:rsidR="001D123C">
              <w:rPr>
                <w:noProof/>
                <w:webHidden/>
              </w:rPr>
              <w:fldChar w:fldCharType="end"/>
            </w:r>
          </w:hyperlink>
        </w:p>
        <w:p w14:paraId="069E72C4" w14:textId="0AC3707A" w:rsidR="001D123C" w:rsidRDefault="00124E8E">
          <w:pPr>
            <w:pStyle w:val="TOC2"/>
            <w:rPr>
              <w:rFonts w:asciiTheme="minorHAnsi" w:eastAsiaTheme="minorEastAsia" w:hAnsiTheme="minorHAnsi" w:cstheme="minorBidi"/>
              <w:b w:val="0"/>
              <w:noProof/>
              <w:color w:val="auto"/>
              <w:sz w:val="22"/>
              <w:szCs w:val="22"/>
              <w:lang w:eastAsia="en-AU"/>
            </w:rPr>
          </w:pPr>
          <w:hyperlink w:anchor="_Toc135918975" w:history="1">
            <w:r w:rsidR="001D123C" w:rsidRPr="00F02994">
              <w:rPr>
                <w:rStyle w:val="Hyperlink"/>
                <w:noProof/>
              </w:rPr>
              <w:t>Regulatory status</w:t>
            </w:r>
            <w:r w:rsidR="001D123C">
              <w:rPr>
                <w:noProof/>
                <w:webHidden/>
              </w:rPr>
              <w:tab/>
            </w:r>
            <w:r w:rsidR="001D123C">
              <w:rPr>
                <w:noProof/>
                <w:webHidden/>
              </w:rPr>
              <w:fldChar w:fldCharType="begin"/>
            </w:r>
            <w:r w:rsidR="001D123C">
              <w:rPr>
                <w:noProof/>
                <w:webHidden/>
              </w:rPr>
              <w:instrText xml:space="preserve"> PAGEREF _Toc135918975 \h </w:instrText>
            </w:r>
            <w:r w:rsidR="001D123C">
              <w:rPr>
                <w:noProof/>
                <w:webHidden/>
              </w:rPr>
            </w:r>
            <w:r w:rsidR="001D123C">
              <w:rPr>
                <w:noProof/>
                <w:webHidden/>
              </w:rPr>
              <w:fldChar w:fldCharType="separate"/>
            </w:r>
            <w:r>
              <w:rPr>
                <w:noProof/>
                <w:webHidden/>
              </w:rPr>
              <w:t>8</w:t>
            </w:r>
            <w:r w:rsidR="001D123C">
              <w:rPr>
                <w:noProof/>
                <w:webHidden/>
              </w:rPr>
              <w:fldChar w:fldCharType="end"/>
            </w:r>
          </w:hyperlink>
        </w:p>
        <w:p w14:paraId="07A57963" w14:textId="1F84DB33" w:rsidR="001D123C" w:rsidRDefault="00124E8E">
          <w:pPr>
            <w:pStyle w:val="TOC2"/>
            <w:rPr>
              <w:rFonts w:asciiTheme="minorHAnsi" w:eastAsiaTheme="minorEastAsia" w:hAnsiTheme="minorHAnsi" w:cstheme="minorBidi"/>
              <w:b w:val="0"/>
              <w:noProof/>
              <w:color w:val="auto"/>
              <w:sz w:val="22"/>
              <w:szCs w:val="22"/>
              <w:lang w:eastAsia="en-AU"/>
            </w:rPr>
          </w:pPr>
          <w:hyperlink w:anchor="_Toc135918976" w:history="1">
            <w:r w:rsidR="001D123C" w:rsidRPr="00F02994">
              <w:rPr>
                <w:rStyle w:val="Hyperlink"/>
                <w:noProof/>
              </w:rPr>
              <w:t>Product Information</w:t>
            </w:r>
            <w:r w:rsidR="001D123C">
              <w:rPr>
                <w:noProof/>
                <w:webHidden/>
              </w:rPr>
              <w:tab/>
            </w:r>
            <w:r w:rsidR="001D123C">
              <w:rPr>
                <w:noProof/>
                <w:webHidden/>
              </w:rPr>
              <w:fldChar w:fldCharType="begin"/>
            </w:r>
            <w:r w:rsidR="001D123C">
              <w:rPr>
                <w:noProof/>
                <w:webHidden/>
              </w:rPr>
              <w:instrText xml:space="preserve"> PAGEREF _Toc135918976 \h </w:instrText>
            </w:r>
            <w:r w:rsidR="001D123C">
              <w:rPr>
                <w:noProof/>
                <w:webHidden/>
              </w:rPr>
            </w:r>
            <w:r w:rsidR="001D123C">
              <w:rPr>
                <w:noProof/>
                <w:webHidden/>
              </w:rPr>
              <w:fldChar w:fldCharType="separate"/>
            </w:r>
            <w:r>
              <w:rPr>
                <w:noProof/>
                <w:webHidden/>
              </w:rPr>
              <w:t>10</w:t>
            </w:r>
            <w:r w:rsidR="001D123C">
              <w:rPr>
                <w:noProof/>
                <w:webHidden/>
              </w:rPr>
              <w:fldChar w:fldCharType="end"/>
            </w:r>
          </w:hyperlink>
        </w:p>
        <w:p w14:paraId="722E7692" w14:textId="59F42868" w:rsidR="001D123C" w:rsidRDefault="00124E8E">
          <w:pPr>
            <w:pStyle w:val="TOC1"/>
            <w:rPr>
              <w:rFonts w:asciiTheme="minorHAnsi" w:eastAsiaTheme="minorEastAsia" w:hAnsiTheme="minorHAnsi" w:cstheme="minorBidi"/>
              <w:b w:val="0"/>
              <w:noProof/>
              <w:color w:val="auto"/>
              <w:sz w:val="22"/>
              <w:szCs w:val="22"/>
              <w:lang w:eastAsia="en-AU"/>
            </w:rPr>
          </w:pPr>
          <w:hyperlink w:anchor="_Toc135918977" w:history="1">
            <w:r w:rsidR="001D123C" w:rsidRPr="00F02994">
              <w:rPr>
                <w:rStyle w:val="Hyperlink"/>
                <w:noProof/>
              </w:rPr>
              <w:t>Registration timeline</w:t>
            </w:r>
            <w:r w:rsidR="001D123C">
              <w:rPr>
                <w:noProof/>
                <w:webHidden/>
              </w:rPr>
              <w:tab/>
            </w:r>
            <w:r w:rsidR="001D123C">
              <w:rPr>
                <w:noProof/>
                <w:webHidden/>
              </w:rPr>
              <w:fldChar w:fldCharType="begin"/>
            </w:r>
            <w:r w:rsidR="001D123C">
              <w:rPr>
                <w:noProof/>
                <w:webHidden/>
              </w:rPr>
              <w:instrText xml:space="preserve"> PAGEREF _Toc135918977 \h </w:instrText>
            </w:r>
            <w:r w:rsidR="001D123C">
              <w:rPr>
                <w:noProof/>
                <w:webHidden/>
              </w:rPr>
            </w:r>
            <w:r w:rsidR="001D123C">
              <w:rPr>
                <w:noProof/>
                <w:webHidden/>
              </w:rPr>
              <w:fldChar w:fldCharType="separate"/>
            </w:r>
            <w:r>
              <w:rPr>
                <w:noProof/>
                <w:webHidden/>
              </w:rPr>
              <w:t>10</w:t>
            </w:r>
            <w:r w:rsidR="001D123C">
              <w:rPr>
                <w:noProof/>
                <w:webHidden/>
              </w:rPr>
              <w:fldChar w:fldCharType="end"/>
            </w:r>
          </w:hyperlink>
        </w:p>
        <w:p w14:paraId="7B87B44C" w14:textId="45D16058" w:rsidR="001D123C" w:rsidRDefault="00124E8E">
          <w:pPr>
            <w:pStyle w:val="TOC1"/>
            <w:rPr>
              <w:rFonts w:asciiTheme="minorHAnsi" w:eastAsiaTheme="minorEastAsia" w:hAnsiTheme="minorHAnsi" w:cstheme="minorBidi"/>
              <w:b w:val="0"/>
              <w:noProof/>
              <w:color w:val="auto"/>
              <w:sz w:val="22"/>
              <w:szCs w:val="22"/>
              <w:lang w:eastAsia="en-AU"/>
            </w:rPr>
          </w:pPr>
          <w:hyperlink w:anchor="_Toc135918978" w:history="1">
            <w:r w:rsidR="001D123C" w:rsidRPr="00F02994">
              <w:rPr>
                <w:rStyle w:val="Hyperlink"/>
                <w:noProof/>
              </w:rPr>
              <w:t>Submission overview and risk/benefit assessment</w:t>
            </w:r>
            <w:r w:rsidR="001D123C">
              <w:rPr>
                <w:noProof/>
                <w:webHidden/>
              </w:rPr>
              <w:tab/>
            </w:r>
            <w:r w:rsidR="001D123C">
              <w:rPr>
                <w:noProof/>
                <w:webHidden/>
              </w:rPr>
              <w:fldChar w:fldCharType="begin"/>
            </w:r>
            <w:r w:rsidR="001D123C">
              <w:rPr>
                <w:noProof/>
                <w:webHidden/>
              </w:rPr>
              <w:instrText xml:space="preserve"> PAGEREF _Toc135918978 \h </w:instrText>
            </w:r>
            <w:r w:rsidR="001D123C">
              <w:rPr>
                <w:noProof/>
                <w:webHidden/>
              </w:rPr>
            </w:r>
            <w:r w:rsidR="001D123C">
              <w:rPr>
                <w:noProof/>
                <w:webHidden/>
              </w:rPr>
              <w:fldChar w:fldCharType="separate"/>
            </w:r>
            <w:r>
              <w:rPr>
                <w:noProof/>
                <w:webHidden/>
              </w:rPr>
              <w:t>10</w:t>
            </w:r>
            <w:r w:rsidR="001D123C">
              <w:rPr>
                <w:noProof/>
                <w:webHidden/>
              </w:rPr>
              <w:fldChar w:fldCharType="end"/>
            </w:r>
          </w:hyperlink>
        </w:p>
        <w:p w14:paraId="201CD227" w14:textId="709D2579" w:rsidR="001D123C" w:rsidRDefault="00124E8E">
          <w:pPr>
            <w:pStyle w:val="TOC2"/>
            <w:rPr>
              <w:rFonts w:asciiTheme="minorHAnsi" w:eastAsiaTheme="minorEastAsia" w:hAnsiTheme="minorHAnsi" w:cstheme="minorBidi"/>
              <w:b w:val="0"/>
              <w:noProof/>
              <w:color w:val="auto"/>
              <w:sz w:val="22"/>
              <w:szCs w:val="22"/>
              <w:lang w:eastAsia="en-AU"/>
            </w:rPr>
          </w:pPr>
          <w:hyperlink w:anchor="_Toc135918979" w:history="1">
            <w:r w:rsidR="001D123C" w:rsidRPr="00F02994">
              <w:rPr>
                <w:rStyle w:val="Hyperlink"/>
                <w:noProof/>
              </w:rPr>
              <w:t>Quality</w:t>
            </w:r>
            <w:r w:rsidR="001D123C">
              <w:rPr>
                <w:noProof/>
                <w:webHidden/>
              </w:rPr>
              <w:tab/>
            </w:r>
            <w:r w:rsidR="001D123C">
              <w:rPr>
                <w:noProof/>
                <w:webHidden/>
              </w:rPr>
              <w:fldChar w:fldCharType="begin"/>
            </w:r>
            <w:r w:rsidR="001D123C">
              <w:rPr>
                <w:noProof/>
                <w:webHidden/>
              </w:rPr>
              <w:instrText xml:space="preserve"> PAGEREF _Toc135918979 \h </w:instrText>
            </w:r>
            <w:r w:rsidR="001D123C">
              <w:rPr>
                <w:noProof/>
                <w:webHidden/>
              </w:rPr>
            </w:r>
            <w:r w:rsidR="001D123C">
              <w:rPr>
                <w:noProof/>
                <w:webHidden/>
              </w:rPr>
              <w:fldChar w:fldCharType="separate"/>
            </w:r>
            <w:r>
              <w:rPr>
                <w:noProof/>
                <w:webHidden/>
              </w:rPr>
              <w:t>10</w:t>
            </w:r>
            <w:r w:rsidR="001D123C">
              <w:rPr>
                <w:noProof/>
                <w:webHidden/>
              </w:rPr>
              <w:fldChar w:fldCharType="end"/>
            </w:r>
          </w:hyperlink>
        </w:p>
        <w:p w14:paraId="0CB6F677" w14:textId="0A19E245" w:rsidR="001D123C" w:rsidRDefault="00124E8E">
          <w:pPr>
            <w:pStyle w:val="TOC2"/>
            <w:rPr>
              <w:rFonts w:asciiTheme="minorHAnsi" w:eastAsiaTheme="minorEastAsia" w:hAnsiTheme="minorHAnsi" w:cstheme="minorBidi"/>
              <w:b w:val="0"/>
              <w:noProof/>
              <w:color w:val="auto"/>
              <w:sz w:val="22"/>
              <w:szCs w:val="22"/>
              <w:lang w:eastAsia="en-AU"/>
            </w:rPr>
          </w:pPr>
          <w:hyperlink w:anchor="_Toc135918980" w:history="1">
            <w:r w:rsidR="001D123C" w:rsidRPr="00F02994">
              <w:rPr>
                <w:rStyle w:val="Hyperlink"/>
                <w:noProof/>
              </w:rPr>
              <w:t>Nonclinical</w:t>
            </w:r>
            <w:r w:rsidR="001D123C">
              <w:rPr>
                <w:noProof/>
                <w:webHidden/>
              </w:rPr>
              <w:tab/>
            </w:r>
            <w:r w:rsidR="001D123C">
              <w:rPr>
                <w:noProof/>
                <w:webHidden/>
              </w:rPr>
              <w:fldChar w:fldCharType="begin"/>
            </w:r>
            <w:r w:rsidR="001D123C">
              <w:rPr>
                <w:noProof/>
                <w:webHidden/>
              </w:rPr>
              <w:instrText xml:space="preserve"> PAGEREF _Toc135918980 \h </w:instrText>
            </w:r>
            <w:r w:rsidR="001D123C">
              <w:rPr>
                <w:noProof/>
                <w:webHidden/>
              </w:rPr>
            </w:r>
            <w:r w:rsidR="001D123C">
              <w:rPr>
                <w:noProof/>
                <w:webHidden/>
              </w:rPr>
              <w:fldChar w:fldCharType="separate"/>
            </w:r>
            <w:r>
              <w:rPr>
                <w:noProof/>
                <w:webHidden/>
              </w:rPr>
              <w:t>11</w:t>
            </w:r>
            <w:r w:rsidR="001D123C">
              <w:rPr>
                <w:noProof/>
                <w:webHidden/>
              </w:rPr>
              <w:fldChar w:fldCharType="end"/>
            </w:r>
          </w:hyperlink>
        </w:p>
        <w:p w14:paraId="6219F3F7" w14:textId="7D2D5AB1" w:rsidR="001D123C" w:rsidRDefault="00124E8E">
          <w:pPr>
            <w:pStyle w:val="TOC2"/>
            <w:rPr>
              <w:rFonts w:asciiTheme="minorHAnsi" w:eastAsiaTheme="minorEastAsia" w:hAnsiTheme="minorHAnsi" w:cstheme="minorBidi"/>
              <w:b w:val="0"/>
              <w:noProof/>
              <w:color w:val="auto"/>
              <w:sz w:val="22"/>
              <w:szCs w:val="22"/>
              <w:lang w:eastAsia="en-AU"/>
            </w:rPr>
          </w:pPr>
          <w:hyperlink w:anchor="_Toc135918981" w:history="1">
            <w:r w:rsidR="001D123C" w:rsidRPr="00F02994">
              <w:rPr>
                <w:rStyle w:val="Hyperlink"/>
                <w:noProof/>
              </w:rPr>
              <w:t>Clinical</w:t>
            </w:r>
            <w:r w:rsidR="001D123C">
              <w:rPr>
                <w:noProof/>
                <w:webHidden/>
              </w:rPr>
              <w:tab/>
            </w:r>
            <w:r w:rsidR="001D123C">
              <w:rPr>
                <w:noProof/>
                <w:webHidden/>
              </w:rPr>
              <w:fldChar w:fldCharType="begin"/>
            </w:r>
            <w:r w:rsidR="001D123C">
              <w:rPr>
                <w:noProof/>
                <w:webHidden/>
              </w:rPr>
              <w:instrText xml:space="preserve"> PAGEREF _Toc135918981 \h </w:instrText>
            </w:r>
            <w:r w:rsidR="001D123C">
              <w:rPr>
                <w:noProof/>
                <w:webHidden/>
              </w:rPr>
            </w:r>
            <w:r w:rsidR="001D123C">
              <w:rPr>
                <w:noProof/>
                <w:webHidden/>
              </w:rPr>
              <w:fldChar w:fldCharType="separate"/>
            </w:r>
            <w:r>
              <w:rPr>
                <w:noProof/>
                <w:webHidden/>
              </w:rPr>
              <w:t>12</w:t>
            </w:r>
            <w:r w:rsidR="001D123C">
              <w:rPr>
                <w:noProof/>
                <w:webHidden/>
              </w:rPr>
              <w:fldChar w:fldCharType="end"/>
            </w:r>
          </w:hyperlink>
        </w:p>
        <w:p w14:paraId="18B1488A" w14:textId="0C4A468F" w:rsidR="001D123C" w:rsidRDefault="00124E8E">
          <w:pPr>
            <w:pStyle w:val="TOC3"/>
            <w:rPr>
              <w:rFonts w:asciiTheme="minorHAnsi" w:eastAsiaTheme="minorEastAsia" w:hAnsiTheme="minorHAnsi" w:cstheme="minorBidi"/>
              <w:b w:val="0"/>
              <w:noProof/>
              <w:color w:val="auto"/>
              <w:szCs w:val="22"/>
              <w:lang w:eastAsia="en-AU"/>
            </w:rPr>
          </w:pPr>
          <w:hyperlink w:anchor="_Toc135918982" w:history="1">
            <w:r w:rsidR="001D123C" w:rsidRPr="00F02994">
              <w:rPr>
                <w:rStyle w:val="Hyperlink"/>
                <w:noProof/>
              </w:rPr>
              <w:t>Summary of clinical studies</w:t>
            </w:r>
            <w:r w:rsidR="001D123C">
              <w:rPr>
                <w:noProof/>
                <w:webHidden/>
              </w:rPr>
              <w:tab/>
            </w:r>
            <w:r w:rsidR="001D123C">
              <w:rPr>
                <w:noProof/>
                <w:webHidden/>
              </w:rPr>
              <w:fldChar w:fldCharType="begin"/>
            </w:r>
            <w:r w:rsidR="001D123C">
              <w:rPr>
                <w:noProof/>
                <w:webHidden/>
              </w:rPr>
              <w:instrText xml:space="preserve"> PAGEREF _Toc135918982 \h </w:instrText>
            </w:r>
            <w:r w:rsidR="001D123C">
              <w:rPr>
                <w:noProof/>
                <w:webHidden/>
              </w:rPr>
            </w:r>
            <w:r w:rsidR="001D123C">
              <w:rPr>
                <w:noProof/>
                <w:webHidden/>
              </w:rPr>
              <w:fldChar w:fldCharType="separate"/>
            </w:r>
            <w:r>
              <w:rPr>
                <w:noProof/>
                <w:webHidden/>
              </w:rPr>
              <w:t>12</w:t>
            </w:r>
            <w:r w:rsidR="001D123C">
              <w:rPr>
                <w:noProof/>
                <w:webHidden/>
              </w:rPr>
              <w:fldChar w:fldCharType="end"/>
            </w:r>
          </w:hyperlink>
        </w:p>
        <w:p w14:paraId="643888A2" w14:textId="77B55A5A" w:rsidR="001D123C" w:rsidRDefault="00124E8E">
          <w:pPr>
            <w:pStyle w:val="TOC3"/>
            <w:rPr>
              <w:rFonts w:asciiTheme="minorHAnsi" w:eastAsiaTheme="minorEastAsia" w:hAnsiTheme="minorHAnsi" w:cstheme="minorBidi"/>
              <w:b w:val="0"/>
              <w:noProof/>
              <w:color w:val="auto"/>
              <w:szCs w:val="22"/>
              <w:lang w:eastAsia="en-AU"/>
            </w:rPr>
          </w:pPr>
          <w:hyperlink w:anchor="_Toc135918983" w:history="1">
            <w:r w:rsidR="001D123C" w:rsidRPr="00F02994">
              <w:rPr>
                <w:rStyle w:val="Hyperlink"/>
                <w:noProof/>
              </w:rPr>
              <w:t>Pharmacokinetics</w:t>
            </w:r>
            <w:r w:rsidR="001D123C">
              <w:rPr>
                <w:noProof/>
                <w:webHidden/>
              </w:rPr>
              <w:tab/>
            </w:r>
            <w:r w:rsidR="001D123C">
              <w:rPr>
                <w:noProof/>
                <w:webHidden/>
              </w:rPr>
              <w:fldChar w:fldCharType="begin"/>
            </w:r>
            <w:r w:rsidR="001D123C">
              <w:rPr>
                <w:noProof/>
                <w:webHidden/>
              </w:rPr>
              <w:instrText xml:space="preserve"> PAGEREF _Toc135918983 \h </w:instrText>
            </w:r>
            <w:r w:rsidR="001D123C">
              <w:rPr>
                <w:noProof/>
                <w:webHidden/>
              </w:rPr>
            </w:r>
            <w:r w:rsidR="001D123C">
              <w:rPr>
                <w:noProof/>
                <w:webHidden/>
              </w:rPr>
              <w:fldChar w:fldCharType="separate"/>
            </w:r>
            <w:r>
              <w:rPr>
                <w:noProof/>
                <w:webHidden/>
              </w:rPr>
              <w:t>12</w:t>
            </w:r>
            <w:r w:rsidR="001D123C">
              <w:rPr>
                <w:noProof/>
                <w:webHidden/>
              </w:rPr>
              <w:fldChar w:fldCharType="end"/>
            </w:r>
          </w:hyperlink>
        </w:p>
        <w:p w14:paraId="67DE9906" w14:textId="6309F7AF" w:rsidR="001D123C" w:rsidRDefault="00124E8E">
          <w:pPr>
            <w:pStyle w:val="TOC3"/>
            <w:rPr>
              <w:rFonts w:asciiTheme="minorHAnsi" w:eastAsiaTheme="minorEastAsia" w:hAnsiTheme="minorHAnsi" w:cstheme="minorBidi"/>
              <w:b w:val="0"/>
              <w:noProof/>
              <w:color w:val="auto"/>
              <w:szCs w:val="22"/>
              <w:lang w:eastAsia="en-AU"/>
            </w:rPr>
          </w:pPr>
          <w:hyperlink w:anchor="_Toc135918984" w:history="1">
            <w:r w:rsidR="001D123C" w:rsidRPr="00F02994">
              <w:rPr>
                <w:rStyle w:val="Hyperlink"/>
                <w:noProof/>
              </w:rPr>
              <w:t>Efficacy</w:t>
            </w:r>
            <w:r w:rsidR="001D123C">
              <w:rPr>
                <w:noProof/>
                <w:webHidden/>
              </w:rPr>
              <w:tab/>
            </w:r>
            <w:r w:rsidR="001D123C">
              <w:rPr>
                <w:noProof/>
                <w:webHidden/>
              </w:rPr>
              <w:fldChar w:fldCharType="begin"/>
            </w:r>
            <w:r w:rsidR="001D123C">
              <w:rPr>
                <w:noProof/>
                <w:webHidden/>
              </w:rPr>
              <w:instrText xml:space="preserve"> PAGEREF _Toc135918984 \h </w:instrText>
            </w:r>
            <w:r w:rsidR="001D123C">
              <w:rPr>
                <w:noProof/>
                <w:webHidden/>
              </w:rPr>
            </w:r>
            <w:r w:rsidR="001D123C">
              <w:rPr>
                <w:noProof/>
                <w:webHidden/>
              </w:rPr>
              <w:fldChar w:fldCharType="separate"/>
            </w:r>
            <w:r>
              <w:rPr>
                <w:noProof/>
                <w:webHidden/>
              </w:rPr>
              <w:t>20</w:t>
            </w:r>
            <w:r w:rsidR="001D123C">
              <w:rPr>
                <w:noProof/>
                <w:webHidden/>
              </w:rPr>
              <w:fldChar w:fldCharType="end"/>
            </w:r>
          </w:hyperlink>
        </w:p>
        <w:p w14:paraId="61A163C7" w14:textId="73A53F81" w:rsidR="001D123C" w:rsidRDefault="00124E8E">
          <w:pPr>
            <w:pStyle w:val="TOC3"/>
            <w:rPr>
              <w:rFonts w:asciiTheme="minorHAnsi" w:eastAsiaTheme="minorEastAsia" w:hAnsiTheme="minorHAnsi" w:cstheme="minorBidi"/>
              <w:b w:val="0"/>
              <w:noProof/>
              <w:color w:val="auto"/>
              <w:szCs w:val="22"/>
              <w:lang w:eastAsia="en-AU"/>
            </w:rPr>
          </w:pPr>
          <w:hyperlink w:anchor="_Toc135918985" w:history="1">
            <w:r w:rsidR="001D123C" w:rsidRPr="00F02994">
              <w:rPr>
                <w:rStyle w:val="Hyperlink"/>
                <w:noProof/>
              </w:rPr>
              <w:t>Safety</w:t>
            </w:r>
            <w:r w:rsidR="001D123C">
              <w:rPr>
                <w:noProof/>
                <w:webHidden/>
              </w:rPr>
              <w:tab/>
            </w:r>
            <w:r w:rsidR="001D123C">
              <w:rPr>
                <w:noProof/>
                <w:webHidden/>
              </w:rPr>
              <w:fldChar w:fldCharType="begin"/>
            </w:r>
            <w:r w:rsidR="001D123C">
              <w:rPr>
                <w:noProof/>
                <w:webHidden/>
              </w:rPr>
              <w:instrText xml:space="preserve"> PAGEREF _Toc135918985 \h </w:instrText>
            </w:r>
            <w:r w:rsidR="001D123C">
              <w:rPr>
                <w:noProof/>
                <w:webHidden/>
              </w:rPr>
            </w:r>
            <w:r w:rsidR="001D123C">
              <w:rPr>
                <w:noProof/>
                <w:webHidden/>
              </w:rPr>
              <w:fldChar w:fldCharType="separate"/>
            </w:r>
            <w:r>
              <w:rPr>
                <w:noProof/>
                <w:webHidden/>
              </w:rPr>
              <w:t>30</w:t>
            </w:r>
            <w:r w:rsidR="001D123C">
              <w:rPr>
                <w:noProof/>
                <w:webHidden/>
              </w:rPr>
              <w:fldChar w:fldCharType="end"/>
            </w:r>
          </w:hyperlink>
        </w:p>
        <w:p w14:paraId="077DB904" w14:textId="474C9EF3" w:rsidR="001D123C" w:rsidRDefault="00124E8E">
          <w:pPr>
            <w:pStyle w:val="TOC2"/>
            <w:rPr>
              <w:rFonts w:asciiTheme="minorHAnsi" w:eastAsiaTheme="minorEastAsia" w:hAnsiTheme="minorHAnsi" w:cstheme="minorBidi"/>
              <w:b w:val="0"/>
              <w:noProof/>
              <w:color w:val="auto"/>
              <w:sz w:val="22"/>
              <w:szCs w:val="22"/>
              <w:lang w:eastAsia="en-AU"/>
            </w:rPr>
          </w:pPr>
          <w:hyperlink w:anchor="_Toc135918986" w:history="1">
            <w:r w:rsidR="001D123C" w:rsidRPr="00F02994">
              <w:rPr>
                <w:rStyle w:val="Hyperlink"/>
                <w:noProof/>
                <w:lang w:eastAsia="en-AU"/>
              </w:rPr>
              <w:t>Risk management plan</w:t>
            </w:r>
            <w:r w:rsidR="001D123C">
              <w:rPr>
                <w:noProof/>
                <w:webHidden/>
              </w:rPr>
              <w:tab/>
            </w:r>
            <w:r w:rsidR="001D123C">
              <w:rPr>
                <w:noProof/>
                <w:webHidden/>
              </w:rPr>
              <w:fldChar w:fldCharType="begin"/>
            </w:r>
            <w:r w:rsidR="001D123C">
              <w:rPr>
                <w:noProof/>
                <w:webHidden/>
              </w:rPr>
              <w:instrText xml:space="preserve"> PAGEREF _Toc135918986 \h </w:instrText>
            </w:r>
            <w:r w:rsidR="001D123C">
              <w:rPr>
                <w:noProof/>
                <w:webHidden/>
              </w:rPr>
            </w:r>
            <w:r w:rsidR="001D123C">
              <w:rPr>
                <w:noProof/>
                <w:webHidden/>
              </w:rPr>
              <w:fldChar w:fldCharType="separate"/>
            </w:r>
            <w:r>
              <w:rPr>
                <w:noProof/>
                <w:webHidden/>
              </w:rPr>
              <w:t>37</w:t>
            </w:r>
            <w:r w:rsidR="001D123C">
              <w:rPr>
                <w:noProof/>
                <w:webHidden/>
              </w:rPr>
              <w:fldChar w:fldCharType="end"/>
            </w:r>
          </w:hyperlink>
        </w:p>
        <w:p w14:paraId="7D2F7B42" w14:textId="3FDE6756" w:rsidR="001D123C" w:rsidRDefault="00124E8E">
          <w:pPr>
            <w:pStyle w:val="TOC2"/>
            <w:rPr>
              <w:rFonts w:asciiTheme="minorHAnsi" w:eastAsiaTheme="minorEastAsia" w:hAnsiTheme="minorHAnsi" w:cstheme="minorBidi"/>
              <w:b w:val="0"/>
              <w:noProof/>
              <w:color w:val="auto"/>
              <w:sz w:val="22"/>
              <w:szCs w:val="22"/>
              <w:lang w:eastAsia="en-AU"/>
            </w:rPr>
          </w:pPr>
          <w:hyperlink w:anchor="_Toc135918987" w:history="1">
            <w:r w:rsidR="001D123C" w:rsidRPr="00F02994">
              <w:rPr>
                <w:rStyle w:val="Hyperlink"/>
                <w:noProof/>
              </w:rPr>
              <w:t>Risk-benefit analysis</w:t>
            </w:r>
            <w:r w:rsidR="001D123C">
              <w:rPr>
                <w:noProof/>
                <w:webHidden/>
              </w:rPr>
              <w:tab/>
            </w:r>
            <w:r w:rsidR="001D123C">
              <w:rPr>
                <w:noProof/>
                <w:webHidden/>
              </w:rPr>
              <w:fldChar w:fldCharType="begin"/>
            </w:r>
            <w:r w:rsidR="001D123C">
              <w:rPr>
                <w:noProof/>
                <w:webHidden/>
              </w:rPr>
              <w:instrText xml:space="preserve"> PAGEREF _Toc135918987 \h </w:instrText>
            </w:r>
            <w:r w:rsidR="001D123C">
              <w:rPr>
                <w:noProof/>
                <w:webHidden/>
              </w:rPr>
            </w:r>
            <w:r w:rsidR="001D123C">
              <w:rPr>
                <w:noProof/>
                <w:webHidden/>
              </w:rPr>
              <w:fldChar w:fldCharType="separate"/>
            </w:r>
            <w:r>
              <w:rPr>
                <w:noProof/>
                <w:webHidden/>
              </w:rPr>
              <w:t>38</w:t>
            </w:r>
            <w:r w:rsidR="001D123C">
              <w:rPr>
                <w:noProof/>
                <w:webHidden/>
              </w:rPr>
              <w:fldChar w:fldCharType="end"/>
            </w:r>
          </w:hyperlink>
        </w:p>
        <w:p w14:paraId="219884A5" w14:textId="433C17D8" w:rsidR="001D123C" w:rsidRDefault="00124E8E">
          <w:pPr>
            <w:pStyle w:val="TOC3"/>
            <w:rPr>
              <w:rFonts w:asciiTheme="minorHAnsi" w:eastAsiaTheme="minorEastAsia" w:hAnsiTheme="minorHAnsi" w:cstheme="minorBidi"/>
              <w:b w:val="0"/>
              <w:noProof/>
              <w:color w:val="auto"/>
              <w:szCs w:val="22"/>
              <w:lang w:eastAsia="en-AU"/>
            </w:rPr>
          </w:pPr>
          <w:hyperlink w:anchor="_Toc135918988" w:history="1">
            <w:r w:rsidR="001D123C" w:rsidRPr="00F02994">
              <w:rPr>
                <w:rStyle w:val="Hyperlink"/>
                <w:noProof/>
              </w:rPr>
              <w:t>Delegate’s considerations</w:t>
            </w:r>
            <w:r w:rsidR="001D123C">
              <w:rPr>
                <w:noProof/>
                <w:webHidden/>
              </w:rPr>
              <w:tab/>
            </w:r>
            <w:r w:rsidR="001D123C">
              <w:rPr>
                <w:noProof/>
                <w:webHidden/>
              </w:rPr>
              <w:fldChar w:fldCharType="begin"/>
            </w:r>
            <w:r w:rsidR="001D123C">
              <w:rPr>
                <w:noProof/>
                <w:webHidden/>
              </w:rPr>
              <w:instrText xml:space="preserve"> PAGEREF _Toc135918988 \h </w:instrText>
            </w:r>
            <w:r w:rsidR="001D123C">
              <w:rPr>
                <w:noProof/>
                <w:webHidden/>
              </w:rPr>
            </w:r>
            <w:r w:rsidR="001D123C">
              <w:rPr>
                <w:noProof/>
                <w:webHidden/>
              </w:rPr>
              <w:fldChar w:fldCharType="separate"/>
            </w:r>
            <w:r>
              <w:rPr>
                <w:noProof/>
                <w:webHidden/>
              </w:rPr>
              <w:t>38</w:t>
            </w:r>
            <w:r w:rsidR="001D123C">
              <w:rPr>
                <w:noProof/>
                <w:webHidden/>
              </w:rPr>
              <w:fldChar w:fldCharType="end"/>
            </w:r>
          </w:hyperlink>
        </w:p>
        <w:p w14:paraId="7325768B" w14:textId="75C80B6B" w:rsidR="001D123C" w:rsidRDefault="00124E8E">
          <w:pPr>
            <w:pStyle w:val="TOC3"/>
            <w:rPr>
              <w:rFonts w:asciiTheme="minorHAnsi" w:eastAsiaTheme="minorEastAsia" w:hAnsiTheme="minorHAnsi" w:cstheme="minorBidi"/>
              <w:b w:val="0"/>
              <w:noProof/>
              <w:color w:val="auto"/>
              <w:szCs w:val="22"/>
              <w:lang w:eastAsia="en-AU"/>
            </w:rPr>
          </w:pPr>
          <w:hyperlink w:anchor="_Toc135918989" w:history="1">
            <w:r w:rsidR="001D123C" w:rsidRPr="00F02994">
              <w:rPr>
                <w:rStyle w:val="Hyperlink"/>
                <w:noProof/>
              </w:rPr>
              <w:t>Proposed action</w:t>
            </w:r>
            <w:r w:rsidR="001D123C">
              <w:rPr>
                <w:noProof/>
                <w:webHidden/>
              </w:rPr>
              <w:tab/>
            </w:r>
            <w:r w:rsidR="001D123C">
              <w:rPr>
                <w:noProof/>
                <w:webHidden/>
              </w:rPr>
              <w:fldChar w:fldCharType="begin"/>
            </w:r>
            <w:r w:rsidR="001D123C">
              <w:rPr>
                <w:noProof/>
                <w:webHidden/>
              </w:rPr>
              <w:instrText xml:space="preserve"> PAGEREF _Toc135918989 \h </w:instrText>
            </w:r>
            <w:r w:rsidR="001D123C">
              <w:rPr>
                <w:noProof/>
                <w:webHidden/>
              </w:rPr>
            </w:r>
            <w:r w:rsidR="001D123C">
              <w:rPr>
                <w:noProof/>
                <w:webHidden/>
              </w:rPr>
              <w:fldChar w:fldCharType="separate"/>
            </w:r>
            <w:r>
              <w:rPr>
                <w:noProof/>
                <w:webHidden/>
              </w:rPr>
              <w:t>39</w:t>
            </w:r>
            <w:r w:rsidR="001D123C">
              <w:rPr>
                <w:noProof/>
                <w:webHidden/>
              </w:rPr>
              <w:fldChar w:fldCharType="end"/>
            </w:r>
          </w:hyperlink>
        </w:p>
        <w:p w14:paraId="7F41B312" w14:textId="58995B06" w:rsidR="001D123C" w:rsidRDefault="00124E8E">
          <w:pPr>
            <w:pStyle w:val="TOC3"/>
            <w:rPr>
              <w:rFonts w:asciiTheme="minorHAnsi" w:eastAsiaTheme="minorEastAsia" w:hAnsiTheme="minorHAnsi" w:cstheme="minorBidi"/>
              <w:b w:val="0"/>
              <w:noProof/>
              <w:color w:val="auto"/>
              <w:szCs w:val="22"/>
              <w:lang w:eastAsia="en-AU"/>
            </w:rPr>
          </w:pPr>
          <w:hyperlink w:anchor="_Toc135918990" w:history="1">
            <w:r w:rsidR="001D123C" w:rsidRPr="00F02994">
              <w:rPr>
                <w:rStyle w:val="Hyperlink"/>
                <w:noProof/>
              </w:rPr>
              <w:t>Advisory Committee considerations</w:t>
            </w:r>
            <w:r w:rsidR="001D123C">
              <w:rPr>
                <w:noProof/>
                <w:webHidden/>
              </w:rPr>
              <w:tab/>
            </w:r>
            <w:r w:rsidR="001D123C">
              <w:rPr>
                <w:noProof/>
                <w:webHidden/>
              </w:rPr>
              <w:fldChar w:fldCharType="begin"/>
            </w:r>
            <w:r w:rsidR="001D123C">
              <w:rPr>
                <w:noProof/>
                <w:webHidden/>
              </w:rPr>
              <w:instrText xml:space="preserve"> PAGEREF _Toc135918990 \h </w:instrText>
            </w:r>
            <w:r w:rsidR="001D123C">
              <w:rPr>
                <w:noProof/>
                <w:webHidden/>
              </w:rPr>
            </w:r>
            <w:r w:rsidR="001D123C">
              <w:rPr>
                <w:noProof/>
                <w:webHidden/>
              </w:rPr>
              <w:fldChar w:fldCharType="separate"/>
            </w:r>
            <w:r>
              <w:rPr>
                <w:noProof/>
                <w:webHidden/>
              </w:rPr>
              <w:t>40</w:t>
            </w:r>
            <w:r w:rsidR="001D123C">
              <w:rPr>
                <w:noProof/>
                <w:webHidden/>
              </w:rPr>
              <w:fldChar w:fldCharType="end"/>
            </w:r>
          </w:hyperlink>
        </w:p>
        <w:p w14:paraId="167FAE0E" w14:textId="58ADDDA8" w:rsidR="001D123C" w:rsidRDefault="00124E8E">
          <w:pPr>
            <w:pStyle w:val="TOC1"/>
            <w:rPr>
              <w:rFonts w:asciiTheme="minorHAnsi" w:eastAsiaTheme="minorEastAsia" w:hAnsiTheme="minorHAnsi" w:cstheme="minorBidi"/>
              <w:b w:val="0"/>
              <w:noProof/>
              <w:color w:val="auto"/>
              <w:sz w:val="22"/>
              <w:szCs w:val="22"/>
              <w:lang w:eastAsia="en-AU"/>
            </w:rPr>
          </w:pPr>
          <w:hyperlink w:anchor="_Toc135918991" w:history="1">
            <w:r w:rsidR="001D123C" w:rsidRPr="00F02994">
              <w:rPr>
                <w:rStyle w:val="Hyperlink"/>
                <w:noProof/>
              </w:rPr>
              <w:t>Outcome</w:t>
            </w:r>
            <w:r w:rsidR="001D123C">
              <w:rPr>
                <w:noProof/>
                <w:webHidden/>
              </w:rPr>
              <w:tab/>
            </w:r>
            <w:r w:rsidR="001D123C">
              <w:rPr>
                <w:noProof/>
                <w:webHidden/>
              </w:rPr>
              <w:fldChar w:fldCharType="begin"/>
            </w:r>
            <w:r w:rsidR="001D123C">
              <w:rPr>
                <w:noProof/>
                <w:webHidden/>
              </w:rPr>
              <w:instrText xml:space="preserve"> PAGEREF _Toc135918991 \h </w:instrText>
            </w:r>
            <w:r w:rsidR="001D123C">
              <w:rPr>
                <w:noProof/>
                <w:webHidden/>
              </w:rPr>
            </w:r>
            <w:r w:rsidR="001D123C">
              <w:rPr>
                <w:noProof/>
                <w:webHidden/>
              </w:rPr>
              <w:fldChar w:fldCharType="separate"/>
            </w:r>
            <w:r>
              <w:rPr>
                <w:noProof/>
                <w:webHidden/>
              </w:rPr>
              <w:t>42</w:t>
            </w:r>
            <w:r w:rsidR="001D123C">
              <w:rPr>
                <w:noProof/>
                <w:webHidden/>
              </w:rPr>
              <w:fldChar w:fldCharType="end"/>
            </w:r>
          </w:hyperlink>
        </w:p>
        <w:p w14:paraId="3B4513F2" w14:textId="116BD924" w:rsidR="001D123C" w:rsidRDefault="00124E8E">
          <w:pPr>
            <w:pStyle w:val="TOC1"/>
            <w:rPr>
              <w:rFonts w:asciiTheme="minorHAnsi" w:eastAsiaTheme="minorEastAsia" w:hAnsiTheme="minorHAnsi" w:cstheme="minorBidi"/>
              <w:b w:val="0"/>
              <w:noProof/>
              <w:color w:val="auto"/>
              <w:sz w:val="22"/>
              <w:szCs w:val="22"/>
              <w:lang w:eastAsia="en-AU"/>
            </w:rPr>
          </w:pPr>
          <w:hyperlink w:anchor="_Toc135918992" w:history="1">
            <w:r w:rsidR="001D123C" w:rsidRPr="00F02994">
              <w:rPr>
                <w:rStyle w:val="Hyperlink"/>
                <w:noProof/>
              </w:rPr>
              <w:t>Attachment 1. Product Information</w:t>
            </w:r>
            <w:r w:rsidR="001D123C">
              <w:rPr>
                <w:noProof/>
                <w:webHidden/>
              </w:rPr>
              <w:tab/>
            </w:r>
            <w:r w:rsidR="001D123C">
              <w:rPr>
                <w:noProof/>
                <w:webHidden/>
              </w:rPr>
              <w:fldChar w:fldCharType="begin"/>
            </w:r>
            <w:r w:rsidR="001D123C">
              <w:rPr>
                <w:noProof/>
                <w:webHidden/>
              </w:rPr>
              <w:instrText xml:space="preserve"> PAGEREF _Toc135918992 \h </w:instrText>
            </w:r>
            <w:r w:rsidR="001D123C">
              <w:rPr>
                <w:noProof/>
                <w:webHidden/>
              </w:rPr>
            </w:r>
            <w:r w:rsidR="001D123C">
              <w:rPr>
                <w:noProof/>
                <w:webHidden/>
              </w:rPr>
              <w:fldChar w:fldCharType="separate"/>
            </w:r>
            <w:r>
              <w:rPr>
                <w:noProof/>
                <w:webHidden/>
              </w:rPr>
              <w:t>42</w:t>
            </w:r>
            <w:r w:rsidR="001D123C">
              <w:rPr>
                <w:noProof/>
                <w:webHidden/>
              </w:rPr>
              <w:fldChar w:fldCharType="end"/>
            </w:r>
          </w:hyperlink>
        </w:p>
        <w:p w14:paraId="77659F2D" w14:textId="6961EEC8"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58578454" w14:textId="29FD3BE5" w:rsidR="00324B33" w:rsidRPr="00E71EEC" w:rsidRDefault="00324B33" w:rsidP="00E71EEC">
      <w:pPr>
        <w:pStyle w:val="Heading2"/>
      </w:pPr>
      <w:bookmarkStart w:id="0" w:name="_Toc98931917"/>
      <w:bookmarkStart w:id="1" w:name="_Toc103679287"/>
      <w:bookmarkStart w:id="2" w:name="_Toc135918971"/>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CC2E64" w:rsidRPr="00D01DDB" w14:paraId="73A35468" w14:textId="77777777" w:rsidTr="00DA0466">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22A76EFF" w14:textId="77777777" w:rsidR="00CC2E64" w:rsidRPr="00D01DDB" w:rsidRDefault="00CC2E64" w:rsidP="00DA0466">
            <w:pPr>
              <w:rPr>
                <w:szCs w:val="22"/>
              </w:rPr>
            </w:pPr>
            <w:r w:rsidRPr="00D01DDB">
              <w:rPr>
                <w:szCs w:val="22"/>
              </w:rPr>
              <w:t>Abbreviation</w:t>
            </w:r>
          </w:p>
        </w:tc>
        <w:tc>
          <w:tcPr>
            <w:tcW w:w="3800" w:type="pct"/>
          </w:tcPr>
          <w:p w14:paraId="0C59FF49" w14:textId="77777777" w:rsidR="00CC2E64" w:rsidRPr="00D01DDB" w:rsidRDefault="00CC2E64" w:rsidP="00DA0466">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CC2E64" w:rsidRPr="00D01DDB" w14:paraId="6E60CABE" w14:textId="77777777" w:rsidTr="00DA046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BE9FF28" w14:textId="77777777" w:rsidR="00CC2E64" w:rsidRPr="00D01DDB" w:rsidRDefault="00CC2E64" w:rsidP="00DA0466">
            <w:pPr>
              <w:rPr>
                <w:szCs w:val="22"/>
              </w:rPr>
            </w:pPr>
            <w:r w:rsidRPr="00D01DDB">
              <w:rPr>
                <w:szCs w:val="22"/>
              </w:rPr>
              <w:t>ACM</w:t>
            </w:r>
          </w:p>
        </w:tc>
        <w:tc>
          <w:tcPr>
            <w:tcW w:w="3800" w:type="pct"/>
          </w:tcPr>
          <w:p w14:paraId="3AEE9898" w14:textId="77777777" w:rsidR="00CC2E64" w:rsidRPr="00D01DDB" w:rsidRDefault="00CC2E64" w:rsidP="00DA0466">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CC2E64" w:rsidRPr="00D01DDB" w14:paraId="4D153A09" w14:textId="77777777" w:rsidTr="00DA046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4EDED3" w14:textId="77777777" w:rsidR="00CC2E64" w:rsidRPr="00D01DDB" w:rsidRDefault="00CC2E64" w:rsidP="00DA0466">
            <w:pPr>
              <w:rPr>
                <w:szCs w:val="22"/>
              </w:rPr>
            </w:pPr>
            <w:r w:rsidRPr="00D01DDB">
              <w:rPr>
                <w:szCs w:val="22"/>
              </w:rPr>
              <w:t>ARTG</w:t>
            </w:r>
          </w:p>
        </w:tc>
        <w:tc>
          <w:tcPr>
            <w:tcW w:w="3800" w:type="pct"/>
          </w:tcPr>
          <w:p w14:paraId="76C70B9B" w14:textId="77777777" w:rsidR="00CC2E64" w:rsidRPr="00D01DDB" w:rsidRDefault="00CC2E64" w:rsidP="00DA0466">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CC2E64" w:rsidRPr="00D01DDB" w14:paraId="6B21B85B" w14:textId="77777777" w:rsidTr="00DA046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2604782" w14:textId="77777777" w:rsidR="00CC2E64" w:rsidRPr="00D01DDB" w:rsidRDefault="00CC2E64" w:rsidP="00DA0466">
            <w:pPr>
              <w:rPr>
                <w:szCs w:val="22"/>
              </w:rPr>
            </w:pPr>
            <w:r w:rsidRPr="00D01DDB">
              <w:rPr>
                <w:szCs w:val="22"/>
              </w:rPr>
              <w:t>ASA</w:t>
            </w:r>
          </w:p>
        </w:tc>
        <w:tc>
          <w:tcPr>
            <w:tcW w:w="3800" w:type="pct"/>
          </w:tcPr>
          <w:p w14:paraId="02A410B6" w14:textId="77777777" w:rsidR="00CC2E64" w:rsidRPr="00D01DDB" w:rsidRDefault="00CC2E64" w:rsidP="00DA0466">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 specific annex</w:t>
            </w:r>
          </w:p>
        </w:tc>
      </w:tr>
      <w:tr w:rsidR="00CC2E64" w:rsidRPr="00D01DDB" w14:paraId="2882351A" w14:textId="77777777" w:rsidTr="00DA046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7AA7BA4" w14:textId="77777777" w:rsidR="00CC2E64" w:rsidRPr="00D01DDB" w:rsidRDefault="00CC2E64" w:rsidP="00DA0466">
            <w:pPr>
              <w:rPr>
                <w:szCs w:val="22"/>
              </w:rPr>
            </w:pPr>
            <w:r>
              <w:rPr>
                <w:szCs w:val="22"/>
              </w:rPr>
              <w:t>AUC</w:t>
            </w:r>
          </w:p>
        </w:tc>
        <w:tc>
          <w:tcPr>
            <w:tcW w:w="3800" w:type="pct"/>
          </w:tcPr>
          <w:p w14:paraId="32560172" w14:textId="4202623E" w:rsidR="00CC2E64" w:rsidRPr="00D01DDB" w:rsidRDefault="00CC2E64" w:rsidP="00DA0466">
            <w:pPr>
              <w:cnfStyle w:val="000000000000" w:firstRow="0" w:lastRow="0" w:firstColumn="0" w:lastColumn="0" w:oddVBand="0" w:evenVBand="0" w:oddHBand="0" w:evenHBand="0" w:firstRowFirstColumn="0" w:firstRowLastColumn="0" w:lastRowFirstColumn="0" w:lastRowLastColumn="0"/>
              <w:rPr>
                <w:szCs w:val="22"/>
              </w:rPr>
            </w:pPr>
            <w:r>
              <w:t xml:space="preserve">Area under </w:t>
            </w:r>
            <w:r w:rsidR="00DA0466">
              <w:t xml:space="preserve">the </w:t>
            </w:r>
            <w:r>
              <w:t>concentration</w:t>
            </w:r>
            <w:r w:rsidR="00DA0466">
              <w:t>-</w:t>
            </w:r>
            <w:r>
              <w:t>time curve</w:t>
            </w:r>
          </w:p>
        </w:tc>
      </w:tr>
      <w:tr w:rsidR="00CC2E64" w:rsidRPr="00D01DDB" w14:paraId="56C1B237" w14:textId="77777777" w:rsidTr="00DA046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63BF340" w14:textId="77777777" w:rsidR="00CC2E64" w:rsidRPr="00D01DDB" w:rsidRDefault="00CC2E64" w:rsidP="00DA0466">
            <w:pPr>
              <w:rPr>
                <w:szCs w:val="22"/>
              </w:rPr>
            </w:pPr>
            <w:r w:rsidRPr="00453FD6">
              <w:t>C</w:t>
            </w:r>
            <w:r w:rsidRPr="007D63C3">
              <w:rPr>
                <w:vertAlign w:val="subscript"/>
              </w:rPr>
              <w:t>max</w:t>
            </w:r>
          </w:p>
        </w:tc>
        <w:tc>
          <w:tcPr>
            <w:tcW w:w="3800" w:type="pct"/>
          </w:tcPr>
          <w:p w14:paraId="64EF98B1" w14:textId="77777777" w:rsidR="00CC2E64" w:rsidRPr="00D01DDB" w:rsidRDefault="00CC2E64" w:rsidP="00DA0466">
            <w:pPr>
              <w:cnfStyle w:val="000000000000" w:firstRow="0" w:lastRow="0" w:firstColumn="0" w:lastColumn="0" w:oddVBand="0" w:evenVBand="0" w:oddHBand="0" w:evenHBand="0" w:firstRowFirstColumn="0" w:firstRowLastColumn="0" w:lastRowFirstColumn="0" w:lastRowLastColumn="0"/>
              <w:rPr>
                <w:szCs w:val="22"/>
              </w:rPr>
            </w:pPr>
            <w:r>
              <w:t>Maximum concentration</w:t>
            </w:r>
          </w:p>
        </w:tc>
      </w:tr>
      <w:tr w:rsidR="00CC2E64" w:rsidRPr="00D01DDB" w14:paraId="583A5ADD" w14:textId="77777777" w:rsidTr="00DA046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DEC1BE" w14:textId="77777777" w:rsidR="00CC2E64" w:rsidRPr="00D01DDB" w:rsidRDefault="00CC2E64" w:rsidP="00DA0466">
            <w:pPr>
              <w:rPr>
                <w:szCs w:val="22"/>
              </w:rPr>
            </w:pPr>
            <w:r w:rsidRPr="00D01DDB">
              <w:rPr>
                <w:szCs w:val="22"/>
              </w:rPr>
              <w:t>CMI</w:t>
            </w:r>
          </w:p>
        </w:tc>
        <w:tc>
          <w:tcPr>
            <w:tcW w:w="3800" w:type="pct"/>
          </w:tcPr>
          <w:p w14:paraId="7FBB8716" w14:textId="77777777" w:rsidR="00CC2E64" w:rsidRPr="00D01DDB" w:rsidRDefault="00CC2E64" w:rsidP="00DA0466">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CC2E64" w:rsidRPr="00D01DDB" w14:paraId="7B415982" w14:textId="77777777" w:rsidTr="00DA046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1BCC480" w14:textId="77777777" w:rsidR="00CC2E64" w:rsidRPr="00D01DDB" w:rsidRDefault="00CC2E64" w:rsidP="00DA0466">
            <w:pPr>
              <w:rPr>
                <w:szCs w:val="22"/>
              </w:rPr>
            </w:pPr>
            <w:r>
              <w:rPr>
                <w:szCs w:val="22"/>
              </w:rPr>
              <w:t>CMV</w:t>
            </w:r>
          </w:p>
        </w:tc>
        <w:tc>
          <w:tcPr>
            <w:tcW w:w="3800" w:type="pct"/>
          </w:tcPr>
          <w:p w14:paraId="51CB31C6" w14:textId="77777777" w:rsidR="00CC2E64" w:rsidRPr="00D01DDB" w:rsidRDefault="00CC2E64" w:rsidP="00DA0466">
            <w:pPr>
              <w:cnfStyle w:val="000000000000" w:firstRow="0" w:lastRow="0" w:firstColumn="0" w:lastColumn="0" w:oddVBand="0" w:evenVBand="0" w:oddHBand="0" w:evenHBand="0" w:firstRowFirstColumn="0" w:firstRowLastColumn="0" w:lastRowFirstColumn="0" w:lastRowLastColumn="0"/>
              <w:rPr>
                <w:szCs w:val="22"/>
              </w:rPr>
            </w:pPr>
            <w:r>
              <w:rPr>
                <w:szCs w:val="22"/>
              </w:rPr>
              <w:t>C</w:t>
            </w:r>
            <w:r w:rsidRPr="00594175">
              <w:rPr>
                <w:szCs w:val="22"/>
              </w:rPr>
              <w:t>ytomegalovirus</w:t>
            </w:r>
          </w:p>
        </w:tc>
      </w:tr>
      <w:tr w:rsidR="00CC2E64" w:rsidRPr="00D01DDB" w14:paraId="6450F3B2" w14:textId="77777777" w:rsidTr="00DA046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513D59A" w14:textId="77777777" w:rsidR="00CC2E64" w:rsidRPr="00D01DDB" w:rsidRDefault="00CC2E64" w:rsidP="00DA0466">
            <w:pPr>
              <w:rPr>
                <w:szCs w:val="22"/>
              </w:rPr>
            </w:pPr>
            <w:r w:rsidRPr="00D01DDB">
              <w:rPr>
                <w:szCs w:val="22"/>
              </w:rPr>
              <w:t>DLP</w:t>
            </w:r>
          </w:p>
        </w:tc>
        <w:tc>
          <w:tcPr>
            <w:tcW w:w="3800" w:type="pct"/>
          </w:tcPr>
          <w:p w14:paraId="34F634B6" w14:textId="77777777" w:rsidR="00CC2E64" w:rsidRPr="00D01DDB" w:rsidRDefault="00CC2E64" w:rsidP="00DA0466">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CC2E64" w:rsidRPr="00D01DDB" w14:paraId="0A18BB63" w14:textId="77777777" w:rsidTr="00DA046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0A1DBBE" w14:textId="77777777" w:rsidR="00CC2E64" w:rsidRPr="00D01DDB" w:rsidRDefault="00CC2E64" w:rsidP="00DA0466">
            <w:pPr>
              <w:rPr>
                <w:szCs w:val="22"/>
              </w:rPr>
            </w:pPr>
            <w:r>
              <w:rPr>
                <w:szCs w:val="22"/>
              </w:rPr>
              <w:t>DNA</w:t>
            </w:r>
          </w:p>
        </w:tc>
        <w:tc>
          <w:tcPr>
            <w:tcW w:w="3800" w:type="pct"/>
          </w:tcPr>
          <w:p w14:paraId="2C77C6F7" w14:textId="77777777" w:rsidR="00CC2E64" w:rsidRPr="00D01DDB" w:rsidRDefault="00CC2E64" w:rsidP="00DA0466">
            <w:pPr>
              <w:cnfStyle w:val="000000000000" w:firstRow="0" w:lastRow="0" w:firstColumn="0" w:lastColumn="0" w:oddVBand="0" w:evenVBand="0" w:oddHBand="0" w:evenHBand="0" w:firstRowFirstColumn="0" w:firstRowLastColumn="0" w:lastRowFirstColumn="0" w:lastRowLastColumn="0"/>
              <w:rPr>
                <w:szCs w:val="22"/>
              </w:rPr>
            </w:pPr>
            <w:r w:rsidRPr="00594175">
              <w:rPr>
                <w:szCs w:val="22"/>
              </w:rPr>
              <w:t>Deoxyribonucleic acid</w:t>
            </w:r>
          </w:p>
        </w:tc>
      </w:tr>
      <w:tr w:rsidR="00CC2E64" w:rsidRPr="00D01DDB" w14:paraId="40A599BB" w14:textId="77777777" w:rsidTr="00DA046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1D98DA4" w14:textId="77777777" w:rsidR="00CC2E64" w:rsidRPr="00D01DDB" w:rsidRDefault="00CC2E64" w:rsidP="00DA0466">
            <w:pPr>
              <w:rPr>
                <w:szCs w:val="22"/>
              </w:rPr>
            </w:pPr>
            <w:r>
              <w:rPr>
                <w:szCs w:val="22"/>
              </w:rPr>
              <w:t>EU</w:t>
            </w:r>
          </w:p>
        </w:tc>
        <w:tc>
          <w:tcPr>
            <w:tcW w:w="3800" w:type="pct"/>
          </w:tcPr>
          <w:p w14:paraId="421BD420" w14:textId="77777777" w:rsidR="00CC2E64" w:rsidRPr="00D01DDB" w:rsidRDefault="00CC2E64" w:rsidP="00DA0466">
            <w:pPr>
              <w:cnfStyle w:val="000000000000" w:firstRow="0" w:lastRow="0" w:firstColumn="0" w:lastColumn="0" w:oddVBand="0" w:evenVBand="0" w:oddHBand="0" w:evenHBand="0" w:firstRowFirstColumn="0" w:firstRowLastColumn="0" w:lastRowFirstColumn="0" w:lastRowLastColumn="0"/>
              <w:rPr>
                <w:szCs w:val="22"/>
              </w:rPr>
            </w:pPr>
            <w:r>
              <w:rPr>
                <w:szCs w:val="22"/>
              </w:rPr>
              <w:t>European Union</w:t>
            </w:r>
          </w:p>
        </w:tc>
      </w:tr>
      <w:tr w:rsidR="00CC2E64" w:rsidRPr="00D01DDB" w14:paraId="1249B859" w14:textId="77777777" w:rsidTr="00DA046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C076710" w14:textId="77777777" w:rsidR="00CC2E64" w:rsidRPr="00D01DDB" w:rsidRDefault="00CC2E64" w:rsidP="00DA0466">
            <w:pPr>
              <w:rPr>
                <w:szCs w:val="22"/>
              </w:rPr>
            </w:pPr>
            <w:r>
              <w:rPr>
                <w:szCs w:val="22"/>
              </w:rPr>
              <w:t>FDA</w:t>
            </w:r>
          </w:p>
        </w:tc>
        <w:tc>
          <w:tcPr>
            <w:tcW w:w="3800" w:type="pct"/>
          </w:tcPr>
          <w:p w14:paraId="33099945" w14:textId="1CCEA4A3" w:rsidR="00CC2E64" w:rsidRPr="00D01DDB" w:rsidRDefault="00CC2E64" w:rsidP="00DA0466">
            <w:pPr>
              <w:cnfStyle w:val="000000000000" w:firstRow="0" w:lastRow="0" w:firstColumn="0" w:lastColumn="0" w:oddVBand="0" w:evenVBand="0" w:oddHBand="0" w:evenHBand="0" w:firstRowFirstColumn="0" w:firstRowLastColumn="0" w:lastRowFirstColumn="0" w:lastRowLastColumn="0"/>
              <w:rPr>
                <w:szCs w:val="22"/>
              </w:rPr>
            </w:pPr>
            <w:r>
              <w:t xml:space="preserve">Food and Drug Administration </w:t>
            </w:r>
            <w:r w:rsidR="00DA0466">
              <w:t>(</w:t>
            </w:r>
            <w:r>
              <w:t>United States</w:t>
            </w:r>
            <w:r w:rsidR="00DA0466">
              <w:t xml:space="preserve"> of America)</w:t>
            </w:r>
          </w:p>
        </w:tc>
      </w:tr>
      <w:tr w:rsidR="00CC2E64" w:rsidRPr="00D01DDB" w14:paraId="7D7EA46D" w14:textId="77777777" w:rsidTr="00DA046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31DE5D" w14:textId="77777777" w:rsidR="00CC2E64" w:rsidRPr="00D01DDB" w:rsidRDefault="00CC2E64" w:rsidP="00DA0466">
            <w:pPr>
              <w:rPr>
                <w:szCs w:val="22"/>
              </w:rPr>
            </w:pPr>
            <w:r>
              <w:rPr>
                <w:szCs w:val="22"/>
              </w:rPr>
              <w:t>IAT</w:t>
            </w:r>
          </w:p>
        </w:tc>
        <w:tc>
          <w:tcPr>
            <w:tcW w:w="3800" w:type="pct"/>
          </w:tcPr>
          <w:p w14:paraId="612C59D1" w14:textId="37CBEA81" w:rsidR="00CC2E64" w:rsidRPr="00D01DDB" w:rsidRDefault="00CC2E64" w:rsidP="00DA0466">
            <w:pPr>
              <w:cnfStyle w:val="000000000000" w:firstRow="0" w:lastRow="0" w:firstColumn="0" w:lastColumn="0" w:oddVBand="0" w:evenVBand="0" w:oddHBand="0" w:evenHBand="0" w:firstRowFirstColumn="0" w:firstRowLastColumn="0" w:lastRowFirstColumn="0" w:lastRowLastColumn="0"/>
              <w:rPr>
                <w:szCs w:val="22"/>
              </w:rPr>
            </w:pPr>
            <w:r>
              <w:t>I</w:t>
            </w:r>
            <w:r w:rsidRPr="00453FD6">
              <w:t>nvestigator</w:t>
            </w:r>
            <w:r>
              <w:t xml:space="preserve"> a</w:t>
            </w:r>
            <w:r w:rsidRPr="00453FD6">
              <w:t xml:space="preserve">ssigned </w:t>
            </w:r>
            <w:r w:rsidR="00AE7AEF">
              <w:t>[</w:t>
            </w:r>
            <w:r w:rsidRPr="00453FD6">
              <w:t>anti-CMV</w:t>
            </w:r>
            <w:r w:rsidR="00AE7AEF">
              <w:t>]</w:t>
            </w:r>
            <w:r w:rsidRPr="00453FD6">
              <w:t xml:space="preserve"> </w:t>
            </w:r>
            <w:r>
              <w:t>therapy/treatment</w:t>
            </w:r>
          </w:p>
        </w:tc>
      </w:tr>
      <w:tr w:rsidR="00CC2E64" w:rsidRPr="00D01DDB" w14:paraId="11B5BFC4" w14:textId="77777777" w:rsidTr="00DA046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E76F350" w14:textId="77777777" w:rsidR="00CC2E64" w:rsidRPr="00D01DDB" w:rsidRDefault="00CC2E64" w:rsidP="00DA0466">
            <w:pPr>
              <w:rPr>
                <w:szCs w:val="22"/>
              </w:rPr>
            </w:pPr>
            <w:r>
              <w:rPr>
                <w:szCs w:val="22"/>
              </w:rPr>
              <w:t>MRS</w:t>
            </w:r>
          </w:p>
        </w:tc>
        <w:tc>
          <w:tcPr>
            <w:tcW w:w="3800" w:type="pct"/>
          </w:tcPr>
          <w:p w14:paraId="34613EDF" w14:textId="77777777" w:rsidR="00CC2E64" w:rsidRPr="00D01DDB" w:rsidRDefault="00CC2E64" w:rsidP="00DA0466">
            <w:pPr>
              <w:cnfStyle w:val="000000000000" w:firstRow="0" w:lastRow="0" w:firstColumn="0" w:lastColumn="0" w:oddVBand="0" w:evenVBand="0" w:oddHBand="0" w:evenHBand="0" w:firstRowFirstColumn="0" w:firstRowLastColumn="0" w:lastRowFirstColumn="0" w:lastRowLastColumn="0"/>
              <w:rPr>
                <w:szCs w:val="22"/>
              </w:rPr>
            </w:pPr>
            <w:proofErr w:type="spellStart"/>
            <w:r w:rsidRPr="00992499">
              <w:t>Maribavir</w:t>
            </w:r>
            <w:proofErr w:type="spellEnd"/>
            <w:r w:rsidRPr="00992499">
              <w:t xml:space="preserve"> </w:t>
            </w:r>
            <w:r>
              <w:t>r</w:t>
            </w:r>
            <w:r w:rsidRPr="00992499">
              <w:t xml:space="preserve">esistance </w:t>
            </w:r>
            <w:r>
              <w:t>s</w:t>
            </w:r>
            <w:r w:rsidRPr="00992499">
              <w:t>et</w:t>
            </w:r>
          </w:p>
        </w:tc>
      </w:tr>
      <w:tr w:rsidR="00CC2E64" w:rsidRPr="00D01DDB" w14:paraId="36C423D9" w14:textId="77777777" w:rsidTr="00DA046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8A7203" w14:textId="77777777" w:rsidR="00CC2E64" w:rsidRPr="00D01DDB" w:rsidRDefault="00CC2E64" w:rsidP="00DA0466">
            <w:pPr>
              <w:rPr>
                <w:szCs w:val="22"/>
              </w:rPr>
            </w:pPr>
            <w:r>
              <w:rPr>
                <w:szCs w:val="22"/>
              </w:rPr>
              <w:t>PD</w:t>
            </w:r>
          </w:p>
        </w:tc>
        <w:tc>
          <w:tcPr>
            <w:tcW w:w="3800" w:type="pct"/>
          </w:tcPr>
          <w:p w14:paraId="4E448C38" w14:textId="77777777" w:rsidR="00CC2E64" w:rsidRPr="00D01DDB" w:rsidRDefault="00CC2E64" w:rsidP="00DA0466">
            <w:pPr>
              <w:cnfStyle w:val="000000000000" w:firstRow="0" w:lastRow="0" w:firstColumn="0" w:lastColumn="0" w:oddVBand="0" w:evenVBand="0" w:oddHBand="0" w:evenHBand="0" w:firstRowFirstColumn="0" w:firstRowLastColumn="0" w:lastRowFirstColumn="0" w:lastRowLastColumn="0"/>
              <w:rPr>
                <w:szCs w:val="22"/>
              </w:rPr>
            </w:pPr>
            <w:r>
              <w:t>Pharmacodynamic(s)</w:t>
            </w:r>
          </w:p>
        </w:tc>
      </w:tr>
      <w:tr w:rsidR="00CC2E64" w:rsidRPr="00D01DDB" w14:paraId="0EA7E0AE" w14:textId="77777777" w:rsidTr="00DA046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DA01E11" w14:textId="77777777" w:rsidR="00CC2E64" w:rsidRPr="00D01DDB" w:rsidRDefault="00CC2E64" w:rsidP="00DA0466">
            <w:pPr>
              <w:rPr>
                <w:szCs w:val="22"/>
              </w:rPr>
            </w:pPr>
            <w:r w:rsidRPr="00D01DDB">
              <w:rPr>
                <w:szCs w:val="22"/>
              </w:rPr>
              <w:t>PI</w:t>
            </w:r>
          </w:p>
        </w:tc>
        <w:tc>
          <w:tcPr>
            <w:tcW w:w="3800" w:type="pct"/>
          </w:tcPr>
          <w:p w14:paraId="22AE2AAD" w14:textId="77777777" w:rsidR="00CC2E64" w:rsidRPr="00D01DDB" w:rsidRDefault="00CC2E64" w:rsidP="00DA0466">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CC2E64" w:rsidRPr="00D01DDB" w14:paraId="6E1F9AC2" w14:textId="77777777" w:rsidTr="00DA046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9631EAB" w14:textId="77777777" w:rsidR="00CC2E64" w:rsidRPr="00D01DDB" w:rsidRDefault="00CC2E64" w:rsidP="00DA0466">
            <w:pPr>
              <w:rPr>
                <w:szCs w:val="22"/>
              </w:rPr>
            </w:pPr>
            <w:r>
              <w:rPr>
                <w:szCs w:val="22"/>
              </w:rPr>
              <w:t>PK</w:t>
            </w:r>
          </w:p>
        </w:tc>
        <w:tc>
          <w:tcPr>
            <w:tcW w:w="3800" w:type="pct"/>
          </w:tcPr>
          <w:p w14:paraId="4A9C6D72" w14:textId="77777777" w:rsidR="00CC2E64" w:rsidRPr="00D01DDB" w:rsidRDefault="00CC2E64" w:rsidP="00DA0466">
            <w:pPr>
              <w:cnfStyle w:val="000000000000" w:firstRow="0" w:lastRow="0" w:firstColumn="0" w:lastColumn="0" w:oddVBand="0" w:evenVBand="0" w:oddHBand="0" w:evenHBand="0" w:firstRowFirstColumn="0" w:firstRowLastColumn="0" w:lastRowFirstColumn="0" w:lastRowLastColumn="0"/>
              <w:rPr>
                <w:szCs w:val="22"/>
              </w:rPr>
            </w:pPr>
            <w:r w:rsidRPr="007D63C3">
              <w:t>Pharmacokinetic</w:t>
            </w:r>
            <w:r>
              <w:t>(s)</w:t>
            </w:r>
          </w:p>
        </w:tc>
      </w:tr>
      <w:tr w:rsidR="00CC2E64" w:rsidRPr="00D01DDB" w14:paraId="2774EED3" w14:textId="77777777" w:rsidTr="00DA046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D80F757" w14:textId="77777777" w:rsidR="00CC2E64" w:rsidRPr="00D01DDB" w:rsidRDefault="00CC2E64" w:rsidP="00DA0466">
            <w:pPr>
              <w:rPr>
                <w:szCs w:val="22"/>
              </w:rPr>
            </w:pPr>
            <w:r>
              <w:rPr>
                <w:szCs w:val="22"/>
              </w:rPr>
              <w:t>PRS</w:t>
            </w:r>
          </w:p>
        </w:tc>
        <w:tc>
          <w:tcPr>
            <w:tcW w:w="3800" w:type="pct"/>
          </w:tcPr>
          <w:p w14:paraId="679DAFFA" w14:textId="77777777" w:rsidR="00CC2E64" w:rsidRPr="00D01DDB" w:rsidRDefault="00CC2E64" w:rsidP="00DA0466">
            <w:pPr>
              <w:cnfStyle w:val="000000000000" w:firstRow="0" w:lastRow="0" w:firstColumn="0" w:lastColumn="0" w:oddVBand="0" w:evenVBand="0" w:oddHBand="0" w:evenHBand="0" w:firstRowFirstColumn="0" w:firstRowLastColumn="0" w:lastRowFirstColumn="0" w:lastRowLastColumn="0"/>
              <w:rPr>
                <w:szCs w:val="22"/>
              </w:rPr>
            </w:pPr>
            <w:r w:rsidRPr="00992499">
              <w:t xml:space="preserve">Primary </w:t>
            </w:r>
            <w:r>
              <w:t>r</w:t>
            </w:r>
            <w:r w:rsidRPr="00992499">
              <w:t xml:space="preserve">esistance </w:t>
            </w:r>
            <w:r>
              <w:t>s</w:t>
            </w:r>
            <w:r w:rsidRPr="00992499">
              <w:t>et</w:t>
            </w:r>
          </w:p>
        </w:tc>
      </w:tr>
      <w:tr w:rsidR="00CC2E64" w:rsidRPr="00D01DDB" w14:paraId="6907641C" w14:textId="77777777" w:rsidTr="00DA046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BFAE8CC" w14:textId="77777777" w:rsidR="00CC2E64" w:rsidRPr="00D01DDB" w:rsidRDefault="00CC2E64" w:rsidP="00DA0466">
            <w:pPr>
              <w:rPr>
                <w:szCs w:val="22"/>
              </w:rPr>
            </w:pPr>
            <w:r w:rsidRPr="00D01DDB">
              <w:rPr>
                <w:szCs w:val="22"/>
              </w:rPr>
              <w:t>PSUR</w:t>
            </w:r>
          </w:p>
        </w:tc>
        <w:tc>
          <w:tcPr>
            <w:tcW w:w="3800" w:type="pct"/>
          </w:tcPr>
          <w:p w14:paraId="73C1B345" w14:textId="77777777" w:rsidR="00CC2E64" w:rsidRPr="00D01DDB" w:rsidRDefault="00CC2E64" w:rsidP="00DA0466">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CC2E64" w:rsidRPr="00D01DDB" w14:paraId="035DD4A9" w14:textId="77777777" w:rsidTr="00DA046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B9884B9" w14:textId="77777777" w:rsidR="00CC2E64" w:rsidRPr="00D01DDB" w:rsidRDefault="00CC2E64" w:rsidP="00DA0466">
            <w:pPr>
              <w:rPr>
                <w:szCs w:val="22"/>
              </w:rPr>
            </w:pPr>
            <w:r w:rsidRPr="00D01DDB">
              <w:rPr>
                <w:szCs w:val="22"/>
              </w:rPr>
              <w:t>RMP</w:t>
            </w:r>
          </w:p>
        </w:tc>
        <w:tc>
          <w:tcPr>
            <w:tcW w:w="3800" w:type="pct"/>
          </w:tcPr>
          <w:p w14:paraId="0528A565" w14:textId="77777777" w:rsidR="00CC2E64" w:rsidRPr="00D01DDB" w:rsidRDefault="00CC2E64" w:rsidP="00DA0466">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CC2E64" w:rsidRPr="00D01DDB" w14:paraId="28B51BF1" w14:textId="77777777" w:rsidTr="00DA046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1B3F704" w14:textId="77777777" w:rsidR="00CC2E64" w:rsidRPr="00D01DDB" w:rsidRDefault="00CC2E64" w:rsidP="00DA0466">
            <w:pPr>
              <w:rPr>
                <w:szCs w:val="22"/>
              </w:rPr>
            </w:pPr>
            <w:r>
              <w:rPr>
                <w:szCs w:val="22"/>
              </w:rPr>
              <w:t>TEAE</w:t>
            </w:r>
          </w:p>
        </w:tc>
        <w:tc>
          <w:tcPr>
            <w:tcW w:w="3800" w:type="pct"/>
          </w:tcPr>
          <w:p w14:paraId="301820F5" w14:textId="6FDC25C6" w:rsidR="00CC2E64" w:rsidRPr="00D01DDB" w:rsidRDefault="00CC2E64" w:rsidP="00DA0466">
            <w:pPr>
              <w:cnfStyle w:val="000000000000" w:firstRow="0" w:lastRow="0" w:firstColumn="0" w:lastColumn="0" w:oddVBand="0" w:evenVBand="0" w:oddHBand="0" w:evenHBand="0" w:firstRowFirstColumn="0" w:firstRowLastColumn="0" w:lastRowFirstColumn="0" w:lastRowLastColumn="0"/>
              <w:rPr>
                <w:szCs w:val="22"/>
              </w:rPr>
            </w:pPr>
            <w:r>
              <w:t>Treatment</w:t>
            </w:r>
            <w:r w:rsidR="00AE7AEF">
              <w:t>-</w:t>
            </w:r>
            <w:r>
              <w:t>emergent adverse event</w:t>
            </w:r>
          </w:p>
        </w:tc>
      </w:tr>
      <w:tr w:rsidR="00CC2E64" w:rsidRPr="00D01DDB" w14:paraId="79BC873E" w14:textId="77777777" w:rsidTr="00DA046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FDA439" w14:textId="77777777" w:rsidR="00CC2E64" w:rsidRPr="00D01DDB" w:rsidRDefault="00CC2E64" w:rsidP="00DA0466">
            <w:pPr>
              <w:rPr>
                <w:szCs w:val="22"/>
              </w:rPr>
            </w:pPr>
            <w:r w:rsidRPr="00D01DDB">
              <w:rPr>
                <w:szCs w:val="22"/>
              </w:rPr>
              <w:t>TGA</w:t>
            </w:r>
          </w:p>
        </w:tc>
        <w:tc>
          <w:tcPr>
            <w:tcW w:w="3800" w:type="pct"/>
          </w:tcPr>
          <w:p w14:paraId="0B91F6FA" w14:textId="77777777" w:rsidR="00CC2E64" w:rsidRPr="00D01DDB" w:rsidRDefault="00CC2E64" w:rsidP="00DA0466">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CC2E64" w:rsidRPr="00D01DDB" w14:paraId="39CEE23F" w14:textId="77777777" w:rsidTr="00DA046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09D5F17" w14:textId="77777777" w:rsidR="00CC2E64" w:rsidRPr="00D01DDB" w:rsidRDefault="00CC2E64" w:rsidP="00DA0466">
            <w:pPr>
              <w:rPr>
                <w:szCs w:val="22"/>
              </w:rPr>
            </w:pPr>
            <w:proofErr w:type="spellStart"/>
            <w:r>
              <w:t>T</w:t>
            </w:r>
            <w:r w:rsidRPr="00FD7B03">
              <w:rPr>
                <w:vertAlign w:val="subscript"/>
              </w:rPr>
              <w:t>max</w:t>
            </w:r>
            <w:proofErr w:type="spellEnd"/>
          </w:p>
        </w:tc>
        <w:tc>
          <w:tcPr>
            <w:tcW w:w="3800" w:type="pct"/>
          </w:tcPr>
          <w:p w14:paraId="4055E214" w14:textId="77777777" w:rsidR="00CC2E64" w:rsidRPr="00D01DDB" w:rsidRDefault="00CC2E64" w:rsidP="00DA0466">
            <w:pPr>
              <w:cnfStyle w:val="000000000000" w:firstRow="0" w:lastRow="0" w:firstColumn="0" w:lastColumn="0" w:oddVBand="0" w:evenVBand="0" w:oddHBand="0" w:evenHBand="0" w:firstRowFirstColumn="0" w:firstRowLastColumn="0" w:lastRowFirstColumn="0" w:lastRowLastColumn="0"/>
              <w:rPr>
                <w:szCs w:val="22"/>
              </w:rPr>
            </w:pPr>
            <w:r>
              <w:t>Time to reach maximum concentration</w:t>
            </w:r>
          </w:p>
        </w:tc>
      </w:tr>
      <w:tr w:rsidR="00CC2E64" w:rsidRPr="00D01DDB" w14:paraId="62539581" w14:textId="77777777" w:rsidTr="00DA046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0CA6194" w14:textId="77777777" w:rsidR="00CC2E64" w:rsidRPr="00D01DDB" w:rsidRDefault="00CC2E64" w:rsidP="00DA0466">
            <w:pPr>
              <w:rPr>
                <w:szCs w:val="22"/>
              </w:rPr>
            </w:pPr>
            <w:r>
              <w:rPr>
                <w:szCs w:val="22"/>
              </w:rPr>
              <w:t>UGT</w:t>
            </w:r>
          </w:p>
        </w:tc>
        <w:tc>
          <w:tcPr>
            <w:tcW w:w="3800" w:type="pct"/>
          </w:tcPr>
          <w:p w14:paraId="7F0E4AAC" w14:textId="77777777" w:rsidR="00CC2E64" w:rsidRPr="00D01DDB" w:rsidRDefault="00CC2E64" w:rsidP="00DA0466">
            <w:pPr>
              <w:cnfStyle w:val="000000000000" w:firstRow="0" w:lastRow="0" w:firstColumn="0" w:lastColumn="0" w:oddVBand="0" w:evenVBand="0" w:oddHBand="0" w:evenHBand="0" w:firstRowFirstColumn="0" w:firstRowLastColumn="0" w:lastRowFirstColumn="0" w:lastRowLastColumn="0"/>
              <w:rPr>
                <w:szCs w:val="22"/>
              </w:rPr>
            </w:pPr>
            <w:r>
              <w:t>U</w:t>
            </w:r>
            <w:r w:rsidRPr="00453FD6">
              <w:t>ridine diphosphate-glucuronosyltransferase</w:t>
            </w:r>
          </w:p>
        </w:tc>
      </w:tr>
      <w:tr w:rsidR="00CC2E64" w:rsidRPr="00D01DDB" w14:paraId="089F3D06" w14:textId="77777777" w:rsidTr="00DA046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B9B5ACB" w14:textId="3D0A9B90" w:rsidR="00CC2E64" w:rsidRPr="00D01DDB" w:rsidRDefault="00CC2E64" w:rsidP="00DA0466">
            <w:pPr>
              <w:rPr>
                <w:szCs w:val="22"/>
              </w:rPr>
            </w:pPr>
            <w:r>
              <w:rPr>
                <w:szCs w:val="22"/>
              </w:rPr>
              <w:t>US</w:t>
            </w:r>
            <w:r w:rsidR="00AE7AEF">
              <w:rPr>
                <w:szCs w:val="22"/>
              </w:rPr>
              <w:t>(</w:t>
            </w:r>
            <w:r>
              <w:rPr>
                <w:szCs w:val="22"/>
              </w:rPr>
              <w:t>A</w:t>
            </w:r>
            <w:r w:rsidR="00AE7AEF">
              <w:rPr>
                <w:szCs w:val="22"/>
              </w:rPr>
              <w:t>)</w:t>
            </w:r>
          </w:p>
        </w:tc>
        <w:tc>
          <w:tcPr>
            <w:tcW w:w="3800" w:type="pct"/>
          </w:tcPr>
          <w:p w14:paraId="51F6EAEC" w14:textId="77777777" w:rsidR="00CC2E64" w:rsidRPr="00D01DDB" w:rsidRDefault="00CC2E64" w:rsidP="00DA0466">
            <w:pPr>
              <w:cnfStyle w:val="000000000000" w:firstRow="0" w:lastRow="0" w:firstColumn="0" w:lastColumn="0" w:oddVBand="0" w:evenVBand="0" w:oddHBand="0" w:evenHBand="0" w:firstRowFirstColumn="0" w:firstRowLastColumn="0" w:lastRowFirstColumn="0" w:lastRowLastColumn="0"/>
              <w:rPr>
                <w:szCs w:val="22"/>
              </w:rPr>
            </w:pPr>
            <w:r>
              <w:rPr>
                <w:szCs w:val="22"/>
              </w:rPr>
              <w:t>United States (of America)</w:t>
            </w:r>
          </w:p>
        </w:tc>
      </w:tr>
    </w:tbl>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135918972"/>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135918973"/>
      <w:r>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77777777" w:rsidR="00324B33" w:rsidRPr="00BD5DBD" w:rsidRDefault="00324B33" w:rsidP="007452E8">
            <w:pPr>
              <w:rPr>
                <w:i/>
                <w:szCs w:val="22"/>
              </w:rPr>
            </w:pPr>
            <w:r w:rsidRPr="00BD5DBD">
              <w:rPr>
                <w:i/>
                <w:szCs w:val="22"/>
              </w:rPr>
              <w:t>Type of submission:</w:t>
            </w:r>
          </w:p>
        </w:tc>
        <w:tc>
          <w:tcPr>
            <w:tcW w:w="3423" w:type="pct"/>
          </w:tcPr>
          <w:p w14:paraId="4F07C303" w14:textId="08453C77" w:rsidR="00324B33" w:rsidRPr="00BD5DBD" w:rsidRDefault="00324B33" w:rsidP="007452E8">
            <w:pPr>
              <w:rPr>
                <w:szCs w:val="22"/>
              </w:rPr>
            </w:pPr>
            <w:r w:rsidRPr="00BD5DBD">
              <w:rPr>
                <w:szCs w:val="22"/>
              </w:rPr>
              <w:t>New chemical entity</w:t>
            </w:r>
          </w:p>
        </w:tc>
      </w:tr>
      <w:tr w:rsidR="00324B33" w:rsidRPr="00BD5DBD" w14:paraId="13482B61" w14:textId="77777777" w:rsidTr="00F865A7">
        <w:tc>
          <w:tcPr>
            <w:tcW w:w="1577" w:type="pct"/>
          </w:tcPr>
          <w:p w14:paraId="2C427FCF" w14:textId="38697CBF" w:rsidR="00324B33" w:rsidRPr="00BD5DBD" w:rsidRDefault="00324B33" w:rsidP="007452E8">
            <w:pPr>
              <w:rPr>
                <w:i/>
                <w:szCs w:val="22"/>
              </w:rPr>
            </w:pPr>
            <w:r w:rsidRPr="00BD5DBD">
              <w:rPr>
                <w:i/>
                <w:szCs w:val="22"/>
              </w:rPr>
              <w:t>Product name:</w:t>
            </w:r>
          </w:p>
        </w:tc>
        <w:tc>
          <w:tcPr>
            <w:tcW w:w="3423" w:type="pct"/>
          </w:tcPr>
          <w:p w14:paraId="0E2DEF76" w14:textId="7F776243" w:rsidR="00324B33" w:rsidRPr="00BD5DBD" w:rsidRDefault="00E71EEC" w:rsidP="007452E8">
            <w:pPr>
              <w:rPr>
                <w:szCs w:val="22"/>
              </w:rPr>
            </w:pPr>
            <w:proofErr w:type="spellStart"/>
            <w:r>
              <w:rPr>
                <w:szCs w:val="22"/>
              </w:rPr>
              <w:t>Livtencity</w:t>
            </w:r>
            <w:proofErr w:type="spellEnd"/>
          </w:p>
        </w:tc>
      </w:tr>
      <w:tr w:rsidR="00324B33" w:rsidRPr="00BD5DBD" w14:paraId="01255B5B" w14:textId="77777777" w:rsidTr="00F865A7">
        <w:tc>
          <w:tcPr>
            <w:tcW w:w="1577" w:type="pct"/>
          </w:tcPr>
          <w:p w14:paraId="52B4F3D7" w14:textId="73C55BE4" w:rsidR="00324B33" w:rsidRPr="00BD5DBD" w:rsidRDefault="00324B33" w:rsidP="007452E8">
            <w:pPr>
              <w:rPr>
                <w:i/>
                <w:szCs w:val="22"/>
              </w:rPr>
            </w:pPr>
            <w:r w:rsidRPr="00BD5DBD">
              <w:rPr>
                <w:i/>
                <w:szCs w:val="22"/>
              </w:rPr>
              <w:t>Active ingredient:</w:t>
            </w:r>
          </w:p>
        </w:tc>
        <w:tc>
          <w:tcPr>
            <w:tcW w:w="3423" w:type="pct"/>
          </w:tcPr>
          <w:p w14:paraId="02FB6383" w14:textId="0B03500C" w:rsidR="00324B33" w:rsidRPr="00BD5DBD" w:rsidRDefault="00E71EEC" w:rsidP="007452E8">
            <w:pPr>
              <w:rPr>
                <w:szCs w:val="22"/>
              </w:rPr>
            </w:pPr>
            <w:proofErr w:type="spellStart"/>
            <w:r w:rsidRPr="00453FD6">
              <w:rPr>
                <w:sz w:val="21"/>
                <w:szCs w:val="21"/>
                <w:lang w:eastAsia="en-AU"/>
              </w:rPr>
              <w:t>Maribavir</w:t>
            </w:r>
            <w:proofErr w:type="spellEnd"/>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536314EF"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175514CC" w:rsidR="00AE1947" w:rsidRPr="00E71EEC" w:rsidRDefault="00AE1947" w:rsidP="00E71EEC">
            <w:pPr>
              <w:rPr>
                <w:i/>
                <w:szCs w:val="22"/>
              </w:rPr>
            </w:pPr>
            <w:r w:rsidRPr="00BD5DBD">
              <w:rPr>
                <w:i/>
                <w:szCs w:val="22"/>
              </w:rPr>
              <w:t>Date of decision:</w:t>
            </w:r>
          </w:p>
        </w:tc>
        <w:tc>
          <w:tcPr>
            <w:tcW w:w="3423" w:type="pct"/>
          </w:tcPr>
          <w:p w14:paraId="7B381CD6" w14:textId="3023AE97" w:rsidR="00AE1947" w:rsidRPr="00BD5DBD" w:rsidRDefault="00E71EEC" w:rsidP="00DA0466">
            <w:pPr>
              <w:rPr>
                <w:szCs w:val="22"/>
              </w:rPr>
            </w:pPr>
            <w:r>
              <w:rPr>
                <w:szCs w:val="22"/>
              </w:rPr>
              <w:t>27 September 2022</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4E47745C" w:rsidR="00324B33" w:rsidRPr="00BD5DBD" w:rsidRDefault="00E71EEC" w:rsidP="007452E8">
            <w:pPr>
              <w:rPr>
                <w:szCs w:val="22"/>
              </w:rPr>
            </w:pPr>
            <w:r>
              <w:rPr>
                <w:szCs w:val="22"/>
              </w:rPr>
              <w:t>7 October 2022</w:t>
            </w:r>
          </w:p>
        </w:tc>
      </w:tr>
      <w:tr w:rsidR="00324B33" w:rsidRPr="00BD5DBD" w14:paraId="547E08D7" w14:textId="77777777" w:rsidTr="00F865A7">
        <w:tc>
          <w:tcPr>
            <w:tcW w:w="1577" w:type="pct"/>
          </w:tcPr>
          <w:p w14:paraId="5030EF30" w14:textId="73F5F3FE" w:rsidR="00324B33" w:rsidRPr="00BD5DBD" w:rsidRDefault="00324B33" w:rsidP="007452E8">
            <w:pPr>
              <w:rPr>
                <w:i/>
                <w:szCs w:val="22"/>
              </w:rPr>
            </w:pPr>
            <w:r w:rsidRPr="00BD5DBD">
              <w:rPr>
                <w:i/>
                <w:szCs w:val="22"/>
              </w:rPr>
              <w:t>ARTG number:</w:t>
            </w:r>
          </w:p>
        </w:tc>
        <w:tc>
          <w:tcPr>
            <w:tcW w:w="3423" w:type="pct"/>
          </w:tcPr>
          <w:p w14:paraId="0054E912" w14:textId="178EDF08" w:rsidR="00324B33" w:rsidRPr="00BD5DBD" w:rsidRDefault="00E71EEC" w:rsidP="007452E8">
            <w:pPr>
              <w:rPr>
                <w:szCs w:val="22"/>
              </w:rPr>
            </w:pPr>
            <w:r>
              <w:rPr>
                <w:szCs w:val="22"/>
              </w:rPr>
              <w:t>380132</w:t>
            </w:r>
          </w:p>
        </w:tc>
      </w:tr>
      <w:tr w:rsidR="00324B33" w:rsidRPr="00BD5DBD" w14:paraId="7618393F" w14:textId="77777777" w:rsidTr="00E71EEC">
        <w:tc>
          <w:tcPr>
            <w:tcW w:w="1577" w:type="pct"/>
          </w:tcPr>
          <w:p w14:paraId="6C24CEB6" w14:textId="2CB87A24" w:rsidR="00E47E0C" w:rsidRPr="00BD5DBD" w:rsidRDefault="00324B33" w:rsidP="007452E8">
            <w:pPr>
              <w:rPr>
                <w:rStyle w:val="Hyperlink"/>
                <w:i/>
                <w:szCs w:val="22"/>
              </w:rPr>
            </w:pPr>
            <w:r w:rsidRPr="00BD5DBD">
              <w:rPr>
                <w:rFonts w:ascii="Wingdings 3" w:hAnsi="Wingdings 3"/>
                <w:szCs w:val="22"/>
                <w:lang w:eastAsia="en-AU"/>
              </w:rPr>
              <w:t></w:t>
            </w:r>
            <w:hyperlink r:id="rId15"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shd w:val="clear" w:color="auto" w:fill="auto"/>
          </w:tcPr>
          <w:p w14:paraId="08EF3693" w14:textId="4AA1CCB9" w:rsidR="00324B33" w:rsidRPr="00BD5DBD" w:rsidRDefault="00324B33" w:rsidP="007452E8">
            <w:pPr>
              <w:rPr>
                <w:szCs w:val="22"/>
              </w:rPr>
            </w:pPr>
            <w:r w:rsidRPr="00BD5DBD">
              <w:rPr>
                <w:szCs w:val="22"/>
              </w:rPr>
              <w:t>Yes</w:t>
            </w:r>
          </w:p>
          <w:p w14:paraId="6FF3C6A2" w14:textId="23CDD2D1" w:rsidR="00324B33" w:rsidRPr="00BD5DBD" w:rsidRDefault="00324B33" w:rsidP="007452E8">
            <w:pPr>
              <w:rPr>
                <w:szCs w:val="22"/>
              </w:rPr>
            </w:pPr>
            <w:r w:rsidRPr="00BD5DBD">
              <w:rPr>
                <w:szCs w:val="22"/>
              </w:rPr>
              <w:t>This product will remain in the scheme for 5 years, starting on the date the product is first supplied in Australi</w:t>
            </w:r>
            <w:r w:rsidR="00E71EEC">
              <w:rPr>
                <w:szCs w:val="22"/>
              </w:rPr>
              <w:t>a.</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44807B49" w14:textId="77777777" w:rsidR="00E71EEC" w:rsidRPr="00E71EEC" w:rsidRDefault="00E71EEC" w:rsidP="00E71EEC">
            <w:pPr>
              <w:rPr>
                <w:szCs w:val="22"/>
              </w:rPr>
            </w:pPr>
            <w:r w:rsidRPr="00E71EEC">
              <w:rPr>
                <w:szCs w:val="22"/>
              </w:rPr>
              <w:t>Takeda Pharmaceuticals Australia Pty Ltd</w:t>
            </w:r>
          </w:p>
          <w:p w14:paraId="10067923" w14:textId="77777777" w:rsidR="00E71EEC" w:rsidRPr="00E71EEC" w:rsidRDefault="00E71EEC" w:rsidP="00E71EEC">
            <w:pPr>
              <w:rPr>
                <w:szCs w:val="22"/>
              </w:rPr>
            </w:pPr>
            <w:r w:rsidRPr="00E71EEC">
              <w:rPr>
                <w:szCs w:val="22"/>
              </w:rPr>
              <w:t>Level 39; 225 George Street</w:t>
            </w:r>
          </w:p>
          <w:p w14:paraId="68DD94B0" w14:textId="6361F07B" w:rsidR="00324B33" w:rsidRPr="00BD5DBD" w:rsidRDefault="00E71EEC" w:rsidP="00E71EEC">
            <w:pPr>
              <w:rPr>
                <w:szCs w:val="22"/>
              </w:rPr>
            </w:pPr>
            <w:r w:rsidRPr="00E71EEC">
              <w:rPr>
                <w:szCs w:val="22"/>
              </w:rPr>
              <w:t>Sydney NSW 2000</w:t>
            </w:r>
          </w:p>
        </w:tc>
      </w:tr>
      <w:tr w:rsidR="00324B33" w:rsidRPr="00BD5DBD" w14:paraId="5322B989" w14:textId="77777777" w:rsidTr="00F865A7">
        <w:tc>
          <w:tcPr>
            <w:tcW w:w="1577" w:type="pct"/>
          </w:tcPr>
          <w:p w14:paraId="24F217E3" w14:textId="1AF5067F" w:rsidR="00324B33" w:rsidRPr="00BD5DBD" w:rsidRDefault="00324B33" w:rsidP="007452E8">
            <w:pPr>
              <w:rPr>
                <w:i/>
                <w:szCs w:val="22"/>
              </w:rPr>
            </w:pPr>
            <w:r w:rsidRPr="00BD5DBD">
              <w:rPr>
                <w:i/>
                <w:szCs w:val="22"/>
              </w:rPr>
              <w:t>Dose form:</w:t>
            </w:r>
          </w:p>
        </w:tc>
        <w:tc>
          <w:tcPr>
            <w:tcW w:w="3423" w:type="pct"/>
          </w:tcPr>
          <w:p w14:paraId="768B254C" w14:textId="5595F2FF" w:rsidR="00324B33" w:rsidRPr="00BD5DBD" w:rsidRDefault="00E71EEC" w:rsidP="007452E8">
            <w:pPr>
              <w:rPr>
                <w:szCs w:val="22"/>
              </w:rPr>
            </w:pPr>
            <w:r>
              <w:rPr>
                <w:szCs w:val="22"/>
              </w:rPr>
              <w:t>Film coated tablet</w:t>
            </w:r>
          </w:p>
        </w:tc>
      </w:tr>
      <w:tr w:rsidR="00324B33" w:rsidRPr="00BD5DBD" w14:paraId="115243E6" w14:textId="77777777" w:rsidTr="00F865A7">
        <w:tc>
          <w:tcPr>
            <w:tcW w:w="1577" w:type="pct"/>
          </w:tcPr>
          <w:p w14:paraId="7634B062" w14:textId="28448ED3" w:rsidR="00324B33" w:rsidRPr="00BD5DBD" w:rsidRDefault="00324B33" w:rsidP="007452E8">
            <w:pPr>
              <w:rPr>
                <w:i/>
                <w:szCs w:val="22"/>
              </w:rPr>
            </w:pPr>
            <w:r w:rsidRPr="00BD5DBD">
              <w:rPr>
                <w:i/>
                <w:szCs w:val="22"/>
              </w:rPr>
              <w:t>Strength:</w:t>
            </w:r>
          </w:p>
        </w:tc>
        <w:tc>
          <w:tcPr>
            <w:tcW w:w="3423" w:type="pct"/>
          </w:tcPr>
          <w:p w14:paraId="5E5F83DB" w14:textId="68F50032" w:rsidR="00324B33" w:rsidRPr="00BD5DBD" w:rsidRDefault="00E71EEC" w:rsidP="007452E8">
            <w:pPr>
              <w:rPr>
                <w:szCs w:val="22"/>
              </w:rPr>
            </w:pPr>
            <w:r>
              <w:rPr>
                <w:szCs w:val="22"/>
              </w:rPr>
              <w:t>200 mg</w:t>
            </w:r>
          </w:p>
        </w:tc>
      </w:tr>
      <w:tr w:rsidR="00324B33" w:rsidRPr="00BD5DBD" w14:paraId="34B07BA6" w14:textId="77777777" w:rsidTr="00F865A7">
        <w:tc>
          <w:tcPr>
            <w:tcW w:w="1577" w:type="pct"/>
          </w:tcPr>
          <w:p w14:paraId="1C039224" w14:textId="68822388" w:rsidR="00324B33" w:rsidRPr="00BD5DBD" w:rsidRDefault="00324B33" w:rsidP="007452E8">
            <w:pPr>
              <w:rPr>
                <w:i/>
                <w:szCs w:val="22"/>
              </w:rPr>
            </w:pPr>
            <w:r w:rsidRPr="00BD5DBD">
              <w:rPr>
                <w:i/>
                <w:szCs w:val="22"/>
              </w:rPr>
              <w:t>Container:</w:t>
            </w:r>
          </w:p>
        </w:tc>
        <w:tc>
          <w:tcPr>
            <w:tcW w:w="3423" w:type="pct"/>
          </w:tcPr>
          <w:p w14:paraId="500A42C6" w14:textId="232CDE48" w:rsidR="00324B33" w:rsidRPr="00BD5DBD" w:rsidRDefault="00E71EEC" w:rsidP="007452E8">
            <w:pPr>
              <w:rPr>
                <w:szCs w:val="22"/>
              </w:rPr>
            </w:pPr>
            <w:r>
              <w:rPr>
                <w:szCs w:val="22"/>
              </w:rPr>
              <w:t>Bottle</w:t>
            </w:r>
          </w:p>
        </w:tc>
      </w:tr>
      <w:tr w:rsidR="00324B33" w:rsidRPr="00BD5DBD" w14:paraId="176B6773" w14:textId="77777777" w:rsidTr="00F865A7">
        <w:tc>
          <w:tcPr>
            <w:tcW w:w="1577" w:type="pct"/>
          </w:tcPr>
          <w:p w14:paraId="71846159" w14:textId="0836F065" w:rsidR="00324B33" w:rsidRPr="00BD5DBD" w:rsidRDefault="00324B33" w:rsidP="007452E8">
            <w:pPr>
              <w:rPr>
                <w:i/>
                <w:szCs w:val="22"/>
              </w:rPr>
            </w:pPr>
            <w:r w:rsidRPr="00BD5DBD">
              <w:rPr>
                <w:i/>
                <w:szCs w:val="22"/>
              </w:rPr>
              <w:t>Pack size:</w:t>
            </w:r>
          </w:p>
        </w:tc>
        <w:tc>
          <w:tcPr>
            <w:tcW w:w="3423" w:type="pct"/>
          </w:tcPr>
          <w:p w14:paraId="7E978F8F" w14:textId="6245D912" w:rsidR="00324B33" w:rsidRPr="00BD5DBD" w:rsidRDefault="00E71EEC" w:rsidP="007452E8">
            <w:pPr>
              <w:rPr>
                <w:szCs w:val="22"/>
              </w:rPr>
            </w:pPr>
            <w:r>
              <w:rPr>
                <w:szCs w:val="22"/>
              </w:rPr>
              <w:t>28 or 56 tablets</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6E143E2E" w14:textId="1845EC68" w:rsidR="00324B33" w:rsidRPr="00E71EEC" w:rsidRDefault="00E71EEC" w:rsidP="007452E8">
            <w:pPr>
              <w:rPr>
                <w:i/>
                <w:iCs/>
                <w:szCs w:val="22"/>
              </w:rPr>
            </w:pPr>
            <w:r w:rsidRPr="00E71EEC">
              <w:rPr>
                <w:i/>
                <w:iCs/>
                <w:szCs w:val="22"/>
              </w:rPr>
              <w:t>Treatment of adults with post-transplant cytomegalovirus (CMV) infection and disease resistant, refractory or intolerant to one or more prior therapies (see 4.3 C</w:t>
            </w:r>
            <w:r>
              <w:rPr>
                <w:i/>
                <w:iCs/>
                <w:szCs w:val="22"/>
              </w:rPr>
              <w:t>ontraindications</w:t>
            </w:r>
            <w:r w:rsidRPr="00E71EEC">
              <w:rPr>
                <w:i/>
                <w:iCs/>
                <w:szCs w:val="22"/>
              </w:rPr>
              <w:t xml:space="preserve"> and, 4.4 S</w:t>
            </w:r>
            <w:r>
              <w:rPr>
                <w:i/>
                <w:iCs/>
                <w:szCs w:val="22"/>
              </w:rPr>
              <w:t>pecial warnings and precautions for use)</w:t>
            </w:r>
          </w:p>
        </w:tc>
      </w:tr>
      <w:tr w:rsidR="00324B33" w:rsidRPr="00BD5DBD" w14:paraId="5AFDEED3" w14:textId="77777777" w:rsidTr="00F865A7">
        <w:tc>
          <w:tcPr>
            <w:tcW w:w="1577" w:type="pct"/>
          </w:tcPr>
          <w:p w14:paraId="03884BD1" w14:textId="6200A8E0" w:rsidR="00324B33" w:rsidRPr="00BD5DBD" w:rsidRDefault="00324B33" w:rsidP="007452E8">
            <w:pPr>
              <w:rPr>
                <w:i/>
                <w:szCs w:val="22"/>
              </w:rPr>
            </w:pPr>
            <w:r w:rsidRPr="00BD5DBD">
              <w:rPr>
                <w:i/>
                <w:szCs w:val="22"/>
              </w:rPr>
              <w:t>Route of administration:</w:t>
            </w:r>
          </w:p>
        </w:tc>
        <w:tc>
          <w:tcPr>
            <w:tcW w:w="3423" w:type="pct"/>
          </w:tcPr>
          <w:p w14:paraId="1ED1357E" w14:textId="2F55FDF8" w:rsidR="00324B33" w:rsidRPr="00BD5DBD" w:rsidRDefault="00E71EEC" w:rsidP="007452E8">
            <w:pPr>
              <w:rPr>
                <w:szCs w:val="22"/>
              </w:rPr>
            </w:pPr>
            <w:r>
              <w:rPr>
                <w:szCs w:val="22"/>
              </w:rPr>
              <w:t>Oral</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6EF6816D" w14:textId="77777777" w:rsidR="00033135" w:rsidRDefault="00E71EEC" w:rsidP="007452E8">
            <w:pPr>
              <w:rPr>
                <w:szCs w:val="22"/>
              </w:rPr>
            </w:pPr>
            <w:r w:rsidRPr="00E71EEC">
              <w:rPr>
                <w:szCs w:val="22"/>
              </w:rPr>
              <w:t xml:space="preserve">The recommended dose of </w:t>
            </w:r>
            <w:proofErr w:type="spellStart"/>
            <w:r w:rsidRPr="00E71EEC">
              <w:rPr>
                <w:szCs w:val="22"/>
              </w:rPr>
              <w:t>L</w:t>
            </w:r>
            <w:r>
              <w:rPr>
                <w:szCs w:val="22"/>
              </w:rPr>
              <w:t>ivtencity</w:t>
            </w:r>
            <w:proofErr w:type="spellEnd"/>
            <w:r w:rsidRPr="00E71EEC">
              <w:rPr>
                <w:szCs w:val="22"/>
              </w:rPr>
              <w:t xml:space="preserve"> is 400 mg (two 200 mg tablets) twice daily resulting in a daily dose of 800 mg.</w:t>
            </w:r>
          </w:p>
          <w:p w14:paraId="1246B144" w14:textId="6BA20D8B" w:rsidR="00324B33" w:rsidRDefault="00E71EEC" w:rsidP="007452E8">
            <w:pPr>
              <w:rPr>
                <w:szCs w:val="22"/>
              </w:rPr>
            </w:pPr>
            <w:r w:rsidRPr="00E71EEC">
              <w:rPr>
                <w:szCs w:val="22"/>
              </w:rPr>
              <w:t>Treatment duration may need to be individualised based on the clinical characteristics of each patient.</w:t>
            </w:r>
          </w:p>
          <w:p w14:paraId="3D0B2D5C" w14:textId="77777777" w:rsidR="00324B33" w:rsidRPr="00BD5DBD" w:rsidRDefault="00324B33" w:rsidP="007452E8">
            <w:pPr>
              <w:rPr>
                <w:szCs w:val="22"/>
              </w:rPr>
            </w:pPr>
            <w:r w:rsidRPr="00BD5DBD">
              <w:rPr>
                <w:szCs w:val="22"/>
              </w:rPr>
              <w:t>For further information regarding dosage, refer to the Product Information.</w:t>
            </w:r>
          </w:p>
        </w:tc>
      </w:tr>
      <w:tr w:rsidR="00324B33" w:rsidRPr="00BD5DBD" w14:paraId="24DC408E" w14:textId="77777777" w:rsidTr="00F865A7">
        <w:tc>
          <w:tcPr>
            <w:tcW w:w="1577" w:type="pct"/>
          </w:tcPr>
          <w:p w14:paraId="26380792" w14:textId="77777777" w:rsidR="00324B33" w:rsidRPr="00BD5DBD" w:rsidRDefault="00324B33" w:rsidP="007452E8">
            <w:pPr>
              <w:rPr>
                <w:i/>
                <w:szCs w:val="22"/>
              </w:rPr>
            </w:pPr>
            <w:r w:rsidRPr="00BD5DBD">
              <w:rPr>
                <w:i/>
                <w:szCs w:val="22"/>
              </w:rPr>
              <w:t>Pregnancy category:</w:t>
            </w:r>
          </w:p>
        </w:tc>
        <w:tc>
          <w:tcPr>
            <w:tcW w:w="3423" w:type="pct"/>
          </w:tcPr>
          <w:p w14:paraId="4E87274F" w14:textId="1043160D" w:rsidR="00324B33" w:rsidRDefault="00A15BC4" w:rsidP="007452E8">
            <w:pPr>
              <w:rPr>
                <w:szCs w:val="22"/>
              </w:rPr>
            </w:pPr>
            <w:r>
              <w:rPr>
                <w:szCs w:val="22"/>
              </w:rPr>
              <w:t>D</w:t>
            </w:r>
          </w:p>
          <w:p w14:paraId="78B1A29F" w14:textId="5416602D" w:rsidR="00A15BC4" w:rsidRPr="00BD5DBD" w:rsidRDefault="00A15BC4" w:rsidP="007452E8">
            <w:pPr>
              <w:rPr>
                <w:szCs w:val="22"/>
              </w:rPr>
            </w:pPr>
            <w:r w:rsidRPr="00A15BC4">
              <w:rPr>
                <w:szCs w:val="22"/>
              </w:rPr>
              <w:t xml:space="preserve">Drugs which have caused, are suspected to have caused or may be expected to cause, an increased incidence of human </w:t>
            </w:r>
            <w:proofErr w:type="spellStart"/>
            <w:r w:rsidRPr="00A15BC4">
              <w:rPr>
                <w:szCs w:val="22"/>
              </w:rPr>
              <w:t>fetal</w:t>
            </w:r>
            <w:proofErr w:type="spellEnd"/>
            <w:r w:rsidRPr="00A15BC4">
              <w:rPr>
                <w:szCs w:val="22"/>
              </w:rPr>
              <w:t xml:space="preserve"> malformations or irreversible damage. These drugs may also have adverse pharmacological effects. Accompanying texts should be consulted for further details</w:t>
            </w:r>
          </w:p>
          <w:p w14:paraId="5E2AA3D6" w14:textId="5408A8FA" w:rsidR="00324B33" w:rsidRPr="00BD5DBD" w:rsidRDefault="00324B33" w:rsidP="00A15BC4">
            <w:pPr>
              <w:rPr>
                <w:szCs w:val="22"/>
              </w:rPr>
            </w:pPr>
            <w:r w:rsidRPr="00BD5DBD">
              <w:rPr>
                <w:szCs w:val="22"/>
              </w:rPr>
              <w:t xml:space="preserve">The use of any medicine during pregnancy requires careful consideration of both risks and benefits by the treating health </w:t>
            </w:r>
            <w:r w:rsidRPr="00BD5DBD">
              <w:rPr>
                <w:szCs w:val="22"/>
              </w:rPr>
              <w:lastRenderedPageBreak/>
              <w:t>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51F2479F" w14:textId="77777777" w:rsidR="00324B33" w:rsidRDefault="00324B33" w:rsidP="00324B33">
      <w:pPr>
        <w:pStyle w:val="Heading3"/>
      </w:pPr>
      <w:bookmarkStart w:id="11" w:name="_Toc247691503"/>
      <w:bookmarkStart w:id="12" w:name="_Toc314842484"/>
      <w:bookmarkStart w:id="13" w:name="_Toc103679290"/>
      <w:bookmarkStart w:id="14" w:name="_Toc135918974"/>
      <w:r>
        <w:lastRenderedPageBreak/>
        <w:t>Product background</w:t>
      </w:r>
      <w:bookmarkEnd w:id="11"/>
      <w:bookmarkEnd w:id="12"/>
      <w:bookmarkEnd w:id="13"/>
      <w:bookmarkEnd w:id="14"/>
    </w:p>
    <w:p w14:paraId="56B27CF2" w14:textId="42EE8E00" w:rsidR="00324B33" w:rsidRPr="00BD5DBD" w:rsidRDefault="00324B33" w:rsidP="00324B33">
      <w:pPr>
        <w:rPr>
          <w:szCs w:val="22"/>
        </w:rPr>
      </w:pPr>
      <w:r w:rsidRPr="00BD5DBD">
        <w:rPr>
          <w:szCs w:val="22"/>
        </w:rPr>
        <w:t xml:space="preserve">This AusPAR describes the submission by </w:t>
      </w:r>
      <w:r w:rsidR="00A15BC4">
        <w:t xml:space="preserve">Takeda Pharmaceuticals Australia Pty Ltd </w:t>
      </w:r>
      <w:r w:rsidRPr="00BD5DBD">
        <w:rPr>
          <w:szCs w:val="22"/>
        </w:rPr>
        <w:t xml:space="preserve">(the sponsor) to register </w:t>
      </w:r>
      <w:proofErr w:type="spellStart"/>
      <w:r w:rsidR="00A15BC4">
        <w:rPr>
          <w:szCs w:val="22"/>
        </w:rPr>
        <w:t>Livtencity</w:t>
      </w:r>
      <w:proofErr w:type="spellEnd"/>
      <w:r w:rsidR="00A15BC4" w:rsidRPr="00BD5DBD">
        <w:rPr>
          <w:szCs w:val="22"/>
        </w:rPr>
        <w:t xml:space="preserve"> </w:t>
      </w:r>
      <w:r w:rsidRPr="00BD5DBD">
        <w:rPr>
          <w:szCs w:val="22"/>
        </w:rPr>
        <w:t>(</w:t>
      </w:r>
      <w:proofErr w:type="spellStart"/>
      <w:r w:rsidR="00A15BC4">
        <w:t>maribavir</w:t>
      </w:r>
      <w:proofErr w:type="spellEnd"/>
      <w:r w:rsidRPr="00BD5DBD">
        <w:rPr>
          <w:szCs w:val="22"/>
        </w:rPr>
        <w:t xml:space="preserve">) </w:t>
      </w:r>
      <w:r w:rsidR="00A15BC4">
        <w:rPr>
          <w:szCs w:val="22"/>
        </w:rPr>
        <w:t>200 mg</w:t>
      </w:r>
      <w:r w:rsidRPr="00BD5DBD">
        <w:rPr>
          <w:szCs w:val="22"/>
        </w:rPr>
        <w:t xml:space="preserve">, </w:t>
      </w:r>
      <w:r w:rsidR="00A15BC4">
        <w:rPr>
          <w:szCs w:val="22"/>
        </w:rPr>
        <w:t>film coated tablet</w:t>
      </w:r>
      <w:r w:rsidR="00AE7AEF">
        <w:rPr>
          <w:szCs w:val="22"/>
        </w:rPr>
        <w:t>s</w:t>
      </w:r>
      <w:r w:rsidR="00D62877" w:rsidRPr="00BD5DBD">
        <w:rPr>
          <w:szCs w:val="22"/>
        </w:rPr>
        <w:t xml:space="preserve"> </w:t>
      </w:r>
      <w:r w:rsidR="00AE7AEF">
        <w:rPr>
          <w:szCs w:val="22"/>
        </w:rPr>
        <w:t>(</w:t>
      </w:r>
      <w:r w:rsidR="00A15BC4">
        <w:rPr>
          <w:szCs w:val="22"/>
        </w:rPr>
        <w:t>bottle</w:t>
      </w:r>
      <w:r w:rsidR="00AE7AEF">
        <w:rPr>
          <w:szCs w:val="22"/>
        </w:rPr>
        <w:t>)</w:t>
      </w:r>
      <w:r w:rsidRPr="00BD5DBD">
        <w:rPr>
          <w:szCs w:val="22"/>
        </w:rPr>
        <w:t xml:space="preserve"> for the following proposed indication:</w:t>
      </w:r>
      <w:r w:rsidR="00D63760" w:rsidRPr="00BD5DBD">
        <w:rPr>
          <w:rStyle w:val="FootnoteReference"/>
          <w:szCs w:val="22"/>
        </w:rPr>
        <w:footnoteReference w:id="1"/>
      </w:r>
    </w:p>
    <w:p w14:paraId="0C42B298" w14:textId="12D6D969" w:rsidR="00A15BC4" w:rsidRPr="00A15BC4" w:rsidRDefault="00A15BC4" w:rsidP="00A15BC4">
      <w:pPr>
        <w:ind w:left="720"/>
        <w:rPr>
          <w:i/>
          <w:iCs/>
        </w:rPr>
      </w:pPr>
      <w:r w:rsidRPr="00A15BC4">
        <w:rPr>
          <w:i/>
          <w:iCs/>
        </w:rPr>
        <w:t>Treatment of adults with post-transplant cytomegalovirus (CMV) infection and disease resistant or refractory to one or more prior therapies.</w:t>
      </w:r>
    </w:p>
    <w:p w14:paraId="1AACCA8D" w14:textId="10D6E89A" w:rsidR="00114D91" w:rsidRDefault="00114D91" w:rsidP="00114D91">
      <w:r>
        <w:t xml:space="preserve">Human </w:t>
      </w:r>
      <w:r w:rsidR="004451EF">
        <w:t>c</w:t>
      </w:r>
      <w:r>
        <w:t>ytomegalovirus (CMV) is a beta</w:t>
      </w:r>
      <w:r w:rsidR="00AE7AEF">
        <w:t>-</w:t>
      </w:r>
      <w:r>
        <w:t xml:space="preserve">herpesvirus that commonly infects humans and </w:t>
      </w:r>
      <w:r w:rsidR="00AE7AEF">
        <w:t xml:space="preserve">normally </w:t>
      </w:r>
      <w:r>
        <w:t xml:space="preserve">remains latent, causing serious disease almost exclusively in circumstances </w:t>
      </w:r>
      <w:r w:rsidR="00281CFF">
        <w:t>where an</w:t>
      </w:r>
      <w:r w:rsidR="0056445E">
        <w:t xml:space="preserve"> individual’s immune system is </w:t>
      </w:r>
      <w:r>
        <w:t>severely compromised. Serologic evidence of prior infection ranges from 40</w:t>
      </w:r>
      <w:r w:rsidR="000A2BCA">
        <w:t>%</w:t>
      </w:r>
      <w:r w:rsidR="004451EF">
        <w:t xml:space="preserve"> to </w:t>
      </w:r>
      <w:r>
        <w:t>100% of various adult populations</w:t>
      </w:r>
      <w:r w:rsidR="0056445E">
        <w:t xml:space="preserve">, </w:t>
      </w:r>
      <w:r w:rsidR="0056445E">
        <w:rPr>
          <w:color w:val="000000"/>
          <w:shd w:val="clear" w:color="auto" w:fill="FFFFFF"/>
        </w:rPr>
        <w:t>and in general, seroprevalence increases with age</w:t>
      </w:r>
      <w:r>
        <w:t>.</w:t>
      </w:r>
      <w:r w:rsidR="0056445E">
        <w:rPr>
          <w:rStyle w:val="FootnoteReference"/>
        </w:rPr>
        <w:footnoteReference w:id="2"/>
      </w:r>
    </w:p>
    <w:p w14:paraId="3DB81A37" w14:textId="09AC968A" w:rsidR="00114D91" w:rsidRDefault="00114D91" w:rsidP="00114D91">
      <w:proofErr w:type="spellStart"/>
      <w:r>
        <w:t>Maribavir</w:t>
      </w:r>
      <w:proofErr w:type="spellEnd"/>
      <w:r>
        <w:t xml:space="preserve"> is a benzimidazole riboside anti-CMV agent. </w:t>
      </w:r>
      <w:proofErr w:type="spellStart"/>
      <w:r>
        <w:t>Maribavir</w:t>
      </w:r>
      <w:proofErr w:type="spellEnd"/>
      <w:r>
        <w:t xml:space="preserve"> targets CMV directly by attaching to the </w:t>
      </w:r>
      <w:r w:rsidRPr="00F210FD">
        <w:rPr>
          <w:i/>
          <w:iCs/>
        </w:rPr>
        <w:t>UL97</w:t>
      </w:r>
      <w:r>
        <w:t xml:space="preserve"> encoded viral kinase at the </w:t>
      </w:r>
      <w:r w:rsidR="00C519C1" w:rsidRPr="00536BA3">
        <w:t>adenosine triphosphate</w:t>
      </w:r>
      <w:r>
        <w:t xml:space="preserve"> binding site. This results in inhibition of CMV </w:t>
      </w:r>
      <w:r w:rsidR="00DB4467">
        <w:t>d</w:t>
      </w:r>
      <w:r w:rsidR="00DB4467" w:rsidRPr="00DB4467">
        <w:t xml:space="preserve">eoxyribonucleic acid </w:t>
      </w:r>
      <w:r w:rsidR="00DB4467">
        <w:t>(</w:t>
      </w:r>
      <w:r>
        <w:t>DNA</w:t>
      </w:r>
      <w:r w:rsidR="00DB4467">
        <w:t>)</w:t>
      </w:r>
      <w:r>
        <w:t xml:space="preserve"> assembly and egress of viral capsids from the nucleus of infected cells</w:t>
      </w:r>
      <w:r w:rsidR="00281CFF">
        <w:t>.</w:t>
      </w:r>
      <w:r>
        <w:t xml:space="preserve"> </w:t>
      </w:r>
      <w:r w:rsidR="00540F47">
        <w:fldChar w:fldCharType="begin"/>
      </w:r>
      <w:r w:rsidR="00540F47">
        <w:instrText xml:space="preserve"> REF _Ref132116937 \h </w:instrText>
      </w:r>
      <w:r w:rsidR="00540F47">
        <w:fldChar w:fldCharType="separate"/>
      </w:r>
      <w:r w:rsidR="001D123C">
        <w:t xml:space="preserve">Figure </w:t>
      </w:r>
      <w:r w:rsidR="001D123C">
        <w:rPr>
          <w:noProof/>
        </w:rPr>
        <w:t>1</w:t>
      </w:r>
      <w:r w:rsidR="00540F47">
        <w:fldChar w:fldCharType="end"/>
      </w:r>
      <w:r w:rsidR="00281CFF">
        <w:t xml:space="preserve">, shown below, provides an overview of the mechanisms of action for </w:t>
      </w:r>
      <w:r w:rsidR="00B51F82">
        <w:t>various anti-CMV treatments.</w:t>
      </w:r>
    </w:p>
    <w:p w14:paraId="744CF475" w14:textId="7A7764B7" w:rsidR="0056445E" w:rsidRDefault="0056445E" w:rsidP="00114D91">
      <w:r>
        <w:br w:type="page"/>
      </w:r>
    </w:p>
    <w:p w14:paraId="37BFD1B9" w14:textId="23C4CEC3" w:rsidR="004451EF" w:rsidRDefault="00114D91" w:rsidP="004451EF">
      <w:pPr>
        <w:pStyle w:val="FigureTitle"/>
      </w:pPr>
      <w:bookmarkStart w:id="15" w:name="_Ref132116937"/>
      <w:r>
        <w:lastRenderedPageBreak/>
        <w:t xml:space="preserve">Figure </w:t>
      </w:r>
      <w:r w:rsidR="00B24F8E">
        <w:fldChar w:fldCharType="begin"/>
      </w:r>
      <w:r w:rsidR="00B24F8E">
        <w:instrText xml:space="preserve"> SEQ Figure \* ARABIC </w:instrText>
      </w:r>
      <w:r w:rsidR="00B24F8E">
        <w:fldChar w:fldCharType="separate"/>
      </w:r>
      <w:r w:rsidR="001D123C">
        <w:rPr>
          <w:noProof/>
        </w:rPr>
        <w:t>1</w:t>
      </w:r>
      <w:r w:rsidR="00B24F8E">
        <w:rPr>
          <w:noProof/>
        </w:rPr>
        <w:fldChar w:fldCharType="end"/>
      </w:r>
      <w:bookmarkEnd w:id="15"/>
      <w:r>
        <w:t xml:space="preserve">: </w:t>
      </w:r>
      <w:r w:rsidR="004451EF">
        <w:t>Mechanism</w:t>
      </w:r>
      <w:r w:rsidR="0056445E">
        <w:t>s</w:t>
      </w:r>
      <w:r w:rsidR="004451EF">
        <w:t xml:space="preserve"> of action </w:t>
      </w:r>
      <w:r w:rsidR="0056445E">
        <w:t>for various</w:t>
      </w:r>
      <w:r w:rsidR="004451EF">
        <w:t xml:space="preserve"> anti-cytomegalovirus drugs</w:t>
      </w:r>
    </w:p>
    <w:p w14:paraId="4B4C49EE" w14:textId="77777777" w:rsidR="004451EF" w:rsidRDefault="00114D91" w:rsidP="00957596">
      <w:r>
        <w:rPr>
          <w:noProof/>
          <w:lang w:val="en-GB" w:eastAsia="en-GB"/>
        </w:rPr>
        <w:drawing>
          <wp:inline distT="0" distB="0" distL="0" distR="0" wp14:anchorId="597F1C8F" wp14:editId="789F715D">
            <wp:extent cx="5198014" cy="4405023"/>
            <wp:effectExtent l="0" t="0" r="3175" b="0"/>
            <wp:docPr id="1" name="Picture 1" descr="This figure shows the mechanism of action of anti-cytomegalovirus dr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figure shows the mechanism of action of anti-cytomegalovirus drugs."/>
                    <pic:cNvPicPr>
                      <a:picLocks noChangeAspect="1" noChangeArrowheads="1"/>
                    </pic:cNvPicPr>
                  </pic:nvPicPr>
                  <pic:blipFill rotWithShape="1">
                    <a:blip r:embed="rId16">
                      <a:extLst>
                        <a:ext uri="{28A0092B-C50C-407E-A947-70E740481C1C}">
                          <a14:useLocalDpi xmlns:a14="http://schemas.microsoft.com/office/drawing/2010/main" val="0"/>
                        </a:ext>
                      </a:extLst>
                    </a:blip>
                    <a:srcRect b="13260"/>
                    <a:stretch/>
                  </pic:blipFill>
                  <pic:spPr bwMode="auto">
                    <a:xfrm>
                      <a:off x="0" y="0"/>
                      <a:ext cx="5256246" cy="4454371"/>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7D23D896" w14:textId="4E82FC25" w:rsidR="00114D91" w:rsidRDefault="004451EF" w:rsidP="00540F47">
      <w:pPr>
        <w:pStyle w:val="FigureDescription"/>
      </w:pPr>
      <w:r>
        <w:t xml:space="preserve">Abbreviation, GCV = ganciclovir; CDV = cidofovir; FOS = </w:t>
      </w:r>
      <w:proofErr w:type="spellStart"/>
      <w:r>
        <w:t>foscarnet</w:t>
      </w:r>
      <w:proofErr w:type="spellEnd"/>
      <w:r>
        <w:t xml:space="preserve">; MBV = </w:t>
      </w:r>
      <w:proofErr w:type="spellStart"/>
      <w:r>
        <w:t>maribavir</w:t>
      </w:r>
      <w:proofErr w:type="spellEnd"/>
      <w:r>
        <w:t xml:space="preserve">; LTV = </w:t>
      </w:r>
      <w:proofErr w:type="spellStart"/>
      <w:r>
        <w:t>letermovir</w:t>
      </w:r>
      <w:proofErr w:type="spellEnd"/>
      <w:r>
        <w:t>; P</w:t>
      </w:r>
      <w:r w:rsidR="00C40A4B">
        <w:t> </w:t>
      </w:r>
      <w:r>
        <w:t>=</w:t>
      </w:r>
      <w:r w:rsidR="00C40A4B">
        <w:t> </w:t>
      </w:r>
      <w:r>
        <w:t xml:space="preserve">phosphate. </w:t>
      </w:r>
      <w:r w:rsidR="00540F47">
        <w:t xml:space="preserve">Source: </w:t>
      </w:r>
      <w:r w:rsidR="00540F47" w:rsidRPr="00114D91">
        <w:t xml:space="preserve">Advances in drug therapies for cytomegalovirus in transplantation: a focus on </w:t>
      </w:r>
      <w:proofErr w:type="spellStart"/>
      <w:r w:rsidR="00540F47" w:rsidRPr="00114D91">
        <w:t>maribavir</w:t>
      </w:r>
      <w:proofErr w:type="spellEnd"/>
      <w:r w:rsidR="00540F47" w:rsidRPr="00114D91">
        <w:t xml:space="preserve"> and </w:t>
      </w:r>
      <w:proofErr w:type="spellStart"/>
      <w:r w:rsidR="00540F47" w:rsidRPr="00114D91">
        <w:t>letermovir</w:t>
      </w:r>
      <w:proofErr w:type="spellEnd"/>
      <w:r w:rsidR="00281CFF">
        <w:t>.</w:t>
      </w:r>
    </w:p>
    <w:p w14:paraId="7283183E" w14:textId="77777777" w:rsidR="005A3A11" w:rsidRDefault="00726E06" w:rsidP="00540F47">
      <w:pPr>
        <w:pStyle w:val="FigureDescription"/>
      </w:pPr>
      <w:r>
        <w:t>Ganciclovir</w:t>
      </w:r>
      <w:r w:rsidR="00C40A4B">
        <w:t xml:space="preserve"> (GCV)</w:t>
      </w:r>
      <w:r>
        <w:t xml:space="preserve">, cidofovir </w:t>
      </w:r>
      <w:r w:rsidR="00C40A4B">
        <w:t xml:space="preserve">(CDV) </w:t>
      </w:r>
      <w:r>
        <w:t xml:space="preserve">and </w:t>
      </w:r>
      <w:proofErr w:type="spellStart"/>
      <w:r>
        <w:t>foscarnet</w:t>
      </w:r>
      <w:proofErr w:type="spellEnd"/>
      <w:r w:rsidR="00C40A4B">
        <w:t xml:space="preserve"> (FOS)</w:t>
      </w:r>
      <w:r>
        <w:t xml:space="preserve"> are </w:t>
      </w:r>
      <w:r w:rsidRPr="00726E06">
        <w:t xml:space="preserve">anti-CMV drugs </w:t>
      </w:r>
      <w:r>
        <w:t>with</w:t>
      </w:r>
      <w:r w:rsidRPr="00726E06">
        <w:t xml:space="preserve"> similar mechanisms of action</w:t>
      </w:r>
      <w:r w:rsidR="005A3A11">
        <w:t xml:space="preserve"> by</w:t>
      </w:r>
      <w:r w:rsidRPr="00726E06">
        <w:t xml:space="preserve"> in</w:t>
      </w:r>
      <w:r>
        <w:t>hibit</w:t>
      </w:r>
      <w:r w:rsidR="005A3A11">
        <w:t>ing</w:t>
      </w:r>
      <w:r>
        <w:t xml:space="preserve"> UL54</w:t>
      </w:r>
      <w:r>
        <w:noBreakHyphen/>
      </w:r>
      <w:r w:rsidRPr="00726E06">
        <w:t>encoded</w:t>
      </w:r>
      <w:r>
        <w:t xml:space="preserve"> CMV DNA polymerase</w:t>
      </w:r>
      <w:r w:rsidR="00C40A4B">
        <w:t>, hence being collectively known as CMV DNA polymerase inhibitors.</w:t>
      </w:r>
    </w:p>
    <w:p w14:paraId="4262E57B" w14:textId="50585382" w:rsidR="00C45A7F" w:rsidRDefault="005A3A11" w:rsidP="00540F47">
      <w:pPr>
        <w:pStyle w:val="FigureDescription"/>
      </w:pPr>
      <w:r>
        <w:t>G</w:t>
      </w:r>
      <w:r w:rsidR="00B51F82">
        <w:t xml:space="preserve">anciclovir (and </w:t>
      </w:r>
      <w:proofErr w:type="gramStart"/>
      <w:r w:rsidR="00B51F82">
        <w:t>it’s</w:t>
      </w:r>
      <w:proofErr w:type="gramEnd"/>
      <w:r w:rsidR="00B51F82">
        <w:t xml:space="preserve"> prodrug, valganciclovir) inhibit</w:t>
      </w:r>
      <w:r w:rsidR="00726E06" w:rsidRPr="00726E06">
        <w:t xml:space="preserve"> CMV DNA polymerase by acting as a nucleoside guanosine analogue. </w:t>
      </w:r>
      <w:r w:rsidR="00726E06">
        <w:t>G</w:t>
      </w:r>
      <w:r w:rsidR="00726E06" w:rsidRPr="00726E06">
        <w:t>anciclovir must be phosphorylated</w:t>
      </w:r>
      <w:r w:rsidR="00C40A4B">
        <w:t xml:space="preserve"> to become clinically active, </w:t>
      </w:r>
      <w:r w:rsidR="00726E06" w:rsidRPr="00726E06">
        <w:t>initially c</w:t>
      </w:r>
      <w:r w:rsidR="00C40A4B">
        <w:t>atalysed by UL97-encoded CMV kinase</w:t>
      </w:r>
      <w:r w:rsidR="00C45A7F">
        <w:t xml:space="preserve">. </w:t>
      </w:r>
      <w:r w:rsidR="00C40A4B">
        <w:t xml:space="preserve">In patients unable to tolerate </w:t>
      </w:r>
      <w:r w:rsidR="00726E06" w:rsidRPr="00726E06">
        <w:t>ganc</w:t>
      </w:r>
      <w:r w:rsidR="00C40A4B">
        <w:t xml:space="preserve">iclovir due to toxicity, or in those with </w:t>
      </w:r>
      <w:r w:rsidR="00726E06" w:rsidRPr="00726E06">
        <w:t>UL97-mutant resistant CMV, alternative drug options for treatm</w:t>
      </w:r>
      <w:r w:rsidR="00C40A4B">
        <w:t xml:space="preserve">ent </w:t>
      </w:r>
      <w:r w:rsidR="00C45A7F">
        <w:t>may include</w:t>
      </w:r>
      <w:r w:rsidR="00C40A4B">
        <w:t xml:space="preserve"> cidofovir and </w:t>
      </w:r>
      <w:proofErr w:type="spellStart"/>
      <w:r w:rsidR="00C40A4B">
        <w:t>foscarnet</w:t>
      </w:r>
      <w:proofErr w:type="spellEnd"/>
      <w:r w:rsidR="00C40A4B">
        <w:t>.</w:t>
      </w:r>
    </w:p>
    <w:p w14:paraId="58BCE26D" w14:textId="628C7B4B" w:rsidR="005A3A11" w:rsidRDefault="00C45A7F" w:rsidP="00540F47">
      <w:pPr>
        <w:pStyle w:val="FigureDescription"/>
      </w:pPr>
      <w:r>
        <w:t>Cidofovir and</w:t>
      </w:r>
      <w:r w:rsidR="005A3A11" w:rsidRPr="005A3A11">
        <w:t xml:space="preserve"> </w:t>
      </w:r>
      <w:proofErr w:type="spellStart"/>
      <w:r w:rsidR="005A3A11" w:rsidRPr="005A3A11">
        <w:t>foscarnet</w:t>
      </w:r>
      <w:proofErr w:type="spellEnd"/>
      <w:r w:rsidR="005A3A11" w:rsidRPr="005A3A11">
        <w:t xml:space="preserve"> </w:t>
      </w:r>
      <w:r>
        <w:t xml:space="preserve">also </w:t>
      </w:r>
      <w:r w:rsidRPr="00726E06">
        <w:t>in</w:t>
      </w:r>
      <w:r>
        <w:t>hibit UL54</w:t>
      </w:r>
      <w:r>
        <w:noBreakHyphen/>
      </w:r>
      <w:r w:rsidRPr="00726E06">
        <w:t>encoded</w:t>
      </w:r>
      <w:r>
        <w:t xml:space="preserve"> CMV DNA polymerase, but neither</w:t>
      </w:r>
      <w:r w:rsidRPr="005A3A11">
        <w:t xml:space="preserve"> </w:t>
      </w:r>
      <w:r>
        <w:t xml:space="preserve">are </w:t>
      </w:r>
      <w:r w:rsidR="005A3A11" w:rsidRPr="005A3A11">
        <w:t>acti</w:t>
      </w:r>
      <w:r>
        <w:t>vated by viral protein kinases.</w:t>
      </w:r>
    </w:p>
    <w:p w14:paraId="42872783" w14:textId="66613523" w:rsidR="00C40A4B" w:rsidRDefault="00C40A4B" w:rsidP="00540F47">
      <w:pPr>
        <w:pStyle w:val="FigureDescription"/>
      </w:pPr>
      <w:proofErr w:type="spellStart"/>
      <w:r>
        <w:t>Letermovir</w:t>
      </w:r>
      <w:proofErr w:type="spellEnd"/>
      <w:r>
        <w:t xml:space="preserve"> (LTV)</w:t>
      </w:r>
      <w:r w:rsidR="00C45A7F">
        <w:t xml:space="preserve"> is specific against human CMV and</w:t>
      </w:r>
      <w:r w:rsidRPr="00C40A4B">
        <w:t xml:space="preserve"> inhibits UL56-encoded viral </w:t>
      </w:r>
      <w:proofErr w:type="spellStart"/>
      <w:r w:rsidRPr="00C40A4B">
        <w:t>terminase</w:t>
      </w:r>
      <w:proofErr w:type="spellEnd"/>
      <w:r w:rsidRPr="00C40A4B">
        <w:t xml:space="preserve"> complex which is important for CMV DNA clea</w:t>
      </w:r>
      <w:r>
        <w:t>v</w:t>
      </w:r>
      <w:r w:rsidR="005A3A11">
        <w:t>age and packaging into capsids.</w:t>
      </w:r>
    </w:p>
    <w:p w14:paraId="3E9243D5" w14:textId="35522093" w:rsidR="005A3A11" w:rsidRDefault="005A3A11" w:rsidP="00540F47">
      <w:pPr>
        <w:pStyle w:val="FigureDescription"/>
      </w:pPr>
      <w:proofErr w:type="spellStart"/>
      <w:r w:rsidRPr="005A3A11">
        <w:t>Maribavir</w:t>
      </w:r>
      <w:proofErr w:type="spellEnd"/>
      <w:r w:rsidRPr="005A3A11">
        <w:t xml:space="preserve"> is an oral benzimidazole riboside with </w:t>
      </w:r>
      <w:r w:rsidR="00C45A7F">
        <w:t>activity</w:t>
      </w:r>
      <w:r w:rsidRPr="005A3A11">
        <w:t xml:space="preserve"> against CMV. It exerts its anti-CMV effect by acting as UL97 inhibitor and blocking the egress of viral capsids</w:t>
      </w:r>
      <w:r w:rsidR="00C45A7F">
        <w:t>.</w:t>
      </w:r>
    </w:p>
    <w:p w14:paraId="79366F8F" w14:textId="12100943" w:rsidR="00C45A7F" w:rsidRDefault="00726E06" w:rsidP="00464A1F">
      <w:pPr>
        <w:pStyle w:val="FigureDescription"/>
      </w:pPr>
      <w:r>
        <w:t xml:space="preserve">Figure adapted from: </w:t>
      </w:r>
      <w:proofErr w:type="spellStart"/>
      <w:r w:rsidRPr="00726E06">
        <w:t>Jackrapong</w:t>
      </w:r>
      <w:proofErr w:type="spellEnd"/>
      <w:r w:rsidRPr="00726E06">
        <w:t xml:space="preserve"> </w:t>
      </w:r>
      <w:proofErr w:type="spellStart"/>
      <w:r w:rsidRPr="00726E06">
        <w:t>Bruminhent</w:t>
      </w:r>
      <w:proofErr w:type="spellEnd"/>
      <w:r w:rsidRPr="00726E06">
        <w:t xml:space="preserve"> &amp; R.R. </w:t>
      </w:r>
      <w:proofErr w:type="spellStart"/>
      <w:r w:rsidRPr="00726E06">
        <w:t>Razonable</w:t>
      </w:r>
      <w:proofErr w:type="spellEnd"/>
      <w:r w:rsidRPr="00726E06">
        <w:t xml:space="preserve"> (2020) Advances in drug therapies for cytomegalovirus in transplantation: a focus on </w:t>
      </w:r>
      <w:proofErr w:type="spellStart"/>
      <w:r w:rsidRPr="00726E06">
        <w:t>maribavir</w:t>
      </w:r>
      <w:proofErr w:type="spellEnd"/>
      <w:r w:rsidRPr="00726E06">
        <w:t xml:space="preserve"> and </w:t>
      </w:r>
      <w:proofErr w:type="spellStart"/>
      <w:r w:rsidRPr="00726E06">
        <w:t>letermovir</w:t>
      </w:r>
      <w:proofErr w:type="spellEnd"/>
      <w:r w:rsidRPr="00726E06">
        <w:t xml:space="preserve">, </w:t>
      </w:r>
      <w:r w:rsidRPr="00464A1F">
        <w:rPr>
          <w:i/>
        </w:rPr>
        <w:t>Expert Opinion on Orphan Drugs</w:t>
      </w:r>
      <w:r w:rsidRPr="00726E06">
        <w:t>, 8:10, 393-401</w:t>
      </w:r>
    </w:p>
    <w:p w14:paraId="6FA3E326" w14:textId="56042CC5" w:rsidR="00540F47" w:rsidRDefault="00540F47" w:rsidP="00540F47">
      <w:r>
        <w:t xml:space="preserve">The current anti-CMV agents inhibits CMV DNA polymerase at UL54. </w:t>
      </w:r>
      <w:proofErr w:type="spellStart"/>
      <w:r>
        <w:t>Letermovir</w:t>
      </w:r>
      <w:proofErr w:type="spellEnd"/>
      <w:r>
        <w:t xml:space="preserve"> is a more recent agent approved for prevention indication and acts at UL56 gene locus.</w:t>
      </w:r>
    </w:p>
    <w:p w14:paraId="55129B28" w14:textId="1B0DE89F" w:rsidR="00540F47" w:rsidRDefault="00540F47" w:rsidP="00540F47">
      <w:r>
        <w:t xml:space="preserve">Currently approved drugs in Australia for treatment and prophylaxis of CMV infection in patients </w:t>
      </w:r>
      <w:r w:rsidR="004451EF">
        <w:t xml:space="preserve">are listed in </w:t>
      </w:r>
      <w:r w:rsidR="004451EF">
        <w:fldChar w:fldCharType="begin"/>
      </w:r>
      <w:r w:rsidR="004451EF">
        <w:instrText xml:space="preserve"> REF _Ref132794844 \h </w:instrText>
      </w:r>
      <w:r w:rsidR="004451EF">
        <w:fldChar w:fldCharType="separate"/>
      </w:r>
      <w:r w:rsidR="001D123C">
        <w:t xml:space="preserve">Table </w:t>
      </w:r>
      <w:r w:rsidR="001D123C">
        <w:rPr>
          <w:noProof/>
        </w:rPr>
        <w:t>1</w:t>
      </w:r>
      <w:r w:rsidR="004451EF">
        <w:fldChar w:fldCharType="end"/>
      </w:r>
      <w:r w:rsidR="004451EF">
        <w:t>.</w:t>
      </w:r>
    </w:p>
    <w:p w14:paraId="1DBE741D" w14:textId="1544CEAF" w:rsidR="00540F47" w:rsidRDefault="00540F47" w:rsidP="00540F47">
      <w:pPr>
        <w:pStyle w:val="TableTitle"/>
      </w:pPr>
      <w:bookmarkStart w:id="16" w:name="_Ref132794844"/>
      <w:r>
        <w:lastRenderedPageBreak/>
        <w:t xml:space="preserve">Table </w:t>
      </w:r>
      <w:r w:rsidR="00B24F8E">
        <w:fldChar w:fldCharType="begin"/>
      </w:r>
      <w:r w:rsidR="00B24F8E">
        <w:instrText xml:space="preserve"> SEQ Table \* ARABIC </w:instrText>
      </w:r>
      <w:r w:rsidR="00B24F8E">
        <w:fldChar w:fldCharType="separate"/>
      </w:r>
      <w:r w:rsidR="001D123C">
        <w:rPr>
          <w:noProof/>
        </w:rPr>
        <w:t>1</w:t>
      </w:r>
      <w:r w:rsidR="00B24F8E">
        <w:rPr>
          <w:noProof/>
        </w:rPr>
        <w:fldChar w:fldCharType="end"/>
      </w:r>
      <w:bookmarkEnd w:id="16"/>
      <w:r>
        <w:t xml:space="preserve">: </w:t>
      </w:r>
      <w:r w:rsidR="004451EF">
        <w:t>Currently approved drugs in Australia for treatment and prophylaxis of cytomegalovirus infection</w:t>
      </w:r>
    </w:p>
    <w:p w14:paraId="14C69B59" w14:textId="22425956" w:rsidR="007752FB" w:rsidRDefault="00540F47" w:rsidP="00540F47">
      <w:r>
        <w:rPr>
          <w:noProof/>
          <w:lang w:val="en-GB" w:eastAsia="en-GB"/>
        </w:rPr>
        <w:drawing>
          <wp:inline distT="0" distB="0" distL="0" distR="0" wp14:anchorId="1BC3EEEE" wp14:editId="4EA12A04">
            <wp:extent cx="5740842" cy="2390646"/>
            <wp:effectExtent l="0" t="0" r="0" b="0"/>
            <wp:docPr id="2" name="Picture 2" descr="Table 1: Currently approved drugs in Australia for treatment and prophylaxis of cytomegalovirus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1: Currently approved drugs in Australia for treatment and prophylaxis of cytomegalovirus infec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2152" cy="2420341"/>
                    </a:xfrm>
                    <a:prstGeom prst="rect">
                      <a:avLst/>
                    </a:prstGeom>
                    <a:noFill/>
                    <a:ln>
                      <a:noFill/>
                    </a:ln>
                  </pic:spPr>
                </pic:pic>
              </a:graphicData>
            </a:graphic>
          </wp:inline>
        </w:drawing>
      </w:r>
    </w:p>
    <w:p w14:paraId="377BB60F" w14:textId="01261464" w:rsidR="00540F47" w:rsidRPr="00540F47" w:rsidRDefault="00540F47" w:rsidP="00540F47">
      <w:r w:rsidRPr="00540F47">
        <w:t>Post-transplant CMV infection is associated with substantially high risk of morbidity and mortality compared to transplant recipients who do not develop post-transplant CMV infection. The management goal is to prevent CMV disease and disease complications during the period of immunosuppression by controlling CMV viremia.</w:t>
      </w:r>
    </w:p>
    <w:p w14:paraId="0D615854" w14:textId="77777777" w:rsidR="00324B33" w:rsidRPr="003F31A2" w:rsidRDefault="00324B33" w:rsidP="00324B33">
      <w:pPr>
        <w:pStyle w:val="Heading3"/>
      </w:pPr>
      <w:bookmarkStart w:id="17" w:name="_Toc314842485"/>
      <w:bookmarkStart w:id="18" w:name="_Toc247691504"/>
      <w:bookmarkStart w:id="19" w:name="_Toc103679291"/>
      <w:bookmarkStart w:id="20" w:name="_Toc135918975"/>
      <w:r>
        <w:t>Regulatory status</w:t>
      </w:r>
      <w:bookmarkEnd w:id="17"/>
      <w:bookmarkEnd w:id="18"/>
      <w:bookmarkEnd w:id="19"/>
      <w:bookmarkEnd w:id="20"/>
    </w:p>
    <w:p w14:paraId="6A8633FA" w14:textId="76C3097D" w:rsidR="00324B33" w:rsidRPr="00BD5DBD" w:rsidRDefault="00324B33" w:rsidP="00324B33">
      <w:pPr>
        <w:rPr>
          <w:szCs w:val="22"/>
        </w:rPr>
      </w:pPr>
      <w:r w:rsidRPr="00BD5DBD">
        <w:rPr>
          <w:szCs w:val="22"/>
        </w:rPr>
        <w:t>This product is considered a new chemical</w:t>
      </w:r>
      <w:r w:rsidR="008C754C" w:rsidRPr="00BD5DBD">
        <w:rPr>
          <w:szCs w:val="22"/>
        </w:rPr>
        <w:t xml:space="preserve"> entity</w:t>
      </w:r>
      <w:r w:rsidR="00CD5B93">
        <w:rPr>
          <w:szCs w:val="22"/>
        </w:rPr>
        <w:t xml:space="preserve"> f</w:t>
      </w:r>
      <w:r w:rsidRPr="00BD5DBD">
        <w:rPr>
          <w:szCs w:val="22"/>
        </w:rPr>
        <w:t>or Australian regulatory purposes.</w:t>
      </w:r>
    </w:p>
    <w:p w14:paraId="3D0989C0" w14:textId="6FE2F1C8" w:rsidR="00324B33" w:rsidRDefault="00324B33" w:rsidP="00324B33">
      <w:pPr>
        <w:rPr>
          <w:szCs w:val="22"/>
        </w:rPr>
      </w:pPr>
      <w:r w:rsidRPr="00BD5DBD">
        <w:rPr>
          <w:szCs w:val="22"/>
        </w:rPr>
        <w:t xml:space="preserve">This product received </w:t>
      </w:r>
      <w:hyperlink r:id="rId18" w:history="1">
        <w:r w:rsidRPr="00BD5DBD">
          <w:rPr>
            <w:rStyle w:val="Hyperlink"/>
            <w:szCs w:val="22"/>
          </w:rPr>
          <w:t>orphan drug designation</w:t>
        </w:r>
      </w:hyperlink>
      <w:r w:rsidRPr="00BD5DBD">
        <w:rPr>
          <w:szCs w:val="22"/>
        </w:rPr>
        <w:t xml:space="preserve"> on </w:t>
      </w:r>
      <w:r w:rsidR="00CD5B93">
        <w:rPr>
          <w:szCs w:val="22"/>
        </w:rPr>
        <w:t>21 October 2021</w:t>
      </w:r>
      <w:r w:rsidRPr="00BD5DBD">
        <w:rPr>
          <w:szCs w:val="22"/>
        </w:rPr>
        <w:t xml:space="preserve"> for the following indication:</w:t>
      </w:r>
    </w:p>
    <w:p w14:paraId="23572B28" w14:textId="63C87269" w:rsidR="00681E40" w:rsidRPr="00681E40" w:rsidRDefault="00681E40" w:rsidP="00681E40">
      <w:pPr>
        <w:ind w:left="720"/>
        <w:rPr>
          <w:i/>
          <w:iCs/>
          <w:szCs w:val="22"/>
        </w:rPr>
      </w:pPr>
      <w:r w:rsidRPr="00681E40">
        <w:rPr>
          <w:i/>
          <w:iCs/>
          <w:szCs w:val="22"/>
        </w:rPr>
        <w:t>Treatment of cytomegalovirus infection and/or disease in patients with impaired cell-mediated immunity.</w:t>
      </w:r>
    </w:p>
    <w:p w14:paraId="715B7D2A" w14:textId="6D5FBABB" w:rsidR="00324B33" w:rsidRPr="00BD5DBD" w:rsidRDefault="00324B33" w:rsidP="00324B33">
      <w:pPr>
        <w:rPr>
          <w:szCs w:val="22"/>
        </w:rPr>
      </w:pPr>
      <w:r w:rsidRPr="00BD5DBD">
        <w:rPr>
          <w:szCs w:val="22"/>
        </w:rPr>
        <w:t xml:space="preserve">At the time the TGA considered this submission, a similar submission had been approved in </w:t>
      </w:r>
      <w:r w:rsidR="004451EF">
        <w:rPr>
          <w:szCs w:val="22"/>
        </w:rPr>
        <w:t>United States of America (USA)</w:t>
      </w:r>
      <w:r w:rsidRPr="00BD5DBD">
        <w:rPr>
          <w:szCs w:val="22"/>
        </w:rPr>
        <w:t xml:space="preserve"> on </w:t>
      </w:r>
      <w:r w:rsidR="004451EF">
        <w:rPr>
          <w:szCs w:val="22"/>
        </w:rPr>
        <w:t>23 November 2021</w:t>
      </w:r>
      <w:r w:rsidRPr="00BD5DBD">
        <w:rPr>
          <w:szCs w:val="22"/>
        </w:rPr>
        <w:t xml:space="preserve">. </w:t>
      </w:r>
      <w:r w:rsidR="00C45A7F">
        <w:rPr>
          <w:szCs w:val="22"/>
        </w:rPr>
        <w:t>S</w:t>
      </w:r>
      <w:r w:rsidRPr="00BD5DBD">
        <w:rPr>
          <w:szCs w:val="22"/>
        </w:rPr>
        <w:t>imilar submission</w:t>
      </w:r>
      <w:r w:rsidR="00C45A7F">
        <w:rPr>
          <w:szCs w:val="22"/>
        </w:rPr>
        <w:t>s</w:t>
      </w:r>
      <w:r w:rsidRPr="00BD5DBD">
        <w:rPr>
          <w:szCs w:val="22"/>
        </w:rPr>
        <w:t xml:space="preserve"> w</w:t>
      </w:r>
      <w:r w:rsidR="00C45A7F">
        <w:rPr>
          <w:szCs w:val="22"/>
        </w:rPr>
        <w:t>ere also</w:t>
      </w:r>
      <w:r w:rsidRPr="00BD5DBD">
        <w:rPr>
          <w:szCs w:val="22"/>
        </w:rPr>
        <w:t xml:space="preserve"> under consideration in </w:t>
      </w:r>
      <w:r w:rsidR="00C45A7F">
        <w:rPr>
          <w:szCs w:val="22"/>
        </w:rPr>
        <w:t xml:space="preserve">the </w:t>
      </w:r>
      <w:r w:rsidR="004451EF">
        <w:rPr>
          <w:szCs w:val="22"/>
        </w:rPr>
        <w:t>European Union (EU), Switzerland and Canada.</w:t>
      </w:r>
    </w:p>
    <w:p w14:paraId="1B9AB90D" w14:textId="0F5A53A0" w:rsidR="00324B33" w:rsidRPr="00BD5DBD" w:rsidRDefault="004451EF" w:rsidP="00324B33">
      <w:pPr>
        <w:rPr>
          <w:szCs w:val="22"/>
        </w:rPr>
      </w:pPr>
      <w:r>
        <w:rPr>
          <w:szCs w:val="22"/>
        </w:rPr>
        <w:fldChar w:fldCharType="begin"/>
      </w:r>
      <w:r>
        <w:rPr>
          <w:szCs w:val="22"/>
        </w:rPr>
        <w:instrText xml:space="preserve"> REF _Ref99705479 \h </w:instrText>
      </w:r>
      <w:r>
        <w:rPr>
          <w:szCs w:val="22"/>
        </w:rPr>
      </w:r>
      <w:r>
        <w:rPr>
          <w:szCs w:val="22"/>
        </w:rPr>
        <w:fldChar w:fldCharType="separate"/>
      </w:r>
      <w:r w:rsidR="001D123C">
        <w:t xml:space="preserve">Table </w:t>
      </w:r>
      <w:r w:rsidR="001D123C">
        <w:rPr>
          <w:noProof/>
        </w:rPr>
        <w:t>2</w:t>
      </w:r>
      <w:r>
        <w:rPr>
          <w:szCs w:val="22"/>
        </w:rPr>
        <w:fldChar w:fldCharType="end"/>
      </w:r>
      <w:r>
        <w:rPr>
          <w:szCs w:val="22"/>
        </w:rPr>
        <w:t xml:space="preserve"> </w:t>
      </w:r>
      <w:r w:rsidR="00324B33" w:rsidRPr="00BD5DBD">
        <w:rPr>
          <w:szCs w:val="22"/>
        </w:rPr>
        <w:t>summarises these submissions and provides the indications where approved.</w:t>
      </w:r>
    </w:p>
    <w:p w14:paraId="19B9E0AC" w14:textId="6EB1E7CA" w:rsidR="00324B33" w:rsidRDefault="00324B33" w:rsidP="00324B33">
      <w:pPr>
        <w:pStyle w:val="TableTitle"/>
      </w:pPr>
      <w:bookmarkStart w:id="21" w:name="_Ref99705479"/>
      <w:r>
        <w:lastRenderedPageBreak/>
        <w:t xml:space="preserve">Table </w:t>
      </w:r>
      <w:r w:rsidR="00B24F8E">
        <w:fldChar w:fldCharType="begin"/>
      </w:r>
      <w:r w:rsidR="00B24F8E">
        <w:instrText xml:space="preserve"> SEQ Table \* ARABIC </w:instrText>
      </w:r>
      <w:r w:rsidR="00B24F8E">
        <w:fldChar w:fldCharType="separate"/>
      </w:r>
      <w:r w:rsidR="001D123C">
        <w:rPr>
          <w:noProof/>
        </w:rPr>
        <w:t>2</w:t>
      </w:r>
      <w:r w:rsidR="00B24F8E">
        <w:rPr>
          <w:noProof/>
        </w:rPr>
        <w:fldChar w:fldCharType="end"/>
      </w:r>
      <w:bookmarkEnd w:id="21"/>
      <w:r>
        <w:t>: International regulatory status</w:t>
      </w:r>
      <w:r w:rsidR="002A69AD">
        <w:t xml:space="preserve"> of selected countries</w:t>
      </w:r>
    </w:p>
    <w:tbl>
      <w:tblPr>
        <w:tblStyle w:val="TableTGAblue2023"/>
        <w:tblW w:w="5000" w:type="pct"/>
        <w:tblLook w:val="04A0" w:firstRow="1" w:lastRow="0" w:firstColumn="1" w:lastColumn="0" w:noHBand="0" w:noVBand="1"/>
      </w:tblPr>
      <w:tblGrid>
        <w:gridCol w:w="2107"/>
        <w:gridCol w:w="3660"/>
        <w:gridCol w:w="1512"/>
        <w:gridCol w:w="1781"/>
      </w:tblGrid>
      <w:tr w:rsidR="00324B33" w:rsidRPr="00D01DDB" w14:paraId="405E5D78" w14:textId="16839333" w:rsidTr="00464A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185B099B" w14:textId="7A4C0E6C" w:rsidR="00324B33" w:rsidRPr="00D01DDB" w:rsidRDefault="00324B33" w:rsidP="00464A1F">
            <w:pPr>
              <w:ind w:left="0"/>
              <w:rPr>
                <w:szCs w:val="22"/>
              </w:rPr>
            </w:pPr>
            <w:r w:rsidRPr="00D01DDB">
              <w:rPr>
                <w:szCs w:val="22"/>
              </w:rPr>
              <w:t>Region</w:t>
            </w:r>
          </w:p>
        </w:tc>
        <w:tc>
          <w:tcPr>
            <w:tcW w:w="1190" w:type="pct"/>
          </w:tcPr>
          <w:p w14:paraId="778C35C7" w14:textId="52D23C85" w:rsidR="00324B33" w:rsidRPr="00D01DDB" w:rsidRDefault="00324B33" w:rsidP="00464A1F">
            <w:pPr>
              <w:ind w:left="0"/>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0" w:type="pct"/>
          </w:tcPr>
          <w:p w14:paraId="58F81584" w14:textId="66689ABF" w:rsidR="00324B33" w:rsidRPr="00D01DDB" w:rsidRDefault="00324B33" w:rsidP="00464A1F">
            <w:pPr>
              <w:ind w:left="0"/>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0" w:type="pct"/>
          </w:tcPr>
          <w:p w14:paraId="50B2D435" w14:textId="560588D2" w:rsidR="00324B33" w:rsidRPr="00D01DDB" w:rsidRDefault="00324B33" w:rsidP="00464A1F">
            <w:pPr>
              <w:ind w:left="0"/>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324B33" w:rsidRPr="00D01DDB" w14:paraId="38D24E86" w14:textId="77777777" w:rsidTr="00464A1F">
        <w:tc>
          <w:tcPr>
            <w:cnfStyle w:val="001000000000" w:firstRow="0" w:lastRow="0" w:firstColumn="1" w:lastColumn="0" w:oddVBand="0" w:evenVBand="0" w:oddHBand="0" w:evenHBand="0" w:firstRowFirstColumn="0" w:firstRowLastColumn="0" w:lastRowFirstColumn="0" w:lastRowLastColumn="0"/>
            <w:tcW w:w="842" w:type="pct"/>
          </w:tcPr>
          <w:p w14:paraId="4C540DE5" w14:textId="2E657D77" w:rsidR="00324B33" w:rsidRPr="00D01DDB" w:rsidRDefault="002A69AD" w:rsidP="00464A1F">
            <w:pPr>
              <w:ind w:left="0"/>
              <w:rPr>
                <w:szCs w:val="22"/>
              </w:rPr>
            </w:pPr>
            <w:r>
              <w:rPr>
                <w:szCs w:val="22"/>
              </w:rPr>
              <w:t>United States of America</w:t>
            </w:r>
          </w:p>
        </w:tc>
        <w:tc>
          <w:tcPr>
            <w:tcW w:w="1190" w:type="pct"/>
          </w:tcPr>
          <w:p w14:paraId="4FA5DDA9" w14:textId="7173AF06" w:rsidR="00324B33" w:rsidRPr="00D01DDB" w:rsidRDefault="002A69AD" w:rsidP="00464A1F">
            <w:pPr>
              <w:ind w:left="0"/>
              <w:cnfStyle w:val="000000000000" w:firstRow="0" w:lastRow="0" w:firstColumn="0" w:lastColumn="0" w:oddVBand="0" w:evenVBand="0" w:oddHBand="0" w:evenHBand="0" w:firstRowFirstColumn="0" w:firstRowLastColumn="0" w:lastRowFirstColumn="0" w:lastRowLastColumn="0"/>
              <w:rPr>
                <w:szCs w:val="22"/>
              </w:rPr>
            </w:pPr>
            <w:r>
              <w:rPr>
                <w:szCs w:val="22"/>
              </w:rPr>
              <w:t>23 March 2021</w:t>
            </w:r>
          </w:p>
        </w:tc>
        <w:tc>
          <w:tcPr>
            <w:tcW w:w="0" w:type="pct"/>
          </w:tcPr>
          <w:p w14:paraId="29358393" w14:textId="0C8B9332" w:rsidR="00324B33" w:rsidRPr="00D01DDB" w:rsidRDefault="00324B33" w:rsidP="00464A1F">
            <w:pPr>
              <w:ind w:left="0"/>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Approved on</w:t>
            </w:r>
            <w:r w:rsidR="002A69AD">
              <w:rPr>
                <w:szCs w:val="22"/>
              </w:rPr>
              <w:t xml:space="preserve"> 23</w:t>
            </w:r>
            <w:r w:rsidR="005C3892">
              <w:rPr>
                <w:szCs w:val="22"/>
              </w:rPr>
              <w:t> </w:t>
            </w:r>
            <w:r w:rsidR="002A69AD">
              <w:rPr>
                <w:szCs w:val="22"/>
              </w:rPr>
              <w:t>November 2021</w:t>
            </w:r>
          </w:p>
        </w:tc>
        <w:tc>
          <w:tcPr>
            <w:tcW w:w="0" w:type="pct"/>
          </w:tcPr>
          <w:p w14:paraId="05055674" w14:textId="7799E48C" w:rsidR="00324B33" w:rsidRPr="00464A1F" w:rsidRDefault="002A69AD" w:rsidP="00464A1F">
            <w:pPr>
              <w:ind w:left="0"/>
              <w:cnfStyle w:val="000000000000" w:firstRow="0" w:lastRow="0" w:firstColumn="0" w:lastColumn="0" w:oddVBand="0" w:evenVBand="0" w:oddHBand="0" w:evenHBand="0" w:firstRowFirstColumn="0" w:firstRowLastColumn="0" w:lastRowFirstColumn="0" w:lastRowLastColumn="0"/>
              <w:rPr>
                <w:i/>
                <w:szCs w:val="22"/>
              </w:rPr>
            </w:pPr>
            <w:proofErr w:type="spellStart"/>
            <w:r w:rsidRPr="00464A1F">
              <w:rPr>
                <w:i/>
                <w:szCs w:val="22"/>
              </w:rPr>
              <w:t>Livtencity</w:t>
            </w:r>
            <w:proofErr w:type="spellEnd"/>
            <w:r w:rsidRPr="00464A1F">
              <w:rPr>
                <w:i/>
                <w:szCs w:val="22"/>
              </w:rPr>
              <w:t xml:space="preserve"> is indicated for the treatment of adults an</w:t>
            </w:r>
            <w:r w:rsidR="00DD56E2" w:rsidRPr="00464A1F">
              <w:rPr>
                <w:i/>
                <w:szCs w:val="22"/>
              </w:rPr>
              <w:t>d</w:t>
            </w:r>
            <w:r w:rsidRPr="00464A1F">
              <w:rPr>
                <w:i/>
                <w:szCs w:val="22"/>
              </w:rPr>
              <w:t xml:space="preserve"> </w:t>
            </w:r>
            <w:proofErr w:type="spellStart"/>
            <w:r w:rsidRPr="00464A1F">
              <w:rPr>
                <w:i/>
                <w:szCs w:val="22"/>
              </w:rPr>
              <w:t>pediatric</w:t>
            </w:r>
            <w:proofErr w:type="spellEnd"/>
            <w:r w:rsidRPr="00464A1F">
              <w:rPr>
                <w:i/>
                <w:szCs w:val="22"/>
              </w:rPr>
              <w:t xml:space="preserve"> patients (12 years of age and older and weighing at least 35 kg) with post-transplant cytomegalovirus (CMV) infection/disease that is refractory to treatment (with or without genotypic resistance) with ganciclovir, valganciclovir, cidofovir, or </w:t>
            </w:r>
            <w:proofErr w:type="spellStart"/>
            <w:r w:rsidRPr="00464A1F">
              <w:rPr>
                <w:i/>
                <w:szCs w:val="22"/>
              </w:rPr>
              <w:t>foscarnet</w:t>
            </w:r>
            <w:proofErr w:type="spellEnd"/>
          </w:p>
        </w:tc>
      </w:tr>
      <w:tr w:rsidR="00324B33" w:rsidRPr="00D01DDB" w14:paraId="18B6E2AA" w14:textId="7783D66F" w:rsidTr="00464A1F">
        <w:tc>
          <w:tcPr>
            <w:cnfStyle w:val="001000000000" w:firstRow="0" w:lastRow="0" w:firstColumn="1" w:lastColumn="0" w:oddVBand="0" w:evenVBand="0" w:oddHBand="0" w:evenHBand="0" w:firstRowFirstColumn="0" w:firstRowLastColumn="0" w:lastRowFirstColumn="0" w:lastRowLastColumn="0"/>
            <w:tcW w:w="842" w:type="pct"/>
          </w:tcPr>
          <w:p w14:paraId="7F348960" w14:textId="4FD1AC2B" w:rsidR="00324B33" w:rsidRPr="00D01DDB" w:rsidRDefault="002A69AD" w:rsidP="00464A1F">
            <w:pPr>
              <w:ind w:left="0"/>
              <w:rPr>
                <w:szCs w:val="22"/>
              </w:rPr>
            </w:pPr>
            <w:r>
              <w:rPr>
                <w:szCs w:val="22"/>
              </w:rPr>
              <w:t>European Union (centralised procedure)</w:t>
            </w:r>
          </w:p>
        </w:tc>
        <w:tc>
          <w:tcPr>
            <w:tcW w:w="1190" w:type="pct"/>
          </w:tcPr>
          <w:p w14:paraId="1D871E57" w14:textId="7AEF4620" w:rsidR="00324B33" w:rsidRPr="00D01DDB" w:rsidRDefault="002A69AD" w:rsidP="00464A1F">
            <w:pPr>
              <w:ind w:left="0"/>
              <w:cnfStyle w:val="000000000000" w:firstRow="0" w:lastRow="0" w:firstColumn="0" w:lastColumn="0" w:oddVBand="0" w:evenVBand="0" w:oddHBand="0" w:evenHBand="0" w:firstRowFirstColumn="0" w:firstRowLastColumn="0" w:lastRowFirstColumn="0" w:lastRowLastColumn="0"/>
              <w:rPr>
                <w:szCs w:val="22"/>
              </w:rPr>
            </w:pPr>
            <w:r>
              <w:rPr>
                <w:szCs w:val="22"/>
              </w:rPr>
              <w:t>31 March 2021</w:t>
            </w:r>
          </w:p>
        </w:tc>
        <w:tc>
          <w:tcPr>
            <w:tcW w:w="0" w:type="pct"/>
          </w:tcPr>
          <w:p w14:paraId="63A3A9D3" w14:textId="2FA15569" w:rsidR="00324B33" w:rsidRPr="00D01DDB" w:rsidRDefault="00324B33" w:rsidP="00464A1F">
            <w:pPr>
              <w:ind w:left="0"/>
              <w:cnfStyle w:val="000000000000" w:firstRow="0" w:lastRow="0" w:firstColumn="0" w:lastColumn="0" w:oddVBand="0" w:evenVBand="0" w:oddHBand="0" w:evenHBand="0" w:firstRowFirstColumn="0" w:firstRowLastColumn="0" w:lastRowFirstColumn="0" w:lastRowLastColumn="0"/>
              <w:rPr>
                <w:szCs w:val="22"/>
              </w:rPr>
            </w:pPr>
            <w:r w:rsidRPr="00D01DDB">
              <w:rPr>
                <w:szCs w:val="22"/>
              </w:rPr>
              <w:t>Under consideration</w:t>
            </w:r>
          </w:p>
        </w:tc>
        <w:tc>
          <w:tcPr>
            <w:tcW w:w="0" w:type="pct"/>
          </w:tcPr>
          <w:p w14:paraId="17C650B8" w14:textId="5B567795" w:rsidR="00324B33" w:rsidRPr="00D01DDB" w:rsidRDefault="00324B33" w:rsidP="00464A1F">
            <w:pPr>
              <w:ind w:left="0"/>
              <w:cnfStyle w:val="000000000000" w:firstRow="0" w:lastRow="0" w:firstColumn="0" w:lastColumn="0" w:oddVBand="0" w:evenVBand="0" w:oddHBand="0" w:evenHBand="0" w:firstRowFirstColumn="0" w:firstRowLastColumn="0" w:lastRowFirstColumn="0" w:lastRowLastColumn="0"/>
              <w:rPr>
                <w:szCs w:val="22"/>
              </w:rPr>
            </w:pPr>
            <w:r w:rsidRPr="00D01DDB">
              <w:rPr>
                <w:szCs w:val="22"/>
              </w:rPr>
              <w:t>Under consideration</w:t>
            </w:r>
          </w:p>
        </w:tc>
      </w:tr>
      <w:tr w:rsidR="002A69AD" w:rsidRPr="00D01DDB" w14:paraId="73070D2B" w14:textId="77777777" w:rsidTr="00464A1F">
        <w:tc>
          <w:tcPr>
            <w:cnfStyle w:val="001000000000" w:firstRow="0" w:lastRow="0" w:firstColumn="1" w:lastColumn="0" w:oddVBand="0" w:evenVBand="0" w:oddHBand="0" w:evenHBand="0" w:firstRowFirstColumn="0" w:firstRowLastColumn="0" w:lastRowFirstColumn="0" w:lastRowLastColumn="0"/>
            <w:tcW w:w="842" w:type="pct"/>
          </w:tcPr>
          <w:p w14:paraId="7168BD37" w14:textId="4D9C4EA2" w:rsidR="002A69AD" w:rsidRDefault="002A69AD" w:rsidP="00464A1F">
            <w:pPr>
              <w:ind w:left="0"/>
              <w:rPr>
                <w:szCs w:val="22"/>
              </w:rPr>
            </w:pPr>
            <w:r>
              <w:rPr>
                <w:szCs w:val="22"/>
              </w:rPr>
              <w:t>Switzerland</w:t>
            </w:r>
          </w:p>
        </w:tc>
        <w:tc>
          <w:tcPr>
            <w:tcW w:w="1190" w:type="pct"/>
          </w:tcPr>
          <w:p w14:paraId="5A2FEB87" w14:textId="1B6EE973" w:rsidR="002A69AD" w:rsidRDefault="002A69AD" w:rsidP="00464A1F">
            <w:pPr>
              <w:ind w:left="0"/>
              <w:cnfStyle w:val="000000000000" w:firstRow="0" w:lastRow="0" w:firstColumn="0" w:lastColumn="0" w:oddVBand="0" w:evenVBand="0" w:oddHBand="0" w:evenHBand="0" w:firstRowFirstColumn="0" w:firstRowLastColumn="0" w:lastRowFirstColumn="0" w:lastRowLastColumn="0"/>
              <w:rPr>
                <w:szCs w:val="22"/>
              </w:rPr>
            </w:pPr>
            <w:r>
              <w:rPr>
                <w:szCs w:val="22"/>
              </w:rPr>
              <w:t>27 August 2021</w:t>
            </w:r>
          </w:p>
        </w:tc>
        <w:tc>
          <w:tcPr>
            <w:tcW w:w="0" w:type="pct"/>
          </w:tcPr>
          <w:p w14:paraId="7B6B8051" w14:textId="5F49528C" w:rsidR="002A69AD" w:rsidRPr="00D01DDB" w:rsidRDefault="002A69AD" w:rsidP="00464A1F">
            <w:pPr>
              <w:ind w:left="0"/>
              <w:cnfStyle w:val="000000000000" w:firstRow="0" w:lastRow="0" w:firstColumn="0" w:lastColumn="0" w:oddVBand="0" w:evenVBand="0" w:oddHBand="0" w:evenHBand="0" w:firstRowFirstColumn="0" w:firstRowLastColumn="0" w:lastRowFirstColumn="0" w:lastRowLastColumn="0"/>
              <w:rPr>
                <w:szCs w:val="22"/>
              </w:rPr>
            </w:pPr>
            <w:r w:rsidRPr="00D01DDB">
              <w:rPr>
                <w:szCs w:val="22"/>
              </w:rPr>
              <w:t>Under consideration</w:t>
            </w:r>
          </w:p>
        </w:tc>
        <w:tc>
          <w:tcPr>
            <w:tcW w:w="0" w:type="pct"/>
          </w:tcPr>
          <w:p w14:paraId="6626A14E" w14:textId="1AF0BED8" w:rsidR="002A69AD" w:rsidRPr="00D01DDB" w:rsidRDefault="002A69AD" w:rsidP="00464A1F">
            <w:pPr>
              <w:ind w:left="0"/>
              <w:cnfStyle w:val="000000000000" w:firstRow="0" w:lastRow="0" w:firstColumn="0" w:lastColumn="0" w:oddVBand="0" w:evenVBand="0" w:oddHBand="0" w:evenHBand="0" w:firstRowFirstColumn="0" w:firstRowLastColumn="0" w:lastRowFirstColumn="0" w:lastRowLastColumn="0"/>
              <w:rPr>
                <w:szCs w:val="22"/>
              </w:rPr>
            </w:pPr>
            <w:r w:rsidRPr="00D01DDB">
              <w:rPr>
                <w:szCs w:val="22"/>
              </w:rPr>
              <w:t>Under consideration</w:t>
            </w:r>
          </w:p>
        </w:tc>
      </w:tr>
      <w:tr w:rsidR="002A69AD" w:rsidRPr="00D01DDB" w14:paraId="4455FE40" w14:textId="77777777" w:rsidTr="00464A1F">
        <w:tc>
          <w:tcPr>
            <w:cnfStyle w:val="001000000000" w:firstRow="0" w:lastRow="0" w:firstColumn="1" w:lastColumn="0" w:oddVBand="0" w:evenVBand="0" w:oddHBand="0" w:evenHBand="0" w:firstRowFirstColumn="0" w:firstRowLastColumn="0" w:lastRowFirstColumn="0" w:lastRowLastColumn="0"/>
            <w:tcW w:w="842" w:type="pct"/>
          </w:tcPr>
          <w:p w14:paraId="52ACDBFA" w14:textId="2708F9FE" w:rsidR="002A69AD" w:rsidRDefault="002A69AD" w:rsidP="00464A1F">
            <w:pPr>
              <w:ind w:left="0"/>
              <w:rPr>
                <w:szCs w:val="22"/>
              </w:rPr>
            </w:pPr>
            <w:r>
              <w:rPr>
                <w:szCs w:val="22"/>
              </w:rPr>
              <w:t>Canada</w:t>
            </w:r>
          </w:p>
        </w:tc>
        <w:tc>
          <w:tcPr>
            <w:tcW w:w="1190" w:type="pct"/>
          </w:tcPr>
          <w:p w14:paraId="4C7FDE4F" w14:textId="0282D683" w:rsidR="002A69AD" w:rsidRDefault="002A69AD" w:rsidP="00464A1F">
            <w:pPr>
              <w:ind w:left="0"/>
              <w:cnfStyle w:val="000000000000" w:firstRow="0" w:lastRow="0" w:firstColumn="0" w:lastColumn="0" w:oddVBand="0" w:evenVBand="0" w:oddHBand="0" w:evenHBand="0" w:firstRowFirstColumn="0" w:firstRowLastColumn="0" w:lastRowFirstColumn="0" w:lastRowLastColumn="0"/>
              <w:rPr>
                <w:szCs w:val="22"/>
              </w:rPr>
            </w:pPr>
            <w:r>
              <w:rPr>
                <w:szCs w:val="22"/>
              </w:rPr>
              <w:t>16 December 2021</w:t>
            </w:r>
          </w:p>
        </w:tc>
        <w:tc>
          <w:tcPr>
            <w:tcW w:w="0" w:type="pct"/>
          </w:tcPr>
          <w:p w14:paraId="60806A64" w14:textId="5D8D73BD" w:rsidR="002A69AD" w:rsidRPr="00D01DDB" w:rsidRDefault="002A69AD" w:rsidP="00464A1F">
            <w:pPr>
              <w:ind w:left="0"/>
              <w:cnfStyle w:val="000000000000" w:firstRow="0" w:lastRow="0" w:firstColumn="0" w:lastColumn="0" w:oddVBand="0" w:evenVBand="0" w:oddHBand="0" w:evenHBand="0" w:firstRowFirstColumn="0" w:firstRowLastColumn="0" w:lastRowFirstColumn="0" w:lastRowLastColumn="0"/>
              <w:rPr>
                <w:szCs w:val="22"/>
              </w:rPr>
            </w:pPr>
            <w:r w:rsidRPr="00D01DDB">
              <w:rPr>
                <w:szCs w:val="22"/>
              </w:rPr>
              <w:t>Under consideration</w:t>
            </w:r>
          </w:p>
        </w:tc>
        <w:tc>
          <w:tcPr>
            <w:tcW w:w="0" w:type="pct"/>
          </w:tcPr>
          <w:p w14:paraId="397E7B89" w14:textId="169E1452" w:rsidR="002A69AD" w:rsidRPr="00D01DDB" w:rsidRDefault="002A69AD" w:rsidP="00464A1F">
            <w:pPr>
              <w:ind w:left="0"/>
              <w:cnfStyle w:val="000000000000" w:firstRow="0" w:lastRow="0" w:firstColumn="0" w:lastColumn="0" w:oddVBand="0" w:evenVBand="0" w:oddHBand="0" w:evenHBand="0" w:firstRowFirstColumn="0" w:firstRowLastColumn="0" w:lastRowFirstColumn="0" w:lastRowLastColumn="0"/>
              <w:rPr>
                <w:szCs w:val="22"/>
              </w:rPr>
            </w:pPr>
            <w:r w:rsidRPr="00D01DDB">
              <w:rPr>
                <w:szCs w:val="22"/>
              </w:rPr>
              <w:t>Under consideration</w:t>
            </w:r>
          </w:p>
        </w:tc>
      </w:tr>
    </w:tbl>
    <w:p w14:paraId="2F95F72E" w14:textId="0D19EF18" w:rsidR="0006256C" w:rsidRDefault="0006256C" w:rsidP="00464A1F">
      <w:pPr>
        <w:spacing w:before="240"/>
      </w:pPr>
      <w:bookmarkStart w:id="22" w:name="_Toc103679292"/>
      <w:r>
        <w:t xml:space="preserve">The Delegate </w:t>
      </w:r>
      <w:r w:rsidR="005C3892">
        <w:t xml:space="preserve">for this submission </w:t>
      </w:r>
      <w:r>
        <w:t xml:space="preserve">noted that the dosing approved by the Food and Drug Administration (FDA) United States did not </w:t>
      </w:r>
      <w:r w:rsidR="004451EF">
        <w:t>specify</w:t>
      </w:r>
      <w:r>
        <w:t xml:space="preserve"> the duration of treatment.</w:t>
      </w:r>
    </w:p>
    <w:p w14:paraId="36F62A49" w14:textId="6176B4F5" w:rsidR="005C3892" w:rsidRPr="00D7562C" w:rsidRDefault="005C3892" w:rsidP="00464A1F">
      <w:r>
        <w:t>The following is an excerpt from the US Prescribing Information (US PI):</w:t>
      </w:r>
      <w:bookmarkStart w:id="23" w:name="_Ref135823441"/>
      <w:r>
        <w:rPr>
          <w:rStyle w:val="FootnoteReference"/>
        </w:rPr>
        <w:footnoteReference w:id="3"/>
      </w:r>
      <w:bookmarkEnd w:id="23"/>
    </w:p>
    <w:p w14:paraId="6D85A934" w14:textId="6EB145F2" w:rsidR="0006256C" w:rsidRPr="00932EF5" w:rsidRDefault="00932EF5" w:rsidP="00932EF5">
      <w:pPr>
        <w:spacing w:before="120"/>
        <w:ind w:left="720"/>
        <w:rPr>
          <w:i/>
          <w:iCs/>
        </w:rPr>
      </w:pPr>
      <w:r w:rsidRPr="00932EF5">
        <w:rPr>
          <w:i/>
          <w:iCs/>
        </w:rPr>
        <w:t>The recommended dosage in adults and paediatric patients (12 years of age and older and weighing at least 35 kg) is 400 mg (two 200 mg tablets) taken orally twice daily with or without food [see Use in Specific Population (8.4), Clinical Pharmacology (12.3), Clinical Studies (14)].</w:t>
      </w:r>
    </w:p>
    <w:p w14:paraId="064CCADF" w14:textId="1FE9F5C1" w:rsidR="00324B33" w:rsidRDefault="00324B33" w:rsidP="00324B33">
      <w:pPr>
        <w:pStyle w:val="Heading3"/>
      </w:pPr>
      <w:bookmarkStart w:id="24" w:name="_Toc135918976"/>
      <w:r>
        <w:lastRenderedPageBreak/>
        <w:t>Product Information</w:t>
      </w:r>
      <w:bookmarkEnd w:id="22"/>
      <w:bookmarkEnd w:id="24"/>
    </w:p>
    <w:p w14:paraId="4B0F7D57" w14:textId="6AFBD956" w:rsidR="00324B33" w:rsidRDefault="00324B33" w:rsidP="00324B33">
      <w:pPr>
        <w:rPr>
          <w:rStyle w:val="Hyperlink"/>
          <w:szCs w:val="22"/>
        </w:rPr>
      </w:pPr>
      <w:bookmarkStart w:id="25" w:name="_Toc504480011"/>
      <w:r w:rsidRPr="00BD5DBD">
        <w:rPr>
          <w:szCs w:val="22"/>
        </w:rPr>
        <w:t xml:space="preserve">The </w:t>
      </w:r>
      <w:hyperlink r:id="rId19" w:history="1">
        <w:r w:rsidRPr="00BD5DBD">
          <w:rPr>
            <w:rStyle w:val="Hyperlink"/>
            <w:szCs w:val="22"/>
          </w:rPr>
          <w:t>Product Information</w:t>
        </w:r>
      </w:hyperlink>
      <w:r w:rsidRPr="00BD5DBD">
        <w:rPr>
          <w:szCs w:val="22"/>
        </w:rPr>
        <w:t xml:space="preserve"> (</w:t>
      </w:r>
      <w:hyperlink r:id="rId20" w:history="1">
        <w:r w:rsidRPr="00BD5DBD">
          <w:rPr>
            <w:rStyle w:val="Hyperlink"/>
            <w:szCs w:val="22"/>
          </w:rPr>
          <w:t>PI</w:t>
        </w:r>
      </w:hyperlink>
      <w:r w:rsidRPr="00BD5DBD">
        <w:rPr>
          <w:szCs w:val="22"/>
        </w:rPr>
        <w:t>) approved with the submission which is described in this AusPAR can be found as Attachment 1. For the most recent PI</w:t>
      </w:r>
      <w:r w:rsidR="00A93DC6" w:rsidRPr="00BD5DBD">
        <w:rPr>
          <w:szCs w:val="22"/>
        </w:rPr>
        <w:t xml:space="preserve"> and </w:t>
      </w:r>
      <w:hyperlink r:id="rId21" w:history="1">
        <w:r w:rsidR="00A93DC6" w:rsidRPr="00BD5DBD">
          <w:rPr>
            <w:rStyle w:val="Hyperlink"/>
            <w:szCs w:val="22"/>
          </w:rPr>
          <w:t>Consumer Medicines Information</w:t>
        </w:r>
      </w:hyperlink>
      <w:r w:rsidR="00A93DC6" w:rsidRPr="00BD5DBD">
        <w:rPr>
          <w:szCs w:val="22"/>
        </w:rPr>
        <w:t xml:space="preserve"> (CMI)</w:t>
      </w:r>
      <w:r w:rsidRPr="00BD5DBD">
        <w:rPr>
          <w:szCs w:val="22"/>
        </w:rPr>
        <w:t xml:space="preserve">, please refer to the TGA </w:t>
      </w:r>
      <w:hyperlink r:id="rId22" w:history="1">
        <w:r w:rsidRPr="00BD5DBD">
          <w:rPr>
            <w:rStyle w:val="Hyperlink"/>
            <w:szCs w:val="22"/>
          </w:rPr>
          <w:t>PI/CMI search facility.</w:t>
        </w:r>
      </w:hyperlink>
    </w:p>
    <w:p w14:paraId="6D92589C" w14:textId="77777777" w:rsidR="00324B33" w:rsidRDefault="00324B33" w:rsidP="00324B33">
      <w:pPr>
        <w:pStyle w:val="Heading2"/>
      </w:pPr>
      <w:bookmarkStart w:id="26" w:name="_Toc103679293"/>
      <w:bookmarkStart w:id="27" w:name="_Toc135918977"/>
      <w:r>
        <w:t>Registration timeline</w:t>
      </w:r>
      <w:bookmarkEnd w:id="25"/>
      <w:bookmarkEnd w:id="26"/>
      <w:bookmarkEnd w:id="27"/>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72677AE6" w14:textId="5ACDB55F" w:rsidR="00535DFE" w:rsidRPr="00BD5DBD" w:rsidRDefault="00477C4E" w:rsidP="00324B33">
      <w:pPr>
        <w:rPr>
          <w:szCs w:val="22"/>
        </w:rPr>
      </w:pPr>
      <w:r w:rsidRPr="00BD5DBD">
        <w:rPr>
          <w:szCs w:val="22"/>
        </w:rPr>
        <w:t>This submission was evaluated under the</w:t>
      </w:r>
      <w:r w:rsidR="00535DFE" w:rsidRPr="00BD5DBD">
        <w:rPr>
          <w:szCs w:val="22"/>
        </w:rPr>
        <w:t xml:space="preserve"> </w:t>
      </w:r>
      <w:hyperlink r:id="rId23" w:anchor="process" w:history="1">
        <w:r w:rsidR="00535DFE" w:rsidRPr="00BD5DBD">
          <w:rPr>
            <w:rStyle w:val="Hyperlink"/>
            <w:szCs w:val="22"/>
          </w:rPr>
          <w:t>priority registration process</w:t>
        </w:r>
      </w:hyperlink>
      <w:r w:rsidR="00535DFE" w:rsidRPr="00BD5DBD">
        <w:rPr>
          <w:szCs w:val="22"/>
        </w:rPr>
        <w:t>.</w:t>
      </w:r>
    </w:p>
    <w:p w14:paraId="096B8688" w14:textId="5F70E745" w:rsidR="007072A1" w:rsidRPr="00A15BC4" w:rsidRDefault="00324B33" w:rsidP="00464A1F">
      <w:pPr>
        <w:pStyle w:val="TableTitle"/>
        <w:rPr>
          <w:rStyle w:val="Hyperlink"/>
          <w:bCs/>
          <w:i/>
          <w:iCs/>
          <w:color w:val="auto"/>
        </w:rPr>
      </w:pPr>
      <w:r>
        <w:t xml:space="preserve">Table </w:t>
      </w:r>
      <w:r w:rsidR="0013528C" w:rsidRPr="00681E40">
        <w:rPr>
          <w:b w:val="0"/>
          <w:bCs/>
        </w:rPr>
        <w:fldChar w:fldCharType="begin"/>
      </w:r>
      <w:r w:rsidR="0013528C" w:rsidRPr="00681E40">
        <w:rPr>
          <w:b w:val="0"/>
          <w:bCs/>
        </w:rPr>
        <w:instrText xml:space="preserve"> SEQ Table \* ARABIC </w:instrText>
      </w:r>
      <w:r w:rsidR="0013528C" w:rsidRPr="00681E40">
        <w:rPr>
          <w:b w:val="0"/>
          <w:bCs/>
        </w:rPr>
        <w:fldChar w:fldCharType="separate"/>
      </w:r>
      <w:r w:rsidR="001D123C">
        <w:rPr>
          <w:b w:val="0"/>
          <w:bCs/>
          <w:noProof/>
        </w:rPr>
        <w:t>3</w:t>
      </w:r>
      <w:r w:rsidR="0013528C" w:rsidRPr="00681E40">
        <w:rPr>
          <w:b w:val="0"/>
          <w:bCs/>
          <w:noProof/>
        </w:rPr>
        <w:fldChar w:fldCharType="end"/>
      </w:r>
      <w:r>
        <w:t>:</w:t>
      </w:r>
      <w:r w:rsidRPr="006A58A8">
        <w:t xml:space="preserve"> Timeline for Submission PM-20</w:t>
      </w:r>
      <w:r>
        <w:t>2</w:t>
      </w:r>
      <w:r w:rsidR="00A15BC4">
        <w:t>1</w:t>
      </w:r>
      <w:r w:rsidRPr="006A58A8">
        <w:t>-</w:t>
      </w:r>
      <w:r w:rsidR="00A15BC4">
        <w:t>05396</w:t>
      </w:r>
      <w:r w:rsidRPr="006A58A8">
        <w:t>-1-</w:t>
      </w:r>
      <w:r w:rsidR="00A15BC4">
        <w:t>2</w:t>
      </w:r>
    </w:p>
    <w:tbl>
      <w:tblPr>
        <w:tblStyle w:val="TableTGAblue2023"/>
        <w:tblW w:w="8642" w:type="dxa"/>
        <w:tblLook w:val="04A0" w:firstRow="1" w:lastRow="0" w:firstColumn="1" w:lastColumn="0" w:noHBand="0" w:noVBand="1"/>
      </w:tblPr>
      <w:tblGrid>
        <w:gridCol w:w="4390"/>
        <w:gridCol w:w="4252"/>
      </w:tblGrid>
      <w:tr w:rsidR="007072A1" w:rsidRPr="00D01DDB" w14:paraId="7429FB08" w14:textId="77777777" w:rsidTr="00745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1353B63" w14:textId="77777777" w:rsidR="007072A1" w:rsidRPr="00D01DDB" w:rsidRDefault="007072A1" w:rsidP="007452E8">
            <w:pPr>
              <w:rPr>
                <w:szCs w:val="22"/>
              </w:rPr>
            </w:pPr>
            <w:r w:rsidRPr="00D01DDB">
              <w:rPr>
                <w:szCs w:val="22"/>
              </w:rPr>
              <w:t>Description</w:t>
            </w:r>
          </w:p>
        </w:tc>
        <w:tc>
          <w:tcPr>
            <w:tcW w:w="4252" w:type="dxa"/>
          </w:tcPr>
          <w:p w14:paraId="12341C2F" w14:textId="77777777" w:rsidR="007072A1" w:rsidRPr="00D01DDB" w:rsidRDefault="007072A1" w:rsidP="007452E8">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7072A1" w:rsidRPr="00D01DDB" w14:paraId="1E0EA4B5" w14:textId="77777777" w:rsidTr="007452E8">
        <w:tc>
          <w:tcPr>
            <w:cnfStyle w:val="001000000000" w:firstRow="0" w:lastRow="0" w:firstColumn="1" w:lastColumn="0" w:oddVBand="0" w:evenVBand="0" w:oddHBand="0" w:evenHBand="0" w:firstRowFirstColumn="0" w:firstRowLastColumn="0" w:lastRowFirstColumn="0" w:lastRowLastColumn="0"/>
            <w:tcW w:w="4390" w:type="dxa"/>
          </w:tcPr>
          <w:p w14:paraId="09905872" w14:textId="6BBA7C55" w:rsidR="007072A1" w:rsidRPr="00A15BC4" w:rsidRDefault="007072A1" w:rsidP="00854D98">
            <w:pPr>
              <w:pStyle w:val="Instructions"/>
              <w:rPr>
                <w:i w:val="0"/>
                <w:iCs/>
              </w:rPr>
            </w:pPr>
            <w:r w:rsidRPr="00A15BC4">
              <w:rPr>
                <w:i w:val="0"/>
                <w:iCs/>
                <w:color w:val="auto"/>
              </w:rPr>
              <w:t>Designation (</w:t>
            </w:r>
            <w:r w:rsidR="007F50D3" w:rsidRPr="00A15BC4">
              <w:rPr>
                <w:i w:val="0"/>
                <w:iCs/>
                <w:color w:val="auto"/>
              </w:rPr>
              <w:t>Orphan</w:t>
            </w:r>
            <w:r w:rsidRPr="00A15BC4">
              <w:rPr>
                <w:i w:val="0"/>
                <w:iCs/>
                <w:color w:val="auto"/>
              </w:rPr>
              <w:t>)</w:t>
            </w:r>
          </w:p>
        </w:tc>
        <w:tc>
          <w:tcPr>
            <w:tcW w:w="4252" w:type="dxa"/>
          </w:tcPr>
          <w:p w14:paraId="019DCEAE" w14:textId="014B86F6" w:rsidR="007072A1" w:rsidRPr="00D01DDB" w:rsidRDefault="00A15BC4"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21 October 2021</w:t>
            </w:r>
          </w:p>
        </w:tc>
      </w:tr>
      <w:tr w:rsidR="007072A1" w:rsidRPr="00D01DDB" w14:paraId="0D1CC924" w14:textId="77777777" w:rsidTr="007452E8">
        <w:tc>
          <w:tcPr>
            <w:cnfStyle w:val="001000000000" w:firstRow="0" w:lastRow="0" w:firstColumn="1" w:lastColumn="0" w:oddVBand="0" w:evenVBand="0" w:oddHBand="0" w:evenHBand="0" w:firstRowFirstColumn="0" w:firstRowLastColumn="0" w:lastRowFirstColumn="0" w:lastRowLastColumn="0"/>
            <w:tcW w:w="4390" w:type="dxa"/>
          </w:tcPr>
          <w:p w14:paraId="5DBF8D15" w14:textId="77777777" w:rsidR="007072A1" w:rsidRPr="00D01DDB" w:rsidRDefault="007072A1" w:rsidP="007452E8">
            <w:pPr>
              <w:rPr>
                <w:szCs w:val="22"/>
              </w:rPr>
            </w:pPr>
            <w:r w:rsidRPr="00D01DDB">
              <w:rPr>
                <w:szCs w:val="22"/>
              </w:rPr>
              <w:t>Submission dossier accepted and first round evaluation commenced</w:t>
            </w:r>
          </w:p>
        </w:tc>
        <w:tc>
          <w:tcPr>
            <w:tcW w:w="4252" w:type="dxa"/>
          </w:tcPr>
          <w:p w14:paraId="1894520F" w14:textId="294CF060" w:rsidR="007072A1" w:rsidRPr="00D01DDB" w:rsidRDefault="00094500"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17 January</w:t>
            </w:r>
            <w:r w:rsidR="00A15BC4">
              <w:rPr>
                <w:szCs w:val="22"/>
              </w:rPr>
              <w:t xml:space="preserve"> 2022</w:t>
            </w:r>
          </w:p>
        </w:tc>
      </w:tr>
      <w:tr w:rsidR="007072A1" w:rsidRPr="00D01DDB" w14:paraId="1C772CA1" w14:textId="77777777" w:rsidTr="007452E8">
        <w:tc>
          <w:tcPr>
            <w:cnfStyle w:val="001000000000" w:firstRow="0" w:lastRow="0" w:firstColumn="1" w:lastColumn="0" w:oddVBand="0" w:evenVBand="0" w:oddHBand="0" w:evenHBand="0" w:firstRowFirstColumn="0" w:firstRowLastColumn="0" w:lastRowFirstColumn="0" w:lastRowLastColumn="0"/>
            <w:tcW w:w="4390" w:type="dxa"/>
          </w:tcPr>
          <w:p w14:paraId="5EA0BE18" w14:textId="77777777" w:rsidR="007072A1" w:rsidRPr="00D01DDB" w:rsidRDefault="007072A1" w:rsidP="007452E8">
            <w:pPr>
              <w:rPr>
                <w:szCs w:val="22"/>
              </w:rPr>
            </w:pPr>
            <w:r w:rsidRPr="00D01DDB">
              <w:rPr>
                <w:szCs w:val="22"/>
              </w:rPr>
              <w:t>Second round evaluation completed</w:t>
            </w:r>
          </w:p>
        </w:tc>
        <w:tc>
          <w:tcPr>
            <w:tcW w:w="4252" w:type="dxa"/>
          </w:tcPr>
          <w:p w14:paraId="57A97EED" w14:textId="1A54B8C8" w:rsidR="007072A1" w:rsidRPr="00D01DDB" w:rsidRDefault="002A69AD"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24 June 2022</w:t>
            </w:r>
          </w:p>
        </w:tc>
      </w:tr>
      <w:tr w:rsidR="007072A1" w:rsidRPr="00D01DDB" w14:paraId="55F8C6CF" w14:textId="77777777" w:rsidTr="007452E8">
        <w:tc>
          <w:tcPr>
            <w:cnfStyle w:val="001000000000" w:firstRow="0" w:lastRow="0" w:firstColumn="1" w:lastColumn="0" w:oddVBand="0" w:evenVBand="0" w:oddHBand="0" w:evenHBand="0" w:firstRowFirstColumn="0" w:firstRowLastColumn="0" w:lastRowFirstColumn="0" w:lastRowLastColumn="0"/>
            <w:tcW w:w="4390" w:type="dxa"/>
          </w:tcPr>
          <w:p w14:paraId="22F7F0DC" w14:textId="3233374A" w:rsidR="007072A1" w:rsidRPr="00D01DDB" w:rsidRDefault="007072A1" w:rsidP="007452E8">
            <w:pPr>
              <w:rPr>
                <w:szCs w:val="22"/>
              </w:rPr>
            </w:pPr>
            <w:r w:rsidRPr="00D01DDB">
              <w:rPr>
                <w:szCs w:val="22"/>
              </w:rPr>
              <w:t xml:space="preserve">Delegate’s Overall benefit-risk assessment </w:t>
            </w:r>
            <w:r w:rsidRPr="00A15BC4">
              <w:rPr>
                <w:color w:val="auto"/>
                <w:szCs w:val="22"/>
              </w:rPr>
              <w:t>and request for Advisory Committee advice</w:t>
            </w:r>
          </w:p>
        </w:tc>
        <w:tc>
          <w:tcPr>
            <w:tcW w:w="4252" w:type="dxa"/>
          </w:tcPr>
          <w:p w14:paraId="1CDFEFA1" w14:textId="21746C24" w:rsidR="007072A1" w:rsidRPr="00D01DDB" w:rsidRDefault="002A69AD"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4 July 2022</w:t>
            </w:r>
          </w:p>
        </w:tc>
      </w:tr>
      <w:tr w:rsidR="007072A1" w:rsidRPr="00D01DDB" w14:paraId="71BF9C99" w14:textId="77777777" w:rsidTr="007452E8">
        <w:tc>
          <w:tcPr>
            <w:cnfStyle w:val="001000000000" w:firstRow="0" w:lastRow="0" w:firstColumn="1" w:lastColumn="0" w:oddVBand="0" w:evenVBand="0" w:oddHBand="0" w:evenHBand="0" w:firstRowFirstColumn="0" w:firstRowLastColumn="0" w:lastRowFirstColumn="0" w:lastRowLastColumn="0"/>
            <w:tcW w:w="4390" w:type="dxa"/>
          </w:tcPr>
          <w:p w14:paraId="43EFCC70" w14:textId="77777777" w:rsidR="007072A1" w:rsidRPr="00D01DDB" w:rsidRDefault="007072A1" w:rsidP="007452E8">
            <w:pPr>
              <w:rPr>
                <w:szCs w:val="22"/>
              </w:rPr>
            </w:pPr>
            <w:r w:rsidRPr="00D01DDB">
              <w:rPr>
                <w:szCs w:val="22"/>
              </w:rPr>
              <w:t>Sponsor’s pre-Advisory Committee response</w:t>
            </w:r>
          </w:p>
        </w:tc>
        <w:tc>
          <w:tcPr>
            <w:tcW w:w="4252" w:type="dxa"/>
          </w:tcPr>
          <w:p w14:paraId="6182CB56" w14:textId="1A8841F3" w:rsidR="007072A1" w:rsidRPr="00D01DDB" w:rsidRDefault="00A15BC4"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18 July 2022</w:t>
            </w:r>
          </w:p>
        </w:tc>
      </w:tr>
      <w:tr w:rsidR="007072A1" w:rsidRPr="00D01DDB" w14:paraId="008A0804" w14:textId="77777777" w:rsidTr="007452E8">
        <w:tc>
          <w:tcPr>
            <w:cnfStyle w:val="001000000000" w:firstRow="0" w:lastRow="0" w:firstColumn="1" w:lastColumn="0" w:oddVBand="0" w:evenVBand="0" w:oddHBand="0" w:evenHBand="0" w:firstRowFirstColumn="0" w:firstRowLastColumn="0" w:lastRowFirstColumn="0" w:lastRowLastColumn="0"/>
            <w:tcW w:w="4390" w:type="dxa"/>
          </w:tcPr>
          <w:p w14:paraId="5EE78B2C" w14:textId="77777777" w:rsidR="007072A1" w:rsidRPr="00D01DDB" w:rsidRDefault="007072A1" w:rsidP="007452E8">
            <w:pPr>
              <w:rPr>
                <w:szCs w:val="22"/>
              </w:rPr>
            </w:pPr>
            <w:r w:rsidRPr="00D01DDB">
              <w:rPr>
                <w:szCs w:val="22"/>
              </w:rPr>
              <w:t>Advisory Committee meeting</w:t>
            </w:r>
          </w:p>
        </w:tc>
        <w:tc>
          <w:tcPr>
            <w:tcW w:w="4252" w:type="dxa"/>
          </w:tcPr>
          <w:p w14:paraId="73D2FEE8" w14:textId="5D9B24DE" w:rsidR="007072A1" w:rsidRPr="00D01DDB" w:rsidRDefault="002A69AD"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4 and 5 August 2022</w:t>
            </w:r>
          </w:p>
        </w:tc>
      </w:tr>
      <w:tr w:rsidR="007072A1" w:rsidRPr="00D01DDB" w14:paraId="14FAD894" w14:textId="77777777" w:rsidTr="007452E8">
        <w:tc>
          <w:tcPr>
            <w:cnfStyle w:val="001000000000" w:firstRow="0" w:lastRow="0" w:firstColumn="1" w:lastColumn="0" w:oddVBand="0" w:evenVBand="0" w:oddHBand="0" w:evenHBand="0" w:firstRowFirstColumn="0" w:firstRowLastColumn="0" w:lastRowFirstColumn="0" w:lastRowLastColumn="0"/>
            <w:tcW w:w="4390" w:type="dxa"/>
          </w:tcPr>
          <w:p w14:paraId="4A622D23" w14:textId="77777777" w:rsidR="007072A1" w:rsidRPr="00D01DDB" w:rsidRDefault="007072A1" w:rsidP="007452E8">
            <w:pPr>
              <w:rPr>
                <w:szCs w:val="22"/>
              </w:rPr>
            </w:pPr>
            <w:r w:rsidRPr="00D01DDB">
              <w:rPr>
                <w:szCs w:val="22"/>
              </w:rPr>
              <w:t>Registration decision (Outcome)</w:t>
            </w:r>
          </w:p>
        </w:tc>
        <w:tc>
          <w:tcPr>
            <w:tcW w:w="4252" w:type="dxa"/>
          </w:tcPr>
          <w:p w14:paraId="336A6D96" w14:textId="60C281CB" w:rsidR="007072A1" w:rsidRPr="00D01DDB" w:rsidRDefault="002A69AD"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27 September 2022</w:t>
            </w:r>
          </w:p>
        </w:tc>
      </w:tr>
      <w:tr w:rsidR="007072A1" w:rsidRPr="00D01DDB" w14:paraId="4FFA7E18" w14:textId="77777777" w:rsidTr="007452E8">
        <w:tc>
          <w:tcPr>
            <w:cnfStyle w:val="001000000000" w:firstRow="0" w:lastRow="0" w:firstColumn="1" w:lastColumn="0" w:oddVBand="0" w:evenVBand="0" w:oddHBand="0" w:evenHBand="0" w:firstRowFirstColumn="0" w:firstRowLastColumn="0" w:lastRowFirstColumn="0" w:lastRowLastColumn="0"/>
            <w:tcW w:w="4390" w:type="dxa"/>
          </w:tcPr>
          <w:p w14:paraId="76536B5F" w14:textId="250D6A3C" w:rsidR="007072A1" w:rsidRPr="00D01DDB" w:rsidRDefault="0013132F" w:rsidP="007452E8">
            <w:pPr>
              <w:rPr>
                <w:szCs w:val="22"/>
              </w:rPr>
            </w:pPr>
            <w:r>
              <w:t>Administrative activities and registration on the ARTG completed</w:t>
            </w:r>
          </w:p>
        </w:tc>
        <w:tc>
          <w:tcPr>
            <w:tcW w:w="4252" w:type="dxa"/>
          </w:tcPr>
          <w:p w14:paraId="794B11E5" w14:textId="04AEC939" w:rsidR="007072A1" w:rsidRPr="00D01DDB" w:rsidRDefault="002A69AD"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7 October 2022</w:t>
            </w:r>
          </w:p>
        </w:tc>
      </w:tr>
      <w:tr w:rsidR="007072A1" w:rsidRPr="00D01DDB" w14:paraId="6324C4A7" w14:textId="77777777" w:rsidTr="007452E8">
        <w:tc>
          <w:tcPr>
            <w:cnfStyle w:val="001000000000" w:firstRow="0" w:lastRow="0" w:firstColumn="1" w:lastColumn="0" w:oddVBand="0" w:evenVBand="0" w:oddHBand="0" w:evenHBand="0" w:firstRowFirstColumn="0" w:firstRowLastColumn="0" w:lastRowFirstColumn="0" w:lastRowLastColumn="0"/>
            <w:tcW w:w="4390" w:type="dxa"/>
          </w:tcPr>
          <w:p w14:paraId="57C43AF4" w14:textId="77777777" w:rsidR="007072A1" w:rsidRPr="00A9519A" w:rsidRDefault="007072A1" w:rsidP="007452E8">
            <w:pPr>
              <w:rPr>
                <w:szCs w:val="22"/>
              </w:rPr>
            </w:pPr>
            <w:r w:rsidRPr="00A9519A">
              <w:rPr>
                <w:szCs w:val="22"/>
              </w:rPr>
              <w:t>Number of working days from submission dossier acceptance to registration decision*</w:t>
            </w:r>
          </w:p>
        </w:tc>
        <w:tc>
          <w:tcPr>
            <w:tcW w:w="4252" w:type="dxa"/>
          </w:tcPr>
          <w:p w14:paraId="1E16937C" w14:textId="568F5E7D" w:rsidR="007072A1" w:rsidRPr="00A9519A" w:rsidRDefault="002A69AD" w:rsidP="007452E8">
            <w:pPr>
              <w:cnfStyle w:val="000000000000" w:firstRow="0" w:lastRow="0" w:firstColumn="0" w:lastColumn="0" w:oddVBand="0" w:evenVBand="0" w:oddHBand="0" w:evenHBand="0" w:firstRowFirstColumn="0" w:firstRowLastColumn="0" w:lastRowFirstColumn="0" w:lastRowLastColumn="0"/>
              <w:rPr>
                <w:szCs w:val="22"/>
              </w:rPr>
            </w:pPr>
            <w:r w:rsidRPr="00A9519A">
              <w:rPr>
                <w:szCs w:val="22"/>
              </w:rPr>
              <w:t>155</w:t>
            </w:r>
          </w:p>
        </w:tc>
      </w:tr>
    </w:tbl>
    <w:p w14:paraId="4909D74A" w14:textId="71D76268" w:rsidR="00C22214" w:rsidRDefault="00C22214" w:rsidP="00854D98">
      <w:pPr>
        <w:pStyle w:val="TableDescription"/>
      </w:pPr>
      <w:r>
        <w:t>*Target timeframe for priority submissions is 150 working days from acceptance for evaluation to the decision.</w:t>
      </w:r>
    </w:p>
    <w:p w14:paraId="220925F1" w14:textId="77777777" w:rsidR="00C22214" w:rsidRPr="00792A32" w:rsidRDefault="00C22214" w:rsidP="00C22214">
      <w:pPr>
        <w:pStyle w:val="Heading2"/>
      </w:pPr>
      <w:bookmarkStart w:id="28" w:name="_Toc196046504"/>
      <w:bookmarkStart w:id="29" w:name="_Toc247691527"/>
      <w:bookmarkStart w:id="30" w:name="_Toc314842510"/>
      <w:bookmarkStart w:id="31" w:name="_Toc103679294"/>
      <w:bookmarkStart w:id="32" w:name="_Toc135918978"/>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28"/>
      <w:bookmarkEnd w:id="29"/>
      <w:bookmarkEnd w:id="30"/>
      <w:bookmarkEnd w:id="31"/>
      <w:bookmarkEnd w:id="32"/>
    </w:p>
    <w:p w14:paraId="540151FC" w14:textId="77777777" w:rsidR="00C22214" w:rsidRPr="00BD5DBD" w:rsidRDefault="00C22214" w:rsidP="00BD5DBD">
      <w:pPr>
        <w:rPr>
          <w:szCs w:val="22"/>
        </w:rPr>
      </w:pPr>
      <w:bookmarkStart w:id="33" w:name="_Toc247691528"/>
      <w:bookmarkStart w:id="34" w:name="_Toc314842511"/>
      <w:r w:rsidRPr="00BD5DBD">
        <w:rPr>
          <w:szCs w:val="22"/>
        </w:rPr>
        <w:t>A summary of the TGA’s assessment for this submission is provided below.</w:t>
      </w:r>
    </w:p>
    <w:p w14:paraId="37F5A1C0" w14:textId="77777777" w:rsidR="00C22214" w:rsidRDefault="00C22214" w:rsidP="00C22214">
      <w:pPr>
        <w:pStyle w:val="Heading3"/>
      </w:pPr>
      <w:bookmarkStart w:id="35" w:name="_Toc103679295"/>
      <w:bookmarkStart w:id="36" w:name="_Toc135918979"/>
      <w:r>
        <w:t>Quality</w:t>
      </w:r>
      <w:bookmarkEnd w:id="33"/>
      <w:bookmarkEnd w:id="34"/>
      <w:bookmarkEnd w:id="35"/>
      <w:bookmarkEnd w:id="36"/>
    </w:p>
    <w:p w14:paraId="29A3BB75" w14:textId="0E6A0E22" w:rsidR="00A01C56" w:rsidRDefault="00536BA3" w:rsidP="00536BA3">
      <w:proofErr w:type="spellStart"/>
      <w:r w:rsidRPr="00536BA3">
        <w:t>Maribavir</w:t>
      </w:r>
      <w:proofErr w:type="spellEnd"/>
      <w:r w:rsidRPr="00536BA3">
        <w:t xml:space="preserve"> is a member of a new class of drugs, benzimidazole ribosides, which attach to the </w:t>
      </w:r>
      <w:r w:rsidR="00D7562C">
        <w:t xml:space="preserve">human cytomegalovirus </w:t>
      </w:r>
      <w:r w:rsidRPr="00536BA3">
        <w:t>pUL97</w:t>
      </w:r>
      <w:r w:rsidR="00D7562C">
        <w:t>-</w:t>
      </w:r>
      <w:r w:rsidRPr="00536BA3">
        <w:t>encoded serine/threonine kinase at the adenosine triphosphate binding site, inhibiting phosphotransferase required for a variety of essential virus processes such as viral DNA assembly and egress of viral capsids from the nucleus of the infected cells.</w:t>
      </w:r>
      <w:r w:rsidR="00D7562C" w:rsidRPr="00D7562C">
        <w:t xml:space="preserve"> </w:t>
      </w:r>
      <w:r w:rsidR="00D7562C">
        <w:t xml:space="preserve">The skeletal structure of </w:t>
      </w:r>
      <w:proofErr w:type="spellStart"/>
      <w:r w:rsidR="00D7562C">
        <w:t>maribavir</w:t>
      </w:r>
      <w:proofErr w:type="spellEnd"/>
      <w:r w:rsidR="00D7562C">
        <w:t xml:space="preserve"> is shown below in </w:t>
      </w:r>
      <w:r w:rsidR="00D7562C">
        <w:fldChar w:fldCharType="begin"/>
      </w:r>
      <w:r w:rsidR="00D7562C">
        <w:instrText xml:space="preserve"> REF _Ref132197366 \h </w:instrText>
      </w:r>
      <w:r w:rsidR="00D7562C">
        <w:fldChar w:fldCharType="separate"/>
      </w:r>
      <w:r w:rsidR="001D123C">
        <w:t xml:space="preserve">Figure </w:t>
      </w:r>
      <w:r w:rsidR="001D123C">
        <w:rPr>
          <w:noProof/>
        </w:rPr>
        <w:t>2</w:t>
      </w:r>
      <w:r w:rsidR="00D7562C">
        <w:fldChar w:fldCharType="end"/>
      </w:r>
      <w:r w:rsidR="00D7562C">
        <w:t>.</w:t>
      </w:r>
    </w:p>
    <w:p w14:paraId="7A6AF17A" w14:textId="199F83B4" w:rsidR="00536BA3" w:rsidRDefault="00536BA3" w:rsidP="00536BA3">
      <w:proofErr w:type="spellStart"/>
      <w:r>
        <w:lastRenderedPageBreak/>
        <w:t>Livtencity</w:t>
      </w:r>
      <w:proofErr w:type="spellEnd"/>
      <w:r>
        <w:t xml:space="preserve"> is an immediate release blue, film coated, oval shaped, convex tablet. The tablets are packaged in a bottle with child resistant closure. Each container contains 28 or 56 tablets, corresponding to </w:t>
      </w:r>
      <w:r w:rsidR="00C519C1">
        <w:t>one</w:t>
      </w:r>
      <w:r>
        <w:t xml:space="preserve"> and </w:t>
      </w:r>
      <w:r w:rsidR="00C519C1">
        <w:t>two</w:t>
      </w:r>
      <w:r>
        <w:t xml:space="preserve"> week treatment periods, respectively.</w:t>
      </w:r>
    </w:p>
    <w:p w14:paraId="16E07C05" w14:textId="388728E9" w:rsidR="00536BA3" w:rsidRPr="00536BA3" w:rsidRDefault="00536BA3" w:rsidP="00536BA3">
      <w:r>
        <w:t xml:space="preserve">The recommended dose of </w:t>
      </w:r>
      <w:proofErr w:type="spellStart"/>
      <w:r>
        <w:t>Livtencity</w:t>
      </w:r>
      <w:proofErr w:type="spellEnd"/>
      <w:r>
        <w:t xml:space="preserve"> is 400 mg (two 200 mg tablets) twice daily resulting in a daily dose of 800 mg, to be taken with or without food.</w:t>
      </w:r>
    </w:p>
    <w:p w14:paraId="07E8AF99" w14:textId="570FFD79" w:rsidR="00932EF5" w:rsidRDefault="00932EF5" w:rsidP="00C519C1">
      <w:pPr>
        <w:pStyle w:val="FigureTitle"/>
        <w:keepNext/>
        <w:rPr>
          <w:szCs w:val="22"/>
        </w:rPr>
      </w:pPr>
      <w:bookmarkStart w:id="37" w:name="_Ref132197366"/>
      <w:r>
        <w:t xml:space="preserve">Figure </w:t>
      </w:r>
      <w:r w:rsidR="00B24F8E">
        <w:fldChar w:fldCharType="begin"/>
      </w:r>
      <w:r w:rsidR="00B24F8E">
        <w:instrText xml:space="preserve"> SEQ Figure \* ARABIC </w:instrText>
      </w:r>
      <w:r w:rsidR="00B24F8E">
        <w:fldChar w:fldCharType="separate"/>
      </w:r>
      <w:r w:rsidR="001D123C">
        <w:rPr>
          <w:noProof/>
        </w:rPr>
        <w:t>2</w:t>
      </w:r>
      <w:r w:rsidR="00B24F8E">
        <w:rPr>
          <w:noProof/>
        </w:rPr>
        <w:fldChar w:fldCharType="end"/>
      </w:r>
      <w:bookmarkEnd w:id="37"/>
      <w:r>
        <w:t xml:space="preserve">: Chemical structure of </w:t>
      </w:r>
      <w:proofErr w:type="spellStart"/>
      <w:r>
        <w:t>maribavir</w:t>
      </w:r>
      <w:proofErr w:type="spellEnd"/>
    </w:p>
    <w:p w14:paraId="04191742" w14:textId="152F631C" w:rsidR="00932EF5" w:rsidRDefault="00932EF5" w:rsidP="00637F0E">
      <w:pPr>
        <w:rPr>
          <w:szCs w:val="22"/>
        </w:rPr>
      </w:pPr>
      <w:r w:rsidRPr="00932EF5">
        <w:rPr>
          <w:noProof/>
          <w:szCs w:val="22"/>
          <w:lang w:val="en-GB" w:eastAsia="en-GB"/>
        </w:rPr>
        <w:drawing>
          <wp:inline distT="0" distB="0" distL="0" distR="0" wp14:anchorId="5314211C" wp14:editId="0D0CB8CA">
            <wp:extent cx="2679590" cy="2033814"/>
            <wp:effectExtent l="0" t="0" r="6985" b="5080"/>
            <wp:docPr id="3" name="Picture 3" descr="Chemical structure of maribav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emical structure of maribavi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9925" cy="2041658"/>
                    </a:xfrm>
                    <a:prstGeom prst="rect">
                      <a:avLst/>
                    </a:prstGeom>
                    <a:noFill/>
                    <a:ln>
                      <a:noFill/>
                    </a:ln>
                  </pic:spPr>
                </pic:pic>
              </a:graphicData>
            </a:graphic>
          </wp:inline>
        </w:drawing>
      </w:r>
    </w:p>
    <w:p w14:paraId="55F9E88F" w14:textId="1A673D89" w:rsidR="00536BA3" w:rsidRPr="00BD5DBD" w:rsidRDefault="00D7562C" w:rsidP="00637F0E">
      <w:pPr>
        <w:rPr>
          <w:szCs w:val="22"/>
        </w:rPr>
      </w:pPr>
      <w:r>
        <w:rPr>
          <w:szCs w:val="22"/>
        </w:rPr>
        <w:t>Following the TGA evaluation of this product, a</w:t>
      </w:r>
      <w:r w:rsidR="00536BA3" w:rsidRPr="00536BA3">
        <w:rPr>
          <w:szCs w:val="22"/>
        </w:rPr>
        <w:t>pproval is recommended from a pharmaceutical chemistry and quality control aspect.</w:t>
      </w:r>
    </w:p>
    <w:p w14:paraId="2BE90AAE" w14:textId="77777777" w:rsidR="00C22214" w:rsidRDefault="00C22214" w:rsidP="00C22214">
      <w:pPr>
        <w:pStyle w:val="Heading3"/>
      </w:pPr>
      <w:bookmarkStart w:id="38" w:name="_Toc314842512"/>
      <w:bookmarkStart w:id="39" w:name="_Toc103679296"/>
      <w:bookmarkStart w:id="40" w:name="_Toc135918980"/>
      <w:r>
        <w:t>Nonclinical</w:t>
      </w:r>
      <w:bookmarkEnd w:id="38"/>
      <w:bookmarkEnd w:id="39"/>
      <w:bookmarkEnd w:id="40"/>
    </w:p>
    <w:p w14:paraId="3CECF99A" w14:textId="05B07BB4" w:rsidR="00AF078C" w:rsidRPr="00AF078C" w:rsidRDefault="00AF078C" w:rsidP="00AF078C">
      <w:bookmarkStart w:id="41" w:name="_Toc247691530"/>
      <w:bookmarkStart w:id="42" w:name="_Toc314842513"/>
      <w:bookmarkStart w:id="43" w:name="_Toc103679297"/>
      <w:r w:rsidRPr="00AF078C">
        <w:t>Repeat dose toxicity studies by oral route were conducted in mice (13 weeks), rats (up to 6</w:t>
      </w:r>
      <w:r w:rsidR="00D7562C">
        <w:t> </w:t>
      </w:r>
      <w:r w:rsidRPr="00AF078C">
        <w:t xml:space="preserve">months) and Cynomolgus monkeys (up to 12 months) but maximum exposures to </w:t>
      </w:r>
      <w:proofErr w:type="spellStart"/>
      <w:r w:rsidRPr="00AF078C">
        <w:t>maribavir</w:t>
      </w:r>
      <w:proofErr w:type="spellEnd"/>
      <w:r w:rsidRPr="00AF078C">
        <w:t xml:space="preserve"> were low (ranging from 0.02 to 1.3). In rats and monkeys the main target organ was the gastrointestinal tract. This manifested as diarrhoea and, at post-mortem as inflammation and/or mucosal cell hyperplasia in large and small intestine in rats and the large intestine in monkeys. The pathological changes were generally mild symptoms, prolonged </w:t>
      </w:r>
      <w:proofErr w:type="gramStart"/>
      <w:r w:rsidRPr="00AF078C">
        <w:t>diarrhoea</w:t>
      </w:r>
      <w:proofErr w:type="gramEnd"/>
      <w:r w:rsidRPr="00AF078C">
        <w:t xml:space="preserve"> and dehydration but severe at higher doses leading to death or to animals being euthani</w:t>
      </w:r>
      <w:r w:rsidR="00C519C1">
        <w:t>s</w:t>
      </w:r>
      <w:r w:rsidRPr="00AF078C">
        <w:t xml:space="preserve">ed prematurely in extremis. Haematological changes suggested regenerative anaemia in rats and primates at subclinical exposures. The toxicity of </w:t>
      </w:r>
      <w:proofErr w:type="spellStart"/>
      <w:r w:rsidRPr="00AF078C">
        <w:t>maribavir</w:t>
      </w:r>
      <w:proofErr w:type="spellEnd"/>
      <w:r w:rsidRPr="00AF078C">
        <w:t xml:space="preserve"> was the limiting factor for the range of doses that could be investigated in repeat dose studies, so that the exposure ratios in most studies were less than the expected clinical exposure. Therefore, it is unlikely that the toxicity of </w:t>
      </w:r>
      <w:proofErr w:type="spellStart"/>
      <w:r w:rsidRPr="00AF078C">
        <w:t>maribavir</w:t>
      </w:r>
      <w:proofErr w:type="spellEnd"/>
      <w:r w:rsidRPr="00AF078C">
        <w:t xml:space="preserve"> has been fully elucidated.</w:t>
      </w:r>
    </w:p>
    <w:p w14:paraId="6A3060C2" w14:textId="77777777" w:rsidR="00AF078C" w:rsidRPr="00AF078C" w:rsidRDefault="00AF078C" w:rsidP="00AF078C">
      <w:proofErr w:type="spellStart"/>
      <w:r w:rsidRPr="00AF078C">
        <w:t>Maribavir</w:t>
      </w:r>
      <w:proofErr w:type="spellEnd"/>
      <w:r w:rsidRPr="00AF078C">
        <w:t xml:space="preserve"> was not mutagenic in bacterial mutation assay or clastogenic </w:t>
      </w:r>
      <w:r w:rsidRPr="003D071B">
        <w:rPr>
          <w:i/>
          <w:iCs/>
        </w:rPr>
        <w:t>in vivo</w:t>
      </w:r>
      <w:r w:rsidRPr="00AF078C">
        <w:t xml:space="preserve">. However, </w:t>
      </w:r>
      <w:proofErr w:type="spellStart"/>
      <w:r w:rsidRPr="00AF078C">
        <w:t>maribavir</w:t>
      </w:r>
      <w:proofErr w:type="spellEnd"/>
      <w:r w:rsidRPr="00AF078C">
        <w:t xml:space="preserve"> demonstrated mutagenic potential in the absence of metabolic activation in the mouse lymphoma assay. The toxicology evaluators were of the view that the negative results of </w:t>
      </w:r>
      <w:r w:rsidRPr="003D071B">
        <w:rPr>
          <w:i/>
          <w:iCs/>
        </w:rPr>
        <w:t>in vivo</w:t>
      </w:r>
      <w:r w:rsidRPr="00AF078C">
        <w:t xml:space="preserve"> rat micronucleus assay and negative bacterial mutation assay indicate negligible genotoxic potential considering the proposed short duration of treatment in humans.</w:t>
      </w:r>
    </w:p>
    <w:p w14:paraId="5CFCEE2F" w14:textId="5E864E14" w:rsidR="00AF078C" w:rsidRPr="00AF078C" w:rsidRDefault="00AF078C" w:rsidP="00AF078C">
      <w:r w:rsidRPr="00AF078C">
        <w:t xml:space="preserve">Some small treatment related increases in </w:t>
      </w:r>
      <w:r w:rsidR="00C519C1" w:rsidRPr="00AF078C">
        <w:t>tumour</w:t>
      </w:r>
      <w:r w:rsidRPr="00AF078C">
        <w:t xml:space="preserve"> incidence were observed in the </w:t>
      </w:r>
      <w:r w:rsidR="00C519C1">
        <w:t>two</w:t>
      </w:r>
      <w:r w:rsidR="003D071B">
        <w:t xml:space="preserve"> </w:t>
      </w:r>
      <w:r w:rsidRPr="00AF078C">
        <w:t>year oral carcinogenicity studies in mice and rats. There was an increase in the incidence of vascular tumo</w:t>
      </w:r>
      <w:r w:rsidR="00D7562C">
        <w:t>u</w:t>
      </w:r>
      <w:r w:rsidRPr="00AF078C">
        <w:t xml:space="preserve">rs in male mice and an elevated incidence of glandular </w:t>
      </w:r>
      <w:r w:rsidR="00D7562C" w:rsidRPr="00AF078C">
        <w:t>tumours</w:t>
      </w:r>
      <w:r w:rsidRPr="00AF078C">
        <w:t xml:space="preserve"> of the uterus in female mice. The toxicology evaluators were of the view that these effects were overall of borderline significance and unlikely to pose a carcinogenic hazard given the short duration of the proposed use in humans.</w:t>
      </w:r>
    </w:p>
    <w:p w14:paraId="6E4A56A4" w14:textId="616E3D1D" w:rsidR="00AF078C" w:rsidRPr="00AF078C" w:rsidRDefault="00AF078C" w:rsidP="00AF078C">
      <w:r w:rsidRPr="00AF078C">
        <w:t>No effects on fertility or reproductive performance were noted in rats in a combined fertility and embryofetal development study. However, a decrease in sperm straight</w:t>
      </w:r>
      <w:r w:rsidR="00C519C1">
        <w:t xml:space="preserve"> </w:t>
      </w:r>
      <w:r w:rsidRPr="00AF078C">
        <w:t xml:space="preserve">line velocity was </w:t>
      </w:r>
      <w:r w:rsidRPr="00AF078C">
        <w:lastRenderedPageBreak/>
        <w:t xml:space="preserve">observed at doses </w:t>
      </w:r>
      <w:r w:rsidR="00C519C1">
        <w:t>greater or equal to</w:t>
      </w:r>
      <w:r w:rsidR="00BD5360">
        <w:t xml:space="preserve"> </w:t>
      </w:r>
      <w:r w:rsidRPr="00AF078C">
        <w:t>100 mg/kg/day (</w:t>
      </w:r>
      <w:r w:rsidR="00C519C1">
        <w:t>e</w:t>
      </w:r>
      <w:r w:rsidRPr="00AF078C">
        <w:t xml:space="preserve">xposure ratios </w:t>
      </w:r>
      <w:r w:rsidR="00C519C1">
        <w:t xml:space="preserve">via area under </w:t>
      </w:r>
      <w:r w:rsidR="00D7562C">
        <w:t xml:space="preserve">the </w:t>
      </w:r>
      <w:r w:rsidR="00C519C1">
        <w:t>concentration time curve (</w:t>
      </w:r>
      <w:r w:rsidRPr="00AF078C">
        <w:t xml:space="preserve">AUC) </w:t>
      </w:r>
      <w:r w:rsidR="00D7562C">
        <w:t xml:space="preserve">of </w:t>
      </w:r>
      <w:r w:rsidR="00BD5360">
        <w:t xml:space="preserve">about </w:t>
      </w:r>
      <w:r w:rsidRPr="00AF078C">
        <w:t xml:space="preserve">1). </w:t>
      </w:r>
      <w:proofErr w:type="spellStart"/>
      <w:r w:rsidRPr="00AF078C">
        <w:t>Maribavir</w:t>
      </w:r>
      <w:proofErr w:type="spellEnd"/>
      <w:r w:rsidRPr="00AF078C">
        <w:t xml:space="preserve"> reduced embryofetal survival and increased pre- and post-implantation losses at doses </w:t>
      </w:r>
      <w:r w:rsidR="00C519C1">
        <w:t>greater than</w:t>
      </w:r>
      <w:r w:rsidR="00BD5360">
        <w:t xml:space="preserve"> </w:t>
      </w:r>
      <w:r w:rsidRPr="00AF078C">
        <w:t>100 mg/kg. In the pre- and post</w:t>
      </w:r>
      <w:r w:rsidR="00C519C1">
        <w:t>-</w:t>
      </w:r>
      <w:r w:rsidRPr="00AF078C">
        <w:t xml:space="preserve">natal developmental toxicity study in rats, decreased pup survival associated with a delay in developmental milestones was observed at doses </w:t>
      </w:r>
      <w:r w:rsidR="00C519C1">
        <w:t>greater than</w:t>
      </w:r>
      <w:r w:rsidR="00BD5360">
        <w:t xml:space="preserve"> </w:t>
      </w:r>
      <w:r w:rsidRPr="00AF078C">
        <w:t xml:space="preserve">150 mg/kg/day. Studies in juvenile rats did not reveal any novel toxicity targets. There was no indication of greater sensitivity of juvenile animals to the effects of </w:t>
      </w:r>
      <w:proofErr w:type="spellStart"/>
      <w:r w:rsidRPr="00AF078C">
        <w:t>maribavir</w:t>
      </w:r>
      <w:proofErr w:type="spellEnd"/>
      <w:r w:rsidRPr="00AF078C">
        <w:t xml:space="preserve"> (</w:t>
      </w:r>
      <w:r w:rsidR="00C519C1">
        <w:t>e</w:t>
      </w:r>
      <w:r w:rsidRPr="00AF078C">
        <w:t xml:space="preserve">xposure ratios (AUC) </w:t>
      </w:r>
      <w:r w:rsidR="00BD5360">
        <w:t xml:space="preserve">about </w:t>
      </w:r>
      <w:r w:rsidRPr="00AF078C">
        <w:t xml:space="preserve">1). However, the </w:t>
      </w:r>
      <w:r w:rsidR="00D7562C">
        <w:t xml:space="preserve">TGA’s </w:t>
      </w:r>
      <w:r w:rsidRPr="00AF078C">
        <w:t xml:space="preserve">toxicology </w:t>
      </w:r>
      <w:r w:rsidR="00D7562C">
        <w:t>evaluation</w:t>
      </w:r>
      <w:r w:rsidR="00D7562C" w:rsidRPr="00AF078C">
        <w:t xml:space="preserve"> </w:t>
      </w:r>
      <w:r w:rsidRPr="00AF078C">
        <w:t xml:space="preserve">recommend </w:t>
      </w:r>
      <w:r w:rsidR="00BD5360">
        <w:t>p</w:t>
      </w:r>
      <w:r w:rsidRPr="00AF078C">
        <w:t xml:space="preserve">regnancy </w:t>
      </w:r>
      <w:r w:rsidR="00BD5360">
        <w:t>c</w:t>
      </w:r>
      <w:r w:rsidRPr="00AF078C">
        <w:t>ategory D</w:t>
      </w:r>
      <w:r w:rsidR="00BD5360">
        <w:t>;</w:t>
      </w:r>
      <w:r w:rsidR="00BD5360">
        <w:rPr>
          <w:rStyle w:val="FootnoteReference"/>
        </w:rPr>
        <w:footnoteReference w:id="4"/>
      </w:r>
      <w:r w:rsidRPr="00AF078C">
        <w:t xml:space="preserve"> rather than </w:t>
      </w:r>
      <w:r w:rsidR="00D7562C">
        <w:t xml:space="preserve">category </w:t>
      </w:r>
      <w:r w:rsidRPr="00AF078C">
        <w:t>C</w:t>
      </w:r>
      <w:r w:rsidR="00BD5360">
        <w:t>;</w:t>
      </w:r>
      <w:r w:rsidR="00BD5360">
        <w:rPr>
          <w:rStyle w:val="FootnoteReference"/>
        </w:rPr>
        <w:footnoteReference w:id="5"/>
      </w:r>
      <w:r w:rsidRPr="00AF078C">
        <w:t xml:space="preserve"> </w:t>
      </w:r>
      <w:r w:rsidR="00D7562C">
        <w:t xml:space="preserve">that has been </w:t>
      </w:r>
      <w:r w:rsidRPr="00AF078C">
        <w:t>proposed by the sponsor.</w:t>
      </w:r>
    </w:p>
    <w:p w14:paraId="34EABC0D" w14:textId="77777777" w:rsidR="00AF078C" w:rsidRPr="00AF078C" w:rsidRDefault="00AF078C" w:rsidP="00AF078C">
      <w:proofErr w:type="spellStart"/>
      <w:r w:rsidRPr="00AF078C">
        <w:t>Maribavir</w:t>
      </w:r>
      <w:proofErr w:type="spellEnd"/>
      <w:r w:rsidRPr="00AF078C">
        <w:t xml:space="preserve"> showed no evidence of skin irritation but was an ocular irritant. </w:t>
      </w:r>
      <w:proofErr w:type="spellStart"/>
      <w:r w:rsidRPr="00AF078C">
        <w:t>Maribavir</w:t>
      </w:r>
      <w:proofErr w:type="spellEnd"/>
      <w:r w:rsidRPr="00AF078C">
        <w:t xml:space="preserve"> did not show evidence of antigenicity or phototoxicity.</w:t>
      </w:r>
    </w:p>
    <w:p w14:paraId="2C3D1CE9" w14:textId="1F61F644" w:rsidR="00AF078C" w:rsidRPr="00AF078C" w:rsidRDefault="00AF078C" w:rsidP="00AF078C">
      <w:r w:rsidRPr="00AF078C">
        <w:t xml:space="preserve">Overall, the dossier was compliant with the relevant </w:t>
      </w:r>
      <w:r w:rsidR="00A9519A" w:rsidRPr="00A9519A">
        <w:t>International Council for Harmonisation</w:t>
      </w:r>
      <w:r w:rsidRPr="00AF078C">
        <w:t xml:space="preserve"> guideline and the quality of the dossier was considered adequate.</w:t>
      </w:r>
    </w:p>
    <w:p w14:paraId="165176AD" w14:textId="5D2B784C" w:rsidR="00AF078C" w:rsidRPr="00BD5DBD" w:rsidRDefault="00D7562C" w:rsidP="00AF078C">
      <w:r>
        <w:t>Following the TGA’s nonclinical evaluation of this product, t</w:t>
      </w:r>
      <w:r w:rsidR="00AF078C" w:rsidRPr="00AF078C">
        <w:t>here are no nonclinical objections to registration given the proposed indication and duration of treatment.</w:t>
      </w:r>
    </w:p>
    <w:p w14:paraId="35B580A5" w14:textId="69B9BE44" w:rsidR="00C22214" w:rsidRDefault="00C22214" w:rsidP="008804CF">
      <w:pPr>
        <w:pStyle w:val="Heading3"/>
      </w:pPr>
      <w:bookmarkStart w:id="44" w:name="_Toc135918981"/>
      <w:r>
        <w:t>Clinical</w:t>
      </w:r>
      <w:bookmarkEnd w:id="41"/>
      <w:bookmarkEnd w:id="42"/>
      <w:bookmarkEnd w:id="43"/>
      <w:bookmarkEnd w:id="44"/>
    </w:p>
    <w:p w14:paraId="32B0DEDA" w14:textId="77777777" w:rsidR="00C22214" w:rsidRPr="00433318" w:rsidRDefault="00C22214" w:rsidP="00433318">
      <w:pPr>
        <w:pStyle w:val="Heading4"/>
      </w:pPr>
      <w:bookmarkStart w:id="45" w:name="_Toc98931928"/>
      <w:bookmarkStart w:id="46" w:name="_Toc135918982"/>
      <w:r>
        <w:t>Summary of clinical studies</w:t>
      </w:r>
      <w:bookmarkEnd w:id="45"/>
      <w:bookmarkEnd w:id="46"/>
    </w:p>
    <w:p w14:paraId="46622364" w14:textId="2C728F95" w:rsidR="00C22214" w:rsidRPr="00BD5DBD" w:rsidRDefault="00C22214" w:rsidP="00C22214">
      <w:pPr>
        <w:rPr>
          <w:szCs w:val="22"/>
        </w:rPr>
      </w:pPr>
      <w:r w:rsidRPr="00BD5DBD">
        <w:rPr>
          <w:szCs w:val="22"/>
        </w:rPr>
        <w:t>The clinical dossier consisted of</w:t>
      </w:r>
      <w:r w:rsidR="007357B9" w:rsidRPr="00BD5DBD">
        <w:rPr>
          <w:szCs w:val="22"/>
        </w:rPr>
        <w:t>:</w:t>
      </w:r>
      <w:r w:rsidRPr="00BD5DBD">
        <w:rPr>
          <w:szCs w:val="22"/>
        </w:rPr>
        <w:t xml:space="preserve"> </w:t>
      </w:r>
    </w:p>
    <w:p w14:paraId="64CF398F" w14:textId="67B2D1A0" w:rsidR="007D63C3" w:rsidRPr="007D63C3" w:rsidRDefault="007D63C3" w:rsidP="007D63C3">
      <w:pPr>
        <w:pStyle w:val="ListBullet"/>
      </w:pPr>
      <w:bookmarkStart w:id="47" w:name="_Toc314842514"/>
      <w:r w:rsidRPr="007D63C3">
        <w:t xml:space="preserve">A suite of 17 </w:t>
      </w:r>
      <w:r w:rsidR="00681E40">
        <w:t xml:space="preserve">Phase </w:t>
      </w:r>
      <w:r w:rsidR="00D7562C">
        <w:t>I</w:t>
      </w:r>
      <w:r w:rsidR="00681E40">
        <w:t xml:space="preserve"> </w:t>
      </w:r>
      <w:r w:rsidRPr="007D63C3">
        <w:t>clinical pharmacology studies including pharmacokinetics (PK), food effect, renal impairment study, hepatic impairment study and drug interactions studies.</w:t>
      </w:r>
    </w:p>
    <w:p w14:paraId="7CE019A2" w14:textId="5099F2BE" w:rsidR="007D63C3" w:rsidRPr="007D63C3" w:rsidRDefault="007D63C3" w:rsidP="007D63C3">
      <w:pPr>
        <w:pStyle w:val="ListBullet"/>
      </w:pPr>
      <w:r w:rsidRPr="007D63C3">
        <w:t xml:space="preserve">Two population PK analyses, </w:t>
      </w:r>
      <w:r>
        <w:t>two</w:t>
      </w:r>
      <w:r w:rsidRPr="007D63C3">
        <w:t xml:space="preserve"> physiologically based PK modelling and </w:t>
      </w:r>
      <w:r w:rsidR="00C519C1">
        <w:t>two</w:t>
      </w:r>
      <w:r w:rsidR="00D7562C">
        <w:t> </w:t>
      </w:r>
      <w:r w:rsidRPr="007D63C3">
        <w:t>PK</w:t>
      </w:r>
      <w:r w:rsidR="00D7562C">
        <w:noBreakHyphen/>
      </w:r>
      <w:r>
        <w:t>pharmacodynamic (</w:t>
      </w:r>
      <w:r w:rsidRPr="007D63C3">
        <w:t>PD</w:t>
      </w:r>
      <w:r>
        <w:t>)</w:t>
      </w:r>
      <w:r w:rsidRPr="007D63C3">
        <w:t xml:space="preserve"> analyses.</w:t>
      </w:r>
    </w:p>
    <w:p w14:paraId="3C445144" w14:textId="0D76B03F" w:rsidR="007D63C3" w:rsidRPr="007D63C3" w:rsidRDefault="007D63C3" w:rsidP="007D63C3">
      <w:pPr>
        <w:pStyle w:val="ListBullet"/>
      </w:pPr>
      <w:r w:rsidRPr="007D63C3">
        <w:t xml:space="preserve">Two supportive Phase </w:t>
      </w:r>
      <w:r>
        <w:t>II</w:t>
      </w:r>
      <w:r w:rsidRPr="007D63C3">
        <w:t xml:space="preserve"> dose ranging studies (</w:t>
      </w:r>
      <w:r>
        <w:t>S</w:t>
      </w:r>
      <w:r w:rsidRPr="007D63C3">
        <w:t>tud</w:t>
      </w:r>
      <w:r w:rsidR="004C681A">
        <w:t>ies</w:t>
      </w:r>
      <w:r w:rsidRPr="007D63C3">
        <w:t xml:space="preserve"> </w:t>
      </w:r>
      <w:r w:rsidR="004C681A">
        <w:t>SHP620-</w:t>
      </w:r>
      <w:r w:rsidRPr="007D63C3">
        <w:t xml:space="preserve">202 and </w:t>
      </w:r>
      <w:r w:rsidR="004C681A">
        <w:t>SHP620-</w:t>
      </w:r>
      <w:r w:rsidRPr="007D63C3">
        <w:t>203</w:t>
      </w:r>
      <w:r w:rsidR="004C681A">
        <w:t xml:space="preserve"> (abbreviated as Studies 202 and 203 respectively</w:t>
      </w:r>
      <w:r w:rsidRPr="007D63C3">
        <w:t xml:space="preserve">) and one pivotal Phase </w:t>
      </w:r>
      <w:r>
        <w:t>III</w:t>
      </w:r>
      <w:r w:rsidRPr="007D63C3">
        <w:t xml:space="preserve"> efficacy study (</w:t>
      </w:r>
      <w:r>
        <w:t>S</w:t>
      </w:r>
      <w:r w:rsidRPr="007D63C3">
        <w:t xml:space="preserve">tudy </w:t>
      </w:r>
      <w:r w:rsidR="004C681A">
        <w:t>SHP620-</w:t>
      </w:r>
      <w:r w:rsidRPr="007D63C3">
        <w:t>303</w:t>
      </w:r>
      <w:r w:rsidR="004C681A">
        <w:t>, abbreviated as Study 303</w:t>
      </w:r>
      <w:r w:rsidRPr="007D63C3">
        <w:t>).</w:t>
      </w:r>
    </w:p>
    <w:p w14:paraId="23EE6975" w14:textId="4E0AAB33" w:rsidR="007D63C3" w:rsidRDefault="007D63C3" w:rsidP="007D63C3">
      <w:pPr>
        <w:pStyle w:val="ListBullet"/>
      </w:pPr>
      <w:r w:rsidRPr="007D63C3">
        <w:t xml:space="preserve">Reports of </w:t>
      </w:r>
      <w:r>
        <w:t xml:space="preserve">three </w:t>
      </w:r>
      <w:r w:rsidRPr="007D63C3">
        <w:t>clinical trials (</w:t>
      </w:r>
      <w:r>
        <w:t>S</w:t>
      </w:r>
      <w:r w:rsidRPr="007D63C3">
        <w:t xml:space="preserve">tudies </w:t>
      </w:r>
      <w:r w:rsidR="004C681A">
        <w:t>SHP620-</w:t>
      </w:r>
      <w:r w:rsidRPr="007D63C3">
        <w:t xml:space="preserve">200, </w:t>
      </w:r>
      <w:r w:rsidR="004C681A">
        <w:t>-</w:t>
      </w:r>
      <w:r w:rsidRPr="007D63C3">
        <w:t xml:space="preserve">300 and </w:t>
      </w:r>
      <w:r w:rsidR="004C681A">
        <w:t>-</w:t>
      </w:r>
      <w:r w:rsidRPr="007D63C3">
        <w:t xml:space="preserve">301) in CMV prevention were </w:t>
      </w:r>
      <w:r w:rsidR="00D7562C">
        <w:t xml:space="preserve">also submitted but were </w:t>
      </w:r>
      <w:r w:rsidRPr="007D63C3">
        <w:t>not directly relevant to this submission.</w:t>
      </w:r>
    </w:p>
    <w:p w14:paraId="385D135A" w14:textId="77777777" w:rsidR="007D63C3" w:rsidRPr="00B328EF" w:rsidRDefault="007D63C3" w:rsidP="007D63C3">
      <w:pPr>
        <w:pStyle w:val="Heading4"/>
      </w:pPr>
      <w:bookmarkStart w:id="48" w:name="_Toc135918983"/>
      <w:r>
        <w:t>Pharmacokinetics</w:t>
      </w:r>
      <w:bookmarkEnd w:id="48"/>
    </w:p>
    <w:p w14:paraId="65BC3FA1" w14:textId="1D54089A" w:rsidR="007D63C3" w:rsidRDefault="007D63C3" w:rsidP="007D63C3">
      <w:r w:rsidRPr="007D63C3">
        <w:rPr>
          <w:i/>
          <w:iCs/>
        </w:rPr>
        <w:t>In vitro</w:t>
      </w:r>
      <w:r w:rsidRPr="00453FD6">
        <w:t xml:space="preserve">, </w:t>
      </w:r>
      <w:proofErr w:type="spellStart"/>
      <w:r w:rsidRPr="00453FD6">
        <w:t>maribavir</w:t>
      </w:r>
      <w:proofErr w:type="spellEnd"/>
      <w:r w:rsidRPr="00453FD6">
        <w:t xml:space="preserve"> is a substrate of P-glycoprotein, organic ion transporter 1, breast cancer resistance protein, uridine diphosphate-glucuronosyltransferase (UGT)1A1, UGT1A3, UGT2B7, and possibly UGT1A9.</w:t>
      </w:r>
    </w:p>
    <w:p w14:paraId="01E1FED3" w14:textId="30D3EE95" w:rsidR="007D63C3" w:rsidRPr="00453FD6" w:rsidRDefault="007D63C3" w:rsidP="007D63C3">
      <w:proofErr w:type="spellStart"/>
      <w:r w:rsidRPr="00453FD6">
        <w:lastRenderedPageBreak/>
        <w:t>Maribavir</w:t>
      </w:r>
      <w:proofErr w:type="spellEnd"/>
      <w:r w:rsidRPr="00453FD6">
        <w:t xml:space="preserve"> is primarily eliminated by hepatic metabolism via CYP3A4</w:t>
      </w:r>
      <w:r w:rsidR="004E3AD8">
        <w:t>;</w:t>
      </w:r>
      <w:bookmarkStart w:id="49" w:name="_Ref135823631"/>
      <w:r w:rsidR="004E3AD8">
        <w:rPr>
          <w:rStyle w:val="FootnoteReference"/>
        </w:rPr>
        <w:footnoteReference w:id="6"/>
      </w:r>
      <w:bookmarkEnd w:id="49"/>
      <w:r w:rsidRPr="00453FD6">
        <w:t xml:space="preserve"> (fraction metabolised at least 35%), with secondary contribution from CYP1A2 (fraction metabolised </w:t>
      </w:r>
      <w:r w:rsidR="004E3AD8">
        <w:t>less than</w:t>
      </w:r>
      <w:r>
        <w:t xml:space="preserve"> </w:t>
      </w:r>
      <w:r w:rsidRPr="00453FD6">
        <w:t xml:space="preserve">25%). Renal </w:t>
      </w:r>
      <w:r>
        <w:t>c</w:t>
      </w:r>
      <w:r w:rsidRPr="00453FD6">
        <w:t xml:space="preserve">learance of </w:t>
      </w:r>
      <w:proofErr w:type="spellStart"/>
      <w:r w:rsidRPr="00453FD6">
        <w:t>maribavir</w:t>
      </w:r>
      <w:proofErr w:type="spellEnd"/>
      <w:r w:rsidRPr="00453FD6">
        <w:t xml:space="preserve"> is negligible.</w:t>
      </w:r>
    </w:p>
    <w:p w14:paraId="55F99761" w14:textId="661E5A00" w:rsidR="007D63C3" w:rsidRDefault="007D63C3" w:rsidP="007D63C3">
      <w:r w:rsidRPr="00453FD6">
        <w:t xml:space="preserve">The </w:t>
      </w:r>
      <w:r>
        <w:t xml:space="preserve">main </w:t>
      </w:r>
      <w:proofErr w:type="spellStart"/>
      <w:r w:rsidRPr="00453FD6">
        <w:t>maribavir</w:t>
      </w:r>
      <w:proofErr w:type="spellEnd"/>
      <w:r w:rsidRPr="00453FD6">
        <w:t xml:space="preserve"> metabolic pathways include</w:t>
      </w:r>
      <w:r>
        <w:t>s</w:t>
      </w:r>
      <w:r w:rsidRPr="00453FD6">
        <w:t xml:space="preserve"> N-dealkylation of the isopropyl moiety to form VP44469 </w:t>
      </w:r>
      <w:r>
        <w:t xml:space="preserve">(also called </w:t>
      </w:r>
      <w:r w:rsidR="00930D01">
        <w:t xml:space="preserve">metabolite </w:t>
      </w:r>
      <w:r>
        <w:t xml:space="preserve">M4) </w:t>
      </w:r>
      <w:r w:rsidRPr="00453FD6">
        <w:t xml:space="preserve">followed by glucuronide conjugation to yield </w:t>
      </w:r>
      <w:r w:rsidR="00930D01">
        <w:t xml:space="preserve">metabolite </w:t>
      </w:r>
      <w:r w:rsidRPr="00453FD6">
        <w:t>M1</w:t>
      </w:r>
      <w:r>
        <w:t>.</w:t>
      </w:r>
    </w:p>
    <w:p w14:paraId="63313CF4" w14:textId="77777777" w:rsidR="007D63C3" w:rsidRPr="00453FD6" w:rsidRDefault="007D63C3" w:rsidP="007D63C3">
      <w:r w:rsidRPr="00453FD6">
        <w:t>In the mass balance study</w:t>
      </w:r>
      <w:r>
        <w:t xml:space="preserve">, </w:t>
      </w:r>
      <w:proofErr w:type="spellStart"/>
      <w:r w:rsidRPr="00453FD6">
        <w:t>maribavir</w:t>
      </w:r>
      <w:proofErr w:type="spellEnd"/>
      <w:r w:rsidRPr="00453FD6">
        <w:t xml:space="preserve"> </w:t>
      </w:r>
      <w:r>
        <w:t xml:space="preserve">and </w:t>
      </w:r>
      <w:r w:rsidRPr="00453FD6">
        <w:t>VP44469 accounted for 100% of radioactivity</w:t>
      </w:r>
      <w:r>
        <w:t xml:space="preserve"> in the plasma during first 24 hours of dosing</w:t>
      </w:r>
      <w:r w:rsidRPr="00453FD6">
        <w:t>.</w:t>
      </w:r>
    </w:p>
    <w:p w14:paraId="72FC4FE1" w14:textId="3BDAB9C3" w:rsidR="007D63C3" w:rsidRDefault="007D63C3" w:rsidP="007D63C3">
      <w:r w:rsidRPr="00453FD6">
        <w:t xml:space="preserve">The main metabolite identified in urine and faeces was VP44469. </w:t>
      </w:r>
      <w:r w:rsidR="00930D01">
        <w:t xml:space="preserve">Metabolites </w:t>
      </w:r>
      <w:r w:rsidRPr="00453FD6">
        <w:t>M1, M2, M3, M5 and M6 were identified as minor metabolites in urine, and no other metabolite than VP44469 was identified in faeces.</w:t>
      </w:r>
    </w:p>
    <w:p w14:paraId="66175B75" w14:textId="01BC3594" w:rsidR="007D63C3" w:rsidRDefault="007D63C3" w:rsidP="007D63C3">
      <w:r w:rsidRPr="00453FD6">
        <w:t xml:space="preserve">Absolute bioavailability </w:t>
      </w:r>
      <w:r w:rsidR="004E3AD8">
        <w:t xml:space="preserve">studies </w:t>
      </w:r>
      <w:proofErr w:type="gramStart"/>
      <w:r w:rsidRPr="00453FD6">
        <w:t>has</w:t>
      </w:r>
      <w:proofErr w:type="gramEnd"/>
      <w:r w:rsidRPr="00453FD6">
        <w:t xml:space="preserve"> not been </w:t>
      </w:r>
      <w:r w:rsidR="004E3AD8">
        <w:t>undertaken.</w:t>
      </w:r>
    </w:p>
    <w:p w14:paraId="291C789D" w14:textId="398C6F07" w:rsidR="007D63C3" w:rsidRDefault="007D63C3" w:rsidP="007D63C3">
      <w:r w:rsidRPr="00453FD6">
        <w:t xml:space="preserve">The formulation </w:t>
      </w:r>
      <w:r>
        <w:t xml:space="preserve">proposed for </w:t>
      </w:r>
      <w:r w:rsidRPr="00453FD6">
        <w:t>marke</w:t>
      </w:r>
      <w:r>
        <w:t>ting</w:t>
      </w:r>
      <w:r w:rsidRPr="00453FD6">
        <w:t xml:space="preserve"> </w:t>
      </w:r>
      <w:r>
        <w:t>(</w:t>
      </w:r>
      <w:r w:rsidRPr="00453FD6">
        <w:t>Tablet IV</w:t>
      </w:r>
      <w:r>
        <w:t xml:space="preserve">) </w:t>
      </w:r>
      <w:r w:rsidRPr="00453FD6">
        <w:t xml:space="preserve">was the </w:t>
      </w:r>
      <w:r>
        <w:t xml:space="preserve">version used in the </w:t>
      </w:r>
      <w:r w:rsidRPr="00453FD6">
        <w:t xml:space="preserve">pivotal Phase </w:t>
      </w:r>
      <w:r>
        <w:t>III</w:t>
      </w:r>
      <w:r w:rsidRPr="00453FD6">
        <w:t xml:space="preserve"> </w:t>
      </w:r>
      <w:r>
        <w:t>S</w:t>
      </w:r>
      <w:r w:rsidRPr="00453FD6">
        <w:t>tudy 303</w:t>
      </w:r>
      <w:r>
        <w:t>,</w:t>
      </w:r>
      <w:r w:rsidRPr="00453FD6">
        <w:t xml:space="preserve"> except for debossing.</w:t>
      </w:r>
    </w:p>
    <w:p w14:paraId="444BE219" w14:textId="77777777" w:rsidR="007D63C3" w:rsidRDefault="007D63C3" w:rsidP="007D63C3">
      <w:r w:rsidRPr="00453FD6">
        <w:t>Necessary bioequivalence between various formulations has been demonstrated.</w:t>
      </w:r>
    </w:p>
    <w:p w14:paraId="2E2DA25D" w14:textId="4B5BA140" w:rsidR="007D63C3" w:rsidRDefault="007D63C3" w:rsidP="007D63C3">
      <w:r>
        <w:t xml:space="preserve">The PK of </w:t>
      </w:r>
      <w:proofErr w:type="spellStart"/>
      <w:r>
        <w:t>maribavir</w:t>
      </w:r>
      <w:proofErr w:type="spellEnd"/>
      <w:r>
        <w:t xml:space="preserve"> is dose proportional following</w:t>
      </w:r>
      <w:r w:rsidRPr="00453FD6">
        <w:t xml:space="preserve"> single oral dose over the range of 50</w:t>
      </w:r>
      <w:r>
        <w:t xml:space="preserve"> </w:t>
      </w:r>
      <w:r w:rsidRPr="00453FD6">
        <w:t>mg to 1600</w:t>
      </w:r>
      <w:r>
        <w:t xml:space="preserve"> </w:t>
      </w:r>
      <w:r w:rsidRPr="00453FD6">
        <w:t>mg and multiple dos</w:t>
      </w:r>
      <w:r>
        <w:t>ing</w:t>
      </w:r>
      <w:r w:rsidRPr="00453FD6">
        <w:t xml:space="preserve"> from 300</w:t>
      </w:r>
      <w:r>
        <w:t xml:space="preserve"> mg</w:t>
      </w:r>
      <w:r w:rsidRPr="00453FD6">
        <w:t xml:space="preserve"> to 2400</w:t>
      </w:r>
      <w:r>
        <w:t xml:space="preserve"> </w:t>
      </w:r>
      <w:r w:rsidRPr="00453FD6">
        <w:t xml:space="preserve">mg </w:t>
      </w:r>
      <w:r>
        <w:t>daily</w:t>
      </w:r>
      <w:r w:rsidRPr="00453FD6">
        <w:t>.</w:t>
      </w:r>
    </w:p>
    <w:p w14:paraId="27BA95FD" w14:textId="7D090D79" w:rsidR="007D63C3" w:rsidRDefault="007D63C3" w:rsidP="007D63C3">
      <w:r>
        <w:t>A</w:t>
      </w:r>
      <w:r w:rsidRPr="00453FD6">
        <w:t xml:space="preserve"> moderately high fat meal decreased </w:t>
      </w:r>
      <w:proofErr w:type="spellStart"/>
      <w:r>
        <w:t>maribavir</w:t>
      </w:r>
      <w:proofErr w:type="spellEnd"/>
      <w:r>
        <w:t xml:space="preserve"> maximum concentration (</w:t>
      </w:r>
      <w:proofErr w:type="spellStart"/>
      <w:r w:rsidRPr="00453FD6">
        <w:t>C</w:t>
      </w:r>
      <w:r w:rsidRPr="007D63C3">
        <w:rPr>
          <w:vertAlign w:val="subscript"/>
        </w:rPr>
        <w:t>max</w:t>
      </w:r>
      <w:proofErr w:type="spellEnd"/>
      <w:r>
        <w:t>)</w:t>
      </w:r>
      <w:r w:rsidRPr="00453FD6">
        <w:t xml:space="preserve"> by 28%, </w:t>
      </w:r>
      <w:r>
        <w:t xml:space="preserve">and increased </w:t>
      </w:r>
      <w:r w:rsidR="00FD7B03">
        <w:t>time to reach maximum concentration (</w:t>
      </w:r>
      <w:proofErr w:type="spellStart"/>
      <w:r>
        <w:t>T</w:t>
      </w:r>
      <w:r w:rsidRPr="00FD7B03">
        <w:rPr>
          <w:vertAlign w:val="subscript"/>
        </w:rPr>
        <w:t>max</w:t>
      </w:r>
      <w:proofErr w:type="spellEnd"/>
      <w:r w:rsidR="00FD7B03">
        <w:t>)</w:t>
      </w:r>
      <w:r>
        <w:t xml:space="preserve"> by</w:t>
      </w:r>
      <w:r w:rsidRPr="00453FD6">
        <w:t xml:space="preserve"> 0.5</w:t>
      </w:r>
      <w:r>
        <w:t xml:space="preserve"> </w:t>
      </w:r>
      <w:r w:rsidRPr="00453FD6">
        <w:t xml:space="preserve">hour. In </w:t>
      </w:r>
      <w:r>
        <w:t>an</w:t>
      </w:r>
      <w:r w:rsidRPr="00453FD6">
        <w:t xml:space="preserve"> earlier exploratory food study with 100</w:t>
      </w:r>
      <w:r w:rsidR="00FD7B03">
        <w:t xml:space="preserve"> </w:t>
      </w:r>
      <w:r w:rsidRPr="00453FD6">
        <w:t>mg capsule formulation, a high fat meal decreased AUC and C</w:t>
      </w:r>
      <w:r w:rsidRPr="00FD7B03">
        <w:rPr>
          <w:vertAlign w:val="subscript"/>
        </w:rPr>
        <w:t>max</w:t>
      </w:r>
      <w:r w:rsidRPr="00453FD6">
        <w:t xml:space="preserve"> by 27% and 28% respectively and </w:t>
      </w:r>
      <w:r>
        <w:t>caused</w:t>
      </w:r>
      <w:r w:rsidRPr="00453FD6">
        <w:t xml:space="preserve"> 2</w:t>
      </w:r>
      <w:r>
        <w:t xml:space="preserve"> </w:t>
      </w:r>
      <w:r w:rsidRPr="00453FD6">
        <w:t xml:space="preserve">hour increase in </w:t>
      </w:r>
      <w:proofErr w:type="spellStart"/>
      <w:r w:rsidRPr="00453FD6">
        <w:t>T</w:t>
      </w:r>
      <w:r w:rsidRPr="00FD7B03">
        <w:rPr>
          <w:vertAlign w:val="subscript"/>
        </w:rPr>
        <w:t>max</w:t>
      </w:r>
      <w:proofErr w:type="spellEnd"/>
      <w:r>
        <w:t>.</w:t>
      </w:r>
    </w:p>
    <w:p w14:paraId="3C18DA56" w14:textId="522C91A2" w:rsidR="007D63C3" w:rsidRDefault="007D63C3" w:rsidP="007D63C3">
      <w:r>
        <w:t xml:space="preserve">The </w:t>
      </w:r>
      <w:r w:rsidRPr="00453FD6">
        <w:t>PK parameter</w:t>
      </w:r>
      <w:r>
        <w:t>s</w:t>
      </w:r>
      <w:r w:rsidRPr="00453FD6">
        <w:t xml:space="preserve"> </w:t>
      </w:r>
      <w:r>
        <w:t xml:space="preserve">are summarised in the </w:t>
      </w:r>
      <w:r w:rsidR="00FD7B03">
        <w:fldChar w:fldCharType="begin"/>
      </w:r>
      <w:r w:rsidR="00FD7B03">
        <w:instrText xml:space="preserve"> REF _Ref132280520 \h </w:instrText>
      </w:r>
      <w:r w:rsidR="00FD7B03">
        <w:fldChar w:fldCharType="separate"/>
      </w:r>
      <w:r w:rsidR="001D123C">
        <w:t xml:space="preserve">Table </w:t>
      </w:r>
      <w:r w:rsidR="001D123C">
        <w:rPr>
          <w:noProof/>
        </w:rPr>
        <w:t>4</w:t>
      </w:r>
      <w:r w:rsidR="00FD7B03">
        <w:fldChar w:fldCharType="end"/>
      </w:r>
      <w:r>
        <w:t xml:space="preserve"> below</w:t>
      </w:r>
      <w:r w:rsidR="004E3AD8">
        <w:t>.</w:t>
      </w:r>
    </w:p>
    <w:p w14:paraId="7D755B5D" w14:textId="77777777" w:rsidR="00957596" w:rsidRDefault="00FD7B03" w:rsidP="00A64D81">
      <w:pPr>
        <w:pStyle w:val="TableTitle"/>
      </w:pPr>
      <w:bookmarkStart w:id="50" w:name="_Ref132280520"/>
      <w:r>
        <w:lastRenderedPageBreak/>
        <w:t xml:space="preserve">Table </w:t>
      </w:r>
      <w:r w:rsidR="00B24F8E">
        <w:fldChar w:fldCharType="begin"/>
      </w:r>
      <w:r w:rsidR="00B24F8E">
        <w:instrText xml:space="preserve"> SEQ Table \* ARABIC </w:instrText>
      </w:r>
      <w:r w:rsidR="00B24F8E">
        <w:fldChar w:fldCharType="separate"/>
      </w:r>
      <w:r w:rsidR="001D123C">
        <w:rPr>
          <w:noProof/>
        </w:rPr>
        <w:t>4</w:t>
      </w:r>
      <w:r w:rsidR="00B24F8E">
        <w:rPr>
          <w:noProof/>
        </w:rPr>
        <w:fldChar w:fldCharType="end"/>
      </w:r>
      <w:bookmarkEnd w:id="50"/>
      <w:r>
        <w:t>:</w:t>
      </w:r>
      <w:r w:rsidR="00A64D81">
        <w:t xml:space="preserve"> Pharmacokinetic properties of </w:t>
      </w:r>
      <w:proofErr w:type="spellStart"/>
      <w:r w:rsidR="00A64D81">
        <w:t>maribavir</w:t>
      </w:r>
      <w:proofErr w:type="spellEnd"/>
    </w:p>
    <w:p w14:paraId="5B256921" w14:textId="2434177A" w:rsidR="00FD7B03" w:rsidRPr="00453FD6" w:rsidRDefault="00A64D81" w:rsidP="00957596">
      <w:r>
        <w:rPr>
          <w:noProof/>
          <w:lang w:val="en-GB" w:eastAsia="en-GB"/>
        </w:rPr>
        <w:drawing>
          <wp:inline distT="0" distB="0" distL="0" distR="0" wp14:anchorId="0B94A612" wp14:editId="1542F35A">
            <wp:extent cx="4444365" cy="3042920"/>
            <wp:effectExtent l="38100" t="57150" r="51435" b="43180"/>
            <wp:docPr id="8" name="Picture 8" descr="Pharmacokinetic properties of maribav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armacokinetic properties of maribavir"/>
                    <pic:cNvPicPr>
                      <a:picLocks noChangeAspect="1" noChangeArrowheads="1"/>
                    </pic:cNvPicPr>
                  </pic:nvPicPr>
                  <pic:blipFill rotWithShape="1">
                    <a:blip r:embed="rId25">
                      <a:extLst>
                        <a:ext uri="{28A0092B-C50C-407E-A947-70E740481C1C}">
                          <a14:useLocalDpi xmlns:a14="http://schemas.microsoft.com/office/drawing/2010/main" val="0"/>
                        </a:ext>
                      </a:extLst>
                    </a:blip>
                    <a:srcRect t="5318" r="2103" b="12893"/>
                    <a:stretch/>
                  </pic:blipFill>
                  <pic:spPr bwMode="auto">
                    <a:xfrm>
                      <a:off x="0" y="0"/>
                      <a:ext cx="4444365" cy="3042920"/>
                    </a:xfrm>
                    <a:prstGeom prst="rect">
                      <a:avLst/>
                    </a:prstGeom>
                    <a:noFill/>
                    <a:ln>
                      <a:noFill/>
                    </a:ln>
                    <a:scene3d>
                      <a:camera prst="orthographicFront"/>
                      <a:lightRig rig="threePt" dir="t"/>
                    </a:scene3d>
                    <a:sp3d>
                      <a:bevelB w="0" h="0"/>
                    </a:sp3d>
                    <a:extLst>
                      <a:ext uri="{53640926-AAD7-44D8-BBD7-CCE9431645EC}">
                        <a14:shadowObscured xmlns:a14="http://schemas.microsoft.com/office/drawing/2010/main"/>
                      </a:ext>
                    </a:extLst>
                  </pic:spPr>
                </pic:pic>
              </a:graphicData>
            </a:graphic>
          </wp:inline>
        </w:drawing>
      </w:r>
    </w:p>
    <w:p w14:paraId="207CDD66" w14:textId="751A377B" w:rsidR="007D63C3" w:rsidRDefault="00FD7B03" w:rsidP="00FD7B03">
      <w:pPr>
        <w:pStyle w:val="TableDescription"/>
      </w:pPr>
      <w:bookmarkStart w:id="51" w:name="3._OVERVIEW_OF_CLINICAL_PHARMACOLOGY"/>
      <w:bookmarkStart w:id="52" w:name="_bookmark12"/>
      <w:bookmarkStart w:id="53" w:name="Table_1._Summary_of_the_ADME_Properties_"/>
      <w:bookmarkStart w:id="54" w:name="_bookmark13"/>
      <w:bookmarkEnd w:id="51"/>
      <w:bookmarkEnd w:id="52"/>
      <w:bookmarkEnd w:id="53"/>
      <w:bookmarkEnd w:id="54"/>
      <w:proofErr w:type="spellStart"/>
      <w:r w:rsidRPr="00C53A1C">
        <w:rPr>
          <w:vertAlign w:val="superscript"/>
        </w:rPr>
        <w:t>a</w:t>
      </w:r>
      <w:proofErr w:type="spellEnd"/>
      <w:r>
        <w:t xml:space="preserve"> when taken orally with moderate fat meal versus fasted. The AUC</w:t>
      </w:r>
      <w:r w:rsidRPr="00FD7B03">
        <w:rPr>
          <w:vertAlign w:val="subscript"/>
        </w:rPr>
        <w:t>0-∞</w:t>
      </w:r>
      <w:r>
        <w:rPr>
          <w:vertAlign w:val="subscript"/>
        </w:rPr>
        <w:t xml:space="preserve"> </w:t>
      </w:r>
      <w:r>
        <w:t>and C</w:t>
      </w:r>
      <w:r w:rsidRPr="00C53A1C">
        <w:rPr>
          <w:vertAlign w:val="subscript"/>
        </w:rPr>
        <w:t>max</w:t>
      </w:r>
      <w:r>
        <w:t xml:space="preserve"> (geometric mean ratio [90% CI] of </w:t>
      </w:r>
      <w:proofErr w:type="spellStart"/>
      <w:r>
        <w:t>maribavir</w:t>
      </w:r>
      <w:proofErr w:type="spellEnd"/>
      <w:r>
        <w:t xml:space="preserve"> are 0.864 [0.804, 0.929] and 0.77 [0.656, 0.793], respectively.</w:t>
      </w:r>
    </w:p>
    <w:p w14:paraId="09CF59B4" w14:textId="16050693" w:rsidR="00FD7B03" w:rsidRDefault="00FD7B03" w:rsidP="00FD7B03">
      <w:pPr>
        <w:pStyle w:val="TableDescription"/>
      </w:pPr>
      <w:r w:rsidRPr="00C53A1C">
        <w:rPr>
          <w:vertAlign w:val="superscript"/>
        </w:rPr>
        <w:t>b</w:t>
      </w:r>
      <w:r>
        <w:t xml:space="preserve"> </w:t>
      </w:r>
      <w:r w:rsidRPr="00FD7B03">
        <w:rPr>
          <w:i/>
          <w:iCs/>
        </w:rPr>
        <w:t>In vitro</w:t>
      </w:r>
      <w:r>
        <w:t xml:space="preserve"> studies have shown that </w:t>
      </w:r>
      <w:proofErr w:type="spellStart"/>
      <w:r>
        <w:t>m</w:t>
      </w:r>
      <w:r w:rsidR="00564174">
        <w:t>a</w:t>
      </w:r>
      <w:r>
        <w:t>ribavir</w:t>
      </w:r>
      <w:proofErr w:type="spellEnd"/>
      <w:r>
        <w:t xml:space="preserve"> is </w:t>
      </w:r>
      <w:proofErr w:type="spellStart"/>
      <w:r>
        <w:t>biotransformed</w:t>
      </w:r>
      <w:proofErr w:type="spellEnd"/>
      <w:r>
        <w:t xml:space="preserve"> into a major circulating inactive metabolite: VP 44469 (N-dealkylated metabolite), with a metabolic rate of 0.15 to 0.2.</w:t>
      </w:r>
    </w:p>
    <w:p w14:paraId="2C67D318" w14:textId="5583793A" w:rsidR="00FD7B03" w:rsidRDefault="00FD7B03" w:rsidP="00FD7B03">
      <w:pPr>
        <w:pStyle w:val="TableDescription"/>
      </w:pPr>
      <w:r w:rsidRPr="00C53A1C">
        <w:rPr>
          <w:vertAlign w:val="superscript"/>
        </w:rPr>
        <w:t>c</w:t>
      </w:r>
      <w:r>
        <w:t xml:space="preserve"> Dosing in mass balance study: single-dose administration of [</w:t>
      </w:r>
      <w:r w:rsidRPr="00A64D81">
        <w:rPr>
          <w:vertAlign w:val="superscript"/>
        </w:rPr>
        <w:t>14</w:t>
      </w:r>
      <w:r>
        <w:t xml:space="preserve">C] </w:t>
      </w:r>
      <w:proofErr w:type="spellStart"/>
      <w:r>
        <w:t>maribavir</w:t>
      </w:r>
      <w:proofErr w:type="spellEnd"/>
      <w:r>
        <w:t xml:space="preserve"> oral solution 400 mg containing 200 </w:t>
      </w:r>
      <w:proofErr w:type="spellStart"/>
      <w:r>
        <w:t>nCi</w:t>
      </w:r>
      <w:proofErr w:type="spellEnd"/>
      <w:r>
        <w:t xml:space="preserve"> of total radioactivity.</w:t>
      </w:r>
    </w:p>
    <w:p w14:paraId="2FCE76C5" w14:textId="102C3149" w:rsidR="004E3AD8" w:rsidRPr="00FD7B03" w:rsidRDefault="004E3AD8" w:rsidP="00FD7B03">
      <w:pPr>
        <w:pStyle w:val="TableDescription"/>
      </w:pPr>
      <w:r>
        <w:t xml:space="preserve">Source: </w:t>
      </w:r>
      <w:r w:rsidR="00930D01">
        <w:t xml:space="preserve">US </w:t>
      </w:r>
      <w:r w:rsidRPr="004E3AD8">
        <w:t xml:space="preserve">FDA approved </w:t>
      </w:r>
      <w:r>
        <w:t>l</w:t>
      </w:r>
      <w:r w:rsidRPr="004E3AD8">
        <w:t>abel</w:t>
      </w:r>
      <w:r>
        <w:t>;</w:t>
      </w:r>
      <w:bookmarkStart w:id="55" w:name="_Ref132798495"/>
      <w:r w:rsidR="001D123C">
        <w:fldChar w:fldCharType="begin"/>
      </w:r>
      <w:r w:rsidR="001D123C">
        <w:instrText xml:space="preserve"> NOTEREF _Ref135823441 \f \h </w:instrText>
      </w:r>
      <w:r w:rsidR="001D123C">
        <w:fldChar w:fldCharType="separate"/>
      </w:r>
      <w:r w:rsidR="001D123C" w:rsidRPr="001D123C">
        <w:rPr>
          <w:rStyle w:val="FootnoteReference"/>
        </w:rPr>
        <w:t>3</w:t>
      </w:r>
      <w:r w:rsidR="001D123C">
        <w:fldChar w:fldCharType="end"/>
      </w:r>
      <w:bookmarkEnd w:id="55"/>
    </w:p>
    <w:p w14:paraId="714668D2" w14:textId="510538F0" w:rsidR="007D63C3" w:rsidRPr="00453FD6" w:rsidRDefault="007D63C3" w:rsidP="007D63C3">
      <w:r w:rsidRPr="00453FD6">
        <w:t>Following 400</w:t>
      </w:r>
      <w:r w:rsidR="00A64D81">
        <w:t xml:space="preserve"> </w:t>
      </w:r>
      <w:r w:rsidRPr="00453FD6">
        <w:t>mg twice daily dosing in transplant patients with CMV infections, steady</w:t>
      </w:r>
      <w:r w:rsidR="00A64D81">
        <w:t xml:space="preserve"> </w:t>
      </w:r>
      <w:r w:rsidRPr="00453FD6">
        <w:t xml:space="preserve">state was reached within </w:t>
      </w:r>
      <w:r w:rsidR="00A64D81">
        <w:t>two</w:t>
      </w:r>
      <w:r w:rsidRPr="00453FD6">
        <w:t xml:space="preserve"> days of dosing. Accumulation was low (range 1.24 to 1.49).</w:t>
      </w:r>
    </w:p>
    <w:p w14:paraId="3530272B" w14:textId="36BF56A4" w:rsidR="007D63C3" w:rsidRPr="00453FD6" w:rsidRDefault="007D63C3" w:rsidP="00E62AE7">
      <w:pPr>
        <w:pStyle w:val="Heading5"/>
      </w:pPr>
      <w:r>
        <w:t>P</w:t>
      </w:r>
      <w:r w:rsidR="00E62AE7">
        <w:t>harmacokinetics</w:t>
      </w:r>
      <w:r>
        <w:t xml:space="preserve"> in s</w:t>
      </w:r>
      <w:r w:rsidRPr="00453FD6">
        <w:t xml:space="preserve">pecial </w:t>
      </w:r>
      <w:r>
        <w:t>p</w:t>
      </w:r>
      <w:r w:rsidRPr="00453FD6">
        <w:t>opulations</w:t>
      </w:r>
    </w:p>
    <w:p w14:paraId="135B5F3C" w14:textId="0EEA6E2D" w:rsidR="007D63C3" w:rsidRDefault="007D63C3" w:rsidP="007D63C3">
      <w:r w:rsidRPr="00453FD6">
        <w:t>The s</w:t>
      </w:r>
      <w:r>
        <w:t>ystemic</w:t>
      </w:r>
      <w:r w:rsidRPr="00453FD6">
        <w:t xml:space="preserve"> exposures </w:t>
      </w:r>
      <w:r>
        <w:t xml:space="preserve">at steady state </w:t>
      </w:r>
      <w:r w:rsidRPr="00453FD6">
        <w:t xml:space="preserve">were 27% and 5% higher (AUC </w:t>
      </w:r>
      <w:r w:rsidR="004E3AD8">
        <w:t>and</w:t>
      </w:r>
      <w:r w:rsidRPr="00453FD6">
        <w:t xml:space="preserve"> C</w:t>
      </w:r>
      <w:r w:rsidRPr="00E62AE7">
        <w:rPr>
          <w:vertAlign w:val="subscript"/>
        </w:rPr>
        <w:t>max</w:t>
      </w:r>
      <w:r>
        <w:t xml:space="preserve"> </w:t>
      </w:r>
      <w:r w:rsidRPr="00453FD6">
        <w:t>respectively</w:t>
      </w:r>
      <w:r>
        <w:t>)</w:t>
      </w:r>
      <w:r w:rsidRPr="00453FD6">
        <w:t xml:space="preserve"> in transplant patients compared to healthy subjects. No clinically relevant impact on </w:t>
      </w:r>
      <w:proofErr w:type="spellStart"/>
      <w:r w:rsidRPr="00453FD6">
        <w:t>maribavir</w:t>
      </w:r>
      <w:proofErr w:type="spellEnd"/>
      <w:r w:rsidRPr="00453FD6">
        <w:t xml:space="preserve"> </w:t>
      </w:r>
      <w:r w:rsidR="00930D01">
        <w:t>pharmacokinetics (PK)</w:t>
      </w:r>
      <w:r w:rsidR="00930D01" w:rsidRPr="00453FD6">
        <w:t xml:space="preserve"> </w:t>
      </w:r>
      <w:r>
        <w:t>was noted for</w:t>
      </w:r>
      <w:r w:rsidRPr="00453FD6">
        <w:t xml:space="preserve"> age (18</w:t>
      </w:r>
      <w:r w:rsidR="00E62AE7">
        <w:t xml:space="preserve"> to </w:t>
      </w:r>
      <w:r w:rsidRPr="00453FD6">
        <w:t>79 years), gender, race, ethnicity, weight (36 to 141 kg) or transplant type (</w:t>
      </w:r>
      <w:r w:rsidR="00E62AE7">
        <w:t>h</w:t>
      </w:r>
      <w:r w:rsidR="00930D01">
        <w:t>a</w:t>
      </w:r>
      <w:r w:rsidR="00E62AE7" w:rsidRPr="00E62AE7">
        <w:t xml:space="preserve">ematopoietic </w:t>
      </w:r>
      <w:r w:rsidR="00E62AE7">
        <w:t>s</w:t>
      </w:r>
      <w:r w:rsidR="00E62AE7" w:rsidRPr="00E62AE7">
        <w:t xml:space="preserve">tem </w:t>
      </w:r>
      <w:r w:rsidR="00E62AE7">
        <w:t>c</w:t>
      </w:r>
      <w:r w:rsidR="00E62AE7" w:rsidRPr="00E62AE7">
        <w:t>ell</w:t>
      </w:r>
      <w:r w:rsidR="00E62AE7">
        <w:t xml:space="preserve"> transplant</w:t>
      </w:r>
      <w:r w:rsidRPr="00453FD6">
        <w:t xml:space="preserve"> v</w:t>
      </w:r>
      <w:r w:rsidR="00E62AE7">
        <w:t>ersus solid organ transplant</w:t>
      </w:r>
      <w:r w:rsidRPr="00453FD6">
        <w:t>) based on pop</w:t>
      </w:r>
      <w:r>
        <w:t xml:space="preserve">ulation </w:t>
      </w:r>
      <w:r w:rsidRPr="00453FD6">
        <w:t>PK analysis.</w:t>
      </w:r>
    </w:p>
    <w:p w14:paraId="336146A2" w14:textId="0407BB67" w:rsidR="007D63C3" w:rsidRDefault="007D63C3" w:rsidP="007D63C3">
      <w:r>
        <w:t xml:space="preserve">The PK of </w:t>
      </w:r>
      <w:proofErr w:type="spellStart"/>
      <w:r>
        <w:t>maribavir</w:t>
      </w:r>
      <w:proofErr w:type="spellEnd"/>
      <w:r>
        <w:t xml:space="preserve"> were not clinically significantly different in</w:t>
      </w:r>
      <w:r w:rsidR="005E4939">
        <w:t xml:space="preserve"> subjects with</w:t>
      </w:r>
      <w:r>
        <w:t xml:space="preserve"> mild/moderate </w:t>
      </w:r>
      <w:r w:rsidRPr="006B33E8">
        <w:t>renal impairment v</w:t>
      </w:r>
      <w:r w:rsidR="004E3AD8" w:rsidRPr="006B33E8">
        <w:t>ersus</w:t>
      </w:r>
      <w:r>
        <w:t xml:space="preserve"> healthy subjects</w:t>
      </w:r>
      <w:r w:rsidR="00F8145F">
        <w:t xml:space="preserve"> (</w:t>
      </w:r>
      <w:r w:rsidR="00F8145F">
        <w:fldChar w:fldCharType="begin"/>
      </w:r>
      <w:r w:rsidR="00F8145F">
        <w:instrText xml:space="preserve"> REF _Ref132797290 \h </w:instrText>
      </w:r>
      <w:r w:rsidR="00F8145F">
        <w:fldChar w:fldCharType="separate"/>
      </w:r>
      <w:r w:rsidR="001D123C">
        <w:t xml:space="preserve">Table </w:t>
      </w:r>
      <w:r w:rsidR="001D123C">
        <w:rPr>
          <w:noProof/>
        </w:rPr>
        <w:t>5</w:t>
      </w:r>
      <w:r w:rsidR="00F8145F">
        <w:fldChar w:fldCharType="end"/>
      </w:r>
      <w:r w:rsidR="00F8145F">
        <w:t>)</w:t>
      </w:r>
      <w:r w:rsidR="00E62AE7">
        <w:t>.</w:t>
      </w:r>
    </w:p>
    <w:p w14:paraId="6792F148" w14:textId="103A26AC" w:rsidR="00E62AE7" w:rsidRDefault="00E62AE7" w:rsidP="00E62AE7">
      <w:pPr>
        <w:pStyle w:val="TableTitle"/>
      </w:pPr>
      <w:bookmarkStart w:id="56" w:name="_Ref132797290"/>
      <w:r>
        <w:lastRenderedPageBreak/>
        <w:t xml:space="preserve">Table </w:t>
      </w:r>
      <w:r w:rsidR="00B24F8E">
        <w:fldChar w:fldCharType="begin"/>
      </w:r>
      <w:r w:rsidR="00B24F8E">
        <w:instrText xml:space="preserve"> SEQ Table \* ARABIC </w:instrText>
      </w:r>
      <w:r w:rsidR="00B24F8E">
        <w:fldChar w:fldCharType="separate"/>
      </w:r>
      <w:r w:rsidR="001D123C">
        <w:rPr>
          <w:noProof/>
        </w:rPr>
        <w:t>5</w:t>
      </w:r>
      <w:r w:rsidR="00B24F8E">
        <w:rPr>
          <w:noProof/>
        </w:rPr>
        <w:fldChar w:fldCharType="end"/>
      </w:r>
      <w:bookmarkEnd w:id="56"/>
      <w:r>
        <w:t>:</w:t>
      </w:r>
      <w:r w:rsidR="004E3AD8">
        <w:t xml:space="preserve"> Study 1263-1010</w:t>
      </w:r>
      <w:r w:rsidR="00DF3B1C" w:rsidRPr="00DF3B1C">
        <w:t xml:space="preserve"> </w:t>
      </w:r>
      <w:proofErr w:type="spellStart"/>
      <w:r w:rsidR="00DF3B1C">
        <w:t>Maribavir</w:t>
      </w:r>
      <w:proofErr w:type="spellEnd"/>
      <w:r w:rsidR="00DF3B1C">
        <w:t xml:space="preserve"> pharmacokinetics</w:t>
      </w:r>
      <w:r w:rsidR="004E3AD8">
        <w:t xml:space="preserve"> in mild/moderate renal impairment versus healthy control subjects</w:t>
      </w:r>
    </w:p>
    <w:p w14:paraId="35DF736B" w14:textId="49BBF0A0" w:rsidR="007D63C3" w:rsidRDefault="007D63C3" w:rsidP="00E62AE7">
      <w:r>
        <w:rPr>
          <w:noProof/>
          <w:lang w:val="en-GB" w:eastAsia="en-GB"/>
        </w:rPr>
        <w:drawing>
          <wp:inline distT="0" distB="0" distL="0" distR="0" wp14:anchorId="1BC75C3E" wp14:editId="528AD73D">
            <wp:extent cx="5106133" cy="1917700"/>
            <wp:effectExtent l="0" t="0" r="0" b="6350"/>
            <wp:docPr id="7" name="Picture 7" descr="Study 1263-1010 Maribavir pharmacokinetics in mild/moderate renal impairment versus healthy control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udy 1263-1010 Maribavir pharmacokinetics in mild/moderate renal impairment versus healthy control subject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1528"/>
                    <a:stretch/>
                  </pic:blipFill>
                  <pic:spPr bwMode="auto">
                    <a:xfrm>
                      <a:off x="0" y="0"/>
                      <a:ext cx="5114016" cy="1920661"/>
                    </a:xfrm>
                    <a:prstGeom prst="rect">
                      <a:avLst/>
                    </a:prstGeom>
                    <a:noFill/>
                    <a:ln>
                      <a:noFill/>
                    </a:ln>
                    <a:extLst>
                      <a:ext uri="{53640926-AAD7-44D8-BBD7-CCE9431645EC}">
                        <a14:shadowObscured xmlns:a14="http://schemas.microsoft.com/office/drawing/2010/main"/>
                      </a:ext>
                    </a:extLst>
                  </pic:spPr>
                </pic:pic>
              </a:graphicData>
            </a:graphic>
          </wp:inline>
        </w:drawing>
      </w:r>
    </w:p>
    <w:p w14:paraId="4A0B14E6" w14:textId="17F17EFF" w:rsidR="004E3AD8" w:rsidRDefault="004E3AD8" w:rsidP="00F8145F">
      <w:pPr>
        <w:pStyle w:val="TableDescription"/>
      </w:pPr>
      <w:r>
        <w:t xml:space="preserve">Abbreviation: </w:t>
      </w:r>
      <w:r w:rsidR="00F8145F">
        <w:t>AUC</w:t>
      </w:r>
      <w:r w:rsidR="00F8145F" w:rsidRPr="00F8145F">
        <w:rPr>
          <w:vertAlign w:val="subscript"/>
        </w:rPr>
        <w:t>0-</w:t>
      </w:r>
      <w:r w:rsidR="00F8145F" w:rsidRPr="00F8145F">
        <w:rPr>
          <w:rFonts w:ascii="Arial" w:hAnsi="Arial" w:cs="Arial"/>
          <w:color w:val="4D5156"/>
          <w:shd w:val="clear" w:color="auto" w:fill="FFFFFF"/>
          <w:vertAlign w:val="subscript"/>
        </w:rPr>
        <w:t>∞</w:t>
      </w:r>
      <w:r w:rsidR="00F8145F">
        <w:t xml:space="preserve"> = area under concentration time curve from time zero to infinity; C</w:t>
      </w:r>
      <w:r w:rsidR="00F8145F" w:rsidRPr="00F8145F">
        <w:rPr>
          <w:vertAlign w:val="subscript"/>
        </w:rPr>
        <w:t>max</w:t>
      </w:r>
      <w:r w:rsidR="00F8145F">
        <w:t xml:space="preserve"> = maximum concentration; </w:t>
      </w:r>
      <w:proofErr w:type="spellStart"/>
      <w:r w:rsidR="00F8145F">
        <w:t>T</w:t>
      </w:r>
      <w:r w:rsidR="00F8145F" w:rsidRPr="00F8145F">
        <w:rPr>
          <w:vertAlign w:val="subscript"/>
        </w:rPr>
        <w:t>max</w:t>
      </w:r>
      <w:proofErr w:type="spellEnd"/>
      <w:r w:rsidR="00F8145F">
        <w:t xml:space="preserve"> = time to reach maximum concentration.</w:t>
      </w:r>
    </w:p>
    <w:p w14:paraId="585B9D0C" w14:textId="30B5472A" w:rsidR="007D63C3" w:rsidRDefault="007D63C3" w:rsidP="007D63C3">
      <w:r>
        <w:t xml:space="preserve">Similarly, the effect on </w:t>
      </w:r>
      <w:proofErr w:type="spellStart"/>
      <w:r>
        <w:t>maribavir</w:t>
      </w:r>
      <w:proofErr w:type="spellEnd"/>
      <w:r>
        <w:t xml:space="preserve"> PK in</w:t>
      </w:r>
      <w:r w:rsidR="005E4939">
        <w:t xml:space="preserve"> subjects with</w:t>
      </w:r>
      <w:r>
        <w:t xml:space="preserve"> severe renal impairment was not clinically significant</w:t>
      </w:r>
      <w:r w:rsidR="00F8145F">
        <w:t xml:space="preserve"> (</w:t>
      </w:r>
      <w:r w:rsidR="00F8145F">
        <w:fldChar w:fldCharType="begin"/>
      </w:r>
      <w:r w:rsidR="00F8145F">
        <w:instrText xml:space="preserve"> REF _Ref132797299 \h </w:instrText>
      </w:r>
      <w:r w:rsidR="00F8145F">
        <w:fldChar w:fldCharType="separate"/>
      </w:r>
      <w:r w:rsidR="001D123C">
        <w:t xml:space="preserve">Table </w:t>
      </w:r>
      <w:r w:rsidR="001D123C">
        <w:rPr>
          <w:noProof/>
        </w:rPr>
        <w:t>6</w:t>
      </w:r>
      <w:r w:rsidR="00F8145F">
        <w:fldChar w:fldCharType="end"/>
      </w:r>
      <w:r w:rsidR="00F8145F">
        <w:t>)</w:t>
      </w:r>
      <w:r w:rsidR="00E62AE7">
        <w:t>.</w:t>
      </w:r>
    </w:p>
    <w:p w14:paraId="307307BD" w14:textId="2BA4F68C" w:rsidR="00E62AE7" w:rsidRDefault="00E62AE7" w:rsidP="00E62AE7">
      <w:pPr>
        <w:pStyle w:val="TableTitle"/>
      </w:pPr>
      <w:bookmarkStart w:id="57" w:name="_Ref132797299"/>
      <w:r>
        <w:t xml:space="preserve">Table </w:t>
      </w:r>
      <w:r w:rsidR="00B24F8E">
        <w:fldChar w:fldCharType="begin"/>
      </w:r>
      <w:r w:rsidR="00B24F8E">
        <w:instrText xml:space="preserve"> SEQ Table \* ARABIC </w:instrText>
      </w:r>
      <w:r w:rsidR="00B24F8E">
        <w:fldChar w:fldCharType="separate"/>
      </w:r>
      <w:r w:rsidR="001D123C">
        <w:rPr>
          <w:noProof/>
        </w:rPr>
        <w:t>6</w:t>
      </w:r>
      <w:r w:rsidR="00B24F8E">
        <w:rPr>
          <w:noProof/>
        </w:rPr>
        <w:fldChar w:fldCharType="end"/>
      </w:r>
      <w:bookmarkEnd w:id="57"/>
      <w:r>
        <w:t>:</w:t>
      </w:r>
      <w:r w:rsidR="00F8145F">
        <w:t xml:space="preserve"> Study 1263-101</w:t>
      </w:r>
      <w:r w:rsidR="00DF3B1C">
        <w:t xml:space="preserve"> </w:t>
      </w:r>
      <w:proofErr w:type="spellStart"/>
      <w:r w:rsidR="00DF3B1C">
        <w:t>Maribavir</w:t>
      </w:r>
      <w:proofErr w:type="spellEnd"/>
      <w:r w:rsidR="00F8145F">
        <w:t xml:space="preserve"> </w:t>
      </w:r>
      <w:r w:rsidR="00DF3B1C">
        <w:t>pharmacokinetics in s</w:t>
      </w:r>
      <w:r w:rsidR="00F8145F">
        <w:t>evere renal impairment versus health control subjects</w:t>
      </w:r>
    </w:p>
    <w:p w14:paraId="4DA4B2A5" w14:textId="01DAAC49" w:rsidR="007D63C3" w:rsidRDefault="007D63C3" w:rsidP="00E62AE7">
      <w:r>
        <w:rPr>
          <w:noProof/>
          <w:lang w:val="en-GB" w:eastAsia="en-GB"/>
        </w:rPr>
        <w:drawing>
          <wp:inline distT="0" distB="0" distL="0" distR="0" wp14:anchorId="4A2A83C6" wp14:editId="498E2238">
            <wp:extent cx="5017770" cy="1892300"/>
            <wp:effectExtent l="0" t="0" r="0" b="0"/>
            <wp:docPr id="6" name="Picture 6" descr="Study 1263-101 Maribavir pharmacokinetics in severe renal impairment versus health control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udy 1263-101 Maribavir pharmacokinetics in severe renal impairment versus health control subject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0329" b="2620"/>
                    <a:stretch/>
                  </pic:blipFill>
                  <pic:spPr bwMode="auto">
                    <a:xfrm>
                      <a:off x="0" y="0"/>
                      <a:ext cx="5024034" cy="1894662"/>
                    </a:xfrm>
                    <a:prstGeom prst="rect">
                      <a:avLst/>
                    </a:prstGeom>
                    <a:noFill/>
                    <a:ln>
                      <a:noFill/>
                    </a:ln>
                    <a:extLst>
                      <a:ext uri="{53640926-AAD7-44D8-BBD7-CCE9431645EC}">
                        <a14:shadowObscured xmlns:a14="http://schemas.microsoft.com/office/drawing/2010/main"/>
                      </a:ext>
                    </a:extLst>
                  </pic:spPr>
                </pic:pic>
              </a:graphicData>
            </a:graphic>
          </wp:inline>
        </w:drawing>
      </w:r>
    </w:p>
    <w:p w14:paraId="3D101030" w14:textId="2554BF2A" w:rsidR="00F8145F" w:rsidRPr="00453FD6" w:rsidRDefault="00F8145F" w:rsidP="00F8145F">
      <w:pPr>
        <w:pStyle w:val="TableDescription"/>
      </w:pPr>
      <w:r>
        <w:t>Abbreviation: AUC</w:t>
      </w:r>
      <w:r w:rsidRPr="00F8145F">
        <w:rPr>
          <w:vertAlign w:val="subscript"/>
        </w:rPr>
        <w:t>0-</w:t>
      </w:r>
      <w:r w:rsidRPr="00F8145F">
        <w:rPr>
          <w:rFonts w:ascii="Arial" w:hAnsi="Arial" w:cs="Arial"/>
          <w:color w:val="4D5156"/>
          <w:shd w:val="clear" w:color="auto" w:fill="FFFFFF"/>
          <w:vertAlign w:val="subscript"/>
        </w:rPr>
        <w:t>∞</w:t>
      </w:r>
      <w:r>
        <w:t xml:space="preserve"> = area under concentration time curve from time zero to infinity; C</w:t>
      </w:r>
      <w:r w:rsidRPr="00F8145F">
        <w:rPr>
          <w:vertAlign w:val="subscript"/>
        </w:rPr>
        <w:t>max</w:t>
      </w:r>
      <w:r>
        <w:t xml:space="preserve"> = maximum concentration; </w:t>
      </w:r>
      <w:proofErr w:type="spellStart"/>
      <w:r>
        <w:t>T</w:t>
      </w:r>
      <w:r w:rsidRPr="00F8145F">
        <w:rPr>
          <w:vertAlign w:val="subscript"/>
        </w:rPr>
        <w:t>max</w:t>
      </w:r>
      <w:proofErr w:type="spellEnd"/>
      <w:r>
        <w:t xml:space="preserve"> = time to reach maximum concentration.</w:t>
      </w:r>
    </w:p>
    <w:p w14:paraId="42664340" w14:textId="48D502CC" w:rsidR="007D63C3" w:rsidRDefault="007D63C3" w:rsidP="007D63C3">
      <w:r>
        <w:t xml:space="preserve">However, </w:t>
      </w:r>
      <w:r w:rsidRPr="00453FD6">
        <w:t xml:space="preserve">VP44469 AUC values were roughly </w:t>
      </w:r>
      <w:r>
        <w:t xml:space="preserve">doubled </w:t>
      </w:r>
      <w:r w:rsidRPr="00453FD6">
        <w:t>in subjects with renal impairment compared to subjects with normal renal function</w:t>
      </w:r>
      <w:r w:rsidR="009D7C95">
        <w:t xml:space="preserve"> (</w:t>
      </w:r>
      <w:r w:rsidR="009D7C95">
        <w:fldChar w:fldCharType="begin"/>
      </w:r>
      <w:r w:rsidR="009D7C95">
        <w:instrText xml:space="preserve"> REF _Ref132798157 \h </w:instrText>
      </w:r>
      <w:r w:rsidR="009D7C95">
        <w:fldChar w:fldCharType="separate"/>
      </w:r>
      <w:r w:rsidR="001D123C">
        <w:t xml:space="preserve">Table </w:t>
      </w:r>
      <w:r w:rsidR="001D123C">
        <w:rPr>
          <w:noProof/>
        </w:rPr>
        <w:t>7</w:t>
      </w:r>
      <w:r w:rsidR="009D7C95">
        <w:fldChar w:fldCharType="end"/>
      </w:r>
      <w:r w:rsidR="009D7C95">
        <w:t>)</w:t>
      </w:r>
      <w:r w:rsidR="00E62AE7">
        <w:t>.</w:t>
      </w:r>
    </w:p>
    <w:p w14:paraId="57B79D9D" w14:textId="67A9B824" w:rsidR="00E62AE7" w:rsidRDefault="00E62AE7" w:rsidP="00E62AE7">
      <w:pPr>
        <w:pStyle w:val="TableTitle"/>
      </w:pPr>
      <w:bookmarkStart w:id="58" w:name="_Ref132798157"/>
      <w:r>
        <w:lastRenderedPageBreak/>
        <w:t xml:space="preserve">Table </w:t>
      </w:r>
      <w:r w:rsidR="00B24F8E">
        <w:fldChar w:fldCharType="begin"/>
      </w:r>
      <w:r w:rsidR="00B24F8E">
        <w:instrText xml:space="preserve"> SEQ Table \* ARABIC </w:instrText>
      </w:r>
      <w:r w:rsidR="00B24F8E">
        <w:fldChar w:fldCharType="separate"/>
      </w:r>
      <w:r w:rsidR="001D123C">
        <w:rPr>
          <w:noProof/>
        </w:rPr>
        <w:t>7</w:t>
      </w:r>
      <w:r w:rsidR="00B24F8E">
        <w:rPr>
          <w:noProof/>
        </w:rPr>
        <w:fldChar w:fldCharType="end"/>
      </w:r>
      <w:bookmarkEnd w:id="58"/>
      <w:r>
        <w:t>:</w:t>
      </w:r>
      <w:r w:rsidR="00DF3B1C">
        <w:t xml:space="preserve"> Study 1263-101 </w:t>
      </w:r>
      <w:r w:rsidR="009D7C95">
        <w:t>Metabolite VP44469 pharmacokinetics mild/moderate or severe renal impairment versus healthy control subject</w:t>
      </w:r>
    </w:p>
    <w:p w14:paraId="682EC9E3" w14:textId="52E4212C" w:rsidR="007D63C3" w:rsidRDefault="007D63C3" w:rsidP="00E62AE7">
      <w:pPr>
        <w:ind w:left="120"/>
      </w:pPr>
      <w:r>
        <w:rPr>
          <w:noProof/>
          <w:lang w:val="en-GB" w:eastAsia="en-GB"/>
        </w:rPr>
        <w:drawing>
          <wp:inline distT="0" distB="0" distL="0" distR="0" wp14:anchorId="5C0E272F" wp14:editId="0BE753B7">
            <wp:extent cx="5018523" cy="2540000"/>
            <wp:effectExtent l="0" t="0" r="0" b="0"/>
            <wp:docPr id="5" name="Picture 5" descr="Study 1263-101 Metabolite VP44469 pharmacokinetics mild/moderate or severe renal impairment versus healthy control su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udy 1263-101 Metabolite VP44469 pharmacokinetics mild/moderate or severe renal impairment versus healthy control subject"/>
                    <pic:cNvPicPr>
                      <a:picLocks noChangeAspect="1" noChangeArrowheads="1"/>
                    </pic:cNvPicPr>
                  </pic:nvPicPr>
                  <pic:blipFill rotWithShape="1">
                    <a:blip r:embed="rId28">
                      <a:extLst>
                        <a:ext uri="{28A0092B-C50C-407E-A947-70E740481C1C}">
                          <a14:useLocalDpi xmlns:a14="http://schemas.microsoft.com/office/drawing/2010/main" val="0"/>
                        </a:ext>
                      </a:extLst>
                    </a:blip>
                    <a:srcRect t="7900"/>
                    <a:stretch/>
                  </pic:blipFill>
                  <pic:spPr bwMode="auto">
                    <a:xfrm>
                      <a:off x="0" y="0"/>
                      <a:ext cx="5022458" cy="2541992"/>
                    </a:xfrm>
                    <a:prstGeom prst="rect">
                      <a:avLst/>
                    </a:prstGeom>
                    <a:noFill/>
                    <a:ln>
                      <a:noFill/>
                    </a:ln>
                    <a:extLst>
                      <a:ext uri="{53640926-AAD7-44D8-BBD7-CCE9431645EC}">
                        <a14:shadowObscured xmlns:a14="http://schemas.microsoft.com/office/drawing/2010/main"/>
                      </a:ext>
                    </a:extLst>
                  </pic:spPr>
                </pic:pic>
              </a:graphicData>
            </a:graphic>
          </wp:inline>
        </w:drawing>
      </w:r>
    </w:p>
    <w:p w14:paraId="14D96A1B" w14:textId="6677486E" w:rsidR="009D7C95" w:rsidRDefault="009D7C95" w:rsidP="009D7C95">
      <w:pPr>
        <w:pStyle w:val="TableDescription"/>
      </w:pPr>
      <w:r>
        <w:t>Abbreviation: AUC</w:t>
      </w:r>
      <w:r w:rsidRPr="00F8145F">
        <w:rPr>
          <w:vertAlign w:val="subscript"/>
        </w:rPr>
        <w:t>0-</w:t>
      </w:r>
      <w:r w:rsidRPr="00F8145F">
        <w:rPr>
          <w:rFonts w:ascii="Arial" w:hAnsi="Arial" w:cs="Arial"/>
          <w:color w:val="4D5156"/>
          <w:shd w:val="clear" w:color="auto" w:fill="FFFFFF"/>
          <w:vertAlign w:val="subscript"/>
        </w:rPr>
        <w:t>∞</w:t>
      </w:r>
      <w:r>
        <w:t xml:space="preserve"> = area under concentration time curve from time zero to infinity; C</w:t>
      </w:r>
      <w:r w:rsidRPr="00F8145F">
        <w:rPr>
          <w:vertAlign w:val="subscript"/>
        </w:rPr>
        <w:t>max</w:t>
      </w:r>
      <w:r>
        <w:t xml:space="preserve"> = maximum concentration; </w:t>
      </w:r>
      <w:proofErr w:type="spellStart"/>
      <w:r>
        <w:t>T</w:t>
      </w:r>
      <w:r w:rsidRPr="00F8145F">
        <w:rPr>
          <w:vertAlign w:val="subscript"/>
        </w:rPr>
        <w:t>max</w:t>
      </w:r>
      <w:proofErr w:type="spellEnd"/>
      <w:r>
        <w:t xml:space="preserve"> = time to reach maximum concentration.</w:t>
      </w:r>
    </w:p>
    <w:p w14:paraId="6603E8EC" w14:textId="45729674" w:rsidR="007D63C3" w:rsidRPr="009D7C95" w:rsidRDefault="007D63C3" w:rsidP="009D7C95">
      <w:proofErr w:type="spellStart"/>
      <w:r w:rsidRPr="009D7C95">
        <w:t>Maribavir</w:t>
      </w:r>
      <w:proofErr w:type="spellEnd"/>
      <w:r w:rsidRPr="009D7C95">
        <w:t xml:space="preserve"> has not been studied in </w:t>
      </w:r>
      <w:r w:rsidR="00B34D2A">
        <w:t>subjects with</w:t>
      </w:r>
      <w:r w:rsidR="00B34D2A" w:rsidRPr="009D7C95">
        <w:t xml:space="preserve"> </w:t>
      </w:r>
      <w:r w:rsidRPr="009D7C95">
        <w:t>end stage renal disease or patients on dialysis.</w:t>
      </w:r>
    </w:p>
    <w:p w14:paraId="3F0B8F4F" w14:textId="15073151" w:rsidR="007D63C3" w:rsidRPr="009D7C95" w:rsidRDefault="007D63C3" w:rsidP="009D7C95">
      <w:r w:rsidRPr="009D7C95">
        <w:t xml:space="preserve">A study in moderate hepatic impairment showed that PK of </w:t>
      </w:r>
      <w:proofErr w:type="spellStart"/>
      <w:r w:rsidRPr="009D7C95">
        <w:t>maribavir</w:t>
      </w:r>
      <w:proofErr w:type="spellEnd"/>
      <w:r w:rsidRPr="009D7C95">
        <w:t xml:space="preserve"> or its main metabolite were not affected in a clinically meaningful manner</w:t>
      </w:r>
      <w:r w:rsidR="009D7C95">
        <w:t xml:space="preserve"> (</w:t>
      </w:r>
      <w:r w:rsidR="009D7C95">
        <w:fldChar w:fldCharType="begin"/>
      </w:r>
      <w:r w:rsidR="009D7C95">
        <w:instrText xml:space="preserve"> REF _Ref132798243 \h </w:instrText>
      </w:r>
      <w:r w:rsidR="009D7C95">
        <w:fldChar w:fldCharType="separate"/>
      </w:r>
      <w:r w:rsidR="001D123C">
        <w:t xml:space="preserve">Table </w:t>
      </w:r>
      <w:r w:rsidR="001D123C">
        <w:rPr>
          <w:noProof/>
        </w:rPr>
        <w:t>8</w:t>
      </w:r>
      <w:r w:rsidR="009D7C95">
        <w:fldChar w:fldCharType="end"/>
      </w:r>
      <w:r w:rsidR="009D7C95">
        <w:t>)</w:t>
      </w:r>
      <w:r w:rsidR="00E62AE7" w:rsidRPr="009D7C95">
        <w:t>.</w:t>
      </w:r>
    </w:p>
    <w:p w14:paraId="2370A941" w14:textId="0D6D493D" w:rsidR="00E62AE7" w:rsidRDefault="00E62AE7" w:rsidP="00E62AE7">
      <w:pPr>
        <w:pStyle w:val="TableTitle"/>
      </w:pPr>
      <w:bookmarkStart w:id="59" w:name="_Ref132798243"/>
      <w:r>
        <w:t xml:space="preserve">Table </w:t>
      </w:r>
      <w:r w:rsidR="00B24F8E">
        <w:fldChar w:fldCharType="begin"/>
      </w:r>
      <w:r w:rsidR="00B24F8E">
        <w:instrText xml:space="preserve"> SEQ Table \* ARABIC </w:instrText>
      </w:r>
      <w:r w:rsidR="00B24F8E">
        <w:fldChar w:fldCharType="separate"/>
      </w:r>
      <w:r w:rsidR="001D123C">
        <w:rPr>
          <w:noProof/>
        </w:rPr>
        <w:t>8</w:t>
      </w:r>
      <w:r w:rsidR="00B24F8E">
        <w:rPr>
          <w:noProof/>
        </w:rPr>
        <w:fldChar w:fldCharType="end"/>
      </w:r>
      <w:bookmarkEnd w:id="59"/>
      <w:r>
        <w:t>:</w:t>
      </w:r>
      <w:r w:rsidR="009D7C95" w:rsidRPr="009D7C95">
        <w:t xml:space="preserve"> </w:t>
      </w:r>
      <w:r w:rsidR="009D7C95">
        <w:t xml:space="preserve">Study 1263-101 </w:t>
      </w:r>
      <w:proofErr w:type="spellStart"/>
      <w:r w:rsidR="009D7C95">
        <w:t>Maribavir</w:t>
      </w:r>
      <w:proofErr w:type="spellEnd"/>
      <w:r w:rsidR="009D7C95">
        <w:t xml:space="preserve"> and metabolite VP44469 pharmacokinetics moderate hepatic impairment versus healthy control subject</w:t>
      </w:r>
    </w:p>
    <w:p w14:paraId="3985A0EB" w14:textId="5EDC36E5" w:rsidR="007D63C3" w:rsidRDefault="007D63C3" w:rsidP="00E62AE7">
      <w:pPr>
        <w:ind w:left="120"/>
      </w:pPr>
      <w:r>
        <w:rPr>
          <w:noProof/>
          <w:lang w:val="en-GB" w:eastAsia="en-GB"/>
        </w:rPr>
        <w:drawing>
          <wp:inline distT="0" distB="0" distL="0" distR="0" wp14:anchorId="26021144" wp14:editId="0359EB41">
            <wp:extent cx="4222115" cy="2743200"/>
            <wp:effectExtent l="0" t="0" r="6985" b="0"/>
            <wp:docPr id="4" name="Picture 4" descr="Study 1263-101 Maribavir and metabolite VP44469 pharmacokinetics moderate hepatic impairment versus healthy control su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tudy 1263-101 Maribavir and metabolite VP44469 pharmacokinetics moderate hepatic impairment versus healthy control subj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2115" cy="2743200"/>
                    </a:xfrm>
                    <a:prstGeom prst="rect">
                      <a:avLst/>
                    </a:prstGeom>
                    <a:noFill/>
                    <a:ln>
                      <a:noFill/>
                    </a:ln>
                  </pic:spPr>
                </pic:pic>
              </a:graphicData>
            </a:graphic>
          </wp:inline>
        </w:drawing>
      </w:r>
    </w:p>
    <w:p w14:paraId="4132E607" w14:textId="5E895FD7" w:rsidR="00E55AD5" w:rsidRDefault="00E55AD5" w:rsidP="00E55AD5">
      <w:pPr>
        <w:pStyle w:val="TableDescription"/>
      </w:pPr>
      <w:r>
        <w:t>Abbreviation: AUC</w:t>
      </w:r>
      <w:r w:rsidRPr="008B0D48">
        <w:rPr>
          <w:vertAlign w:val="subscript"/>
        </w:rPr>
        <w:t>0-</w:t>
      </w:r>
      <w:r w:rsidRPr="008B0D48">
        <w:rPr>
          <w:rFonts w:ascii="Arial" w:hAnsi="Arial" w:cs="Arial"/>
          <w:color w:val="4D5156"/>
          <w:shd w:val="clear" w:color="auto" w:fill="FFFFFF"/>
          <w:vertAlign w:val="subscript"/>
        </w:rPr>
        <w:t>∞</w:t>
      </w:r>
      <w:r>
        <w:t xml:space="preserve"> = area under concentration time curve from time zero to infinity; C</w:t>
      </w:r>
      <w:r w:rsidRPr="00F8145F">
        <w:rPr>
          <w:vertAlign w:val="subscript"/>
        </w:rPr>
        <w:t>max</w:t>
      </w:r>
      <w:r>
        <w:t xml:space="preserve"> = maximum concentration; </w:t>
      </w:r>
      <w:proofErr w:type="spellStart"/>
      <w:r>
        <w:t>T</w:t>
      </w:r>
      <w:r w:rsidRPr="00F8145F">
        <w:rPr>
          <w:vertAlign w:val="subscript"/>
        </w:rPr>
        <w:t>max</w:t>
      </w:r>
      <w:proofErr w:type="spellEnd"/>
      <w:r>
        <w:t xml:space="preserve"> = time to reach maximum concentration.</w:t>
      </w:r>
    </w:p>
    <w:p w14:paraId="567B1B54" w14:textId="77777777" w:rsidR="007D63C3" w:rsidRDefault="007D63C3" w:rsidP="007D63C3">
      <w:proofErr w:type="spellStart"/>
      <w:r>
        <w:t>Maribavir</w:t>
      </w:r>
      <w:proofErr w:type="spellEnd"/>
      <w:r>
        <w:t xml:space="preserve"> has not been studied in severe hepatic impairment.</w:t>
      </w:r>
    </w:p>
    <w:p w14:paraId="4BD45C0D" w14:textId="3922BCBF" w:rsidR="007D63C3" w:rsidRPr="00453FD6" w:rsidRDefault="007D63C3" w:rsidP="00E62AE7">
      <w:pPr>
        <w:pStyle w:val="Heading5"/>
      </w:pPr>
      <w:r w:rsidRPr="00453FD6">
        <w:t xml:space="preserve">Drug </w:t>
      </w:r>
      <w:r w:rsidR="00930D01">
        <w:t>i</w:t>
      </w:r>
      <w:r w:rsidRPr="00453FD6">
        <w:t>nteractions</w:t>
      </w:r>
    </w:p>
    <w:p w14:paraId="2CDC4633" w14:textId="04AFC5AE" w:rsidR="007D63C3" w:rsidRDefault="00930D01" w:rsidP="007D63C3">
      <w:r>
        <w:t xml:space="preserve">Use of </w:t>
      </w:r>
      <w:proofErr w:type="spellStart"/>
      <w:r>
        <w:t>m</w:t>
      </w:r>
      <w:r w:rsidR="007D63C3" w:rsidRPr="00453FD6">
        <w:t>aribavir</w:t>
      </w:r>
      <w:proofErr w:type="spellEnd"/>
      <w:r w:rsidR="007D63C3" w:rsidRPr="00453FD6">
        <w:t xml:space="preserve"> is contraindicated with valganciclovir/ganciclovir due to </w:t>
      </w:r>
      <w:r w:rsidR="007D63C3">
        <w:t>its mechanism of action involving inhibition of</w:t>
      </w:r>
      <w:r w:rsidR="007D63C3" w:rsidRPr="00453FD6">
        <w:t xml:space="preserve"> </w:t>
      </w:r>
      <w:r w:rsidR="007D63C3" w:rsidRPr="00F210FD">
        <w:rPr>
          <w:i/>
          <w:iCs/>
        </w:rPr>
        <w:t>UL97</w:t>
      </w:r>
      <w:r w:rsidR="007D63C3" w:rsidRPr="00453FD6">
        <w:t xml:space="preserve"> serine/threonine kinase, which is required for activation</w:t>
      </w:r>
      <w:r w:rsidR="007D63C3">
        <w:t xml:space="preserve"> (</w:t>
      </w:r>
      <w:r w:rsidR="007D63C3" w:rsidRPr="00453FD6">
        <w:t>phosphorylation</w:t>
      </w:r>
      <w:r w:rsidR="007D63C3">
        <w:t>)</w:t>
      </w:r>
      <w:r w:rsidR="007D63C3" w:rsidRPr="00453FD6">
        <w:t xml:space="preserve"> of ganciclovir.</w:t>
      </w:r>
    </w:p>
    <w:p w14:paraId="197DE673" w14:textId="02AC3387" w:rsidR="007D63C3" w:rsidRDefault="007D63C3" w:rsidP="00F82FF4">
      <w:r>
        <w:lastRenderedPageBreak/>
        <w:t>D</w:t>
      </w:r>
      <w:r w:rsidRPr="00453FD6">
        <w:t xml:space="preserve">ose adjustment of </w:t>
      </w:r>
      <w:proofErr w:type="spellStart"/>
      <w:r w:rsidRPr="00453FD6">
        <w:t>maribavir</w:t>
      </w:r>
      <w:proofErr w:type="spellEnd"/>
      <w:r w:rsidRPr="00453FD6">
        <w:t xml:space="preserve"> is needed when </w:t>
      </w:r>
      <w:proofErr w:type="spellStart"/>
      <w:r w:rsidRPr="00453FD6">
        <w:t>maribavir</w:t>
      </w:r>
      <w:proofErr w:type="spellEnd"/>
      <w:r w:rsidRPr="00453FD6">
        <w:t xml:space="preserve"> is </w:t>
      </w:r>
      <w:proofErr w:type="spellStart"/>
      <w:r w:rsidRPr="00453FD6">
        <w:t>coadministered</w:t>
      </w:r>
      <w:proofErr w:type="spellEnd"/>
      <w:r w:rsidRPr="00453FD6">
        <w:t xml:space="preserve"> with strong or moderate CYP3A4 inducers.</w:t>
      </w:r>
      <w:r w:rsidR="00930D01" w:rsidRPr="00C53A1C">
        <w:rPr>
          <w:vertAlign w:val="superscript"/>
        </w:rPr>
        <w:fldChar w:fldCharType="begin"/>
      </w:r>
      <w:r w:rsidR="00930D01" w:rsidRPr="00C53A1C">
        <w:rPr>
          <w:vertAlign w:val="superscript"/>
        </w:rPr>
        <w:instrText xml:space="preserve"> NOTEREF _Ref135823631 \h </w:instrText>
      </w:r>
      <w:r w:rsidR="00930D01">
        <w:rPr>
          <w:vertAlign w:val="superscript"/>
        </w:rPr>
        <w:instrText xml:space="preserve"> \* MERGEFORMAT </w:instrText>
      </w:r>
      <w:r w:rsidR="00930D01" w:rsidRPr="00C53A1C">
        <w:rPr>
          <w:vertAlign w:val="superscript"/>
        </w:rPr>
      </w:r>
      <w:r w:rsidR="00930D01" w:rsidRPr="00C53A1C">
        <w:rPr>
          <w:vertAlign w:val="superscript"/>
        </w:rPr>
        <w:fldChar w:fldCharType="separate"/>
      </w:r>
      <w:r w:rsidR="001D123C">
        <w:rPr>
          <w:vertAlign w:val="superscript"/>
        </w:rPr>
        <w:t>6</w:t>
      </w:r>
      <w:r w:rsidR="00930D01" w:rsidRPr="00C53A1C">
        <w:rPr>
          <w:vertAlign w:val="superscript"/>
        </w:rPr>
        <w:fldChar w:fldCharType="end"/>
      </w:r>
    </w:p>
    <w:p w14:paraId="4987EA07" w14:textId="3FA5B446" w:rsidR="00F82FF4" w:rsidRPr="009764A7" w:rsidRDefault="00F82FF4" w:rsidP="00F82FF4">
      <w:r>
        <w:t>Known and potential drug i</w:t>
      </w:r>
      <w:r w:rsidRPr="009764A7">
        <w:t xml:space="preserve">nteractions and </w:t>
      </w:r>
      <w:r>
        <w:t>d</w:t>
      </w:r>
      <w:r w:rsidRPr="009764A7">
        <w:t xml:space="preserve">ose </w:t>
      </w:r>
      <w:r>
        <w:t>re</w:t>
      </w:r>
      <w:r w:rsidRPr="009764A7">
        <w:t>commendation</w:t>
      </w:r>
      <w:r>
        <w:t xml:space="preserve">s as </w:t>
      </w:r>
      <w:r w:rsidRPr="008C1A4E">
        <w:t xml:space="preserve">proposed </w:t>
      </w:r>
      <w:r>
        <w:t xml:space="preserve">in the </w:t>
      </w:r>
      <w:r w:rsidR="00930D01">
        <w:t xml:space="preserve">draft </w:t>
      </w:r>
      <w:r w:rsidRPr="008C1A4E">
        <w:t xml:space="preserve">Australian </w:t>
      </w:r>
      <w:r>
        <w:t xml:space="preserve">PI are </w:t>
      </w:r>
      <w:r w:rsidR="00930D01">
        <w:t>shown below in</w:t>
      </w:r>
      <w:r w:rsidR="009D7C95">
        <w:t xml:space="preserve"> </w:t>
      </w:r>
      <w:r w:rsidR="009D7C95">
        <w:fldChar w:fldCharType="begin"/>
      </w:r>
      <w:r w:rsidR="009D7C95">
        <w:instrText xml:space="preserve"> REF _Ref132798270 \h </w:instrText>
      </w:r>
      <w:r w:rsidR="009D7C95">
        <w:fldChar w:fldCharType="separate"/>
      </w:r>
      <w:r w:rsidR="001D123C">
        <w:t xml:space="preserve">Table </w:t>
      </w:r>
      <w:r w:rsidR="001D123C">
        <w:rPr>
          <w:noProof/>
        </w:rPr>
        <w:t>9</w:t>
      </w:r>
      <w:r w:rsidR="009D7C95">
        <w:fldChar w:fldCharType="end"/>
      </w:r>
      <w:r w:rsidR="009D7C95">
        <w:t>.</w:t>
      </w:r>
    </w:p>
    <w:p w14:paraId="4FBA2421" w14:textId="7F32AB82" w:rsidR="007D63C3" w:rsidRDefault="00F82FF4" w:rsidP="00F82FF4">
      <w:pPr>
        <w:pStyle w:val="TableTitle"/>
      </w:pPr>
      <w:bookmarkStart w:id="60" w:name="_Ref132798270"/>
      <w:r>
        <w:t xml:space="preserve">Table </w:t>
      </w:r>
      <w:r w:rsidR="00B24F8E">
        <w:fldChar w:fldCharType="begin"/>
      </w:r>
      <w:r w:rsidR="00B24F8E">
        <w:instrText xml:space="preserve"> SEQ Table \* ARABIC </w:instrText>
      </w:r>
      <w:r w:rsidR="00B24F8E">
        <w:fldChar w:fldCharType="separate"/>
      </w:r>
      <w:r w:rsidR="001D123C">
        <w:rPr>
          <w:noProof/>
        </w:rPr>
        <w:t>9</w:t>
      </w:r>
      <w:r w:rsidR="00B24F8E">
        <w:rPr>
          <w:noProof/>
        </w:rPr>
        <w:fldChar w:fldCharType="end"/>
      </w:r>
      <w:bookmarkEnd w:id="60"/>
      <w:r>
        <w:t>:</w:t>
      </w:r>
      <w:r w:rsidR="009D7C95">
        <w:t xml:space="preserve"> </w:t>
      </w:r>
      <w:proofErr w:type="spellStart"/>
      <w:r w:rsidR="009D7C95">
        <w:t>Maribavir</w:t>
      </w:r>
      <w:proofErr w:type="spellEnd"/>
      <w:r w:rsidR="009D7C95">
        <w:t xml:space="preserve"> known and potential drug i</w:t>
      </w:r>
      <w:r w:rsidR="009D7C95" w:rsidRPr="009764A7">
        <w:t xml:space="preserve">nteractions and </w:t>
      </w:r>
      <w:r w:rsidR="009D7C95">
        <w:t>d</w:t>
      </w:r>
      <w:r w:rsidR="009D7C95" w:rsidRPr="009764A7">
        <w:t xml:space="preserve">ose </w:t>
      </w:r>
      <w:r w:rsidR="009D7C95">
        <w:t>re</w:t>
      </w:r>
      <w:r w:rsidR="009D7C95" w:rsidRPr="009764A7">
        <w:t>commendation</w:t>
      </w:r>
      <w:r w:rsidR="009D7C95">
        <w:t>s</w:t>
      </w:r>
    </w:p>
    <w:tbl>
      <w:tblPr>
        <w:tblStyle w:val="TableTGAblue"/>
        <w:tblW w:w="8495" w:type="dxa"/>
        <w:tblLayout w:type="fixed"/>
        <w:tblLook w:val="0000" w:firstRow="0" w:lastRow="0" w:firstColumn="0" w:lastColumn="0" w:noHBand="0" w:noVBand="0"/>
      </w:tblPr>
      <w:tblGrid>
        <w:gridCol w:w="2684"/>
        <w:gridCol w:w="3118"/>
        <w:gridCol w:w="44"/>
        <w:gridCol w:w="2649"/>
      </w:tblGrid>
      <w:tr w:rsidR="00F82FF4" w:rsidRPr="009A6B7D" w14:paraId="414C9290" w14:textId="77777777" w:rsidTr="00286039">
        <w:trPr>
          <w:trHeight w:val="456"/>
        </w:trPr>
        <w:tc>
          <w:tcPr>
            <w:tcW w:w="2684" w:type="dxa"/>
          </w:tcPr>
          <w:p w14:paraId="77182D87" w14:textId="77777777" w:rsidR="00F82FF4" w:rsidRPr="00F82FF4" w:rsidRDefault="00F82FF4" w:rsidP="00DA0466">
            <w:pPr>
              <w:ind w:left="159"/>
              <w:rPr>
                <w:rFonts w:ascii="Calibri" w:hAnsi="Calibri" w:cs="Calibri"/>
                <w:b/>
                <w:bCs/>
                <w:sz w:val="19"/>
                <w:szCs w:val="19"/>
              </w:rPr>
            </w:pPr>
            <w:r w:rsidRPr="00F82FF4">
              <w:rPr>
                <w:rFonts w:ascii="Calibri" w:hAnsi="Calibri" w:cs="Calibri"/>
                <w:b/>
                <w:bCs/>
                <w:sz w:val="19"/>
                <w:szCs w:val="19"/>
              </w:rPr>
              <w:t>Medicinal Product by Therapeutic Area</w:t>
            </w:r>
          </w:p>
        </w:tc>
        <w:tc>
          <w:tcPr>
            <w:tcW w:w="3118" w:type="dxa"/>
          </w:tcPr>
          <w:p w14:paraId="7597803D" w14:textId="77777777" w:rsidR="00F82FF4" w:rsidRPr="00F82FF4" w:rsidRDefault="00F82FF4" w:rsidP="00DA0466">
            <w:pPr>
              <w:ind w:left="172"/>
              <w:rPr>
                <w:rFonts w:ascii="Calibri" w:hAnsi="Calibri" w:cs="Calibri"/>
                <w:b/>
                <w:bCs/>
                <w:sz w:val="19"/>
                <w:szCs w:val="19"/>
              </w:rPr>
            </w:pPr>
            <w:r w:rsidRPr="00F82FF4">
              <w:rPr>
                <w:rFonts w:ascii="Calibri" w:hAnsi="Calibri" w:cs="Calibri"/>
                <w:b/>
                <w:bCs/>
                <w:sz w:val="19"/>
                <w:szCs w:val="19"/>
              </w:rPr>
              <w:t>Geometric Mean Ratio (90 % CI)</w:t>
            </w:r>
          </w:p>
          <w:p w14:paraId="501F8917" w14:textId="77777777" w:rsidR="00F82FF4" w:rsidRPr="00F82FF4" w:rsidRDefault="00F82FF4" w:rsidP="00DA0466">
            <w:pPr>
              <w:ind w:left="172"/>
              <w:rPr>
                <w:rFonts w:ascii="Calibri" w:hAnsi="Calibri" w:cs="Calibri"/>
                <w:b/>
                <w:bCs/>
                <w:sz w:val="19"/>
                <w:szCs w:val="19"/>
              </w:rPr>
            </w:pPr>
            <w:r w:rsidRPr="00F82FF4">
              <w:rPr>
                <w:rFonts w:ascii="Calibri" w:hAnsi="Calibri" w:cs="Calibri"/>
                <w:b/>
                <w:bCs/>
                <w:sz w:val="19"/>
                <w:szCs w:val="19"/>
              </w:rPr>
              <w:t>(</w:t>
            </w:r>
            <w:proofErr w:type="gramStart"/>
            <w:r w:rsidRPr="00F82FF4">
              <w:rPr>
                <w:rFonts w:ascii="Calibri" w:hAnsi="Calibri" w:cs="Calibri"/>
                <w:b/>
                <w:bCs/>
                <w:sz w:val="19"/>
                <w:szCs w:val="19"/>
              </w:rPr>
              <w:t>likely</w:t>
            </w:r>
            <w:proofErr w:type="gramEnd"/>
            <w:r w:rsidRPr="00F82FF4">
              <w:rPr>
                <w:rFonts w:ascii="Calibri" w:hAnsi="Calibri" w:cs="Calibri"/>
                <w:b/>
                <w:bCs/>
                <w:sz w:val="19"/>
                <w:szCs w:val="19"/>
              </w:rPr>
              <w:t xml:space="preserve"> mechanism of action)</w:t>
            </w:r>
          </w:p>
        </w:tc>
        <w:tc>
          <w:tcPr>
            <w:tcW w:w="2693" w:type="dxa"/>
            <w:gridSpan w:val="2"/>
          </w:tcPr>
          <w:p w14:paraId="64DB049B" w14:textId="77777777" w:rsidR="00F82FF4" w:rsidRPr="00F82FF4" w:rsidRDefault="00F82FF4" w:rsidP="00DA0466">
            <w:pPr>
              <w:ind w:left="125"/>
              <w:rPr>
                <w:rFonts w:ascii="Calibri" w:hAnsi="Calibri" w:cs="Calibri"/>
                <w:b/>
                <w:bCs/>
                <w:sz w:val="19"/>
                <w:szCs w:val="19"/>
              </w:rPr>
            </w:pPr>
            <w:r w:rsidRPr="00F82FF4">
              <w:rPr>
                <w:rFonts w:ascii="Calibri" w:hAnsi="Calibri" w:cs="Calibri"/>
                <w:b/>
                <w:bCs/>
                <w:sz w:val="19"/>
                <w:szCs w:val="19"/>
              </w:rPr>
              <w:t xml:space="preserve">Recommendation concerning coadministration with </w:t>
            </w:r>
            <w:proofErr w:type="spellStart"/>
            <w:r w:rsidRPr="00F82FF4">
              <w:rPr>
                <w:rFonts w:ascii="Calibri" w:hAnsi="Calibri" w:cs="Calibri"/>
                <w:b/>
                <w:bCs/>
                <w:sz w:val="19"/>
                <w:szCs w:val="19"/>
              </w:rPr>
              <w:t>maribavir</w:t>
            </w:r>
            <w:proofErr w:type="spellEnd"/>
          </w:p>
        </w:tc>
      </w:tr>
      <w:tr w:rsidR="00F82FF4" w:rsidRPr="009A6B7D" w14:paraId="4E04FF83" w14:textId="77777777" w:rsidTr="00286039">
        <w:trPr>
          <w:trHeight w:val="287"/>
        </w:trPr>
        <w:tc>
          <w:tcPr>
            <w:tcW w:w="8495" w:type="dxa"/>
            <w:gridSpan w:val="4"/>
          </w:tcPr>
          <w:p w14:paraId="319F7980" w14:textId="77777777" w:rsidR="00F82FF4" w:rsidRPr="00F82FF4" w:rsidRDefault="00F82FF4" w:rsidP="00DA0466">
            <w:pPr>
              <w:spacing w:before="60" w:after="60"/>
              <w:ind w:left="159"/>
              <w:rPr>
                <w:rFonts w:ascii="Calibri" w:hAnsi="Calibri" w:cs="Calibri"/>
                <w:b/>
                <w:bCs/>
                <w:sz w:val="19"/>
                <w:szCs w:val="19"/>
              </w:rPr>
            </w:pPr>
            <w:r w:rsidRPr="00F82FF4">
              <w:rPr>
                <w:rFonts w:ascii="Calibri" w:hAnsi="Calibri" w:cs="Calibri"/>
                <w:b/>
                <w:bCs/>
                <w:sz w:val="19"/>
                <w:szCs w:val="19"/>
              </w:rPr>
              <w:t>Acid-Reducing Agents</w:t>
            </w:r>
          </w:p>
        </w:tc>
      </w:tr>
      <w:tr w:rsidR="00F82FF4" w:rsidRPr="009A6B7D" w14:paraId="6919B583" w14:textId="77777777" w:rsidTr="00286039">
        <w:trPr>
          <w:trHeight w:val="836"/>
        </w:trPr>
        <w:tc>
          <w:tcPr>
            <w:tcW w:w="2684" w:type="dxa"/>
          </w:tcPr>
          <w:p w14:paraId="30CB2087" w14:textId="77777777" w:rsidR="00F82FF4" w:rsidRPr="00F82FF4" w:rsidRDefault="00F82FF4" w:rsidP="00DA0466">
            <w:pPr>
              <w:ind w:left="160"/>
              <w:rPr>
                <w:rFonts w:ascii="Calibri" w:hAnsi="Calibri" w:cs="Calibri"/>
                <w:sz w:val="19"/>
                <w:szCs w:val="19"/>
              </w:rPr>
            </w:pPr>
            <w:r w:rsidRPr="00F82FF4">
              <w:rPr>
                <w:rFonts w:ascii="Calibri" w:hAnsi="Calibri" w:cs="Calibri"/>
                <w:sz w:val="19"/>
                <w:szCs w:val="19"/>
              </w:rPr>
              <w:t>antacid (aluminium and magnesium hydroxide oral suspension)</w:t>
            </w:r>
          </w:p>
          <w:p w14:paraId="7BABB002" w14:textId="77777777" w:rsidR="00F82FF4" w:rsidRPr="00F82FF4" w:rsidRDefault="00F82FF4" w:rsidP="00DA0466">
            <w:pPr>
              <w:ind w:left="160"/>
              <w:rPr>
                <w:rFonts w:ascii="Calibri" w:hAnsi="Calibri" w:cs="Calibri"/>
                <w:sz w:val="19"/>
                <w:szCs w:val="19"/>
              </w:rPr>
            </w:pPr>
            <w:r w:rsidRPr="00F82FF4">
              <w:rPr>
                <w:rFonts w:ascii="Calibri" w:hAnsi="Calibri" w:cs="Calibri"/>
                <w:sz w:val="19"/>
                <w:szCs w:val="19"/>
              </w:rPr>
              <w:t xml:space="preserve">(20 mL single dose, </w:t>
            </w:r>
            <w:proofErr w:type="spellStart"/>
            <w:r w:rsidRPr="00F82FF4">
              <w:rPr>
                <w:rFonts w:ascii="Calibri" w:hAnsi="Calibri" w:cs="Calibri"/>
                <w:sz w:val="19"/>
                <w:szCs w:val="19"/>
              </w:rPr>
              <w:t>maribavir</w:t>
            </w:r>
            <w:proofErr w:type="spellEnd"/>
            <w:r w:rsidRPr="00F82FF4">
              <w:rPr>
                <w:rFonts w:ascii="Calibri" w:hAnsi="Calibri" w:cs="Calibri"/>
                <w:sz w:val="19"/>
                <w:szCs w:val="19"/>
              </w:rPr>
              <w:t xml:space="preserve"> 100 mg single dose)</w:t>
            </w:r>
          </w:p>
        </w:tc>
        <w:tc>
          <w:tcPr>
            <w:tcW w:w="3118" w:type="dxa"/>
          </w:tcPr>
          <w:p w14:paraId="048C3C2F"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 xml:space="preserve">↔ </w:t>
            </w:r>
            <w:proofErr w:type="spellStart"/>
            <w:r w:rsidRPr="00F82FF4">
              <w:rPr>
                <w:rFonts w:ascii="Calibri" w:hAnsi="Calibri" w:cs="Calibri"/>
                <w:sz w:val="19"/>
                <w:szCs w:val="19"/>
              </w:rPr>
              <w:t>maribavir</w:t>
            </w:r>
            <w:proofErr w:type="spellEnd"/>
          </w:p>
          <w:p w14:paraId="12ED8981"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AUC 0.89 (0.83, 0.96)</w:t>
            </w:r>
          </w:p>
          <w:p w14:paraId="3DC0D6B5"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C</w:t>
            </w:r>
            <w:r w:rsidRPr="00C53A1C">
              <w:rPr>
                <w:rFonts w:ascii="Calibri" w:hAnsi="Calibri" w:cs="Calibri"/>
                <w:sz w:val="19"/>
                <w:szCs w:val="19"/>
                <w:vertAlign w:val="subscript"/>
              </w:rPr>
              <w:t>max</w:t>
            </w:r>
            <w:r w:rsidRPr="00F82FF4">
              <w:rPr>
                <w:rFonts w:ascii="Calibri" w:hAnsi="Calibri" w:cs="Calibri"/>
                <w:sz w:val="19"/>
                <w:szCs w:val="19"/>
              </w:rPr>
              <w:t xml:space="preserve"> 0.84 (0.75, 0.94)</w:t>
            </w:r>
          </w:p>
        </w:tc>
        <w:tc>
          <w:tcPr>
            <w:tcW w:w="2693" w:type="dxa"/>
            <w:gridSpan w:val="2"/>
          </w:tcPr>
          <w:p w14:paraId="29F9A41D" w14:textId="77777777" w:rsidR="00F82FF4" w:rsidRPr="00F82FF4" w:rsidRDefault="00F82FF4" w:rsidP="00DA0466">
            <w:pPr>
              <w:ind w:left="125"/>
              <w:rPr>
                <w:rFonts w:ascii="Calibri" w:hAnsi="Calibri" w:cs="Calibri"/>
                <w:sz w:val="19"/>
                <w:szCs w:val="19"/>
              </w:rPr>
            </w:pPr>
            <w:r w:rsidRPr="00F82FF4">
              <w:rPr>
                <w:rFonts w:ascii="Calibri" w:hAnsi="Calibri" w:cs="Calibri"/>
                <w:sz w:val="19"/>
                <w:szCs w:val="19"/>
              </w:rPr>
              <w:t>No dose adjustment is required.</w:t>
            </w:r>
          </w:p>
        </w:tc>
      </w:tr>
      <w:tr w:rsidR="00F82FF4" w:rsidRPr="009A6B7D" w14:paraId="2B464DEF" w14:textId="77777777" w:rsidTr="00286039">
        <w:trPr>
          <w:trHeight w:val="455"/>
        </w:trPr>
        <w:tc>
          <w:tcPr>
            <w:tcW w:w="2684" w:type="dxa"/>
          </w:tcPr>
          <w:p w14:paraId="1A555FA6" w14:textId="5769ED5A" w:rsidR="00F82FF4" w:rsidRPr="00F82FF4" w:rsidRDefault="007102E6" w:rsidP="00DA0466">
            <w:pPr>
              <w:ind w:left="160"/>
              <w:rPr>
                <w:rFonts w:ascii="Calibri" w:hAnsi="Calibri" w:cs="Calibri"/>
                <w:sz w:val="19"/>
                <w:szCs w:val="19"/>
              </w:rPr>
            </w:pPr>
            <w:r w:rsidRPr="00F82FF4">
              <w:rPr>
                <w:rFonts w:ascii="Calibri" w:hAnsi="Calibri" w:cs="Calibri"/>
                <w:sz w:val="19"/>
                <w:szCs w:val="19"/>
              </w:rPr>
              <w:t>F</w:t>
            </w:r>
            <w:r w:rsidR="00F82FF4" w:rsidRPr="00F82FF4">
              <w:rPr>
                <w:rFonts w:ascii="Calibri" w:hAnsi="Calibri" w:cs="Calibri"/>
                <w:sz w:val="19"/>
                <w:szCs w:val="19"/>
              </w:rPr>
              <w:t>amotidine</w:t>
            </w:r>
          </w:p>
        </w:tc>
        <w:tc>
          <w:tcPr>
            <w:tcW w:w="3118" w:type="dxa"/>
          </w:tcPr>
          <w:p w14:paraId="58431CD9"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Interaction not studied. Expected:</w:t>
            </w:r>
          </w:p>
          <w:p w14:paraId="21B69DDB"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 xml:space="preserve">↔ </w:t>
            </w:r>
            <w:proofErr w:type="spellStart"/>
            <w:r w:rsidRPr="00F82FF4">
              <w:rPr>
                <w:rFonts w:ascii="Calibri" w:hAnsi="Calibri" w:cs="Calibri"/>
                <w:sz w:val="19"/>
                <w:szCs w:val="19"/>
              </w:rPr>
              <w:t>maribavir</w:t>
            </w:r>
            <w:proofErr w:type="spellEnd"/>
          </w:p>
        </w:tc>
        <w:tc>
          <w:tcPr>
            <w:tcW w:w="2693" w:type="dxa"/>
            <w:gridSpan w:val="2"/>
          </w:tcPr>
          <w:p w14:paraId="75D2990C" w14:textId="77777777" w:rsidR="00F82FF4" w:rsidRPr="00F82FF4" w:rsidRDefault="00F82FF4" w:rsidP="00DA0466">
            <w:pPr>
              <w:ind w:left="125"/>
              <w:rPr>
                <w:rFonts w:ascii="Calibri" w:hAnsi="Calibri" w:cs="Calibri"/>
                <w:sz w:val="19"/>
                <w:szCs w:val="19"/>
              </w:rPr>
            </w:pPr>
            <w:r w:rsidRPr="00F82FF4">
              <w:rPr>
                <w:rFonts w:ascii="Calibri" w:hAnsi="Calibri" w:cs="Calibri"/>
                <w:sz w:val="19"/>
                <w:szCs w:val="19"/>
              </w:rPr>
              <w:t>No dose adjustment is required.</w:t>
            </w:r>
          </w:p>
        </w:tc>
      </w:tr>
      <w:tr w:rsidR="00F82FF4" w:rsidRPr="009A6B7D" w14:paraId="1FDE4478" w14:textId="77777777" w:rsidTr="00286039">
        <w:trPr>
          <w:trHeight w:val="1082"/>
        </w:trPr>
        <w:tc>
          <w:tcPr>
            <w:tcW w:w="2684" w:type="dxa"/>
          </w:tcPr>
          <w:p w14:paraId="432884F1" w14:textId="2734A686" w:rsidR="00F82FF4" w:rsidRPr="00F82FF4" w:rsidRDefault="007102E6" w:rsidP="00DA0466">
            <w:pPr>
              <w:ind w:left="160"/>
              <w:rPr>
                <w:rFonts w:ascii="Calibri" w:hAnsi="Calibri" w:cs="Calibri"/>
                <w:sz w:val="19"/>
                <w:szCs w:val="19"/>
              </w:rPr>
            </w:pPr>
            <w:r w:rsidRPr="00F82FF4">
              <w:rPr>
                <w:rFonts w:ascii="Calibri" w:hAnsi="Calibri" w:cs="Calibri"/>
                <w:sz w:val="19"/>
                <w:szCs w:val="19"/>
              </w:rPr>
              <w:t>O</w:t>
            </w:r>
            <w:r w:rsidR="00F82FF4" w:rsidRPr="00F82FF4">
              <w:rPr>
                <w:rFonts w:ascii="Calibri" w:hAnsi="Calibri" w:cs="Calibri"/>
                <w:sz w:val="19"/>
                <w:szCs w:val="19"/>
              </w:rPr>
              <w:t>meprazole</w:t>
            </w:r>
          </w:p>
        </w:tc>
        <w:tc>
          <w:tcPr>
            <w:tcW w:w="3118" w:type="dxa"/>
          </w:tcPr>
          <w:p w14:paraId="0480F775"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 xml:space="preserve">↔ </w:t>
            </w:r>
            <w:proofErr w:type="spellStart"/>
            <w:r w:rsidRPr="00F82FF4">
              <w:rPr>
                <w:rFonts w:ascii="Calibri" w:hAnsi="Calibri" w:cs="Calibri"/>
                <w:sz w:val="19"/>
                <w:szCs w:val="19"/>
              </w:rPr>
              <w:t>maribavir</w:t>
            </w:r>
            <w:proofErr w:type="spellEnd"/>
          </w:p>
          <w:p w14:paraId="62A1F82D"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 xml:space="preserve">↑ plasma omeprazole/5- </w:t>
            </w:r>
            <w:proofErr w:type="spellStart"/>
            <w:r w:rsidRPr="00F82FF4">
              <w:rPr>
                <w:rFonts w:ascii="Calibri" w:hAnsi="Calibri" w:cs="Calibri"/>
                <w:sz w:val="19"/>
                <w:szCs w:val="19"/>
              </w:rPr>
              <w:t>hydroxyomeprazole</w:t>
            </w:r>
            <w:proofErr w:type="spellEnd"/>
            <w:r w:rsidRPr="00F82FF4">
              <w:rPr>
                <w:rFonts w:ascii="Calibri" w:hAnsi="Calibri" w:cs="Calibri"/>
                <w:sz w:val="19"/>
                <w:szCs w:val="19"/>
              </w:rPr>
              <w:t xml:space="preserve"> concentration ratio</w:t>
            </w:r>
          </w:p>
          <w:p w14:paraId="7ABACAC8"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1.71 (1.51, 1.92)</w:t>
            </w:r>
          </w:p>
          <w:p w14:paraId="6B026532"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(CYP2C19 inhibition)</w:t>
            </w:r>
          </w:p>
        </w:tc>
        <w:tc>
          <w:tcPr>
            <w:tcW w:w="2693" w:type="dxa"/>
            <w:gridSpan w:val="2"/>
          </w:tcPr>
          <w:p w14:paraId="55F129D2" w14:textId="77777777" w:rsidR="00F82FF4" w:rsidRPr="00F82FF4" w:rsidRDefault="00F82FF4" w:rsidP="00DA0466">
            <w:pPr>
              <w:ind w:left="125"/>
              <w:rPr>
                <w:rFonts w:ascii="Calibri" w:hAnsi="Calibri" w:cs="Calibri"/>
                <w:sz w:val="19"/>
                <w:szCs w:val="19"/>
              </w:rPr>
            </w:pPr>
            <w:r w:rsidRPr="00F82FF4">
              <w:rPr>
                <w:rFonts w:ascii="Calibri" w:hAnsi="Calibri" w:cs="Calibri"/>
                <w:sz w:val="19"/>
                <w:szCs w:val="19"/>
              </w:rPr>
              <w:t>No dose adjustment is required.</w:t>
            </w:r>
          </w:p>
        </w:tc>
      </w:tr>
      <w:tr w:rsidR="00F82FF4" w:rsidRPr="009A6B7D" w14:paraId="3F19BFE7" w14:textId="77777777" w:rsidTr="00286039">
        <w:trPr>
          <w:trHeight w:val="417"/>
        </w:trPr>
        <w:tc>
          <w:tcPr>
            <w:tcW w:w="2684" w:type="dxa"/>
          </w:tcPr>
          <w:p w14:paraId="2CF567A4" w14:textId="62DF3CE3" w:rsidR="00F82FF4" w:rsidRPr="00F82FF4" w:rsidRDefault="007102E6" w:rsidP="00DA0466">
            <w:pPr>
              <w:ind w:left="160"/>
              <w:rPr>
                <w:rFonts w:ascii="Calibri" w:hAnsi="Calibri" w:cs="Calibri"/>
                <w:sz w:val="19"/>
                <w:szCs w:val="19"/>
              </w:rPr>
            </w:pPr>
            <w:r w:rsidRPr="00F82FF4">
              <w:rPr>
                <w:rFonts w:ascii="Calibri" w:hAnsi="Calibri" w:cs="Calibri"/>
                <w:sz w:val="19"/>
                <w:szCs w:val="19"/>
              </w:rPr>
              <w:t>P</w:t>
            </w:r>
            <w:r w:rsidR="00F82FF4" w:rsidRPr="00F82FF4">
              <w:rPr>
                <w:rFonts w:ascii="Calibri" w:hAnsi="Calibri" w:cs="Calibri"/>
                <w:sz w:val="19"/>
                <w:szCs w:val="19"/>
              </w:rPr>
              <w:t>antoprazole</w:t>
            </w:r>
          </w:p>
        </w:tc>
        <w:tc>
          <w:tcPr>
            <w:tcW w:w="3118" w:type="dxa"/>
          </w:tcPr>
          <w:p w14:paraId="5D95D352"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Interaction not studied. Expected:</w:t>
            </w:r>
          </w:p>
          <w:p w14:paraId="57D8DB56"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 xml:space="preserve">↔ </w:t>
            </w:r>
            <w:proofErr w:type="spellStart"/>
            <w:r w:rsidRPr="00F82FF4">
              <w:rPr>
                <w:rFonts w:ascii="Calibri" w:hAnsi="Calibri" w:cs="Calibri"/>
                <w:sz w:val="19"/>
                <w:szCs w:val="19"/>
              </w:rPr>
              <w:t>maribavir</w:t>
            </w:r>
            <w:proofErr w:type="spellEnd"/>
          </w:p>
        </w:tc>
        <w:tc>
          <w:tcPr>
            <w:tcW w:w="2693" w:type="dxa"/>
            <w:gridSpan w:val="2"/>
          </w:tcPr>
          <w:p w14:paraId="35635752" w14:textId="77777777" w:rsidR="00F82FF4" w:rsidRPr="00F82FF4" w:rsidRDefault="00F82FF4" w:rsidP="00DA0466">
            <w:pPr>
              <w:ind w:left="125"/>
              <w:rPr>
                <w:rFonts w:ascii="Calibri" w:hAnsi="Calibri" w:cs="Calibri"/>
                <w:sz w:val="19"/>
                <w:szCs w:val="19"/>
              </w:rPr>
            </w:pPr>
            <w:r w:rsidRPr="00F82FF4">
              <w:rPr>
                <w:rFonts w:ascii="Calibri" w:hAnsi="Calibri" w:cs="Calibri"/>
                <w:sz w:val="19"/>
                <w:szCs w:val="19"/>
              </w:rPr>
              <w:t>No dose adjustment is required.</w:t>
            </w:r>
          </w:p>
        </w:tc>
      </w:tr>
      <w:tr w:rsidR="00F82FF4" w:rsidRPr="009A6B7D" w14:paraId="14941E6E" w14:textId="77777777" w:rsidTr="00286039">
        <w:trPr>
          <w:trHeight w:val="267"/>
        </w:trPr>
        <w:tc>
          <w:tcPr>
            <w:tcW w:w="8495" w:type="dxa"/>
            <w:gridSpan w:val="4"/>
          </w:tcPr>
          <w:p w14:paraId="59E3D5F6" w14:textId="77777777" w:rsidR="00F82FF4" w:rsidRPr="00F82FF4" w:rsidRDefault="00F82FF4" w:rsidP="00DA0466">
            <w:pPr>
              <w:spacing w:before="60" w:after="60"/>
              <w:ind w:left="159"/>
              <w:rPr>
                <w:rFonts w:ascii="Calibri" w:hAnsi="Calibri" w:cs="Calibri"/>
                <w:b/>
                <w:bCs/>
                <w:sz w:val="19"/>
                <w:szCs w:val="19"/>
              </w:rPr>
            </w:pPr>
            <w:r w:rsidRPr="00F82FF4">
              <w:rPr>
                <w:rFonts w:ascii="Calibri" w:hAnsi="Calibri" w:cs="Calibri"/>
                <w:b/>
                <w:bCs/>
                <w:sz w:val="19"/>
                <w:szCs w:val="19"/>
              </w:rPr>
              <w:t>Anti-</w:t>
            </w:r>
            <w:proofErr w:type="spellStart"/>
            <w:r w:rsidRPr="00F82FF4">
              <w:rPr>
                <w:rFonts w:ascii="Calibri" w:hAnsi="Calibri" w:cs="Calibri"/>
                <w:b/>
                <w:bCs/>
                <w:sz w:val="19"/>
                <w:szCs w:val="19"/>
              </w:rPr>
              <w:t>arrhythmics</w:t>
            </w:r>
            <w:proofErr w:type="spellEnd"/>
          </w:p>
        </w:tc>
      </w:tr>
      <w:tr w:rsidR="004A0E4B" w:rsidRPr="009A6B7D" w14:paraId="423F3898" w14:textId="77777777" w:rsidTr="004A0E4B">
        <w:trPr>
          <w:trHeight w:val="938"/>
        </w:trPr>
        <w:tc>
          <w:tcPr>
            <w:tcW w:w="2684" w:type="dxa"/>
          </w:tcPr>
          <w:p w14:paraId="67A1B597" w14:textId="368E9950" w:rsidR="004A0E4B" w:rsidRDefault="007102E6" w:rsidP="00DA0466">
            <w:pPr>
              <w:ind w:left="160"/>
              <w:rPr>
                <w:rFonts w:ascii="Calibri" w:hAnsi="Calibri" w:cs="Calibri"/>
                <w:sz w:val="19"/>
                <w:szCs w:val="19"/>
              </w:rPr>
            </w:pPr>
            <w:r>
              <w:rPr>
                <w:rFonts w:ascii="Calibri" w:hAnsi="Calibri" w:cs="Calibri"/>
                <w:sz w:val="19"/>
                <w:szCs w:val="19"/>
              </w:rPr>
              <w:t>D</w:t>
            </w:r>
            <w:r w:rsidR="004A0E4B" w:rsidRPr="00F82FF4">
              <w:rPr>
                <w:rFonts w:ascii="Calibri" w:hAnsi="Calibri" w:cs="Calibri"/>
                <w:sz w:val="19"/>
                <w:szCs w:val="19"/>
              </w:rPr>
              <w:t>igoxin</w:t>
            </w:r>
          </w:p>
          <w:p w14:paraId="4D0A84F7" w14:textId="3658E010" w:rsidR="004A0E4B" w:rsidRPr="00F82FF4" w:rsidRDefault="004A0E4B" w:rsidP="00DA0466">
            <w:pPr>
              <w:ind w:left="160"/>
              <w:rPr>
                <w:rFonts w:ascii="Calibri" w:hAnsi="Calibri" w:cs="Calibri"/>
                <w:sz w:val="19"/>
                <w:szCs w:val="19"/>
              </w:rPr>
            </w:pPr>
            <w:r w:rsidRPr="004A0E4B">
              <w:rPr>
                <w:rFonts w:ascii="Calibri" w:hAnsi="Calibri" w:cs="Calibri"/>
                <w:sz w:val="19"/>
                <w:szCs w:val="19"/>
              </w:rPr>
              <w:t xml:space="preserve">(0.5 mg single dose, 400 mg twice daily </w:t>
            </w:r>
            <w:proofErr w:type="spellStart"/>
            <w:r w:rsidRPr="004A0E4B">
              <w:rPr>
                <w:rFonts w:ascii="Calibri" w:hAnsi="Calibri" w:cs="Calibri"/>
                <w:sz w:val="19"/>
                <w:szCs w:val="19"/>
              </w:rPr>
              <w:t>maribavir</w:t>
            </w:r>
            <w:proofErr w:type="spellEnd"/>
            <w:r w:rsidRPr="004A0E4B">
              <w:rPr>
                <w:rFonts w:ascii="Calibri" w:hAnsi="Calibri" w:cs="Calibri"/>
                <w:sz w:val="19"/>
                <w:szCs w:val="19"/>
              </w:rPr>
              <w:t>)</w:t>
            </w:r>
          </w:p>
          <w:p w14:paraId="11601032" w14:textId="2FBE2092" w:rsidR="004A0E4B" w:rsidRPr="00F82FF4" w:rsidRDefault="004A0E4B" w:rsidP="004A0E4B">
            <w:pPr>
              <w:ind w:left="0"/>
              <w:rPr>
                <w:rFonts w:ascii="Calibri" w:hAnsi="Calibri" w:cs="Calibri"/>
                <w:sz w:val="19"/>
                <w:szCs w:val="19"/>
              </w:rPr>
            </w:pPr>
          </w:p>
        </w:tc>
        <w:tc>
          <w:tcPr>
            <w:tcW w:w="3118" w:type="dxa"/>
          </w:tcPr>
          <w:p w14:paraId="13B522CA" w14:textId="77777777" w:rsidR="004A0E4B" w:rsidRPr="00F82FF4" w:rsidRDefault="004A0E4B" w:rsidP="00DA0466">
            <w:pPr>
              <w:ind w:left="172"/>
              <w:rPr>
                <w:rFonts w:ascii="Calibri" w:hAnsi="Calibri" w:cs="Calibri"/>
                <w:sz w:val="19"/>
                <w:szCs w:val="19"/>
              </w:rPr>
            </w:pPr>
            <w:r w:rsidRPr="00F82FF4">
              <w:rPr>
                <w:rFonts w:ascii="Calibri" w:hAnsi="Calibri" w:cs="Calibri"/>
                <w:sz w:val="19"/>
                <w:szCs w:val="19"/>
              </w:rPr>
              <w:t>↔ digoxin</w:t>
            </w:r>
          </w:p>
          <w:p w14:paraId="27046BBD" w14:textId="77777777" w:rsidR="004A0E4B" w:rsidRPr="00F82FF4" w:rsidRDefault="004A0E4B" w:rsidP="00DA0466">
            <w:pPr>
              <w:ind w:left="172"/>
              <w:rPr>
                <w:rFonts w:ascii="Calibri" w:hAnsi="Calibri" w:cs="Calibri"/>
                <w:sz w:val="19"/>
                <w:szCs w:val="19"/>
              </w:rPr>
            </w:pPr>
            <w:r w:rsidRPr="00F82FF4">
              <w:rPr>
                <w:rFonts w:ascii="Calibri" w:hAnsi="Calibri" w:cs="Calibri"/>
                <w:sz w:val="19"/>
                <w:szCs w:val="19"/>
              </w:rPr>
              <w:t>AUC 1.21 (1.10, 1.32)</w:t>
            </w:r>
          </w:p>
          <w:p w14:paraId="6FA5E8A8" w14:textId="77777777" w:rsidR="004A0E4B" w:rsidRPr="00F82FF4" w:rsidRDefault="004A0E4B" w:rsidP="00DA0466">
            <w:pPr>
              <w:ind w:left="172"/>
              <w:rPr>
                <w:rFonts w:ascii="Calibri" w:hAnsi="Calibri" w:cs="Calibri"/>
                <w:sz w:val="19"/>
                <w:szCs w:val="19"/>
              </w:rPr>
            </w:pPr>
            <w:r w:rsidRPr="00F82FF4">
              <w:rPr>
                <w:rFonts w:ascii="Calibri" w:hAnsi="Calibri" w:cs="Calibri"/>
                <w:sz w:val="19"/>
                <w:szCs w:val="19"/>
              </w:rPr>
              <w:t>C</w:t>
            </w:r>
            <w:r w:rsidRPr="00C53A1C">
              <w:rPr>
                <w:rFonts w:ascii="Calibri" w:hAnsi="Calibri" w:cs="Calibri"/>
                <w:sz w:val="19"/>
                <w:szCs w:val="19"/>
                <w:vertAlign w:val="subscript"/>
              </w:rPr>
              <w:t>max</w:t>
            </w:r>
            <w:r w:rsidRPr="00F82FF4">
              <w:rPr>
                <w:rFonts w:ascii="Calibri" w:hAnsi="Calibri" w:cs="Calibri"/>
                <w:sz w:val="19"/>
                <w:szCs w:val="19"/>
              </w:rPr>
              <w:t xml:space="preserve"> 1.25 (1.13, 1.38)</w:t>
            </w:r>
          </w:p>
          <w:p w14:paraId="2D5A046A" w14:textId="4ADB5B4F" w:rsidR="004A0E4B" w:rsidRPr="00F82FF4" w:rsidRDefault="004A0E4B" w:rsidP="00DA0466">
            <w:pPr>
              <w:ind w:left="172"/>
              <w:rPr>
                <w:rFonts w:ascii="Calibri" w:hAnsi="Calibri" w:cs="Calibri"/>
                <w:sz w:val="19"/>
                <w:szCs w:val="19"/>
              </w:rPr>
            </w:pPr>
            <w:r w:rsidRPr="00F82FF4">
              <w:rPr>
                <w:rFonts w:ascii="Calibri" w:hAnsi="Calibri" w:cs="Calibri"/>
                <w:sz w:val="19"/>
                <w:szCs w:val="19"/>
              </w:rPr>
              <w:t>(P-</w:t>
            </w:r>
            <w:proofErr w:type="spellStart"/>
            <w:r w:rsidRPr="00F82FF4">
              <w:rPr>
                <w:rFonts w:ascii="Calibri" w:hAnsi="Calibri" w:cs="Calibri"/>
                <w:sz w:val="19"/>
                <w:szCs w:val="19"/>
              </w:rPr>
              <w:t>gp</w:t>
            </w:r>
            <w:proofErr w:type="spellEnd"/>
            <w:r w:rsidRPr="00F82FF4">
              <w:rPr>
                <w:rFonts w:ascii="Calibri" w:hAnsi="Calibri" w:cs="Calibri"/>
                <w:sz w:val="19"/>
                <w:szCs w:val="19"/>
              </w:rPr>
              <w:t xml:space="preserve"> inhibition)</w:t>
            </w:r>
          </w:p>
        </w:tc>
        <w:tc>
          <w:tcPr>
            <w:tcW w:w="2693" w:type="dxa"/>
            <w:gridSpan w:val="2"/>
          </w:tcPr>
          <w:p w14:paraId="71681D76" w14:textId="77777777" w:rsidR="004A0E4B" w:rsidRPr="00F82FF4" w:rsidRDefault="004A0E4B" w:rsidP="00DA0466">
            <w:pPr>
              <w:ind w:left="125"/>
              <w:rPr>
                <w:rFonts w:ascii="Calibri" w:hAnsi="Calibri" w:cs="Calibri"/>
                <w:sz w:val="19"/>
                <w:szCs w:val="19"/>
              </w:rPr>
            </w:pPr>
            <w:r w:rsidRPr="00F82FF4">
              <w:rPr>
                <w:rFonts w:ascii="Calibri" w:hAnsi="Calibri" w:cs="Calibri"/>
                <w:sz w:val="19"/>
                <w:szCs w:val="19"/>
              </w:rPr>
              <w:t>No dose adjustment is required.</w:t>
            </w:r>
          </w:p>
        </w:tc>
      </w:tr>
      <w:tr w:rsidR="00F82FF4" w:rsidRPr="009A6B7D" w14:paraId="49311DB0" w14:textId="77777777" w:rsidTr="00286039">
        <w:trPr>
          <w:trHeight w:val="143"/>
        </w:trPr>
        <w:tc>
          <w:tcPr>
            <w:tcW w:w="8495" w:type="dxa"/>
            <w:gridSpan w:val="4"/>
          </w:tcPr>
          <w:p w14:paraId="3FD77F08" w14:textId="77777777" w:rsidR="00F82FF4" w:rsidRPr="00F82FF4" w:rsidRDefault="00F82FF4" w:rsidP="00DA0466">
            <w:pPr>
              <w:spacing w:before="60" w:after="60"/>
              <w:ind w:left="159"/>
              <w:rPr>
                <w:rFonts w:ascii="Calibri" w:hAnsi="Calibri" w:cs="Calibri"/>
                <w:b/>
                <w:bCs/>
                <w:sz w:val="19"/>
                <w:szCs w:val="19"/>
              </w:rPr>
            </w:pPr>
            <w:r w:rsidRPr="00F82FF4">
              <w:rPr>
                <w:rFonts w:ascii="Calibri" w:hAnsi="Calibri" w:cs="Calibri"/>
                <w:b/>
                <w:bCs/>
                <w:sz w:val="19"/>
                <w:szCs w:val="19"/>
              </w:rPr>
              <w:t>Antibiotics</w:t>
            </w:r>
          </w:p>
        </w:tc>
      </w:tr>
      <w:tr w:rsidR="00F82FF4" w:rsidRPr="009A6B7D" w14:paraId="6C1DFCAC" w14:textId="77777777" w:rsidTr="00286039">
        <w:trPr>
          <w:trHeight w:val="359"/>
        </w:trPr>
        <w:tc>
          <w:tcPr>
            <w:tcW w:w="2684" w:type="dxa"/>
          </w:tcPr>
          <w:p w14:paraId="7C4CC339" w14:textId="37D5F42E" w:rsidR="00F82FF4" w:rsidRPr="00F82FF4" w:rsidRDefault="007102E6" w:rsidP="00DA0466">
            <w:pPr>
              <w:ind w:left="160"/>
              <w:rPr>
                <w:rFonts w:ascii="Calibri" w:hAnsi="Calibri" w:cs="Calibri"/>
                <w:sz w:val="19"/>
                <w:szCs w:val="19"/>
              </w:rPr>
            </w:pPr>
            <w:r w:rsidRPr="00F82FF4">
              <w:rPr>
                <w:rFonts w:ascii="Calibri" w:hAnsi="Calibri" w:cs="Calibri"/>
                <w:sz w:val="19"/>
                <w:szCs w:val="19"/>
              </w:rPr>
              <w:t>E</w:t>
            </w:r>
            <w:r w:rsidR="00F82FF4" w:rsidRPr="00F82FF4">
              <w:rPr>
                <w:rFonts w:ascii="Calibri" w:hAnsi="Calibri" w:cs="Calibri"/>
                <w:sz w:val="19"/>
                <w:szCs w:val="19"/>
              </w:rPr>
              <w:t>rythromycin</w:t>
            </w:r>
          </w:p>
        </w:tc>
        <w:tc>
          <w:tcPr>
            <w:tcW w:w="3118" w:type="dxa"/>
          </w:tcPr>
          <w:p w14:paraId="27EA5D31"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Interaction not studied. Expected:</w:t>
            </w:r>
          </w:p>
          <w:p w14:paraId="6505E176"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 xml:space="preserve">↑ </w:t>
            </w:r>
            <w:proofErr w:type="spellStart"/>
            <w:r w:rsidRPr="00F82FF4">
              <w:rPr>
                <w:rFonts w:ascii="Calibri" w:hAnsi="Calibri" w:cs="Calibri"/>
                <w:sz w:val="19"/>
                <w:szCs w:val="19"/>
              </w:rPr>
              <w:t>maribavir</w:t>
            </w:r>
            <w:proofErr w:type="spellEnd"/>
          </w:p>
          <w:p w14:paraId="2DA762B4"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(CYP3A inhibition)</w:t>
            </w:r>
          </w:p>
        </w:tc>
        <w:tc>
          <w:tcPr>
            <w:tcW w:w="2693" w:type="dxa"/>
            <w:gridSpan w:val="2"/>
          </w:tcPr>
          <w:p w14:paraId="09827061" w14:textId="77777777" w:rsidR="00F82FF4" w:rsidRPr="00F82FF4" w:rsidRDefault="00F82FF4" w:rsidP="00DA0466">
            <w:pPr>
              <w:ind w:left="125"/>
              <w:rPr>
                <w:rFonts w:ascii="Calibri" w:hAnsi="Calibri" w:cs="Calibri"/>
                <w:sz w:val="19"/>
                <w:szCs w:val="19"/>
              </w:rPr>
            </w:pPr>
            <w:r w:rsidRPr="00F82FF4">
              <w:rPr>
                <w:rFonts w:ascii="Calibri" w:hAnsi="Calibri" w:cs="Calibri"/>
                <w:sz w:val="19"/>
                <w:szCs w:val="19"/>
              </w:rPr>
              <w:t>No dose adjustment is required.</w:t>
            </w:r>
          </w:p>
        </w:tc>
      </w:tr>
      <w:tr w:rsidR="00F82FF4" w:rsidRPr="009A6B7D" w14:paraId="41359E58" w14:textId="77777777" w:rsidTr="00286039">
        <w:trPr>
          <w:trHeight w:val="323"/>
        </w:trPr>
        <w:tc>
          <w:tcPr>
            <w:tcW w:w="8495" w:type="dxa"/>
            <w:gridSpan w:val="4"/>
          </w:tcPr>
          <w:p w14:paraId="55733E9B" w14:textId="77777777" w:rsidR="00F82FF4" w:rsidRPr="00F82FF4" w:rsidRDefault="00F82FF4" w:rsidP="00DA0466">
            <w:pPr>
              <w:spacing w:before="60" w:after="60"/>
              <w:ind w:left="159"/>
              <w:rPr>
                <w:rFonts w:ascii="Calibri" w:hAnsi="Calibri" w:cs="Calibri"/>
                <w:b/>
                <w:bCs/>
                <w:sz w:val="19"/>
                <w:szCs w:val="19"/>
              </w:rPr>
            </w:pPr>
            <w:r w:rsidRPr="00F82FF4">
              <w:rPr>
                <w:rFonts w:ascii="Calibri" w:hAnsi="Calibri" w:cs="Calibri"/>
                <w:b/>
                <w:bCs/>
                <w:sz w:val="19"/>
                <w:szCs w:val="19"/>
              </w:rPr>
              <w:t>Anti-</w:t>
            </w:r>
            <w:proofErr w:type="spellStart"/>
            <w:r w:rsidRPr="00F82FF4">
              <w:rPr>
                <w:rFonts w:ascii="Calibri" w:hAnsi="Calibri" w:cs="Calibri"/>
                <w:b/>
                <w:bCs/>
                <w:sz w:val="19"/>
                <w:szCs w:val="19"/>
              </w:rPr>
              <w:t>convulsants</w:t>
            </w:r>
            <w:proofErr w:type="spellEnd"/>
          </w:p>
        </w:tc>
      </w:tr>
      <w:tr w:rsidR="00F82FF4" w:rsidRPr="009A6B7D" w14:paraId="52556037" w14:textId="77777777" w:rsidTr="00286039">
        <w:trPr>
          <w:trHeight w:val="766"/>
        </w:trPr>
        <w:tc>
          <w:tcPr>
            <w:tcW w:w="2684" w:type="dxa"/>
          </w:tcPr>
          <w:p w14:paraId="41086E3C" w14:textId="5CC3561D" w:rsidR="00F82FF4" w:rsidRPr="00F82FF4" w:rsidRDefault="007102E6" w:rsidP="00DA0466">
            <w:pPr>
              <w:ind w:left="160"/>
              <w:rPr>
                <w:rFonts w:ascii="Calibri" w:hAnsi="Calibri" w:cs="Calibri"/>
                <w:sz w:val="19"/>
                <w:szCs w:val="19"/>
              </w:rPr>
            </w:pPr>
            <w:r w:rsidRPr="00F82FF4">
              <w:rPr>
                <w:rFonts w:ascii="Calibri" w:hAnsi="Calibri" w:cs="Calibri"/>
                <w:sz w:val="19"/>
                <w:szCs w:val="19"/>
              </w:rPr>
              <w:t>C</w:t>
            </w:r>
            <w:r w:rsidR="00F82FF4" w:rsidRPr="00F82FF4">
              <w:rPr>
                <w:rFonts w:ascii="Calibri" w:hAnsi="Calibri" w:cs="Calibri"/>
                <w:sz w:val="19"/>
                <w:szCs w:val="19"/>
              </w:rPr>
              <w:t>arbamazepine</w:t>
            </w:r>
          </w:p>
        </w:tc>
        <w:tc>
          <w:tcPr>
            <w:tcW w:w="3118" w:type="dxa"/>
          </w:tcPr>
          <w:p w14:paraId="7B79CC95"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Interaction not studied. Expected:</w:t>
            </w:r>
          </w:p>
          <w:p w14:paraId="0AAA79B3"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 xml:space="preserve">↓ </w:t>
            </w:r>
            <w:proofErr w:type="spellStart"/>
            <w:r w:rsidRPr="00F82FF4">
              <w:rPr>
                <w:rFonts w:ascii="Calibri" w:hAnsi="Calibri" w:cs="Calibri"/>
                <w:sz w:val="19"/>
                <w:szCs w:val="19"/>
              </w:rPr>
              <w:t>maribavir</w:t>
            </w:r>
            <w:proofErr w:type="spellEnd"/>
          </w:p>
          <w:p w14:paraId="490B8E63"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(CYP3A induction)</w:t>
            </w:r>
          </w:p>
        </w:tc>
        <w:tc>
          <w:tcPr>
            <w:tcW w:w="2693" w:type="dxa"/>
            <w:gridSpan w:val="2"/>
          </w:tcPr>
          <w:p w14:paraId="5B6234F2" w14:textId="77777777" w:rsidR="00F82FF4" w:rsidRPr="00F82FF4" w:rsidRDefault="00F82FF4" w:rsidP="00DA0466">
            <w:pPr>
              <w:ind w:left="125"/>
              <w:rPr>
                <w:rFonts w:ascii="Calibri" w:hAnsi="Calibri" w:cs="Calibri"/>
                <w:sz w:val="19"/>
                <w:szCs w:val="19"/>
              </w:rPr>
            </w:pPr>
            <w:r w:rsidRPr="00F82FF4">
              <w:rPr>
                <w:rFonts w:ascii="Calibri" w:hAnsi="Calibri" w:cs="Calibri"/>
                <w:sz w:val="19"/>
                <w:szCs w:val="19"/>
              </w:rPr>
              <w:t xml:space="preserve">A dose adjustment of </w:t>
            </w:r>
            <w:proofErr w:type="spellStart"/>
            <w:r w:rsidRPr="00F82FF4">
              <w:rPr>
                <w:rFonts w:ascii="Calibri" w:hAnsi="Calibri" w:cs="Calibri"/>
                <w:sz w:val="19"/>
                <w:szCs w:val="19"/>
              </w:rPr>
              <w:t>maribavir</w:t>
            </w:r>
            <w:proofErr w:type="spellEnd"/>
            <w:r w:rsidRPr="00F82FF4">
              <w:rPr>
                <w:rFonts w:ascii="Calibri" w:hAnsi="Calibri" w:cs="Calibri"/>
                <w:sz w:val="19"/>
                <w:szCs w:val="19"/>
              </w:rPr>
              <w:t xml:space="preserve"> to 1200 mg twice daily is recommended when co- administration with</w:t>
            </w:r>
          </w:p>
          <w:p w14:paraId="6195FE9B" w14:textId="77777777" w:rsidR="00F82FF4" w:rsidRPr="00F82FF4" w:rsidRDefault="00F82FF4" w:rsidP="00DA0466">
            <w:pPr>
              <w:ind w:left="125"/>
              <w:rPr>
                <w:rFonts w:ascii="Calibri" w:hAnsi="Calibri" w:cs="Calibri"/>
                <w:sz w:val="19"/>
                <w:szCs w:val="19"/>
              </w:rPr>
            </w:pPr>
            <w:r w:rsidRPr="00F82FF4">
              <w:rPr>
                <w:rFonts w:ascii="Calibri" w:hAnsi="Calibri" w:cs="Calibri"/>
                <w:sz w:val="19"/>
                <w:szCs w:val="19"/>
              </w:rPr>
              <w:t>carbamazepine.</w:t>
            </w:r>
          </w:p>
        </w:tc>
      </w:tr>
      <w:tr w:rsidR="00F82FF4" w:rsidRPr="009A6B7D" w14:paraId="5AB8034B" w14:textId="77777777" w:rsidTr="00286039">
        <w:trPr>
          <w:trHeight w:val="821"/>
        </w:trPr>
        <w:tc>
          <w:tcPr>
            <w:tcW w:w="2684" w:type="dxa"/>
          </w:tcPr>
          <w:p w14:paraId="30590B01" w14:textId="294AAB28" w:rsidR="00F82FF4" w:rsidRPr="00F82FF4" w:rsidRDefault="007102E6" w:rsidP="00DA0466">
            <w:pPr>
              <w:ind w:left="160"/>
              <w:rPr>
                <w:rFonts w:ascii="Calibri" w:hAnsi="Calibri" w:cs="Calibri"/>
                <w:sz w:val="19"/>
                <w:szCs w:val="19"/>
              </w:rPr>
            </w:pPr>
            <w:r w:rsidRPr="00F82FF4">
              <w:rPr>
                <w:rFonts w:ascii="Calibri" w:hAnsi="Calibri" w:cs="Calibri"/>
                <w:sz w:val="19"/>
                <w:szCs w:val="19"/>
              </w:rPr>
              <w:t>P</w:t>
            </w:r>
            <w:r w:rsidR="00F82FF4" w:rsidRPr="00F82FF4">
              <w:rPr>
                <w:rFonts w:ascii="Calibri" w:hAnsi="Calibri" w:cs="Calibri"/>
                <w:sz w:val="19"/>
                <w:szCs w:val="19"/>
              </w:rPr>
              <w:t>henobarbital</w:t>
            </w:r>
          </w:p>
        </w:tc>
        <w:tc>
          <w:tcPr>
            <w:tcW w:w="3118" w:type="dxa"/>
          </w:tcPr>
          <w:p w14:paraId="6307E3DA"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Interaction not studied. Expected:</w:t>
            </w:r>
          </w:p>
          <w:p w14:paraId="40BD0EC4"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 xml:space="preserve">↓ </w:t>
            </w:r>
            <w:proofErr w:type="spellStart"/>
            <w:r w:rsidRPr="00F82FF4">
              <w:rPr>
                <w:rFonts w:ascii="Calibri" w:hAnsi="Calibri" w:cs="Calibri"/>
                <w:sz w:val="19"/>
                <w:szCs w:val="19"/>
              </w:rPr>
              <w:t>maribavir</w:t>
            </w:r>
            <w:proofErr w:type="spellEnd"/>
          </w:p>
          <w:p w14:paraId="2FEC569C"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(CYP3A induction)</w:t>
            </w:r>
          </w:p>
        </w:tc>
        <w:tc>
          <w:tcPr>
            <w:tcW w:w="2693" w:type="dxa"/>
            <w:gridSpan w:val="2"/>
          </w:tcPr>
          <w:p w14:paraId="18C37D9C" w14:textId="77777777" w:rsidR="00F82FF4" w:rsidRPr="00F82FF4" w:rsidRDefault="00F82FF4" w:rsidP="00DA0466">
            <w:pPr>
              <w:ind w:left="125"/>
              <w:rPr>
                <w:rFonts w:ascii="Calibri" w:hAnsi="Calibri" w:cs="Calibri"/>
                <w:sz w:val="19"/>
                <w:szCs w:val="19"/>
              </w:rPr>
            </w:pPr>
            <w:r w:rsidRPr="00F82FF4">
              <w:rPr>
                <w:rFonts w:ascii="Calibri" w:hAnsi="Calibri" w:cs="Calibri"/>
                <w:sz w:val="19"/>
                <w:szCs w:val="19"/>
              </w:rPr>
              <w:t xml:space="preserve">A dose adjustment of </w:t>
            </w:r>
            <w:proofErr w:type="spellStart"/>
            <w:r w:rsidRPr="00F82FF4">
              <w:rPr>
                <w:rFonts w:ascii="Calibri" w:hAnsi="Calibri" w:cs="Calibri"/>
                <w:sz w:val="19"/>
                <w:szCs w:val="19"/>
              </w:rPr>
              <w:t>maribavir</w:t>
            </w:r>
            <w:proofErr w:type="spellEnd"/>
            <w:r w:rsidRPr="00F82FF4">
              <w:rPr>
                <w:rFonts w:ascii="Calibri" w:hAnsi="Calibri" w:cs="Calibri"/>
                <w:sz w:val="19"/>
                <w:szCs w:val="19"/>
              </w:rPr>
              <w:t xml:space="preserve"> to 1200 mg twice daily is recommended when co- administration with</w:t>
            </w:r>
          </w:p>
          <w:p w14:paraId="1EB68278" w14:textId="77777777" w:rsidR="00F82FF4" w:rsidRPr="00F82FF4" w:rsidRDefault="00F82FF4" w:rsidP="00DA0466">
            <w:pPr>
              <w:ind w:left="125"/>
              <w:rPr>
                <w:rFonts w:ascii="Calibri" w:hAnsi="Calibri" w:cs="Calibri"/>
                <w:sz w:val="19"/>
                <w:szCs w:val="19"/>
              </w:rPr>
            </w:pPr>
            <w:r w:rsidRPr="00F82FF4">
              <w:rPr>
                <w:rFonts w:ascii="Calibri" w:hAnsi="Calibri" w:cs="Calibri"/>
                <w:sz w:val="19"/>
                <w:szCs w:val="19"/>
              </w:rPr>
              <w:t>phenobarbital.</w:t>
            </w:r>
          </w:p>
        </w:tc>
      </w:tr>
      <w:tr w:rsidR="00F82FF4" w:rsidRPr="009A6B7D" w14:paraId="29E02111" w14:textId="77777777" w:rsidTr="00286039">
        <w:trPr>
          <w:trHeight w:val="712"/>
        </w:trPr>
        <w:tc>
          <w:tcPr>
            <w:tcW w:w="2684" w:type="dxa"/>
          </w:tcPr>
          <w:p w14:paraId="60633BF2" w14:textId="1F72146F" w:rsidR="00F82FF4" w:rsidRPr="00F82FF4" w:rsidRDefault="007102E6" w:rsidP="00DA0466">
            <w:pPr>
              <w:ind w:left="160"/>
              <w:rPr>
                <w:rFonts w:ascii="Calibri" w:hAnsi="Calibri" w:cs="Calibri"/>
                <w:sz w:val="19"/>
                <w:szCs w:val="19"/>
              </w:rPr>
            </w:pPr>
            <w:r w:rsidRPr="00F82FF4">
              <w:rPr>
                <w:rFonts w:ascii="Calibri" w:hAnsi="Calibri" w:cs="Calibri"/>
                <w:sz w:val="19"/>
                <w:szCs w:val="19"/>
              </w:rPr>
              <w:t>P</w:t>
            </w:r>
            <w:r w:rsidR="00F82FF4" w:rsidRPr="00F82FF4">
              <w:rPr>
                <w:rFonts w:ascii="Calibri" w:hAnsi="Calibri" w:cs="Calibri"/>
                <w:sz w:val="19"/>
                <w:szCs w:val="19"/>
              </w:rPr>
              <w:t>henytoin</w:t>
            </w:r>
          </w:p>
        </w:tc>
        <w:tc>
          <w:tcPr>
            <w:tcW w:w="3118" w:type="dxa"/>
          </w:tcPr>
          <w:p w14:paraId="59FF9BBD"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Interaction not studied. Expected:</w:t>
            </w:r>
          </w:p>
          <w:p w14:paraId="3E067FEC"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 xml:space="preserve">↓ </w:t>
            </w:r>
            <w:proofErr w:type="spellStart"/>
            <w:r w:rsidRPr="00F82FF4">
              <w:rPr>
                <w:rFonts w:ascii="Calibri" w:hAnsi="Calibri" w:cs="Calibri"/>
                <w:sz w:val="19"/>
                <w:szCs w:val="19"/>
              </w:rPr>
              <w:t>maribavir</w:t>
            </w:r>
            <w:proofErr w:type="spellEnd"/>
          </w:p>
          <w:p w14:paraId="1A66478B"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(CYP3A induction)</w:t>
            </w:r>
          </w:p>
        </w:tc>
        <w:tc>
          <w:tcPr>
            <w:tcW w:w="2693" w:type="dxa"/>
            <w:gridSpan w:val="2"/>
          </w:tcPr>
          <w:p w14:paraId="743127EF" w14:textId="77777777" w:rsidR="00F82FF4" w:rsidRDefault="00F82FF4" w:rsidP="00DA0466">
            <w:pPr>
              <w:ind w:left="125"/>
              <w:rPr>
                <w:rFonts w:ascii="Calibri" w:hAnsi="Calibri" w:cs="Calibri"/>
                <w:sz w:val="19"/>
                <w:szCs w:val="19"/>
              </w:rPr>
            </w:pPr>
            <w:r w:rsidRPr="00F82FF4">
              <w:rPr>
                <w:rFonts w:ascii="Calibri" w:hAnsi="Calibri" w:cs="Calibri"/>
                <w:sz w:val="19"/>
                <w:szCs w:val="19"/>
              </w:rPr>
              <w:t xml:space="preserve">A dose adjustment of </w:t>
            </w:r>
            <w:proofErr w:type="spellStart"/>
            <w:r w:rsidRPr="00F82FF4">
              <w:rPr>
                <w:rFonts w:ascii="Calibri" w:hAnsi="Calibri" w:cs="Calibri"/>
                <w:sz w:val="19"/>
                <w:szCs w:val="19"/>
              </w:rPr>
              <w:t>maribavir</w:t>
            </w:r>
            <w:proofErr w:type="spellEnd"/>
            <w:r w:rsidRPr="00F82FF4">
              <w:rPr>
                <w:rFonts w:ascii="Calibri" w:hAnsi="Calibri" w:cs="Calibri"/>
                <w:sz w:val="19"/>
                <w:szCs w:val="19"/>
              </w:rPr>
              <w:t xml:space="preserve"> to 1200 mg twice daily is recommended when co- administration with phenytoin.</w:t>
            </w:r>
          </w:p>
          <w:p w14:paraId="60D36BEC" w14:textId="2C487EB1" w:rsidR="00930D01" w:rsidRPr="00F82FF4" w:rsidRDefault="00930D01" w:rsidP="00DA0466">
            <w:pPr>
              <w:ind w:left="125"/>
              <w:rPr>
                <w:rFonts w:ascii="Calibri" w:hAnsi="Calibri" w:cs="Calibri"/>
                <w:sz w:val="19"/>
                <w:szCs w:val="19"/>
              </w:rPr>
            </w:pPr>
          </w:p>
        </w:tc>
      </w:tr>
      <w:tr w:rsidR="00F82FF4" w:rsidRPr="009A6B7D" w14:paraId="2C9FB5FC" w14:textId="77777777" w:rsidTr="00286039">
        <w:trPr>
          <w:trHeight w:val="270"/>
        </w:trPr>
        <w:tc>
          <w:tcPr>
            <w:tcW w:w="8495" w:type="dxa"/>
            <w:gridSpan w:val="4"/>
          </w:tcPr>
          <w:p w14:paraId="166144F9" w14:textId="77777777" w:rsidR="00F82FF4" w:rsidRPr="00F82FF4" w:rsidRDefault="00F82FF4" w:rsidP="00DA0466">
            <w:pPr>
              <w:spacing w:before="60" w:after="60"/>
              <w:ind w:left="159"/>
              <w:rPr>
                <w:rFonts w:ascii="Calibri" w:hAnsi="Calibri" w:cs="Calibri"/>
                <w:b/>
                <w:bCs/>
                <w:sz w:val="19"/>
                <w:szCs w:val="19"/>
              </w:rPr>
            </w:pPr>
            <w:r w:rsidRPr="00F82FF4">
              <w:rPr>
                <w:rFonts w:ascii="Calibri" w:hAnsi="Calibri" w:cs="Calibri"/>
                <w:b/>
                <w:bCs/>
                <w:sz w:val="19"/>
                <w:szCs w:val="19"/>
              </w:rPr>
              <w:lastRenderedPageBreak/>
              <w:t>Anti-inflammatories</w:t>
            </w:r>
          </w:p>
        </w:tc>
      </w:tr>
      <w:tr w:rsidR="00F82FF4" w:rsidRPr="009A6B7D" w14:paraId="2C7D5E3A" w14:textId="77777777" w:rsidTr="00286039">
        <w:trPr>
          <w:trHeight w:val="431"/>
        </w:trPr>
        <w:tc>
          <w:tcPr>
            <w:tcW w:w="2684" w:type="dxa"/>
          </w:tcPr>
          <w:p w14:paraId="061560DD" w14:textId="3B72C460" w:rsidR="00F82FF4" w:rsidRPr="00F82FF4" w:rsidRDefault="007102E6" w:rsidP="00DA0466">
            <w:pPr>
              <w:ind w:left="160"/>
              <w:rPr>
                <w:rFonts w:ascii="Calibri" w:hAnsi="Calibri" w:cs="Calibri"/>
                <w:sz w:val="19"/>
                <w:szCs w:val="19"/>
              </w:rPr>
            </w:pPr>
            <w:r w:rsidRPr="00F82FF4">
              <w:rPr>
                <w:rFonts w:ascii="Calibri" w:hAnsi="Calibri" w:cs="Calibri"/>
                <w:sz w:val="19"/>
                <w:szCs w:val="19"/>
              </w:rPr>
              <w:t>S</w:t>
            </w:r>
            <w:r w:rsidR="00F82FF4" w:rsidRPr="00F82FF4">
              <w:rPr>
                <w:rFonts w:ascii="Calibri" w:hAnsi="Calibri" w:cs="Calibri"/>
                <w:sz w:val="19"/>
                <w:szCs w:val="19"/>
              </w:rPr>
              <w:t>ulfasalazine</w:t>
            </w:r>
          </w:p>
        </w:tc>
        <w:tc>
          <w:tcPr>
            <w:tcW w:w="3118" w:type="dxa"/>
          </w:tcPr>
          <w:p w14:paraId="7D31A95E"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Interaction not studied. Expected:</w:t>
            </w:r>
          </w:p>
          <w:p w14:paraId="753B65FE"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 sulfasalazine</w:t>
            </w:r>
          </w:p>
          <w:p w14:paraId="02C4C261"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(BCRP inhibition)</w:t>
            </w:r>
          </w:p>
        </w:tc>
        <w:tc>
          <w:tcPr>
            <w:tcW w:w="2693" w:type="dxa"/>
            <w:gridSpan w:val="2"/>
          </w:tcPr>
          <w:p w14:paraId="5161B584" w14:textId="77777777" w:rsidR="00F82FF4" w:rsidRPr="00F82FF4" w:rsidRDefault="00F82FF4" w:rsidP="00DA0466">
            <w:pPr>
              <w:ind w:left="125"/>
              <w:rPr>
                <w:rFonts w:ascii="Calibri" w:hAnsi="Calibri" w:cs="Calibri"/>
                <w:sz w:val="19"/>
                <w:szCs w:val="19"/>
              </w:rPr>
            </w:pPr>
            <w:r w:rsidRPr="00F82FF4">
              <w:rPr>
                <w:rFonts w:ascii="Calibri" w:hAnsi="Calibri" w:cs="Calibri"/>
                <w:sz w:val="19"/>
                <w:szCs w:val="19"/>
              </w:rPr>
              <w:t>No dose adjustment is required.</w:t>
            </w:r>
          </w:p>
        </w:tc>
      </w:tr>
      <w:tr w:rsidR="00F82FF4" w:rsidRPr="009A6B7D" w14:paraId="3F573A3A" w14:textId="77777777" w:rsidTr="00286039">
        <w:trPr>
          <w:trHeight w:val="287"/>
        </w:trPr>
        <w:tc>
          <w:tcPr>
            <w:tcW w:w="8495" w:type="dxa"/>
            <w:gridSpan w:val="4"/>
          </w:tcPr>
          <w:p w14:paraId="6094964F" w14:textId="77777777" w:rsidR="00F82FF4" w:rsidRPr="00F82FF4" w:rsidRDefault="00F82FF4" w:rsidP="00DA0466">
            <w:pPr>
              <w:spacing w:before="60" w:after="60"/>
              <w:ind w:left="159"/>
              <w:rPr>
                <w:rFonts w:ascii="Calibri" w:hAnsi="Calibri" w:cs="Calibri"/>
                <w:b/>
                <w:bCs/>
                <w:sz w:val="19"/>
                <w:szCs w:val="19"/>
              </w:rPr>
            </w:pPr>
            <w:r w:rsidRPr="00F82FF4">
              <w:rPr>
                <w:rFonts w:ascii="Calibri" w:hAnsi="Calibri" w:cs="Calibri"/>
                <w:b/>
                <w:bCs/>
                <w:sz w:val="19"/>
                <w:szCs w:val="19"/>
              </w:rPr>
              <w:t>Anti-</w:t>
            </w:r>
            <w:proofErr w:type="spellStart"/>
            <w:r w:rsidRPr="00F82FF4">
              <w:rPr>
                <w:rFonts w:ascii="Calibri" w:hAnsi="Calibri" w:cs="Calibri"/>
                <w:b/>
                <w:bCs/>
                <w:sz w:val="19"/>
                <w:szCs w:val="19"/>
              </w:rPr>
              <w:t>fungals</w:t>
            </w:r>
            <w:proofErr w:type="spellEnd"/>
          </w:p>
        </w:tc>
      </w:tr>
      <w:tr w:rsidR="004A0E4B" w:rsidRPr="009A6B7D" w14:paraId="7A7E10EC" w14:textId="77777777" w:rsidTr="004A0E4B">
        <w:trPr>
          <w:trHeight w:val="994"/>
        </w:trPr>
        <w:tc>
          <w:tcPr>
            <w:tcW w:w="2684" w:type="dxa"/>
          </w:tcPr>
          <w:p w14:paraId="7D7F68D4" w14:textId="5224FB1F" w:rsidR="004A0E4B" w:rsidRDefault="004A0E4B" w:rsidP="00DA0466">
            <w:pPr>
              <w:ind w:left="160"/>
              <w:rPr>
                <w:rFonts w:ascii="Calibri" w:hAnsi="Calibri" w:cs="Calibri"/>
                <w:sz w:val="19"/>
                <w:szCs w:val="19"/>
              </w:rPr>
            </w:pPr>
            <w:r w:rsidRPr="00F82FF4">
              <w:rPr>
                <w:rFonts w:ascii="Calibri" w:hAnsi="Calibri" w:cs="Calibri"/>
                <w:sz w:val="19"/>
                <w:szCs w:val="19"/>
              </w:rPr>
              <w:t>Ketoconazole</w:t>
            </w:r>
          </w:p>
          <w:p w14:paraId="1061A1A2" w14:textId="2774DC40" w:rsidR="004A0E4B" w:rsidRPr="00F82FF4" w:rsidRDefault="004A0E4B" w:rsidP="004A0E4B">
            <w:pPr>
              <w:ind w:left="160"/>
              <w:rPr>
                <w:rFonts w:ascii="Calibri" w:hAnsi="Calibri" w:cs="Calibri"/>
                <w:sz w:val="19"/>
                <w:szCs w:val="19"/>
              </w:rPr>
            </w:pPr>
            <w:r w:rsidRPr="004A0E4B">
              <w:rPr>
                <w:rFonts w:ascii="Calibri" w:hAnsi="Calibri" w:cs="Calibri"/>
                <w:sz w:val="19"/>
                <w:szCs w:val="19"/>
              </w:rPr>
              <w:t xml:space="preserve">(400 mg single dose, </w:t>
            </w:r>
            <w:proofErr w:type="spellStart"/>
            <w:r w:rsidRPr="004A0E4B">
              <w:rPr>
                <w:rFonts w:ascii="Calibri" w:hAnsi="Calibri" w:cs="Calibri"/>
                <w:sz w:val="19"/>
                <w:szCs w:val="19"/>
              </w:rPr>
              <w:t>maribavir</w:t>
            </w:r>
            <w:proofErr w:type="spellEnd"/>
            <w:r>
              <w:rPr>
                <w:rFonts w:ascii="Calibri" w:hAnsi="Calibri" w:cs="Calibri"/>
                <w:sz w:val="19"/>
                <w:szCs w:val="19"/>
              </w:rPr>
              <w:t xml:space="preserve"> </w:t>
            </w:r>
            <w:r w:rsidRPr="004A0E4B">
              <w:rPr>
                <w:rFonts w:ascii="Calibri" w:hAnsi="Calibri" w:cs="Calibri"/>
                <w:sz w:val="19"/>
                <w:szCs w:val="19"/>
              </w:rPr>
              <w:t>400 mg single dose)</w:t>
            </w:r>
          </w:p>
        </w:tc>
        <w:tc>
          <w:tcPr>
            <w:tcW w:w="3118" w:type="dxa"/>
            <w:tcBorders>
              <w:bottom w:val="single" w:sz="8" w:space="0" w:color="000000" w:themeColor="text1"/>
            </w:tcBorders>
          </w:tcPr>
          <w:p w14:paraId="176398E6" w14:textId="77777777" w:rsidR="004A0E4B" w:rsidRPr="00F82FF4" w:rsidRDefault="004A0E4B" w:rsidP="00DA0466">
            <w:pPr>
              <w:ind w:left="172"/>
              <w:rPr>
                <w:rFonts w:ascii="Calibri" w:hAnsi="Calibri" w:cs="Calibri"/>
                <w:sz w:val="19"/>
                <w:szCs w:val="19"/>
              </w:rPr>
            </w:pPr>
            <w:r w:rsidRPr="00F82FF4">
              <w:rPr>
                <w:rFonts w:ascii="Calibri" w:hAnsi="Calibri" w:cs="Calibri"/>
                <w:sz w:val="19"/>
                <w:szCs w:val="19"/>
              </w:rPr>
              <w:t xml:space="preserve">↑ </w:t>
            </w:r>
            <w:proofErr w:type="spellStart"/>
            <w:r w:rsidRPr="00F82FF4">
              <w:rPr>
                <w:rFonts w:ascii="Calibri" w:hAnsi="Calibri" w:cs="Calibri"/>
                <w:sz w:val="19"/>
                <w:szCs w:val="19"/>
              </w:rPr>
              <w:t>maribavir</w:t>
            </w:r>
            <w:proofErr w:type="spellEnd"/>
          </w:p>
          <w:p w14:paraId="62ED6AE5" w14:textId="77777777" w:rsidR="004A0E4B" w:rsidRPr="00F82FF4" w:rsidRDefault="004A0E4B" w:rsidP="00DA0466">
            <w:pPr>
              <w:ind w:left="172"/>
              <w:rPr>
                <w:rFonts w:ascii="Calibri" w:hAnsi="Calibri" w:cs="Calibri"/>
                <w:sz w:val="19"/>
                <w:szCs w:val="19"/>
              </w:rPr>
            </w:pPr>
            <w:r w:rsidRPr="00F82FF4">
              <w:rPr>
                <w:rFonts w:ascii="Calibri" w:hAnsi="Calibri" w:cs="Calibri"/>
                <w:sz w:val="19"/>
                <w:szCs w:val="19"/>
              </w:rPr>
              <w:t>AUC 1.53 (1.44, 1.63)</w:t>
            </w:r>
          </w:p>
          <w:p w14:paraId="492ACE00" w14:textId="77777777" w:rsidR="004A0E4B" w:rsidRPr="00F82FF4" w:rsidRDefault="004A0E4B" w:rsidP="00DA0466">
            <w:pPr>
              <w:ind w:left="172"/>
              <w:rPr>
                <w:rFonts w:ascii="Calibri" w:hAnsi="Calibri" w:cs="Calibri"/>
                <w:sz w:val="19"/>
                <w:szCs w:val="19"/>
              </w:rPr>
            </w:pPr>
            <w:r w:rsidRPr="00F82FF4">
              <w:rPr>
                <w:rFonts w:ascii="Calibri" w:hAnsi="Calibri" w:cs="Calibri"/>
                <w:sz w:val="19"/>
                <w:szCs w:val="19"/>
              </w:rPr>
              <w:t>C</w:t>
            </w:r>
            <w:r w:rsidRPr="00C53A1C">
              <w:rPr>
                <w:rFonts w:ascii="Calibri" w:hAnsi="Calibri" w:cs="Calibri"/>
                <w:sz w:val="19"/>
                <w:szCs w:val="19"/>
                <w:vertAlign w:val="subscript"/>
              </w:rPr>
              <w:t>max</w:t>
            </w:r>
            <w:r w:rsidRPr="00F82FF4">
              <w:rPr>
                <w:rFonts w:ascii="Calibri" w:hAnsi="Calibri" w:cs="Calibri"/>
                <w:sz w:val="19"/>
                <w:szCs w:val="19"/>
              </w:rPr>
              <w:t xml:space="preserve"> 1.10 (1.01, 1.19)</w:t>
            </w:r>
          </w:p>
          <w:p w14:paraId="0C82802C" w14:textId="0A2DA4AE" w:rsidR="004A0E4B" w:rsidRPr="00F82FF4" w:rsidRDefault="004A0E4B" w:rsidP="00DA0466">
            <w:pPr>
              <w:ind w:left="172"/>
              <w:rPr>
                <w:rFonts w:ascii="Calibri" w:hAnsi="Calibri" w:cs="Calibri"/>
                <w:sz w:val="19"/>
                <w:szCs w:val="19"/>
              </w:rPr>
            </w:pPr>
            <w:r w:rsidRPr="00F82FF4">
              <w:rPr>
                <w:rFonts w:ascii="Calibri" w:hAnsi="Calibri" w:cs="Calibri"/>
                <w:sz w:val="19"/>
                <w:szCs w:val="19"/>
              </w:rPr>
              <w:t>(CYP3A inhibition)</w:t>
            </w:r>
          </w:p>
        </w:tc>
        <w:tc>
          <w:tcPr>
            <w:tcW w:w="2693" w:type="dxa"/>
            <w:gridSpan w:val="2"/>
            <w:tcBorders>
              <w:bottom w:val="single" w:sz="8" w:space="0" w:color="000000" w:themeColor="text1"/>
            </w:tcBorders>
          </w:tcPr>
          <w:p w14:paraId="057BD3EE" w14:textId="77777777" w:rsidR="004A0E4B" w:rsidRPr="00F82FF4" w:rsidRDefault="004A0E4B" w:rsidP="00DA0466">
            <w:pPr>
              <w:ind w:left="125"/>
              <w:rPr>
                <w:rFonts w:ascii="Calibri" w:hAnsi="Calibri" w:cs="Calibri"/>
                <w:sz w:val="19"/>
                <w:szCs w:val="19"/>
              </w:rPr>
            </w:pPr>
            <w:r w:rsidRPr="00F82FF4">
              <w:rPr>
                <w:rFonts w:ascii="Calibri" w:hAnsi="Calibri" w:cs="Calibri"/>
                <w:sz w:val="19"/>
                <w:szCs w:val="19"/>
              </w:rPr>
              <w:t>No dose adjustment is required.</w:t>
            </w:r>
          </w:p>
        </w:tc>
      </w:tr>
      <w:tr w:rsidR="004A0E4B" w:rsidRPr="009A6B7D" w14:paraId="6E476AB3" w14:textId="77777777" w:rsidTr="004A0E4B">
        <w:trPr>
          <w:trHeight w:val="1628"/>
        </w:trPr>
        <w:tc>
          <w:tcPr>
            <w:tcW w:w="2684" w:type="dxa"/>
          </w:tcPr>
          <w:p w14:paraId="57B6059A" w14:textId="4765922A" w:rsidR="004A0E4B" w:rsidRDefault="004A0E4B" w:rsidP="00DA0466">
            <w:pPr>
              <w:ind w:left="160"/>
              <w:rPr>
                <w:rFonts w:ascii="Calibri" w:hAnsi="Calibri" w:cs="Calibri"/>
                <w:sz w:val="19"/>
                <w:szCs w:val="19"/>
              </w:rPr>
            </w:pPr>
            <w:r w:rsidRPr="00F82FF4">
              <w:rPr>
                <w:rFonts w:ascii="Calibri" w:hAnsi="Calibri" w:cs="Calibri"/>
                <w:sz w:val="19"/>
                <w:szCs w:val="19"/>
              </w:rPr>
              <w:t>Voriconazole</w:t>
            </w:r>
          </w:p>
          <w:p w14:paraId="788B2CF4" w14:textId="77777777" w:rsidR="004A0E4B" w:rsidRPr="00F82FF4" w:rsidRDefault="004A0E4B" w:rsidP="00DA0466">
            <w:pPr>
              <w:ind w:left="160"/>
              <w:rPr>
                <w:rFonts w:ascii="Calibri" w:hAnsi="Calibri" w:cs="Calibri"/>
                <w:sz w:val="19"/>
                <w:szCs w:val="19"/>
              </w:rPr>
            </w:pPr>
            <w:r w:rsidRPr="004A0E4B">
              <w:rPr>
                <w:rFonts w:ascii="Calibri" w:hAnsi="Calibri" w:cs="Calibri"/>
                <w:sz w:val="19"/>
                <w:szCs w:val="19"/>
              </w:rPr>
              <w:t xml:space="preserve">(200 mg twice daily, </w:t>
            </w:r>
            <w:proofErr w:type="spellStart"/>
            <w:r w:rsidRPr="004A0E4B">
              <w:rPr>
                <w:rFonts w:ascii="Calibri" w:hAnsi="Calibri" w:cs="Calibri"/>
                <w:sz w:val="19"/>
                <w:szCs w:val="19"/>
              </w:rPr>
              <w:t>maribavir</w:t>
            </w:r>
            <w:proofErr w:type="spellEnd"/>
            <w:r>
              <w:rPr>
                <w:rFonts w:ascii="Calibri" w:hAnsi="Calibri" w:cs="Calibri"/>
                <w:sz w:val="19"/>
                <w:szCs w:val="19"/>
              </w:rPr>
              <w:t xml:space="preserve"> </w:t>
            </w:r>
            <w:r w:rsidRPr="004A0E4B">
              <w:rPr>
                <w:rFonts w:ascii="Calibri" w:hAnsi="Calibri" w:cs="Calibri"/>
                <w:sz w:val="19"/>
                <w:szCs w:val="19"/>
              </w:rPr>
              <w:t>400 mg twice daily)</w:t>
            </w:r>
          </w:p>
          <w:p w14:paraId="0E487731" w14:textId="250F0501" w:rsidR="004A0E4B" w:rsidRPr="00F82FF4" w:rsidRDefault="004A0E4B" w:rsidP="00DA0466">
            <w:pPr>
              <w:ind w:left="160"/>
              <w:rPr>
                <w:rFonts w:ascii="Calibri" w:hAnsi="Calibri" w:cs="Calibri"/>
                <w:sz w:val="19"/>
                <w:szCs w:val="19"/>
              </w:rPr>
            </w:pPr>
          </w:p>
          <w:p w14:paraId="63A401AD" w14:textId="4C3FB1E2" w:rsidR="004A0E4B" w:rsidRPr="00F82FF4" w:rsidRDefault="004A0E4B" w:rsidP="00DA0466">
            <w:pPr>
              <w:ind w:left="160"/>
              <w:rPr>
                <w:rFonts w:ascii="Calibri" w:hAnsi="Calibri" w:cs="Calibri"/>
                <w:sz w:val="19"/>
                <w:szCs w:val="19"/>
              </w:rPr>
            </w:pPr>
          </w:p>
        </w:tc>
        <w:tc>
          <w:tcPr>
            <w:tcW w:w="3118" w:type="dxa"/>
          </w:tcPr>
          <w:p w14:paraId="28041070" w14:textId="77777777" w:rsidR="004A0E4B" w:rsidRPr="00F82FF4" w:rsidRDefault="004A0E4B" w:rsidP="00DA0466">
            <w:pPr>
              <w:ind w:left="172"/>
              <w:rPr>
                <w:rFonts w:ascii="Calibri" w:hAnsi="Calibri" w:cs="Calibri"/>
                <w:sz w:val="19"/>
                <w:szCs w:val="19"/>
              </w:rPr>
            </w:pPr>
            <w:r w:rsidRPr="00F82FF4">
              <w:rPr>
                <w:rFonts w:ascii="Calibri" w:hAnsi="Calibri" w:cs="Calibri"/>
                <w:sz w:val="19"/>
                <w:szCs w:val="19"/>
              </w:rPr>
              <w:t>Expected:</w:t>
            </w:r>
          </w:p>
          <w:p w14:paraId="3EF76377" w14:textId="77777777" w:rsidR="004A0E4B" w:rsidRPr="00F82FF4" w:rsidRDefault="004A0E4B" w:rsidP="00DA0466">
            <w:pPr>
              <w:ind w:left="172"/>
              <w:rPr>
                <w:rFonts w:ascii="Calibri" w:hAnsi="Calibri" w:cs="Calibri"/>
                <w:sz w:val="19"/>
                <w:szCs w:val="19"/>
              </w:rPr>
            </w:pPr>
            <w:r w:rsidRPr="00F82FF4">
              <w:rPr>
                <w:rFonts w:ascii="Calibri" w:hAnsi="Calibri" w:cs="Calibri"/>
                <w:sz w:val="19"/>
                <w:szCs w:val="19"/>
              </w:rPr>
              <w:t xml:space="preserve">↑ </w:t>
            </w:r>
            <w:proofErr w:type="spellStart"/>
            <w:r w:rsidRPr="00F82FF4">
              <w:rPr>
                <w:rFonts w:ascii="Calibri" w:hAnsi="Calibri" w:cs="Calibri"/>
                <w:sz w:val="19"/>
                <w:szCs w:val="19"/>
              </w:rPr>
              <w:t>maribavir</w:t>
            </w:r>
            <w:proofErr w:type="spellEnd"/>
          </w:p>
          <w:p w14:paraId="33AFB0B6" w14:textId="77777777" w:rsidR="004A0E4B" w:rsidRPr="00F82FF4" w:rsidRDefault="004A0E4B" w:rsidP="00DA0466">
            <w:pPr>
              <w:ind w:left="172"/>
              <w:rPr>
                <w:rFonts w:ascii="Calibri" w:hAnsi="Calibri" w:cs="Calibri"/>
                <w:sz w:val="19"/>
                <w:szCs w:val="19"/>
              </w:rPr>
            </w:pPr>
            <w:r w:rsidRPr="00F82FF4">
              <w:rPr>
                <w:rFonts w:ascii="Calibri" w:hAnsi="Calibri" w:cs="Calibri"/>
                <w:sz w:val="19"/>
                <w:szCs w:val="19"/>
              </w:rPr>
              <w:t>(CYP3A inhibition)</w:t>
            </w:r>
          </w:p>
          <w:p w14:paraId="761AFFD8" w14:textId="77777777" w:rsidR="004A0E4B" w:rsidRPr="00F82FF4" w:rsidRDefault="004A0E4B" w:rsidP="00DA0466">
            <w:pPr>
              <w:ind w:left="172"/>
              <w:rPr>
                <w:rFonts w:ascii="Calibri" w:hAnsi="Calibri" w:cs="Calibri"/>
                <w:sz w:val="19"/>
                <w:szCs w:val="19"/>
              </w:rPr>
            </w:pPr>
            <w:r w:rsidRPr="00F82FF4">
              <w:rPr>
                <w:rFonts w:ascii="Calibri" w:hAnsi="Calibri" w:cs="Calibri"/>
                <w:sz w:val="19"/>
                <w:szCs w:val="19"/>
              </w:rPr>
              <w:t>↔ voriconazole</w:t>
            </w:r>
          </w:p>
          <w:p w14:paraId="04D5F77C" w14:textId="77777777" w:rsidR="004A0E4B" w:rsidRPr="00F82FF4" w:rsidRDefault="004A0E4B" w:rsidP="00DA0466">
            <w:pPr>
              <w:ind w:left="172"/>
              <w:rPr>
                <w:rFonts w:ascii="Calibri" w:hAnsi="Calibri" w:cs="Calibri"/>
                <w:sz w:val="19"/>
                <w:szCs w:val="19"/>
              </w:rPr>
            </w:pPr>
            <w:r w:rsidRPr="00F82FF4">
              <w:rPr>
                <w:rFonts w:ascii="Calibri" w:hAnsi="Calibri" w:cs="Calibri"/>
                <w:sz w:val="19"/>
                <w:szCs w:val="19"/>
              </w:rPr>
              <w:t>AUC 0.93 (0.83, 1.05)</w:t>
            </w:r>
          </w:p>
          <w:p w14:paraId="1F8406D2" w14:textId="77777777" w:rsidR="004A0E4B" w:rsidRPr="00F82FF4" w:rsidRDefault="004A0E4B" w:rsidP="00DA0466">
            <w:pPr>
              <w:ind w:left="172"/>
              <w:rPr>
                <w:rFonts w:ascii="Calibri" w:hAnsi="Calibri" w:cs="Calibri"/>
                <w:sz w:val="19"/>
                <w:szCs w:val="19"/>
              </w:rPr>
            </w:pPr>
            <w:r w:rsidRPr="00F82FF4">
              <w:rPr>
                <w:rFonts w:ascii="Calibri" w:hAnsi="Calibri" w:cs="Calibri"/>
                <w:sz w:val="19"/>
                <w:szCs w:val="19"/>
              </w:rPr>
              <w:t>C</w:t>
            </w:r>
            <w:r w:rsidRPr="00C53A1C">
              <w:rPr>
                <w:rFonts w:ascii="Calibri" w:hAnsi="Calibri" w:cs="Calibri"/>
                <w:sz w:val="19"/>
                <w:szCs w:val="19"/>
                <w:vertAlign w:val="subscript"/>
              </w:rPr>
              <w:t>max</w:t>
            </w:r>
            <w:r w:rsidRPr="00F82FF4">
              <w:rPr>
                <w:rFonts w:ascii="Calibri" w:hAnsi="Calibri" w:cs="Calibri"/>
                <w:sz w:val="19"/>
                <w:szCs w:val="19"/>
              </w:rPr>
              <w:t xml:space="preserve"> 1.00 (0.87, 1.15)</w:t>
            </w:r>
          </w:p>
          <w:p w14:paraId="25E13EAA" w14:textId="270677AA" w:rsidR="004A0E4B" w:rsidRPr="00F82FF4" w:rsidRDefault="004A0E4B" w:rsidP="00DA0466">
            <w:pPr>
              <w:ind w:left="172"/>
              <w:rPr>
                <w:rFonts w:ascii="Calibri" w:hAnsi="Calibri" w:cs="Calibri"/>
                <w:sz w:val="19"/>
                <w:szCs w:val="19"/>
              </w:rPr>
            </w:pPr>
            <w:r w:rsidRPr="00F82FF4">
              <w:rPr>
                <w:rFonts w:ascii="Calibri" w:hAnsi="Calibri" w:cs="Calibri"/>
                <w:sz w:val="19"/>
                <w:szCs w:val="19"/>
              </w:rPr>
              <w:t>(CYP2C19 inhibition)</w:t>
            </w:r>
          </w:p>
        </w:tc>
        <w:tc>
          <w:tcPr>
            <w:tcW w:w="2693" w:type="dxa"/>
            <w:gridSpan w:val="2"/>
          </w:tcPr>
          <w:p w14:paraId="4D2DBA0D" w14:textId="77777777" w:rsidR="004A0E4B" w:rsidRPr="00F82FF4" w:rsidRDefault="004A0E4B" w:rsidP="00DA0466">
            <w:pPr>
              <w:ind w:left="125"/>
              <w:rPr>
                <w:rFonts w:ascii="Calibri" w:hAnsi="Calibri" w:cs="Calibri"/>
                <w:sz w:val="19"/>
                <w:szCs w:val="19"/>
              </w:rPr>
            </w:pPr>
            <w:r w:rsidRPr="00F82FF4">
              <w:rPr>
                <w:rFonts w:ascii="Calibri" w:hAnsi="Calibri" w:cs="Calibri"/>
                <w:sz w:val="19"/>
                <w:szCs w:val="19"/>
              </w:rPr>
              <w:t>No dose adjustment is required.</w:t>
            </w:r>
          </w:p>
        </w:tc>
      </w:tr>
      <w:tr w:rsidR="00F82FF4" w:rsidRPr="009A6B7D" w14:paraId="20A57B12" w14:textId="77777777" w:rsidTr="00286039">
        <w:trPr>
          <w:trHeight w:val="272"/>
        </w:trPr>
        <w:tc>
          <w:tcPr>
            <w:tcW w:w="8495" w:type="dxa"/>
            <w:gridSpan w:val="4"/>
          </w:tcPr>
          <w:p w14:paraId="78A3028B" w14:textId="77777777" w:rsidR="00F82FF4" w:rsidRPr="00F82FF4" w:rsidRDefault="00F82FF4" w:rsidP="00DA0466">
            <w:pPr>
              <w:spacing w:before="60" w:after="60"/>
              <w:ind w:left="159"/>
              <w:rPr>
                <w:rFonts w:ascii="Calibri" w:hAnsi="Calibri" w:cs="Calibri"/>
                <w:b/>
                <w:bCs/>
                <w:sz w:val="19"/>
                <w:szCs w:val="19"/>
              </w:rPr>
            </w:pPr>
            <w:r w:rsidRPr="00F82FF4">
              <w:rPr>
                <w:rFonts w:ascii="Calibri" w:hAnsi="Calibri" w:cs="Calibri"/>
                <w:b/>
                <w:bCs/>
                <w:sz w:val="19"/>
                <w:szCs w:val="19"/>
              </w:rPr>
              <w:t>Anti-hypertensives</w:t>
            </w:r>
          </w:p>
        </w:tc>
      </w:tr>
      <w:tr w:rsidR="00F82FF4" w:rsidRPr="009A6B7D" w14:paraId="78180229" w14:textId="77777777" w:rsidTr="00286039">
        <w:trPr>
          <w:trHeight w:val="485"/>
        </w:trPr>
        <w:tc>
          <w:tcPr>
            <w:tcW w:w="2684" w:type="dxa"/>
          </w:tcPr>
          <w:p w14:paraId="076F1CA9" w14:textId="171D5161" w:rsidR="00F82FF4" w:rsidRPr="00F82FF4" w:rsidRDefault="007102E6" w:rsidP="00DA0466">
            <w:pPr>
              <w:ind w:left="160"/>
              <w:rPr>
                <w:rFonts w:ascii="Calibri" w:hAnsi="Calibri" w:cs="Calibri"/>
                <w:sz w:val="19"/>
                <w:szCs w:val="19"/>
              </w:rPr>
            </w:pPr>
            <w:r w:rsidRPr="00F82FF4">
              <w:rPr>
                <w:rFonts w:ascii="Calibri" w:hAnsi="Calibri" w:cs="Calibri"/>
                <w:sz w:val="19"/>
                <w:szCs w:val="19"/>
              </w:rPr>
              <w:t>D</w:t>
            </w:r>
            <w:r w:rsidR="00F82FF4" w:rsidRPr="00F82FF4">
              <w:rPr>
                <w:rFonts w:ascii="Calibri" w:hAnsi="Calibri" w:cs="Calibri"/>
                <w:sz w:val="19"/>
                <w:szCs w:val="19"/>
              </w:rPr>
              <w:t>iltiazem</w:t>
            </w:r>
          </w:p>
        </w:tc>
        <w:tc>
          <w:tcPr>
            <w:tcW w:w="3118" w:type="dxa"/>
          </w:tcPr>
          <w:p w14:paraId="4CAB3EEF"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Interaction not studied. Expected:</w:t>
            </w:r>
          </w:p>
          <w:p w14:paraId="609A31DC"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 xml:space="preserve">↑ </w:t>
            </w:r>
            <w:proofErr w:type="spellStart"/>
            <w:r w:rsidRPr="00F82FF4">
              <w:rPr>
                <w:rFonts w:ascii="Calibri" w:hAnsi="Calibri" w:cs="Calibri"/>
                <w:sz w:val="19"/>
                <w:szCs w:val="19"/>
              </w:rPr>
              <w:t>maribavir</w:t>
            </w:r>
            <w:proofErr w:type="spellEnd"/>
          </w:p>
          <w:p w14:paraId="1677B95D"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(CYP3A inhibition)</w:t>
            </w:r>
          </w:p>
        </w:tc>
        <w:tc>
          <w:tcPr>
            <w:tcW w:w="2693" w:type="dxa"/>
            <w:gridSpan w:val="2"/>
          </w:tcPr>
          <w:p w14:paraId="0A0EE29B" w14:textId="77777777" w:rsidR="00F82FF4" w:rsidRPr="00F82FF4" w:rsidRDefault="00F82FF4" w:rsidP="00DA0466">
            <w:pPr>
              <w:ind w:left="125"/>
              <w:rPr>
                <w:rFonts w:ascii="Calibri" w:hAnsi="Calibri" w:cs="Calibri"/>
                <w:sz w:val="19"/>
                <w:szCs w:val="19"/>
              </w:rPr>
            </w:pPr>
            <w:r w:rsidRPr="00F82FF4">
              <w:rPr>
                <w:rFonts w:ascii="Calibri" w:hAnsi="Calibri" w:cs="Calibri"/>
                <w:sz w:val="19"/>
                <w:szCs w:val="19"/>
              </w:rPr>
              <w:t>No dose adjustment is required.</w:t>
            </w:r>
          </w:p>
        </w:tc>
      </w:tr>
      <w:tr w:rsidR="00F82FF4" w:rsidRPr="009A6B7D" w14:paraId="4BC808F7" w14:textId="77777777" w:rsidTr="00286039">
        <w:trPr>
          <w:trHeight w:val="287"/>
        </w:trPr>
        <w:tc>
          <w:tcPr>
            <w:tcW w:w="8495" w:type="dxa"/>
            <w:gridSpan w:val="4"/>
          </w:tcPr>
          <w:p w14:paraId="4C17E564" w14:textId="77777777" w:rsidR="00F82FF4" w:rsidRPr="00F82FF4" w:rsidRDefault="00F82FF4" w:rsidP="00DA0466">
            <w:pPr>
              <w:spacing w:before="60" w:after="60"/>
              <w:ind w:left="159"/>
              <w:rPr>
                <w:rFonts w:ascii="Calibri" w:hAnsi="Calibri" w:cs="Calibri"/>
                <w:b/>
                <w:bCs/>
                <w:sz w:val="19"/>
                <w:szCs w:val="19"/>
              </w:rPr>
            </w:pPr>
            <w:r w:rsidRPr="00F82FF4">
              <w:rPr>
                <w:rFonts w:ascii="Calibri" w:hAnsi="Calibri" w:cs="Calibri"/>
                <w:b/>
                <w:bCs/>
                <w:sz w:val="19"/>
                <w:szCs w:val="19"/>
              </w:rPr>
              <w:t>Anti-</w:t>
            </w:r>
            <w:proofErr w:type="spellStart"/>
            <w:r w:rsidRPr="00F82FF4">
              <w:rPr>
                <w:rFonts w:ascii="Calibri" w:hAnsi="Calibri" w:cs="Calibri"/>
                <w:b/>
                <w:bCs/>
                <w:sz w:val="19"/>
                <w:szCs w:val="19"/>
              </w:rPr>
              <w:t>mycobacterials</w:t>
            </w:r>
            <w:proofErr w:type="spellEnd"/>
          </w:p>
        </w:tc>
      </w:tr>
      <w:tr w:rsidR="00F82FF4" w:rsidRPr="009A6B7D" w14:paraId="4D873F29" w14:textId="77777777" w:rsidTr="00286039">
        <w:trPr>
          <w:trHeight w:val="695"/>
        </w:trPr>
        <w:tc>
          <w:tcPr>
            <w:tcW w:w="2684" w:type="dxa"/>
          </w:tcPr>
          <w:p w14:paraId="540CCB30" w14:textId="565F0B02" w:rsidR="00F82FF4" w:rsidRPr="00F82FF4" w:rsidRDefault="007102E6" w:rsidP="00DA0466">
            <w:pPr>
              <w:ind w:left="160"/>
              <w:rPr>
                <w:rFonts w:ascii="Calibri" w:hAnsi="Calibri" w:cs="Calibri"/>
                <w:sz w:val="19"/>
                <w:szCs w:val="19"/>
              </w:rPr>
            </w:pPr>
            <w:r w:rsidRPr="00F82FF4">
              <w:rPr>
                <w:rFonts w:ascii="Calibri" w:hAnsi="Calibri" w:cs="Calibri"/>
                <w:sz w:val="19"/>
                <w:szCs w:val="19"/>
              </w:rPr>
              <w:t>R</w:t>
            </w:r>
            <w:r w:rsidR="00F82FF4" w:rsidRPr="00F82FF4">
              <w:rPr>
                <w:rFonts w:ascii="Calibri" w:hAnsi="Calibri" w:cs="Calibri"/>
                <w:sz w:val="19"/>
                <w:szCs w:val="19"/>
              </w:rPr>
              <w:t>ifabutin</w:t>
            </w:r>
          </w:p>
        </w:tc>
        <w:tc>
          <w:tcPr>
            <w:tcW w:w="3118" w:type="dxa"/>
          </w:tcPr>
          <w:p w14:paraId="09DBDA04"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Interaction not studied. Expected:</w:t>
            </w:r>
          </w:p>
          <w:p w14:paraId="52477C4E"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 xml:space="preserve">↓ </w:t>
            </w:r>
            <w:proofErr w:type="spellStart"/>
            <w:r w:rsidRPr="00F82FF4">
              <w:rPr>
                <w:rFonts w:ascii="Calibri" w:hAnsi="Calibri" w:cs="Calibri"/>
                <w:sz w:val="19"/>
                <w:szCs w:val="19"/>
              </w:rPr>
              <w:t>maribavir</w:t>
            </w:r>
            <w:proofErr w:type="spellEnd"/>
          </w:p>
          <w:p w14:paraId="1B78A6A9"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(CYP3A induction)</w:t>
            </w:r>
          </w:p>
        </w:tc>
        <w:tc>
          <w:tcPr>
            <w:tcW w:w="2693" w:type="dxa"/>
            <w:gridSpan w:val="2"/>
          </w:tcPr>
          <w:p w14:paraId="7E9E7190" w14:textId="77777777" w:rsidR="00F82FF4" w:rsidRPr="00F82FF4" w:rsidRDefault="00F82FF4" w:rsidP="00DA0466">
            <w:pPr>
              <w:ind w:left="125"/>
              <w:rPr>
                <w:rFonts w:ascii="Calibri" w:hAnsi="Calibri" w:cs="Calibri"/>
                <w:sz w:val="19"/>
                <w:szCs w:val="19"/>
              </w:rPr>
            </w:pPr>
            <w:r w:rsidRPr="00F82FF4">
              <w:rPr>
                <w:rFonts w:ascii="Calibri" w:hAnsi="Calibri" w:cs="Calibri"/>
                <w:sz w:val="19"/>
                <w:szCs w:val="19"/>
              </w:rPr>
              <w:t xml:space="preserve">Co-administration of </w:t>
            </w:r>
            <w:proofErr w:type="spellStart"/>
            <w:r w:rsidRPr="00F82FF4">
              <w:rPr>
                <w:rFonts w:ascii="Calibri" w:hAnsi="Calibri" w:cs="Calibri"/>
                <w:sz w:val="19"/>
                <w:szCs w:val="19"/>
              </w:rPr>
              <w:t>maribavir</w:t>
            </w:r>
            <w:proofErr w:type="spellEnd"/>
            <w:r w:rsidRPr="00F82FF4">
              <w:rPr>
                <w:rFonts w:ascii="Calibri" w:hAnsi="Calibri" w:cs="Calibri"/>
                <w:sz w:val="19"/>
                <w:szCs w:val="19"/>
              </w:rPr>
              <w:t xml:space="preserve"> and rifabutin is not recommended due to potential</w:t>
            </w:r>
          </w:p>
          <w:p w14:paraId="1F77AF27" w14:textId="77777777" w:rsidR="00F82FF4" w:rsidRPr="00F82FF4" w:rsidRDefault="00F82FF4" w:rsidP="00DA0466">
            <w:pPr>
              <w:ind w:left="125"/>
              <w:rPr>
                <w:rFonts w:ascii="Calibri" w:hAnsi="Calibri" w:cs="Calibri"/>
                <w:sz w:val="19"/>
                <w:szCs w:val="19"/>
              </w:rPr>
            </w:pPr>
            <w:r w:rsidRPr="00F82FF4">
              <w:rPr>
                <w:rFonts w:ascii="Calibri" w:hAnsi="Calibri" w:cs="Calibri"/>
                <w:sz w:val="19"/>
                <w:szCs w:val="19"/>
              </w:rPr>
              <w:t xml:space="preserve">for a decrease in efficacy of </w:t>
            </w:r>
            <w:proofErr w:type="spellStart"/>
            <w:r w:rsidRPr="00F82FF4">
              <w:rPr>
                <w:rFonts w:ascii="Calibri" w:hAnsi="Calibri" w:cs="Calibri"/>
                <w:sz w:val="19"/>
                <w:szCs w:val="19"/>
              </w:rPr>
              <w:t>maribavir</w:t>
            </w:r>
            <w:proofErr w:type="spellEnd"/>
            <w:r w:rsidRPr="00F82FF4">
              <w:rPr>
                <w:rFonts w:ascii="Calibri" w:hAnsi="Calibri" w:cs="Calibri"/>
                <w:sz w:val="19"/>
                <w:szCs w:val="19"/>
              </w:rPr>
              <w:t>.</w:t>
            </w:r>
          </w:p>
        </w:tc>
      </w:tr>
      <w:tr w:rsidR="004A0E4B" w:rsidRPr="009A6B7D" w14:paraId="24C5D48D" w14:textId="77777777" w:rsidTr="004A0E4B">
        <w:trPr>
          <w:trHeight w:val="1553"/>
        </w:trPr>
        <w:tc>
          <w:tcPr>
            <w:tcW w:w="2684" w:type="dxa"/>
          </w:tcPr>
          <w:p w14:paraId="6ABEF217" w14:textId="53AF7DB1" w:rsidR="004A0E4B" w:rsidRDefault="007102E6" w:rsidP="004A0E4B">
            <w:pPr>
              <w:ind w:left="160"/>
              <w:rPr>
                <w:rFonts w:ascii="Calibri" w:hAnsi="Calibri" w:cs="Calibri"/>
                <w:sz w:val="19"/>
                <w:szCs w:val="19"/>
              </w:rPr>
            </w:pPr>
            <w:proofErr w:type="spellStart"/>
            <w:r>
              <w:rPr>
                <w:rFonts w:ascii="Calibri" w:hAnsi="Calibri" w:cs="Calibri"/>
                <w:sz w:val="19"/>
                <w:szCs w:val="19"/>
              </w:rPr>
              <w:t>R</w:t>
            </w:r>
            <w:r w:rsidR="004A0E4B" w:rsidRPr="00F82FF4">
              <w:rPr>
                <w:rFonts w:ascii="Calibri" w:hAnsi="Calibri" w:cs="Calibri"/>
                <w:sz w:val="19"/>
                <w:szCs w:val="19"/>
              </w:rPr>
              <w:t>ifampin</w:t>
            </w:r>
            <w:proofErr w:type="spellEnd"/>
          </w:p>
          <w:p w14:paraId="233DF82D" w14:textId="486BCDB2" w:rsidR="004A0E4B" w:rsidRPr="004A0E4B" w:rsidRDefault="004A0E4B" w:rsidP="004A0E4B">
            <w:pPr>
              <w:ind w:left="160"/>
              <w:rPr>
                <w:rFonts w:ascii="Calibri" w:hAnsi="Calibri" w:cs="Calibri"/>
                <w:sz w:val="19"/>
                <w:szCs w:val="19"/>
              </w:rPr>
            </w:pPr>
            <w:r w:rsidRPr="004A0E4B">
              <w:rPr>
                <w:rFonts w:ascii="Calibri" w:hAnsi="Calibri" w:cs="Calibri"/>
                <w:sz w:val="19"/>
                <w:szCs w:val="19"/>
              </w:rPr>
              <w:t xml:space="preserve">(600 mg once daily, </w:t>
            </w:r>
            <w:proofErr w:type="spellStart"/>
            <w:r w:rsidRPr="004A0E4B">
              <w:rPr>
                <w:rFonts w:ascii="Calibri" w:hAnsi="Calibri" w:cs="Calibri"/>
                <w:sz w:val="19"/>
                <w:szCs w:val="19"/>
              </w:rPr>
              <w:t>maribavir</w:t>
            </w:r>
            <w:proofErr w:type="spellEnd"/>
          </w:p>
          <w:p w14:paraId="74D91F74" w14:textId="1B668E3F" w:rsidR="004A0E4B" w:rsidRDefault="004A0E4B" w:rsidP="004A0E4B">
            <w:pPr>
              <w:ind w:left="160"/>
              <w:rPr>
                <w:rFonts w:ascii="Calibri" w:hAnsi="Calibri" w:cs="Calibri"/>
                <w:sz w:val="19"/>
                <w:szCs w:val="19"/>
              </w:rPr>
            </w:pPr>
            <w:r w:rsidRPr="004A0E4B">
              <w:rPr>
                <w:rFonts w:ascii="Calibri" w:hAnsi="Calibri" w:cs="Calibri"/>
                <w:sz w:val="19"/>
                <w:szCs w:val="19"/>
              </w:rPr>
              <w:t>400 mg twice daily)</w:t>
            </w:r>
          </w:p>
          <w:p w14:paraId="588EF97C" w14:textId="038D1E0F" w:rsidR="004A0E4B" w:rsidRPr="00F82FF4" w:rsidRDefault="004A0E4B" w:rsidP="004A0E4B">
            <w:pPr>
              <w:ind w:left="160"/>
              <w:rPr>
                <w:rFonts w:ascii="Calibri" w:hAnsi="Calibri" w:cs="Calibri"/>
                <w:sz w:val="19"/>
                <w:szCs w:val="19"/>
              </w:rPr>
            </w:pPr>
          </w:p>
        </w:tc>
        <w:tc>
          <w:tcPr>
            <w:tcW w:w="3118" w:type="dxa"/>
          </w:tcPr>
          <w:p w14:paraId="01145EFD" w14:textId="77777777" w:rsidR="004A0E4B" w:rsidRPr="00F82FF4" w:rsidRDefault="004A0E4B" w:rsidP="00DA0466">
            <w:pPr>
              <w:ind w:left="172"/>
              <w:rPr>
                <w:rFonts w:ascii="Calibri" w:hAnsi="Calibri" w:cs="Calibri"/>
                <w:sz w:val="19"/>
                <w:szCs w:val="19"/>
              </w:rPr>
            </w:pPr>
            <w:r w:rsidRPr="00F82FF4">
              <w:rPr>
                <w:rFonts w:ascii="Calibri" w:hAnsi="Calibri" w:cs="Calibri"/>
                <w:sz w:val="19"/>
                <w:szCs w:val="19"/>
              </w:rPr>
              <w:t xml:space="preserve">↓ </w:t>
            </w:r>
            <w:proofErr w:type="spellStart"/>
            <w:r w:rsidRPr="00F82FF4">
              <w:rPr>
                <w:rFonts w:ascii="Calibri" w:hAnsi="Calibri" w:cs="Calibri"/>
                <w:sz w:val="19"/>
                <w:szCs w:val="19"/>
              </w:rPr>
              <w:t>maribavir</w:t>
            </w:r>
            <w:proofErr w:type="spellEnd"/>
          </w:p>
          <w:p w14:paraId="058CD11A" w14:textId="77777777" w:rsidR="004A0E4B" w:rsidRPr="00F82FF4" w:rsidRDefault="004A0E4B" w:rsidP="00DA0466">
            <w:pPr>
              <w:ind w:left="172"/>
              <w:rPr>
                <w:rFonts w:ascii="Calibri" w:hAnsi="Calibri" w:cs="Calibri"/>
                <w:sz w:val="19"/>
                <w:szCs w:val="19"/>
              </w:rPr>
            </w:pPr>
            <w:r w:rsidRPr="00F82FF4">
              <w:rPr>
                <w:rFonts w:ascii="Calibri" w:hAnsi="Calibri" w:cs="Calibri"/>
                <w:sz w:val="19"/>
                <w:szCs w:val="19"/>
              </w:rPr>
              <w:t>AUC 0.40 (0.36, 0.44)</w:t>
            </w:r>
          </w:p>
          <w:p w14:paraId="063E86FA" w14:textId="77777777" w:rsidR="004A0E4B" w:rsidRPr="00F82FF4" w:rsidRDefault="004A0E4B" w:rsidP="00DA0466">
            <w:pPr>
              <w:ind w:left="172"/>
              <w:rPr>
                <w:rFonts w:ascii="Calibri" w:hAnsi="Calibri" w:cs="Calibri"/>
                <w:sz w:val="19"/>
                <w:szCs w:val="19"/>
              </w:rPr>
            </w:pPr>
            <w:r w:rsidRPr="00F82FF4">
              <w:rPr>
                <w:rFonts w:ascii="Calibri" w:hAnsi="Calibri" w:cs="Calibri"/>
                <w:sz w:val="19"/>
                <w:szCs w:val="19"/>
              </w:rPr>
              <w:t>C</w:t>
            </w:r>
            <w:r w:rsidRPr="00C53A1C">
              <w:rPr>
                <w:rFonts w:ascii="Calibri" w:hAnsi="Calibri" w:cs="Calibri"/>
                <w:sz w:val="19"/>
                <w:szCs w:val="19"/>
                <w:vertAlign w:val="subscript"/>
              </w:rPr>
              <w:t>max</w:t>
            </w:r>
            <w:r w:rsidRPr="00F82FF4">
              <w:rPr>
                <w:rFonts w:ascii="Calibri" w:hAnsi="Calibri" w:cs="Calibri"/>
                <w:sz w:val="19"/>
                <w:szCs w:val="19"/>
              </w:rPr>
              <w:t xml:space="preserve"> 0.61 (0.52, 0.72)</w:t>
            </w:r>
          </w:p>
          <w:p w14:paraId="27CCCA18" w14:textId="77777777" w:rsidR="004A0E4B" w:rsidRPr="00F82FF4" w:rsidRDefault="004A0E4B" w:rsidP="00DA0466">
            <w:pPr>
              <w:ind w:left="172"/>
              <w:rPr>
                <w:rFonts w:ascii="Calibri" w:hAnsi="Calibri" w:cs="Calibri"/>
                <w:sz w:val="19"/>
                <w:szCs w:val="19"/>
              </w:rPr>
            </w:pPr>
            <w:proofErr w:type="spellStart"/>
            <w:r w:rsidRPr="00F82FF4">
              <w:rPr>
                <w:rFonts w:ascii="Calibri" w:hAnsi="Calibri" w:cs="Calibri"/>
                <w:sz w:val="19"/>
                <w:szCs w:val="19"/>
              </w:rPr>
              <w:t>C</w:t>
            </w:r>
            <w:r w:rsidRPr="00C53A1C">
              <w:rPr>
                <w:rFonts w:ascii="Calibri" w:hAnsi="Calibri" w:cs="Calibri"/>
                <w:sz w:val="19"/>
                <w:szCs w:val="19"/>
                <w:vertAlign w:val="subscript"/>
              </w:rPr>
              <w:t>trough</w:t>
            </w:r>
            <w:proofErr w:type="spellEnd"/>
            <w:r w:rsidRPr="00F82FF4">
              <w:rPr>
                <w:rFonts w:ascii="Calibri" w:hAnsi="Calibri" w:cs="Calibri"/>
                <w:sz w:val="19"/>
                <w:szCs w:val="19"/>
              </w:rPr>
              <w:t xml:space="preserve"> 0.18 (0.14, 0.25)</w:t>
            </w:r>
          </w:p>
          <w:p w14:paraId="0005F1FA" w14:textId="7671C7CB" w:rsidR="004A0E4B" w:rsidRPr="00F82FF4" w:rsidRDefault="004A0E4B" w:rsidP="00DA0466">
            <w:pPr>
              <w:rPr>
                <w:rFonts w:ascii="Calibri" w:hAnsi="Calibri" w:cs="Calibri"/>
                <w:sz w:val="19"/>
                <w:szCs w:val="19"/>
              </w:rPr>
            </w:pPr>
            <w:r w:rsidRPr="00F82FF4">
              <w:rPr>
                <w:rFonts w:ascii="Calibri" w:hAnsi="Calibri" w:cs="Calibri"/>
                <w:sz w:val="19"/>
                <w:szCs w:val="19"/>
              </w:rPr>
              <w:t>(CYP3A and CYP1A2 induction)</w:t>
            </w:r>
          </w:p>
        </w:tc>
        <w:tc>
          <w:tcPr>
            <w:tcW w:w="2693" w:type="dxa"/>
            <w:gridSpan w:val="2"/>
          </w:tcPr>
          <w:p w14:paraId="48E69353" w14:textId="77777777" w:rsidR="004A0E4B" w:rsidRPr="00F82FF4" w:rsidRDefault="004A0E4B" w:rsidP="00DA0466">
            <w:pPr>
              <w:ind w:left="125"/>
              <w:rPr>
                <w:rFonts w:ascii="Calibri" w:hAnsi="Calibri" w:cs="Calibri"/>
                <w:sz w:val="19"/>
                <w:szCs w:val="19"/>
              </w:rPr>
            </w:pPr>
            <w:r w:rsidRPr="00F82FF4">
              <w:rPr>
                <w:rFonts w:ascii="Calibri" w:hAnsi="Calibri" w:cs="Calibri"/>
                <w:sz w:val="19"/>
                <w:szCs w:val="19"/>
              </w:rPr>
              <w:t xml:space="preserve">Co-administration of </w:t>
            </w:r>
            <w:proofErr w:type="spellStart"/>
            <w:r w:rsidRPr="00F82FF4">
              <w:rPr>
                <w:rFonts w:ascii="Calibri" w:hAnsi="Calibri" w:cs="Calibri"/>
                <w:sz w:val="19"/>
                <w:szCs w:val="19"/>
              </w:rPr>
              <w:t>maribavir</w:t>
            </w:r>
            <w:proofErr w:type="spellEnd"/>
          </w:p>
          <w:p w14:paraId="50AEAB55" w14:textId="77777777" w:rsidR="004A0E4B" w:rsidRPr="00F82FF4" w:rsidRDefault="004A0E4B" w:rsidP="00DA0466">
            <w:pPr>
              <w:ind w:left="125"/>
              <w:rPr>
                <w:rFonts w:ascii="Calibri" w:hAnsi="Calibri" w:cs="Calibri"/>
                <w:sz w:val="19"/>
                <w:szCs w:val="19"/>
              </w:rPr>
            </w:pPr>
            <w:r w:rsidRPr="00F82FF4">
              <w:rPr>
                <w:rFonts w:ascii="Calibri" w:hAnsi="Calibri" w:cs="Calibri"/>
                <w:sz w:val="19"/>
                <w:szCs w:val="19"/>
              </w:rPr>
              <w:t xml:space="preserve">and </w:t>
            </w:r>
            <w:proofErr w:type="spellStart"/>
            <w:r w:rsidRPr="00F82FF4">
              <w:rPr>
                <w:rFonts w:ascii="Calibri" w:hAnsi="Calibri" w:cs="Calibri"/>
                <w:sz w:val="19"/>
                <w:szCs w:val="19"/>
              </w:rPr>
              <w:t>rifampin</w:t>
            </w:r>
            <w:proofErr w:type="spellEnd"/>
            <w:r w:rsidRPr="00F82FF4">
              <w:rPr>
                <w:rFonts w:ascii="Calibri" w:hAnsi="Calibri" w:cs="Calibri"/>
                <w:sz w:val="19"/>
                <w:szCs w:val="19"/>
              </w:rPr>
              <w:t xml:space="preserve"> is not</w:t>
            </w:r>
          </w:p>
          <w:p w14:paraId="57EFCBAC" w14:textId="77777777" w:rsidR="004A0E4B" w:rsidRPr="00F82FF4" w:rsidRDefault="004A0E4B" w:rsidP="00DA0466">
            <w:pPr>
              <w:ind w:left="125"/>
              <w:rPr>
                <w:rFonts w:ascii="Calibri" w:hAnsi="Calibri" w:cs="Calibri"/>
                <w:sz w:val="19"/>
                <w:szCs w:val="19"/>
              </w:rPr>
            </w:pPr>
            <w:r w:rsidRPr="00F82FF4">
              <w:rPr>
                <w:rFonts w:ascii="Calibri" w:hAnsi="Calibri" w:cs="Calibri"/>
                <w:sz w:val="19"/>
                <w:szCs w:val="19"/>
              </w:rPr>
              <w:t>recommended due to potential</w:t>
            </w:r>
          </w:p>
          <w:p w14:paraId="7F20B4D2" w14:textId="25655FA0" w:rsidR="004A0E4B" w:rsidRPr="00F82FF4" w:rsidRDefault="004A0E4B" w:rsidP="00DA0466">
            <w:pPr>
              <w:ind w:left="125"/>
              <w:rPr>
                <w:rFonts w:ascii="Calibri" w:hAnsi="Calibri" w:cs="Calibri"/>
                <w:sz w:val="19"/>
                <w:szCs w:val="19"/>
              </w:rPr>
            </w:pPr>
            <w:r w:rsidRPr="00F82FF4">
              <w:rPr>
                <w:rFonts w:ascii="Calibri" w:hAnsi="Calibri" w:cs="Calibri"/>
                <w:sz w:val="19"/>
                <w:szCs w:val="19"/>
              </w:rPr>
              <w:t xml:space="preserve">for a decrease in efficacy of </w:t>
            </w:r>
            <w:proofErr w:type="spellStart"/>
            <w:r w:rsidRPr="00F82FF4">
              <w:rPr>
                <w:rFonts w:ascii="Calibri" w:hAnsi="Calibri" w:cs="Calibri"/>
                <w:sz w:val="19"/>
                <w:szCs w:val="19"/>
              </w:rPr>
              <w:t>maribavir</w:t>
            </w:r>
            <w:proofErr w:type="spellEnd"/>
            <w:r w:rsidRPr="00F82FF4">
              <w:rPr>
                <w:rFonts w:ascii="Calibri" w:hAnsi="Calibri" w:cs="Calibri"/>
                <w:sz w:val="19"/>
                <w:szCs w:val="19"/>
              </w:rPr>
              <w:t>.</w:t>
            </w:r>
          </w:p>
        </w:tc>
      </w:tr>
      <w:tr w:rsidR="00F82FF4" w:rsidRPr="009A6B7D" w14:paraId="792465A1" w14:textId="77777777" w:rsidTr="00286039">
        <w:trPr>
          <w:trHeight w:val="287"/>
        </w:trPr>
        <w:tc>
          <w:tcPr>
            <w:tcW w:w="8495" w:type="dxa"/>
            <w:gridSpan w:val="4"/>
          </w:tcPr>
          <w:p w14:paraId="49A92605" w14:textId="77777777" w:rsidR="00F82FF4" w:rsidRPr="00F82FF4" w:rsidRDefault="00F82FF4" w:rsidP="00DA0466">
            <w:pPr>
              <w:spacing w:before="60" w:after="60"/>
              <w:ind w:left="159"/>
              <w:rPr>
                <w:rFonts w:ascii="Calibri" w:hAnsi="Calibri" w:cs="Calibri"/>
                <w:b/>
                <w:bCs/>
                <w:sz w:val="19"/>
                <w:szCs w:val="19"/>
              </w:rPr>
            </w:pPr>
            <w:r w:rsidRPr="00F82FF4">
              <w:rPr>
                <w:rFonts w:ascii="Calibri" w:hAnsi="Calibri" w:cs="Calibri"/>
                <w:b/>
                <w:bCs/>
                <w:sz w:val="19"/>
                <w:szCs w:val="19"/>
              </w:rPr>
              <w:t>Anti-</w:t>
            </w:r>
            <w:proofErr w:type="spellStart"/>
            <w:r w:rsidRPr="00F82FF4">
              <w:rPr>
                <w:rFonts w:ascii="Calibri" w:hAnsi="Calibri" w:cs="Calibri"/>
                <w:b/>
                <w:bCs/>
                <w:sz w:val="19"/>
                <w:szCs w:val="19"/>
              </w:rPr>
              <w:t>tussives</w:t>
            </w:r>
            <w:proofErr w:type="spellEnd"/>
          </w:p>
        </w:tc>
      </w:tr>
      <w:tr w:rsidR="004A0E4B" w:rsidRPr="009A6B7D" w14:paraId="711139C7" w14:textId="77777777" w:rsidTr="00DA0466">
        <w:trPr>
          <w:trHeight w:val="1624"/>
        </w:trPr>
        <w:tc>
          <w:tcPr>
            <w:tcW w:w="2684" w:type="dxa"/>
          </w:tcPr>
          <w:p w14:paraId="05BD5EF8" w14:textId="2CB6636A" w:rsidR="004A0E4B" w:rsidRDefault="007102E6" w:rsidP="00DA0466">
            <w:pPr>
              <w:ind w:left="160"/>
              <w:rPr>
                <w:rFonts w:ascii="Calibri" w:hAnsi="Calibri" w:cs="Calibri"/>
                <w:sz w:val="19"/>
                <w:szCs w:val="19"/>
              </w:rPr>
            </w:pPr>
            <w:r>
              <w:rPr>
                <w:rFonts w:ascii="Calibri" w:hAnsi="Calibri" w:cs="Calibri"/>
                <w:sz w:val="19"/>
                <w:szCs w:val="19"/>
              </w:rPr>
              <w:t>D</w:t>
            </w:r>
            <w:r w:rsidR="004A0E4B" w:rsidRPr="00F82FF4">
              <w:rPr>
                <w:rFonts w:ascii="Calibri" w:hAnsi="Calibri" w:cs="Calibri"/>
                <w:sz w:val="19"/>
                <w:szCs w:val="19"/>
              </w:rPr>
              <w:t>extromethorphan</w:t>
            </w:r>
          </w:p>
          <w:p w14:paraId="5B81591B" w14:textId="77777777" w:rsidR="004A0E4B" w:rsidRPr="00F82FF4" w:rsidRDefault="004A0E4B" w:rsidP="00DA0466">
            <w:pPr>
              <w:ind w:left="160"/>
              <w:rPr>
                <w:rFonts w:ascii="Calibri" w:hAnsi="Calibri" w:cs="Calibri"/>
                <w:sz w:val="19"/>
                <w:szCs w:val="19"/>
              </w:rPr>
            </w:pPr>
            <w:r w:rsidRPr="004A0E4B">
              <w:rPr>
                <w:rFonts w:ascii="Calibri" w:hAnsi="Calibri" w:cs="Calibri"/>
                <w:sz w:val="19"/>
                <w:szCs w:val="19"/>
              </w:rPr>
              <w:t xml:space="preserve">(30 mg single dose, </w:t>
            </w:r>
            <w:proofErr w:type="spellStart"/>
            <w:r w:rsidRPr="004A0E4B">
              <w:rPr>
                <w:rFonts w:ascii="Calibri" w:hAnsi="Calibri" w:cs="Calibri"/>
                <w:sz w:val="19"/>
                <w:szCs w:val="19"/>
              </w:rPr>
              <w:t>maribavir</w:t>
            </w:r>
            <w:proofErr w:type="spellEnd"/>
            <w:r w:rsidRPr="004A0E4B">
              <w:rPr>
                <w:rFonts w:ascii="Calibri" w:hAnsi="Calibri" w:cs="Calibri"/>
                <w:sz w:val="19"/>
                <w:szCs w:val="19"/>
              </w:rPr>
              <w:t xml:space="preserve"> 400 mg twice daily)</w:t>
            </w:r>
          </w:p>
          <w:p w14:paraId="0C445088" w14:textId="612D3A81" w:rsidR="004A0E4B" w:rsidRPr="00F82FF4" w:rsidRDefault="004A0E4B" w:rsidP="00DA0466">
            <w:pPr>
              <w:ind w:left="160"/>
              <w:rPr>
                <w:rFonts w:ascii="Calibri" w:hAnsi="Calibri" w:cs="Calibri"/>
                <w:sz w:val="19"/>
                <w:szCs w:val="19"/>
              </w:rPr>
            </w:pPr>
          </w:p>
          <w:p w14:paraId="045BCD33" w14:textId="35979D37" w:rsidR="004A0E4B" w:rsidRPr="00F82FF4" w:rsidRDefault="004A0E4B" w:rsidP="00DA0466">
            <w:pPr>
              <w:ind w:left="160"/>
              <w:rPr>
                <w:rFonts w:ascii="Calibri" w:hAnsi="Calibri" w:cs="Calibri"/>
                <w:sz w:val="19"/>
                <w:szCs w:val="19"/>
              </w:rPr>
            </w:pPr>
          </w:p>
        </w:tc>
        <w:tc>
          <w:tcPr>
            <w:tcW w:w="3118" w:type="dxa"/>
          </w:tcPr>
          <w:p w14:paraId="4DE90006" w14:textId="77777777" w:rsidR="004A0E4B" w:rsidRPr="00F82FF4" w:rsidRDefault="004A0E4B" w:rsidP="00DA0466">
            <w:pPr>
              <w:ind w:left="172"/>
              <w:rPr>
                <w:rFonts w:ascii="Calibri" w:hAnsi="Calibri" w:cs="Calibri"/>
                <w:sz w:val="19"/>
                <w:szCs w:val="19"/>
              </w:rPr>
            </w:pPr>
            <w:r w:rsidRPr="00F82FF4">
              <w:rPr>
                <w:rFonts w:ascii="Calibri" w:hAnsi="Calibri" w:cs="Calibri"/>
                <w:sz w:val="19"/>
                <w:szCs w:val="19"/>
              </w:rPr>
              <w:t xml:space="preserve">↔ </w:t>
            </w:r>
            <w:proofErr w:type="spellStart"/>
            <w:r w:rsidRPr="00F82FF4">
              <w:rPr>
                <w:rFonts w:ascii="Calibri" w:hAnsi="Calibri" w:cs="Calibri"/>
                <w:sz w:val="19"/>
                <w:szCs w:val="19"/>
              </w:rPr>
              <w:t>dextrorphan</w:t>
            </w:r>
            <w:proofErr w:type="spellEnd"/>
          </w:p>
          <w:p w14:paraId="7EB2D3CC" w14:textId="77777777" w:rsidR="004A0E4B" w:rsidRPr="00F82FF4" w:rsidRDefault="004A0E4B" w:rsidP="00DA0466">
            <w:pPr>
              <w:ind w:left="172"/>
              <w:rPr>
                <w:rFonts w:ascii="Calibri" w:hAnsi="Calibri" w:cs="Calibri"/>
                <w:sz w:val="19"/>
                <w:szCs w:val="19"/>
              </w:rPr>
            </w:pPr>
            <w:r w:rsidRPr="00F82FF4">
              <w:rPr>
                <w:rFonts w:ascii="Calibri" w:hAnsi="Calibri" w:cs="Calibri"/>
                <w:sz w:val="19"/>
                <w:szCs w:val="19"/>
              </w:rPr>
              <w:t>AUC 0.97 (0.94, 1.00)</w:t>
            </w:r>
          </w:p>
          <w:p w14:paraId="2D742F59" w14:textId="77777777" w:rsidR="004A0E4B" w:rsidRPr="00F82FF4" w:rsidRDefault="004A0E4B" w:rsidP="00DA0466">
            <w:pPr>
              <w:ind w:left="172"/>
              <w:rPr>
                <w:rFonts w:ascii="Calibri" w:hAnsi="Calibri" w:cs="Calibri"/>
                <w:sz w:val="19"/>
                <w:szCs w:val="19"/>
              </w:rPr>
            </w:pPr>
            <w:r w:rsidRPr="00F82FF4">
              <w:rPr>
                <w:rFonts w:ascii="Calibri" w:hAnsi="Calibri" w:cs="Calibri"/>
                <w:sz w:val="19"/>
                <w:szCs w:val="19"/>
              </w:rPr>
              <w:t>C</w:t>
            </w:r>
            <w:r w:rsidRPr="00C53A1C">
              <w:rPr>
                <w:rFonts w:ascii="Calibri" w:hAnsi="Calibri" w:cs="Calibri"/>
                <w:sz w:val="19"/>
                <w:szCs w:val="19"/>
                <w:vertAlign w:val="subscript"/>
              </w:rPr>
              <w:t>max</w:t>
            </w:r>
            <w:r w:rsidRPr="00F82FF4">
              <w:rPr>
                <w:rFonts w:ascii="Calibri" w:hAnsi="Calibri" w:cs="Calibri"/>
                <w:sz w:val="19"/>
                <w:szCs w:val="19"/>
              </w:rPr>
              <w:t xml:space="preserve"> 0.94 (0.88, 1.01)</w:t>
            </w:r>
          </w:p>
          <w:p w14:paraId="50DBCCCE" w14:textId="5D493515" w:rsidR="004A0E4B" w:rsidRPr="00F82FF4" w:rsidRDefault="004A0E4B" w:rsidP="00DA0466">
            <w:pPr>
              <w:ind w:left="172"/>
              <w:rPr>
                <w:rFonts w:ascii="Calibri" w:hAnsi="Calibri" w:cs="Calibri"/>
                <w:sz w:val="19"/>
                <w:szCs w:val="19"/>
              </w:rPr>
            </w:pPr>
            <w:r w:rsidRPr="00F82FF4">
              <w:rPr>
                <w:rFonts w:ascii="Calibri" w:hAnsi="Calibri" w:cs="Calibri"/>
                <w:sz w:val="19"/>
                <w:szCs w:val="19"/>
              </w:rPr>
              <w:t>(CYP2D6 inhibition)</w:t>
            </w:r>
          </w:p>
        </w:tc>
        <w:tc>
          <w:tcPr>
            <w:tcW w:w="2693" w:type="dxa"/>
            <w:gridSpan w:val="2"/>
          </w:tcPr>
          <w:p w14:paraId="1B4CEC48" w14:textId="77777777" w:rsidR="004A0E4B" w:rsidRPr="00F82FF4" w:rsidRDefault="004A0E4B" w:rsidP="00DA0466">
            <w:pPr>
              <w:ind w:left="125"/>
              <w:rPr>
                <w:rFonts w:ascii="Calibri" w:hAnsi="Calibri" w:cs="Calibri"/>
                <w:sz w:val="19"/>
                <w:szCs w:val="19"/>
              </w:rPr>
            </w:pPr>
            <w:r w:rsidRPr="00F82FF4">
              <w:rPr>
                <w:rFonts w:ascii="Calibri" w:hAnsi="Calibri" w:cs="Calibri"/>
                <w:sz w:val="19"/>
                <w:szCs w:val="19"/>
              </w:rPr>
              <w:t>No dose adjustment is required.</w:t>
            </w:r>
          </w:p>
        </w:tc>
      </w:tr>
      <w:tr w:rsidR="00F82FF4" w:rsidRPr="009A6B7D" w14:paraId="69ED476D" w14:textId="77777777" w:rsidTr="00286039">
        <w:trPr>
          <w:trHeight w:val="209"/>
        </w:trPr>
        <w:tc>
          <w:tcPr>
            <w:tcW w:w="8495" w:type="dxa"/>
            <w:gridSpan w:val="4"/>
          </w:tcPr>
          <w:p w14:paraId="486F1E61" w14:textId="77777777" w:rsidR="00F82FF4" w:rsidRPr="00F82FF4" w:rsidRDefault="00F82FF4" w:rsidP="00DA0466">
            <w:pPr>
              <w:spacing w:before="60" w:after="60"/>
              <w:ind w:left="159"/>
              <w:rPr>
                <w:rFonts w:ascii="Calibri" w:hAnsi="Calibri" w:cs="Calibri"/>
                <w:b/>
                <w:bCs/>
                <w:sz w:val="19"/>
                <w:szCs w:val="19"/>
              </w:rPr>
            </w:pPr>
            <w:r w:rsidRPr="00F82FF4">
              <w:rPr>
                <w:rFonts w:ascii="Calibri" w:hAnsi="Calibri" w:cs="Calibri"/>
                <w:b/>
                <w:bCs/>
                <w:sz w:val="19"/>
                <w:szCs w:val="19"/>
              </w:rPr>
              <w:t>Herbal Products</w:t>
            </w:r>
          </w:p>
        </w:tc>
      </w:tr>
      <w:tr w:rsidR="00F82FF4" w:rsidRPr="009A6B7D" w14:paraId="22FAE7CD" w14:textId="77777777" w:rsidTr="00286039">
        <w:trPr>
          <w:trHeight w:val="837"/>
        </w:trPr>
        <w:tc>
          <w:tcPr>
            <w:tcW w:w="2684" w:type="dxa"/>
          </w:tcPr>
          <w:p w14:paraId="4EDA18C8" w14:textId="77777777" w:rsidR="00F82FF4" w:rsidRPr="00F82FF4" w:rsidRDefault="00F82FF4" w:rsidP="00DA0466">
            <w:pPr>
              <w:ind w:left="160"/>
              <w:rPr>
                <w:rFonts w:ascii="Calibri" w:hAnsi="Calibri" w:cs="Calibri"/>
                <w:sz w:val="19"/>
                <w:szCs w:val="19"/>
              </w:rPr>
            </w:pPr>
            <w:r w:rsidRPr="00F82FF4">
              <w:rPr>
                <w:rFonts w:ascii="Calibri" w:hAnsi="Calibri" w:cs="Calibri"/>
                <w:sz w:val="19"/>
                <w:szCs w:val="19"/>
              </w:rPr>
              <w:t xml:space="preserve">St. John's wort (Hypericum </w:t>
            </w:r>
            <w:proofErr w:type="spellStart"/>
            <w:r w:rsidRPr="00F82FF4">
              <w:rPr>
                <w:rFonts w:ascii="Calibri" w:hAnsi="Calibri" w:cs="Calibri"/>
                <w:sz w:val="19"/>
                <w:szCs w:val="19"/>
              </w:rPr>
              <w:t>perforatum</w:t>
            </w:r>
            <w:proofErr w:type="spellEnd"/>
            <w:r w:rsidRPr="00F82FF4">
              <w:rPr>
                <w:rFonts w:ascii="Calibri" w:hAnsi="Calibri" w:cs="Calibri"/>
                <w:sz w:val="19"/>
                <w:szCs w:val="19"/>
              </w:rPr>
              <w:t>)</w:t>
            </w:r>
          </w:p>
        </w:tc>
        <w:tc>
          <w:tcPr>
            <w:tcW w:w="3118" w:type="dxa"/>
          </w:tcPr>
          <w:p w14:paraId="1FF597FC"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Interaction not studied. Expected:</w:t>
            </w:r>
          </w:p>
          <w:p w14:paraId="2BD46488"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 xml:space="preserve">↓ </w:t>
            </w:r>
            <w:proofErr w:type="spellStart"/>
            <w:r w:rsidRPr="00F82FF4">
              <w:rPr>
                <w:rFonts w:ascii="Calibri" w:hAnsi="Calibri" w:cs="Calibri"/>
                <w:sz w:val="19"/>
                <w:szCs w:val="19"/>
              </w:rPr>
              <w:t>maribavir</w:t>
            </w:r>
            <w:proofErr w:type="spellEnd"/>
            <w:r w:rsidRPr="00F82FF4">
              <w:rPr>
                <w:rFonts w:ascii="Calibri" w:hAnsi="Calibri" w:cs="Calibri"/>
                <w:sz w:val="19"/>
                <w:szCs w:val="19"/>
              </w:rPr>
              <w:t xml:space="preserve"> (CYP3A induction)</w:t>
            </w:r>
          </w:p>
        </w:tc>
        <w:tc>
          <w:tcPr>
            <w:tcW w:w="2693" w:type="dxa"/>
            <w:gridSpan w:val="2"/>
          </w:tcPr>
          <w:p w14:paraId="0E2181E9" w14:textId="77777777" w:rsidR="00F82FF4" w:rsidRPr="00F82FF4" w:rsidRDefault="00F82FF4" w:rsidP="00DA0466">
            <w:pPr>
              <w:ind w:left="125"/>
              <w:rPr>
                <w:rFonts w:ascii="Calibri" w:hAnsi="Calibri" w:cs="Calibri"/>
                <w:sz w:val="19"/>
                <w:szCs w:val="19"/>
              </w:rPr>
            </w:pPr>
            <w:r w:rsidRPr="00F82FF4">
              <w:rPr>
                <w:rFonts w:ascii="Calibri" w:hAnsi="Calibri" w:cs="Calibri"/>
                <w:sz w:val="19"/>
                <w:szCs w:val="19"/>
              </w:rPr>
              <w:t xml:space="preserve">Co-administration of </w:t>
            </w:r>
            <w:proofErr w:type="spellStart"/>
            <w:r w:rsidRPr="00F82FF4">
              <w:rPr>
                <w:rFonts w:ascii="Calibri" w:hAnsi="Calibri" w:cs="Calibri"/>
                <w:sz w:val="19"/>
                <w:szCs w:val="19"/>
              </w:rPr>
              <w:t>maribavir</w:t>
            </w:r>
            <w:proofErr w:type="spellEnd"/>
            <w:r w:rsidRPr="00F82FF4">
              <w:rPr>
                <w:rFonts w:ascii="Calibri" w:hAnsi="Calibri" w:cs="Calibri"/>
                <w:sz w:val="19"/>
                <w:szCs w:val="19"/>
              </w:rPr>
              <w:t xml:space="preserve"> and St. John's wort is not recommended due to potential for a decrease in efficacy of</w:t>
            </w:r>
          </w:p>
          <w:p w14:paraId="36818C94" w14:textId="77777777" w:rsidR="00F82FF4" w:rsidRPr="00F82FF4" w:rsidRDefault="00F82FF4" w:rsidP="00DA0466">
            <w:pPr>
              <w:ind w:left="125"/>
              <w:rPr>
                <w:rFonts w:ascii="Calibri" w:hAnsi="Calibri" w:cs="Calibri"/>
                <w:sz w:val="19"/>
                <w:szCs w:val="19"/>
              </w:rPr>
            </w:pPr>
            <w:proofErr w:type="spellStart"/>
            <w:r w:rsidRPr="00F82FF4">
              <w:rPr>
                <w:rFonts w:ascii="Calibri" w:hAnsi="Calibri" w:cs="Calibri"/>
                <w:sz w:val="19"/>
                <w:szCs w:val="19"/>
              </w:rPr>
              <w:t>maribavir</w:t>
            </w:r>
            <w:proofErr w:type="spellEnd"/>
            <w:r w:rsidRPr="00F82FF4">
              <w:rPr>
                <w:rFonts w:ascii="Calibri" w:hAnsi="Calibri" w:cs="Calibri"/>
                <w:sz w:val="19"/>
                <w:szCs w:val="19"/>
              </w:rPr>
              <w:t>.</w:t>
            </w:r>
          </w:p>
        </w:tc>
      </w:tr>
      <w:tr w:rsidR="00F82FF4" w:rsidRPr="009A6B7D" w14:paraId="7DE6DA72" w14:textId="77777777" w:rsidTr="00286039">
        <w:trPr>
          <w:trHeight w:val="287"/>
        </w:trPr>
        <w:tc>
          <w:tcPr>
            <w:tcW w:w="8495" w:type="dxa"/>
            <w:gridSpan w:val="4"/>
          </w:tcPr>
          <w:p w14:paraId="0E9B7BBE" w14:textId="77777777" w:rsidR="00F82FF4" w:rsidRPr="00F82FF4" w:rsidRDefault="00F82FF4" w:rsidP="00DA0466">
            <w:pPr>
              <w:spacing w:before="60" w:after="60"/>
              <w:ind w:left="159"/>
              <w:rPr>
                <w:rFonts w:ascii="Calibri" w:hAnsi="Calibri" w:cs="Calibri"/>
                <w:b/>
                <w:bCs/>
                <w:sz w:val="19"/>
                <w:szCs w:val="19"/>
              </w:rPr>
            </w:pPr>
            <w:r w:rsidRPr="00F82FF4">
              <w:rPr>
                <w:rFonts w:ascii="Calibri" w:hAnsi="Calibri" w:cs="Calibri"/>
                <w:b/>
                <w:bCs/>
                <w:sz w:val="19"/>
                <w:szCs w:val="19"/>
              </w:rPr>
              <w:t>HMG-CoA Reductase Inhibitors</w:t>
            </w:r>
          </w:p>
        </w:tc>
      </w:tr>
      <w:tr w:rsidR="00F82FF4" w:rsidRPr="009A6B7D" w14:paraId="5813F595" w14:textId="77777777" w:rsidTr="00286039">
        <w:trPr>
          <w:trHeight w:val="683"/>
        </w:trPr>
        <w:tc>
          <w:tcPr>
            <w:tcW w:w="2684" w:type="dxa"/>
          </w:tcPr>
          <w:p w14:paraId="1C5750FC" w14:textId="77777777" w:rsidR="00F82FF4" w:rsidRPr="00F82FF4" w:rsidRDefault="00F82FF4" w:rsidP="00DA0466">
            <w:pPr>
              <w:ind w:left="160"/>
              <w:rPr>
                <w:rFonts w:ascii="Calibri" w:hAnsi="Calibri" w:cs="Calibri"/>
                <w:sz w:val="19"/>
                <w:szCs w:val="19"/>
              </w:rPr>
            </w:pPr>
            <w:r w:rsidRPr="00F82FF4">
              <w:rPr>
                <w:rFonts w:ascii="Calibri" w:hAnsi="Calibri" w:cs="Calibri"/>
                <w:sz w:val="19"/>
                <w:szCs w:val="19"/>
              </w:rPr>
              <w:t xml:space="preserve">atorvastatin </w:t>
            </w:r>
            <w:proofErr w:type="spellStart"/>
            <w:r w:rsidRPr="00F82FF4">
              <w:rPr>
                <w:rFonts w:ascii="Calibri" w:hAnsi="Calibri" w:cs="Calibri"/>
                <w:sz w:val="19"/>
                <w:szCs w:val="19"/>
              </w:rPr>
              <w:t>fluvastatin</w:t>
            </w:r>
            <w:proofErr w:type="spellEnd"/>
            <w:r w:rsidRPr="00F82FF4">
              <w:rPr>
                <w:rFonts w:ascii="Calibri" w:hAnsi="Calibri" w:cs="Calibri"/>
                <w:sz w:val="19"/>
                <w:szCs w:val="19"/>
              </w:rPr>
              <w:t xml:space="preserve"> simvastatin</w:t>
            </w:r>
          </w:p>
        </w:tc>
        <w:tc>
          <w:tcPr>
            <w:tcW w:w="3118" w:type="dxa"/>
          </w:tcPr>
          <w:p w14:paraId="5CCA99E7"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Interaction not studied. Expected:</w:t>
            </w:r>
          </w:p>
          <w:p w14:paraId="1F523B09" w14:textId="0833B544" w:rsidR="00F82FF4" w:rsidRPr="00F82FF4" w:rsidRDefault="00F82FF4">
            <w:pPr>
              <w:ind w:left="172"/>
              <w:rPr>
                <w:rFonts w:ascii="Calibri" w:hAnsi="Calibri" w:cs="Calibri"/>
                <w:sz w:val="19"/>
                <w:szCs w:val="19"/>
              </w:rPr>
            </w:pPr>
            <w:r w:rsidRPr="00F82FF4">
              <w:rPr>
                <w:rFonts w:ascii="Calibri" w:hAnsi="Calibri" w:cs="Calibri"/>
                <w:sz w:val="19"/>
                <w:szCs w:val="19"/>
              </w:rPr>
              <w:t>↑ HMG-CoA reductase inhibitors</w:t>
            </w:r>
            <w:r w:rsidR="00930D01">
              <w:rPr>
                <w:rFonts w:ascii="Calibri" w:hAnsi="Calibri" w:cs="Calibri"/>
                <w:sz w:val="19"/>
                <w:szCs w:val="19"/>
              </w:rPr>
              <w:t xml:space="preserve"> </w:t>
            </w:r>
            <w:r w:rsidRPr="00F82FF4">
              <w:rPr>
                <w:rFonts w:ascii="Calibri" w:hAnsi="Calibri" w:cs="Calibri"/>
                <w:sz w:val="19"/>
                <w:szCs w:val="19"/>
              </w:rPr>
              <w:t>(BCRP inhibition)</w:t>
            </w:r>
          </w:p>
        </w:tc>
        <w:tc>
          <w:tcPr>
            <w:tcW w:w="2693" w:type="dxa"/>
            <w:gridSpan w:val="2"/>
          </w:tcPr>
          <w:p w14:paraId="30AF81D1" w14:textId="77777777" w:rsidR="00F82FF4" w:rsidRPr="00F82FF4" w:rsidRDefault="00F82FF4" w:rsidP="00DA0466">
            <w:pPr>
              <w:ind w:left="125"/>
              <w:rPr>
                <w:rFonts w:ascii="Calibri" w:hAnsi="Calibri" w:cs="Calibri"/>
                <w:sz w:val="19"/>
                <w:szCs w:val="19"/>
              </w:rPr>
            </w:pPr>
            <w:r w:rsidRPr="00F82FF4">
              <w:rPr>
                <w:rFonts w:ascii="Calibri" w:hAnsi="Calibri" w:cs="Calibri"/>
                <w:sz w:val="19"/>
                <w:szCs w:val="19"/>
              </w:rPr>
              <w:t>No dose adjustment is required.</w:t>
            </w:r>
          </w:p>
        </w:tc>
      </w:tr>
      <w:tr w:rsidR="00F82FF4" w:rsidRPr="009A6B7D" w14:paraId="714D1A68" w14:textId="77777777" w:rsidTr="00286039">
        <w:trPr>
          <w:trHeight w:val="693"/>
        </w:trPr>
        <w:tc>
          <w:tcPr>
            <w:tcW w:w="2684" w:type="dxa"/>
          </w:tcPr>
          <w:p w14:paraId="10C139FC" w14:textId="77777777" w:rsidR="00F82FF4" w:rsidRPr="00F82FF4" w:rsidRDefault="00F82FF4" w:rsidP="00DA0466">
            <w:pPr>
              <w:ind w:left="160"/>
              <w:rPr>
                <w:rFonts w:ascii="Calibri" w:hAnsi="Calibri" w:cs="Calibri"/>
                <w:sz w:val="19"/>
                <w:szCs w:val="19"/>
                <w:vertAlign w:val="superscript"/>
              </w:rPr>
            </w:pPr>
            <w:proofErr w:type="spellStart"/>
            <w:r w:rsidRPr="00F82FF4">
              <w:rPr>
                <w:rFonts w:ascii="Calibri" w:hAnsi="Calibri" w:cs="Calibri"/>
                <w:sz w:val="19"/>
                <w:szCs w:val="19"/>
              </w:rPr>
              <w:lastRenderedPageBreak/>
              <w:t>rosuvastatin</w:t>
            </w:r>
            <w:r w:rsidRPr="00F82FF4">
              <w:rPr>
                <w:rFonts w:ascii="Calibri" w:hAnsi="Calibri" w:cs="Calibri"/>
                <w:sz w:val="19"/>
                <w:szCs w:val="19"/>
                <w:vertAlign w:val="superscript"/>
              </w:rPr>
              <w:t>a</w:t>
            </w:r>
            <w:proofErr w:type="spellEnd"/>
          </w:p>
        </w:tc>
        <w:tc>
          <w:tcPr>
            <w:tcW w:w="3118" w:type="dxa"/>
          </w:tcPr>
          <w:p w14:paraId="5FDA3EC1"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Interaction not studied. Expected:</w:t>
            </w:r>
          </w:p>
          <w:p w14:paraId="52A65385"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 rosuvastatin (BCRP inhibition)</w:t>
            </w:r>
          </w:p>
        </w:tc>
        <w:tc>
          <w:tcPr>
            <w:tcW w:w="2693" w:type="dxa"/>
            <w:gridSpan w:val="2"/>
          </w:tcPr>
          <w:p w14:paraId="51DEF440" w14:textId="77777777" w:rsidR="00F82FF4" w:rsidRPr="00F82FF4" w:rsidRDefault="00F82FF4" w:rsidP="00DA0466">
            <w:pPr>
              <w:ind w:left="125"/>
              <w:rPr>
                <w:rFonts w:ascii="Calibri" w:hAnsi="Calibri" w:cs="Calibri"/>
                <w:sz w:val="19"/>
                <w:szCs w:val="19"/>
              </w:rPr>
            </w:pPr>
            <w:r w:rsidRPr="00F82FF4">
              <w:rPr>
                <w:rFonts w:ascii="Calibri" w:hAnsi="Calibri" w:cs="Calibri"/>
                <w:sz w:val="19"/>
                <w:szCs w:val="19"/>
              </w:rPr>
              <w:t>The patient should be closely monitored for rosuvastatin- related events, especially the occurrence of myopathy and rhabdomyolysis.</w:t>
            </w:r>
          </w:p>
        </w:tc>
      </w:tr>
      <w:tr w:rsidR="00F82FF4" w:rsidRPr="009A6B7D" w14:paraId="789C753E" w14:textId="77777777" w:rsidTr="00286039">
        <w:trPr>
          <w:trHeight w:val="287"/>
        </w:trPr>
        <w:tc>
          <w:tcPr>
            <w:tcW w:w="8495" w:type="dxa"/>
            <w:gridSpan w:val="4"/>
          </w:tcPr>
          <w:p w14:paraId="35FAFBD9" w14:textId="77777777" w:rsidR="00F82FF4" w:rsidRPr="00F82FF4" w:rsidRDefault="00F82FF4" w:rsidP="00DA0466">
            <w:pPr>
              <w:spacing w:before="60" w:after="60"/>
              <w:ind w:left="159"/>
              <w:rPr>
                <w:rFonts w:ascii="Calibri" w:hAnsi="Calibri" w:cs="Calibri"/>
                <w:b/>
                <w:bCs/>
                <w:sz w:val="19"/>
                <w:szCs w:val="19"/>
              </w:rPr>
            </w:pPr>
            <w:r w:rsidRPr="00F82FF4">
              <w:rPr>
                <w:rFonts w:ascii="Calibri" w:hAnsi="Calibri" w:cs="Calibri"/>
                <w:b/>
                <w:bCs/>
                <w:sz w:val="19"/>
                <w:szCs w:val="19"/>
              </w:rPr>
              <w:t>Immunosuppressants</w:t>
            </w:r>
          </w:p>
        </w:tc>
      </w:tr>
      <w:tr w:rsidR="00F82FF4" w:rsidRPr="009A6B7D" w14:paraId="5A89AB95" w14:textId="77777777" w:rsidTr="00286039">
        <w:trPr>
          <w:trHeight w:val="976"/>
        </w:trPr>
        <w:tc>
          <w:tcPr>
            <w:tcW w:w="2684" w:type="dxa"/>
          </w:tcPr>
          <w:p w14:paraId="254ABB52" w14:textId="77777777" w:rsidR="00F82FF4" w:rsidRPr="00F82FF4" w:rsidRDefault="00F82FF4" w:rsidP="00DA0466">
            <w:pPr>
              <w:ind w:left="160"/>
              <w:rPr>
                <w:rFonts w:ascii="Calibri" w:hAnsi="Calibri" w:cs="Calibri"/>
                <w:sz w:val="19"/>
                <w:szCs w:val="19"/>
                <w:vertAlign w:val="superscript"/>
              </w:rPr>
            </w:pPr>
            <w:proofErr w:type="spellStart"/>
            <w:r w:rsidRPr="00F82FF4">
              <w:rPr>
                <w:rFonts w:ascii="Calibri" w:hAnsi="Calibri" w:cs="Calibri"/>
                <w:sz w:val="19"/>
                <w:szCs w:val="19"/>
              </w:rPr>
              <w:t>cyclosporin</w:t>
            </w:r>
            <w:r w:rsidRPr="00F82FF4">
              <w:rPr>
                <w:rFonts w:ascii="Calibri" w:hAnsi="Calibri" w:cs="Calibri"/>
                <w:sz w:val="19"/>
                <w:szCs w:val="19"/>
                <w:vertAlign w:val="superscript"/>
              </w:rPr>
              <w:t>a</w:t>
            </w:r>
            <w:proofErr w:type="spellEnd"/>
            <w:r w:rsidRPr="00F82FF4">
              <w:rPr>
                <w:rFonts w:ascii="Calibri" w:hAnsi="Calibri" w:cs="Calibri"/>
                <w:sz w:val="19"/>
                <w:szCs w:val="19"/>
              </w:rPr>
              <w:t xml:space="preserve"> </w:t>
            </w:r>
            <w:proofErr w:type="spellStart"/>
            <w:r w:rsidRPr="00F82FF4">
              <w:rPr>
                <w:rFonts w:ascii="Calibri" w:hAnsi="Calibri" w:cs="Calibri"/>
                <w:sz w:val="19"/>
                <w:szCs w:val="19"/>
              </w:rPr>
              <w:t>everolimus</w:t>
            </w:r>
            <w:r w:rsidRPr="00F82FF4">
              <w:rPr>
                <w:rFonts w:ascii="Calibri" w:hAnsi="Calibri" w:cs="Calibri"/>
                <w:sz w:val="19"/>
                <w:szCs w:val="19"/>
                <w:vertAlign w:val="superscript"/>
              </w:rPr>
              <w:t>a</w:t>
            </w:r>
            <w:proofErr w:type="spellEnd"/>
            <w:r w:rsidRPr="00F82FF4">
              <w:rPr>
                <w:rFonts w:ascii="Calibri" w:hAnsi="Calibri" w:cs="Calibri"/>
                <w:sz w:val="19"/>
                <w:szCs w:val="19"/>
              </w:rPr>
              <w:t xml:space="preserve"> </w:t>
            </w:r>
            <w:proofErr w:type="spellStart"/>
            <w:r w:rsidRPr="00F82FF4">
              <w:rPr>
                <w:rFonts w:ascii="Calibri" w:hAnsi="Calibri" w:cs="Calibri"/>
                <w:sz w:val="19"/>
                <w:szCs w:val="19"/>
              </w:rPr>
              <w:t>sirolimus</w:t>
            </w:r>
            <w:r w:rsidRPr="00F82FF4">
              <w:rPr>
                <w:rFonts w:ascii="Calibri" w:hAnsi="Calibri" w:cs="Calibri"/>
                <w:sz w:val="19"/>
                <w:szCs w:val="19"/>
                <w:vertAlign w:val="superscript"/>
              </w:rPr>
              <w:t>a</w:t>
            </w:r>
            <w:proofErr w:type="spellEnd"/>
          </w:p>
        </w:tc>
        <w:tc>
          <w:tcPr>
            <w:tcW w:w="3118" w:type="dxa"/>
          </w:tcPr>
          <w:p w14:paraId="3F00EC91"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Interaction not studied. Expected:</w:t>
            </w:r>
          </w:p>
          <w:p w14:paraId="21803DDC"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 cyclosporin, everolimus, sirolimus</w:t>
            </w:r>
          </w:p>
          <w:p w14:paraId="4FD1E9D4"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(CYP3A/P-</w:t>
            </w:r>
            <w:proofErr w:type="spellStart"/>
            <w:r w:rsidRPr="00F82FF4">
              <w:rPr>
                <w:rFonts w:ascii="Calibri" w:hAnsi="Calibri" w:cs="Calibri"/>
                <w:sz w:val="19"/>
                <w:szCs w:val="19"/>
              </w:rPr>
              <w:t>gp</w:t>
            </w:r>
            <w:proofErr w:type="spellEnd"/>
            <w:r w:rsidRPr="00F82FF4">
              <w:rPr>
                <w:rFonts w:ascii="Calibri" w:hAnsi="Calibri" w:cs="Calibri"/>
                <w:sz w:val="19"/>
                <w:szCs w:val="19"/>
              </w:rPr>
              <w:t xml:space="preserve"> inhibition)</w:t>
            </w:r>
          </w:p>
        </w:tc>
        <w:tc>
          <w:tcPr>
            <w:tcW w:w="2693" w:type="dxa"/>
            <w:gridSpan w:val="2"/>
          </w:tcPr>
          <w:p w14:paraId="430439BD" w14:textId="77777777" w:rsidR="00F82FF4" w:rsidRPr="00F82FF4" w:rsidRDefault="00F82FF4" w:rsidP="00DA0466">
            <w:pPr>
              <w:ind w:left="125"/>
              <w:rPr>
                <w:rFonts w:ascii="Calibri" w:hAnsi="Calibri" w:cs="Calibri"/>
                <w:sz w:val="19"/>
                <w:szCs w:val="19"/>
              </w:rPr>
            </w:pPr>
            <w:r w:rsidRPr="00F82FF4">
              <w:rPr>
                <w:rFonts w:ascii="Calibri" w:hAnsi="Calibri" w:cs="Calibri"/>
                <w:sz w:val="19"/>
                <w:szCs w:val="19"/>
              </w:rPr>
              <w:t>Frequently monitor cyclosporin, everolimus and sirolimus levels, especially following initiation and after discontinuation of LIVTENCITY and adjust dose,</w:t>
            </w:r>
          </w:p>
          <w:p w14:paraId="1427EBB1" w14:textId="77777777" w:rsidR="00F82FF4" w:rsidRPr="00F82FF4" w:rsidRDefault="00F82FF4" w:rsidP="00DA0466">
            <w:pPr>
              <w:ind w:left="125"/>
              <w:rPr>
                <w:rFonts w:ascii="Calibri" w:hAnsi="Calibri" w:cs="Calibri"/>
                <w:sz w:val="19"/>
                <w:szCs w:val="19"/>
              </w:rPr>
            </w:pPr>
            <w:r w:rsidRPr="00F82FF4">
              <w:rPr>
                <w:rFonts w:ascii="Calibri" w:hAnsi="Calibri" w:cs="Calibri"/>
                <w:sz w:val="19"/>
                <w:szCs w:val="19"/>
              </w:rPr>
              <w:t>as needed.</w:t>
            </w:r>
          </w:p>
        </w:tc>
      </w:tr>
      <w:tr w:rsidR="00F82FF4" w:rsidRPr="009A6B7D" w14:paraId="692923BB" w14:textId="77777777" w:rsidTr="00286039">
        <w:trPr>
          <w:trHeight w:val="1119"/>
        </w:trPr>
        <w:tc>
          <w:tcPr>
            <w:tcW w:w="2684" w:type="dxa"/>
          </w:tcPr>
          <w:p w14:paraId="6E885B80" w14:textId="77777777" w:rsidR="00F82FF4" w:rsidRPr="00F82FF4" w:rsidRDefault="00F82FF4" w:rsidP="00DA0466">
            <w:pPr>
              <w:ind w:left="160"/>
              <w:rPr>
                <w:rFonts w:ascii="Calibri" w:hAnsi="Calibri" w:cs="Calibri"/>
                <w:sz w:val="19"/>
                <w:szCs w:val="19"/>
                <w:vertAlign w:val="superscript"/>
              </w:rPr>
            </w:pPr>
            <w:proofErr w:type="spellStart"/>
            <w:r w:rsidRPr="00F82FF4">
              <w:rPr>
                <w:rFonts w:ascii="Calibri" w:hAnsi="Calibri" w:cs="Calibri"/>
                <w:sz w:val="19"/>
                <w:szCs w:val="19"/>
              </w:rPr>
              <w:t>tacrolimus</w:t>
            </w:r>
            <w:r w:rsidRPr="00F82FF4">
              <w:rPr>
                <w:rFonts w:ascii="Calibri" w:hAnsi="Calibri" w:cs="Calibri"/>
                <w:sz w:val="19"/>
                <w:szCs w:val="19"/>
                <w:vertAlign w:val="superscript"/>
              </w:rPr>
              <w:t>a</w:t>
            </w:r>
            <w:proofErr w:type="spellEnd"/>
          </w:p>
        </w:tc>
        <w:tc>
          <w:tcPr>
            <w:tcW w:w="3118" w:type="dxa"/>
          </w:tcPr>
          <w:p w14:paraId="002B3EAE"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 tacrolimus</w:t>
            </w:r>
          </w:p>
          <w:p w14:paraId="16105262"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AUC 1.51 (1.39, 1.65)</w:t>
            </w:r>
          </w:p>
          <w:p w14:paraId="0B3543C9"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C</w:t>
            </w:r>
            <w:r w:rsidRPr="00C53A1C">
              <w:rPr>
                <w:rFonts w:ascii="Calibri" w:hAnsi="Calibri" w:cs="Calibri"/>
                <w:sz w:val="19"/>
                <w:szCs w:val="19"/>
                <w:vertAlign w:val="subscript"/>
              </w:rPr>
              <w:t>max</w:t>
            </w:r>
            <w:r w:rsidRPr="00F82FF4">
              <w:rPr>
                <w:rFonts w:ascii="Calibri" w:hAnsi="Calibri" w:cs="Calibri"/>
                <w:sz w:val="19"/>
                <w:szCs w:val="19"/>
              </w:rPr>
              <w:t xml:space="preserve"> 1.38 (1.20, 1.57)</w:t>
            </w:r>
          </w:p>
          <w:p w14:paraId="1576311F" w14:textId="77777777" w:rsidR="00F82FF4" w:rsidRPr="00F82FF4" w:rsidRDefault="00F82FF4" w:rsidP="00DA0466">
            <w:pPr>
              <w:ind w:left="172"/>
              <w:rPr>
                <w:rFonts w:ascii="Calibri" w:hAnsi="Calibri" w:cs="Calibri"/>
                <w:sz w:val="19"/>
                <w:szCs w:val="19"/>
              </w:rPr>
            </w:pPr>
            <w:proofErr w:type="spellStart"/>
            <w:r w:rsidRPr="00F82FF4">
              <w:rPr>
                <w:rFonts w:ascii="Calibri" w:hAnsi="Calibri" w:cs="Calibri"/>
                <w:sz w:val="19"/>
                <w:szCs w:val="19"/>
              </w:rPr>
              <w:t>C</w:t>
            </w:r>
            <w:r w:rsidRPr="00C53A1C">
              <w:rPr>
                <w:rFonts w:ascii="Calibri" w:hAnsi="Calibri" w:cs="Calibri"/>
                <w:sz w:val="19"/>
                <w:szCs w:val="19"/>
                <w:vertAlign w:val="subscript"/>
              </w:rPr>
              <w:t>trough</w:t>
            </w:r>
            <w:proofErr w:type="spellEnd"/>
            <w:r w:rsidRPr="00F82FF4">
              <w:rPr>
                <w:rFonts w:ascii="Calibri" w:hAnsi="Calibri" w:cs="Calibri"/>
                <w:sz w:val="19"/>
                <w:szCs w:val="19"/>
              </w:rPr>
              <w:t xml:space="preserve"> 1.57 (1.41, 1.74)</w:t>
            </w:r>
          </w:p>
          <w:p w14:paraId="724739A6" w14:textId="77777777" w:rsidR="00F82FF4" w:rsidRPr="00F82FF4" w:rsidRDefault="00F82FF4" w:rsidP="00DA0466">
            <w:pPr>
              <w:ind w:left="172"/>
              <w:rPr>
                <w:rFonts w:ascii="Calibri" w:hAnsi="Calibri" w:cs="Calibri"/>
                <w:sz w:val="19"/>
                <w:szCs w:val="19"/>
              </w:rPr>
            </w:pPr>
            <w:r w:rsidRPr="00F82FF4">
              <w:rPr>
                <w:rFonts w:ascii="Calibri" w:hAnsi="Calibri" w:cs="Calibri"/>
                <w:sz w:val="19"/>
                <w:szCs w:val="19"/>
              </w:rPr>
              <w:t>(CYP3A/P-</w:t>
            </w:r>
            <w:proofErr w:type="spellStart"/>
            <w:r w:rsidRPr="00F82FF4">
              <w:rPr>
                <w:rFonts w:ascii="Calibri" w:hAnsi="Calibri" w:cs="Calibri"/>
                <w:sz w:val="19"/>
                <w:szCs w:val="19"/>
              </w:rPr>
              <w:t>gp</w:t>
            </w:r>
            <w:proofErr w:type="spellEnd"/>
            <w:r w:rsidRPr="00F82FF4">
              <w:rPr>
                <w:rFonts w:ascii="Calibri" w:hAnsi="Calibri" w:cs="Calibri"/>
                <w:sz w:val="19"/>
                <w:szCs w:val="19"/>
              </w:rPr>
              <w:t xml:space="preserve"> inhibition)</w:t>
            </w:r>
          </w:p>
        </w:tc>
        <w:tc>
          <w:tcPr>
            <w:tcW w:w="2693" w:type="dxa"/>
            <w:gridSpan w:val="2"/>
          </w:tcPr>
          <w:p w14:paraId="317B7AF7" w14:textId="77777777" w:rsidR="00F82FF4" w:rsidRPr="00F82FF4" w:rsidRDefault="00F82FF4" w:rsidP="00DA0466">
            <w:pPr>
              <w:ind w:left="125"/>
              <w:rPr>
                <w:rFonts w:ascii="Calibri" w:hAnsi="Calibri" w:cs="Calibri"/>
                <w:sz w:val="19"/>
                <w:szCs w:val="19"/>
              </w:rPr>
            </w:pPr>
            <w:r w:rsidRPr="00F82FF4">
              <w:rPr>
                <w:rFonts w:ascii="Calibri" w:hAnsi="Calibri" w:cs="Calibri"/>
                <w:sz w:val="19"/>
                <w:szCs w:val="19"/>
              </w:rPr>
              <w:t xml:space="preserve">Frequently monitor tacrolimus </w:t>
            </w:r>
            <w:proofErr w:type="spellStart"/>
            <w:r w:rsidRPr="00F82FF4">
              <w:rPr>
                <w:rFonts w:ascii="Calibri" w:hAnsi="Calibri" w:cs="Calibri"/>
                <w:sz w:val="19"/>
                <w:szCs w:val="19"/>
              </w:rPr>
              <w:t>tacrolimus</w:t>
            </w:r>
            <w:proofErr w:type="spellEnd"/>
            <w:r w:rsidRPr="00F82FF4">
              <w:rPr>
                <w:rFonts w:ascii="Calibri" w:hAnsi="Calibri" w:cs="Calibri"/>
                <w:sz w:val="19"/>
                <w:szCs w:val="19"/>
              </w:rPr>
              <w:t xml:space="preserve"> levels, especially following initiation and after discontinuation of LIVTENCITY and adjust dose, as needed.</w:t>
            </w:r>
          </w:p>
        </w:tc>
      </w:tr>
      <w:tr w:rsidR="00F82FF4" w:rsidRPr="009A6B7D" w14:paraId="17C255C9" w14:textId="77777777" w:rsidTr="00286039">
        <w:trPr>
          <w:trHeight w:val="287"/>
        </w:trPr>
        <w:tc>
          <w:tcPr>
            <w:tcW w:w="8495" w:type="dxa"/>
            <w:gridSpan w:val="4"/>
          </w:tcPr>
          <w:p w14:paraId="6A4C9A24" w14:textId="77777777" w:rsidR="00F82FF4" w:rsidRPr="00F82FF4" w:rsidRDefault="00F82FF4" w:rsidP="00DA0466">
            <w:pPr>
              <w:spacing w:before="60" w:after="60"/>
              <w:ind w:left="159"/>
              <w:rPr>
                <w:rFonts w:ascii="Calibri" w:hAnsi="Calibri" w:cs="Calibri"/>
                <w:b/>
                <w:bCs/>
                <w:sz w:val="19"/>
                <w:szCs w:val="19"/>
              </w:rPr>
            </w:pPr>
            <w:r w:rsidRPr="00F82FF4">
              <w:rPr>
                <w:sz w:val="19"/>
                <w:szCs w:val="19"/>
              </w:rPr>
              <w:br w:type="page"/>
            </w:r>
            <w:r w:rsidRPr="00F82FF4">
              <w:rPr>
                <w:rFonts w:ascii="Calibri" w:hAnsi="Calibri" w:cs="Calibri"/>
                <w:b/>
                <w:bCs/>
                <w:sz w:val="19"/>
                <w:szCs w:val="19"/>
              </w:rPr>
              <w:t>Oral Anticoagulants</w:t>
            </w:r>
          </w:p>
        </w:tc>
      </w:tr>
      <w:tr w:rsidR="00F82FF4" w:rsidRPr="009A6B7D" w14:paraId="149CCB98" w14:textId="77777777" w:rsidTr="00286039">
        <w:trPr>
          <w:trHeight w:val="712"/>
        </w:trPr>
        <w:tc>
          <w:tcPr>
            <w:tcW w:w="2684" w:type="dxa"/>
          </w:tcPr>
          <w:p w14:paraId="1561B96B" w14:textId="6C19E837" w:rsidR="00F82FF4" w:rsidRPr="00F82FF4" w:rsidRDefault="007102E6" w:rsidP="00DA0466">
            <w:pPr>
              <w:ind w:left="160"/>
              <w:rPr>
                <w:rFonts w:ascii="Calibri" w:hAnsi="Calibri" w:cs="Calibri"/>
                <w:sz w:val="19"/>
                <w:szCs w:val="19"/>
              </w:rPr>
            </w:pPr>
            <w:r w:rsidRPr="00F82FF4">
              <w:rPr>
                <w:rFonts w:ascii="Calibri" w:hAnsi="Calibri" w:cs="Calibri"/>
                <w:sz w:val="19"/>
                <w:szCs w:val="19"/>
              </w:rPr>
              <w:t>W</w:t>
            </w:r>
            <w:r w:rsidR="00F82FF4" w:rsidRPr="00F82FF4">
              <w:rPr>
                <w:rFonts w:ascii="Calibri" w:hAnsi="Calibri" w:cs="Calibri"/>
                <w:sz w:val="19"/>
                <w:szCs w:val="19"/>
              </w:rPr>
              <w:t>arfarin</w:t>
            </w:r>
          </w:p>
          <w:p w14:paraId="6112F697" w14:textId="77777777" w:rsidR="00F82FF4" w:rsidRPr="00F82FF4" w:rsidRDefault="00F82FF4" w:rsidP="00DA0466">
            <w:pPr>
              <w:ind w:left="160"/>
              <w:rPr>
                <w:rFonts w:ascii="Calibri" w:hAnsi="Calibri" w:cs="Calibri"/>
                <w:sz w:val="19"/>
                <w:szCs w:val="19"/>
              </w:rPr>
            </w:pPr>
            <w:r w:rsidRPr="00F82FF4">
              <w:rPr>
                <w:rFonts w:ascii="Calibri" w:hAnsi="Calibri" w:cs="Calibri"/>
                <w:sz w:val="19"/>
                <w:szCs w:val="19"/>
              </w:rPr>
              <w:t xml:space="preserve">(10 mg single dose, </w:t>
            </w:r>
            <w:proofErr w:type="spellStart"/>
            <w:r w:rsidRPr="00F82FF4">
              <w:rPr>
                <w:rFonts w:ascii="Calibri" w:hAnsi="Calibri" w:cs="Calibri"/>
                <w:sz w:val="19"/>
                <w:szCs w:val="19"/>
              </w:rPr>
              <w:t>maribavir</w:t>
            </w:r>
            <w:proofErr w:type="spellEnd"/>
            <w:r w:rsidRPr="00F82FF4">
              <w:rPr>
                <w:rFonts w:ascii="Calibri" w:hAnsi="Calibri" w:cs="Calibri"/>
                <w:sz w:val="19"/>
                <w:szCs w:val="19"/>
              </w:rPr>
              <w:t xml:space="preserve"> 400 mg twice daily)</w:t>
            </w:r>
          </w:p>
        </w:tc>
        <w:tc>
          <w:tcPr>
            <w:tcW w:w="3162" w:type="dxa"/>
            <w:gridSpan w:val="2"/>
          </w:tcPr>
          <w:p w14:paraId="2F8AEBF4" w14:textId="77777777" w:rsidR="00F82FF4" w:rsidRPr="00F82FF4" w:rsidRDefault="00F82FF4" w:rsidP="00DA0466">
            <w:pPr>
              <w:ind w:left="160"/>
              <w:rPr>
                <w:rFonts w:ascii="Calibri" w:hAnsi="Calibri" w:cs="Calibri"/>
                <w:sz w:val="19"/>
                <w:szCs w:val="19"/>
              </w:rPr>
            </w:pPr>
            <w:r w:rsidRPr="00F82FF4">
              <w:rPr>
                <w:rFonts w:ascii="Calibri" w:hAnsi="Calibri" w:cs="Calibri"/>
                <w:sz w:val="19"/>
                <w:szCs w:val="19"/>
              </w:rPr>
              <w:t>↔ S-warfarin</w:t>
            </w:r>
          </w:p>
          <w:p w14:paraId="7F8AB518" w14:textId="77777777" w:rsidR="00F82FF4" w:rsidRPr="00F82FF4" w:rsidRDefault="00F82FF4" w:rsidP="00DA0466">
            <w:pPr>
              <w:ind w:left="160"/>
              <w:rPr>
                <w:rFonts w:ascii="Calibri" w:hAnsi="Calibri" w:cs="Calibri"/>
                <w:sz w:val="19"/>
                <w:szCs w:val="19"/>
              </w:rPr>
            </w:pPr>
            <w:r w:rsidRPr="00F82FF4">
              <w:rPr>
                <w:rFonts w:ascii="Calibri" w:hAnsi="Calibri" w:cs="Calibri"/>
                <w:sz w:val="19"/>
                <w:szCs w:val="19"/>
              </w:rPr>
              <w:t>AUC 1.01 (0.95, 1.07)</w:t>
            </w:r>
          </w:p>
          <w:p w14:paraId="07526889" w14:textId="77777777" w:rsidR="00F82FF4" w:rsidRPr="00F82FF4" w:rsidRDefault="00F82FF4" w:rsidP="00DA0466">
            <w:pPr>
              <w:ind w:left="160"/>
              <w:rPr>
                <w:rFonts w:ascii="Calibri" w:hAnsi="Calibri" w:cs="Calibri"/>
                <w:sz w:val="19"/>
                <w:szCs w:val="19"/>
              </w:rPr>
            </w:pPr>
            <w:r w:rsidRPr="00F82FF4">
              <w:rPr>
                <w:rFonts w:ascii="Calibri" w:hAnsi="Calibri" w:cs="Calibri"/>
                <w:sz w:val="19"/>
                <w:szCs w:val="19"/>
              </w:rPr>
              <w:t>(CYP2C9 inhibition)</w:t>
            </w:r>
          </w:p>
        </w:tc>
        <w:tc>
          <w:tcPr>
            <w:tcW w:w="2649" w:type="dxa"/>
          </w:tcPr>
          <w:p w14:paraId="7F810B55" w14:textId="77777777" w:rsidR="00F82FF4" w:rsidRPr="00F82FF4" w:rsidRDefault="00F82FF4" w:rsidP="00DA0466">
            <w:pPr>
              <w:ind w:left="160"/>
              <w:rPr>
                <w:rFonts w:ascii="Calibri" w:hAnsi="Calibri" w:cs="Calibri"/>
                <w:sz w:val="19"/>
                <w:szCs w:val="19"/>
              </w:rPr>
            </w:pPr>
            <w:r w:rsidRPr="00F82FF4">
              <w:rPr>
                <w:rFonts w:ascii="Calibri" w:hAnsi="Calibri" w:cs="Calibri"/>
                <w:sz w:val="19"/>
                <w:szCs w:val="19"/>
              </w:rPr>
              <w:t>No dose adjustment is required.</w:t>
            </w:r>
          </w:p>
        </w:tc>
      </w:tr>
      <w:tr w:rsidR="00F82FF4" w:rsidRPr="009A6B7D" w14:paraId="23601979" w14:textId="77777777" w:rsidTr="00286039">
        <w:trPr>
          <w:trHeight w:val="268"/>
        </w:trPr>
        <w:tc>
          <w:tcPr>
            <w:tcW w:w="8495" w:type="dxa"/>
            <w:gridSpan w:val="4"/>
          </w:tcPr>
          <w:p w14:paraId="5E3B48AE" w14:textId="77777777" w:rsidR="00F82FF4" w:rsidRPr="00F82FF4" w:rsidRDefault="00F82FF4" w:rsidP="00DA0466">
            <w:pPr>
              <w:spacing w:before="60" w:after="60"/>
              <w:ind w:left="159"/>
              <w:rPr>
                <w:rFonts w:ascii="Calibri" w:hAnsi="Calibri" w:cs="Calibri"/>
                <w:b/>
                <w:bCs/>
                <w:sz w:val="19"/>
                <w:szCs w:val="19"/>
              </w:rPr>
            </w:pPr>
            <w:r w:rsidRPr="00F82FF4">
              <w:rPr>
                <w:rFonts w:ascii="Calibri" w:hAnsi="Calibri" w:cs="Calibri"/>
                <w:b/>
                <w:bCs/>
                <w:sz w:val="19"/>
                <w:szCs w:val="19"/>
              </w:rPr>
              <w:t>Oral Contraceptives</w:t>
            </w:r>
          </w:p>
        </w:tc>
      </w:tr>
      <w:tr w:rsidR="00F82FF4" w:rsidRPr="009A6B7D" w14:paraId="491F5985" w14:textId="77777777" w:rsidTr="00286039">
        <w:trPr>
          <w:trHeight w:val="711"/>
        </w:trPr>
        <w:tc>
          <w:tcPr>
            <w:tcW w:w="2684" w:type="dxa"/>
          </w:tcPr>
          <w:p w14:paraId="38BDFDC4" w14:textId="77777777" w:rsidR="00F82FF4" w:rsidRPr="00F82FF4" w:rsidRDefault="00F82FF4" w:rsidP="00DA0466">
            <w:pPr>
              <w:ind w:left="160"/>
              <w:rPr>
                <w:rFonts w:ascii="Calibri" w:hAnsi="Calibri" w:cs="Calibri"/>
                <w:sz w:val="19"/>
                <w:szCs w:val="19"/>
              </w:rPr>
            </w:pPr>
            <w:r w:rsidRPr="00F82FF4">
              <w:rPr>
                <w:rFonts w:ascii="Calibri" w:hAnsi="Calibri" w:cs="Calibri"/>
                <w:sz w:val="19"/>
                <w:szCs w:val="19"/>
              </w:rPr>
              <w:t>systemically acting oral contraceptive steroids</w:t>
            </w:r>
          </w:p>
        </w:tc>
        <w:tc>
          <w:tcPr>
            <w:tcW w:w="3162" w:type="dxa"/>
            <w:gridSpan w:val="2"/>
          </w:tcPr>
          <w:p w14:paraId="6BBD14A1" w14:textId="77777777" w:rsidR="00F82FF4" w:rsidRPr="00F82FF4" w:rsidRDefault="00F82FF4" w:rsidP="00DA0466">
            <w:pPr>
              <w:ind w:left="160"/>
              <w:rPr>
                <w:rFonts w:ascii="Calibri" w:hAnsi="Calibri" w:cs="Calibri"/>
                <w:sz w:val="19"/>
                <w:szCs w:val="19"/>
              </w:rPr>
            </w:pPr>
            <w:r w:rsidRPr="00F82FF4">
              <w:rPr>
                <w:rFonts w:ascii="Calibri" w:hAnsi="Calibri" w:cs="Calibri"/>
                <w:sz w:val="19"/>
                <w:szCs w:val="19"/>
              </w:rPr>
              <w:t>Interaction not studied. Expected:</w:t>
            </w:r>
          </w:p>
          <w:p w14:paraId="4FCD48D1" w14:textId="77777777" w:rsidR="00F82FF4" w:rsidRPr="00F82FF4" w:rsidRDefault="00F82FF4" w:rsidP="00DA0466">
            <w:pPr>
              <w:ind w:left="160"/>
              <w:rPr>
                <w:rFonts w:ascii="Calibri" w:hAnsi="Calibri" w:cs="Calibri"/>
                <w:sz w:val="19"/>
                <w:szCs w:val="19"/>
              </w:rPr>
            </w:pPr>
            <w:r w:rsidRPr="00F82FF4">
              <w:rPr>
                <w:rFonts w:ascii="Calibri" w:hAnsi="Calibri" w:cs="Calibri"/>
                <w:sz w:val="19"/>
                <w:szCs w:val="19"/>
              </w:rPr>
              <w:t xml:space="preserve">↔ oral contraceptive steroids </w:t>
            </w:r>
          </w:p>
          <w:p w14:paraId="116F5C29" w14:textId="77777777" w:rsidR="00F82FF4" w:rsidRPr="00F82FF4" w:rsidRDefault="00F82FF4" w:rsidP="00DA0466">
            <w:pPr>
              <w:ind w:left="160"/>
              <w:rPr>
                <w:rFonts w:ascii="Calibri" w:hAnsi="Calibri" w:cs="Calibri"/>
                <w:sz w:val="19"/>
                <w:szCs w:val="19"/>
              </w:rPr>
            </w:pPr>
            <w:r w:rsidRPr="00F82FF4">
              <w:rPr>
                <w:rFonts w:ascii="Calibri" w:hAnsi="Calibri" w:cs="Calibri"/>
                <w:sz w:val="19"/>
                <w:szCs w:val="19"/>
              </w:rPr>
              <w:t>(CYP3A inhibition)</w:t>
            </w:r>
          </w:p>
        </w:tc>
        <w:tc>
          <w:tcPr>
            <w:tcW w:w="2649" w:type="dxa"/>
          </w:tcPr>
          <w:p w14:paraId="782F4963" w14:textId="77777777" w:rsidR="00F82FF4" w:rsidRPr="00F82FF4" w:rsidRDefault="00F82FF4" w:rsidP="00DA0466">
            <w:pPr>
              <w:ind w:left="160"/>
              <w:rPr>
                <w:rFonts w:ascii="Calibri" w:hAnsi="Calibri" w:cs="Calibri"/>
                <w:sz w:val="19"/>
                <w:szCs w:val="19"/>
              </w:rPr>
            </w:pPr>
            <w:r w:rsidRPr="00F82FF4">
              <w:rPr>
                <w:rFonts w:ascii="Calibri" w:hAnsi="Calibri" w:cs="Calibri"/>
                <w:sz w:val="19"/>
                <w:szCs w:val="19"/>
              </w:rPr>
              <w:t>No dose adjustment is required.</w:t>
            </w:r>
          </w:p>
        </w:tc>
      </w:tr>
      <w:tr w:rsidR="00F82FF4" w:rsidRPr="009A6B7D" w14:paraId="47CCA6E9" w14:textId="77777777" w:rsidTr="00286039">
        <w:trPr>
          <w:trHeight w:val="290"/>
        </w:trPr>
        <w:tc>
          <w:tcPr>
            <w:tcW w:w="8495" w:type="dxa"/>
            <w:gridSpan w:val="4"/>
          </w:tcPr>
          <w:p w14:paraId="52BA1536" w14:textId="77777777" w:rsidR="00F82FF4" w:rsidRPr="00F82FF4" w:rsidRDefault="00F82FF4" w:rsidP="00DA0466">
            <w:pPr>
              <w:spacing w:before="60" w:after="60"/>
              <w:ind w:left="159"/>
              <w:rPr>
                <w:rFonts w:ascii="Calibri" w:hAnsi="Calibri" w:cs="Calibri"/>
                <w:b/>
                <w:bCs/>
                <w:sz w:val="19"/>
                <w:szCs w:val="19"/>
              </w:rPr>
            </w:pPr>
            <w:r w:rsidRPr="00F82FF4">
              <w:rPr>
                <w:rFonts w:ascii="Calibri" w:hAnsi="Calibri" w:cs="Calibri"/>
                <w:b/>
                <w:bCs/>
                <w:sz w:val="19"/>
                <w:szCs w:val="19"/>
              </w:rPr>
              <w:t>Sedatives</w:t>
            </w:r>
          </w:p>
        </w:tc>
      </w:tr>
      <w:tr w:rsidR="00F82FF4" w:rsidRPr="009A6B7D" w14:paraId="4203A6E4" w14:textId="77777777" w:rsidTr="00286039">
        <w:trPr>
          <w:trHeight w:val="811"/>
        </w:trPr>
        <w:tc>
          <w:tcPr>
            <w:tcW w:w="2684" w:type="dxa"/>
          </w:tcPr>
          <w:p w14:paraId="112C20DF" w14:textId="48437859" w:rsidR="00F82FF4" w:rsidRPr="00F82FF4" w:rsidRDefault="007102E6" w:rsidP="00DA0466">
            <w:pPr>
              <w:ind w:left="160"/>
              <w:rPr>
                <w:rFonts w:ascii="Calibri" w:hAnsi="Calibri" w:cs="Calibri"/>
                <w:sz w:val="19"/>
                <w:szCs w:val="19"/>
              </w:rPr>
            </w:pPr>
            <w:r w:rsidRPr="00F82FF4">
              <w:rPr>
                <w:rFonts w:ascii="Calibri" w:hAnsi="Calibri" w:cs="Calibri"/>
                <w:sz w:val="19"/>
                <w:szCs w:val="19"/>
              </w:rPr>
              <w:t>M</w:t>
            </w:r>
            <w:r w:rsidR="00F82FF4" w:rsidRPr="00F82FF4">
              <w:rPr>
                <w:rFonts w:ascii="Calibri" w:hAnsi="Calibri" w:cs="Calibri"/>
                <w:sz w:val="19"/>
                <w:szCs w:val="19"/>
              </w:rPr>
              <w:t>idazolam</w:t>
            </w:r>
          </w:p>
          <w:p w14:paraId="64F5D7E3" w14:textId="77777777" w:rsidR="00F82FF4" w:rsidRPr="00F82FF4" w:rsidRDefault="00F82FF4" w:rsidP="00DA0466">
            <w:pPr>
              <w:ind w:left="160"/>
              <w:rPr>
                <w:rFonts w:ascii="Calibri" w:hAnsi="Calibri" w:cs="Calibri"/>
                <w:sz w:val="19"/>
                <w:szCs w:val="19"/>
              </w:rPr>
            </w:pPr>
            <w:r w:rsidRPr="00F82FF4">
              <w:rPr>
                <w:rFonts w:ascii="Calibri" w:hAnsi="Calibri" w:cs="Calibri"/>
                <w:sz w:val="19"/>
                <w:szCs w:val="19"/>
              </w:rPr>
              <w:t xml:space="preserve">(0.025 mg/kg IV single dose, </w:t>
            </w:r>
            <w:proofErr w:type="spellStart"/>
            <w:r w:rsidRPr="00F82FF4">
              <w:rPr>
                <w:rFonts w:ascii="Calibri" w:hAnsi="Calibri" w:cs="Calibri"/>
                <w:sz w:val="19"/>
                <w:szCs w:val="19"/>
              </w:rPr>
              <w:t>maribavir</w:t>
            </w:r>
            <w:proofErr w:type="spellEnd"/>
            <w:r w:rsidRPr="00F82FF4">
              <w:rPr>
                <w:rFonts w:ascii="Calibri" w:hAnsi="Calibri" w:cs="Calibri"/>
                <w:sz w:val="19"/>
                <w:szCs w:val="19"/>
              </w:rPr>
              <w:t xml:space="preserve"> 400 mg twice daily)</w:t>
            </w:r>
          </w:p>
        </w:tc>
        <w:tc>
          <w:tcPr>
            <w:tcW w:w="3162" w:type="dxa"/>
            <w:gridSpan w:val="2"/>
          </w:tcPr>
          <w:p w14:paraId="4668073E" w14:textId="77777777" w:rsidR="00F82FF4" w:rsidRPr="00F82FF4" w:rsidRDefault="00F82FF4" w:rsidP="00DA0466">
            <w:pPr>
              <w:ind w:left="160"/>
              <w:rPr>
                <w:rFonts w:ascii="Calibri" w:hAnsi="Calibri" w:cs="Calibri"/>
                <w:sz w:val="19"/>
                <w:szCs w:val="19"/>
              </w:rPr>
            </w:pPr>
            <w:r w:rsidRPr="00F82FF4">
              <w:rPr>
                <w:rFonts w:ascii="Calibri" w:hAnsi="Calibri" w:cs="Calibri"/>
                <w:sz w:val="19"/>
                <w:szCs w:val="19"/>
              </w:rPr>
              <w:t>↔ midazolam</w:t>
            </w:r>
          </w:p>
          <w:p w14:paraId="1FEA9EF5" w14:textId="77777777" w:rsidR="00F82FF4" w:rsidRPr="00F82FF4" w:rsidRDefault="00F82FF4" w:rsidP="00DA0466">
            <w:pPr>
              <w:ind w:left="160"/>
              <w:rPr>
                <w:rFonts w:ascii="Calibri" w:hAnsi="Calibri" w:cs="Calibri"/>
                <w:sz w:val="19"/>
                <w:szCs w:val="19"/>
              </w:rPr>
            </w:pPr>
            <w:r w:rsidRPr="00F82FF4">
              <w:rPr>
                <w:rFonts w:ascii="Calibri" w:hAnsi="Calibri" w:cs="Calibri"/>
                <w:sz w:val="19"/>
                <w:szCs w:val="19"/>
              </w:rPr>
              <w:t>midazolam clearance 1.13</w:t>
            </w:r>
          </w:p>
          <w:p w14:paraId="06E0D0C8" w14:textId="77777777" w:rsidR="00F82FF4" w:rsidRPr="00F82FF4" w:rsidRDefault="00F82FF4" w:rsidP="00DA0466">
            <w:pPr>
              <w:ind w:left="160"/>
              <w:rPr>
                <w:rFonts w:ascii="Calibri" w:hAnsi="Calibri" w:cs="Calibri"/>
                <w:sz w:val="19"/>
                <w:szCs w:val="19"/>
              </w:rPr>
            </w:pPr>
            <w:r w:rsidRPr="00F82FF4">
              <w:rPr>
                <w:rFonts w:ascii="Calibri" w:hAnsi="Calibri" w:cs="Calibri"/>
                <w:sz w:val="19"/>
                <w:szCs w:val="19"/>
              </w:rPr>
              <w:t>(1.01, 1.24)</w:t>
            </w:r>
          </w:p>
          <w:p w14:paraId="79B64FD6" w14:textId="77777777" w:rsidR="00F82FF4" w:rsidRPr="00F82FF4" w:rsidRDefault="00F82FF4" w:rsidP="00DA0466">
            <w:pPr>
              <w:ind w:left="160"/>
              <w:rPr>
                <w:rFonts w:ascii="Calibri" w:hAnsi="Calibri" w:cs="Calibri"/>
                <w:sz w:val="19"/>
                <w:szCs w:val="19"/>
              </w:rPr>
            </w:pPr>
            <w:r w:rsidRPr="00F82FF4">
              <w:rPr>
                <w:rFonts w:ascii="Calibri" w:hAnsi="Calibri" w:cs="Calibri"/>
                <w:sz w:val="19"/>
                <w:szCs w:val="19"/>
              </w:rPr>
              <w:t>(CYP3A inhibition)</w:t>
            </w:r>
          </w:p>
        </w:tc>
        <w:tc>
          <w:tcPr>
            <w:tcW w:w="2649" w:type="dxa"/>
          </w:tcPr>
          <w:p w14:paraId="6221B402" w14:textId="77777777" w:rsidR="00F82FF4" w:rsidRPr="00F82FF4" w:rsidRDefault="00F82FF4" w:rsidP="00DA0466">
            <w:pPr>
              <w:ind w:left="160"/>
              <w:rPr>
                <w:rFonts w:ascii="Calibri" w:hAnsi="Calibri" w:cs="Calibri"/>
                <w:sz w:val="19"/>
                <w:szCs w:val="19"/>
              </w:rPr>
            </w:pPr>
            <w:r w:rsidRPr="00F82FF4">
              <w:rPr>
                <w:rFonts w:ascii="Calibri" w:hAnsi="Calibri" w:cs="Calibri"/>
                <w:sz w:val="19"/>
                <w:szCs w:val="19"/>
              </w:rPr>
              <w:t>No dose adjustment is required.</w:t>
            </w:r>
          </w:p>
        </w:tc>
      </w:tr>
    </w:tbl>
    <w:p w14:paraId="4043097B" w14:textId="28E57B66" w:rsidR="00286039" w:rsidRDefault="00286039" w:rsidP="00286039">
      <w:pPr>
        <w:pStyle w:val="TableDescription"/>
      </w:pPr>
      <w:r w:rsidRPr="008C1A4E">
        <w:t>↑ = increase, ↓ = decrease, ↔ = no change</w:t>
      </w:r>
      <w:r>
        <w:tab/>
      </w:r>
      <w:r w:rsidRPr="008C1A4E">
        <w:t>*AUC</w:t>
      </w:r>
      <w:r w:rsidR="001B00E9" w:rsidRPr="001B00E9">
        <w:rPr>
          <w:vertAlign w:val="subscript"/>
        </w:rPr>
        <w:t>0</w:t>
      </w:r>
      <w:r w:rsidRPr="001B00E9">
        <w:rPr>
          <w:vertAlign w:val="subscript"/>
        </w:rPr>
        <w:t>-∞</w:t>
      </w:r>
      <w:r w:rsidRPr="008C1A4E">
        <w:t xml:space="preserve"> for single dose, AUC</w:t>
      </w:r>
      <w:r w:rsidRPr="001B00E9">
        <w:rPr>
          <w:vertAlign w:val="subscript"/>
        </w:rPr>
        <w:t>0-12</w:t>
      </w:r>
      <w:r w:rsidRPr="008C1A4E">
        <w:t xml:space="preserve"> for twice daily dose daily.</w:t>
      </w:r>
    </w:p>
    <w:p w14:paraId="39D26231" w14:textId="7615E019" w:rsidR="00286039" w:rsidRDefault="00286039" w:rsidP="00286039">
      <w:pPr>
        <w:pStyle w:val="TableDescription"/>
      </w:pPr>
      <w:r w:rsidRPr="00C53A1C">
        <w:rPr>
          <w:vertAlign w:val="superscript"/>
        </w:rPr>
        <w:t>a</w:t>
      </w:r>
      <w:r w:rsidRPr="008C1A4E">
        <w:t xml:space="preserve"> Refer to the respective product information.</w:t>
      </w:r>
    </w:p>
    <w:p w14:paraId="12CD3369" w14:textId="1F4F21DA" w:rsidR="00286039" w:rsidRDefault="00286039" w:rsidP="00286039">
      <w:pPr>
        <w:pStyle w:val="TableDescription"/>
      </w:pPr>
      <w:r w:rsidRPr="008C1A4E">
        <w:t>Note: the table is not extensive but provides examples of clinically relevant interactions.</w:t>
      </w:r>
    </w:p>
    <w:p w14:paraId="286C6FC7" w14:textId="20410DB3" w:rsidR="00286039" w:rsidRDefault="00286039" w:rsidP="00286039">
      <w:r>
        <w:t>The recommendations above for the three anti-</w:t>
      </w:r>
      <w:r w:rsidR="00A10974">
        <w:t>convulsant</w:t>
      </w:r>
      <w:r w:rsidR="00930D01">
        <w:t xml:space="preserve"> medicines</w:t>
      </w:r>
      <w:r>
        <w:t xml:space="preserve"> are based on </w:t>
      </w:r>
      <w:r w:rsidR="009D7C95">
        <w:t>p</w:t>
      </w:r>
      <w:r w:rsidR="009D7C95" w:rsidRPr="009D7C95">
        <w:t xml:space="preserve">hysiological based </w:t>
      </w:r>
      <w:r>
        <w:t>PK modelling</w:t>
      </w:r>
      <w:r w:rsidR="009D7C95">
        <w:t xml:space="preserve"> (</w:t>
      </w:r>
      <w:r w:rsidR="00930D01">
        <w:t xml:space="preserve">see </w:t>
      </w:r>
      <w:r w:rsidR="009D7C95">
        <w:fldChar w:fldCharType="begin"/>
      </w:r>
      <w:r w:rsidR="009D7C95">
        <w:instrText xml:space="preserve"> REF _Ref132798466 \h </w:instrText>
      </w:r>
      <w:r w:rsidR="009D7C95">
        <w:fldChar w:fldCharType="separate"/>
      </w:r>
      <w:r w:rsidR="001D123C">
        <w:t xml:space="preserve">Table </w:t>
      </w:r>
      <w:r w:rsidR="001D123C">
        <w:rPr>
          <w:noProof/>
        </w:rPr>
        <w:t>10</w:t>
      </w:r>
      <w:r w:rsidR="009D7C95">
        <w:fldChar w:fldCharType="end"/>
      </w:r>
      <w:r w:rsidR="00930D01">
        <w:t>, below</w:t>
      </w:r>
      <w:r w:rsidR="009D7C95">
        <w:t>).</w:t>
      </w:r>
    </w:p>
    <w:p w14:paraId="4EF956FE" w14:textId="45A819BC" w:rsidR="00286039" w:rsidRPr="007B0B6A" w:rsidRDefault="00286039" w:rsidP="00286039">
      <w:pPr>
        <w:pStyle w:val="TableTitle"/>
        <w:rPr>
          <w:sz w:val="16"/>
          <w:szCs w:val="16"/>
        </w:rPr>
      </w:pPr>
      <w:bookmarkStart w:id="61" w:name="_Ref132798466"/>
      <w:r>
        <w:lastRenderedPageBreak/>
        <w:t xml:space="preserve">Table </w:t>
      </w:r>
      <w:r w:rsidR="00B24F8E">
        <w:fldChar w:fldCharType="begin"/>
      </w:r>
      <w:r w:rsidR="00B24F8E">
        <w:instrText xml:space="preserve"> SEQ Table \* ARABIC </w:instrText>
      </w:r>
      <w:r w:rsidR="00B24F8E">
        <w:fldChar w:fldCharType="separate"/>
      </w:r>
      <w:r w:rsidR="001D123C">
        <w:rPr>
          <w:noProof/>
        </w:rPr>
        <w:t>10</w:t>
      </w:r>
      <w:r w:rsidR="00B24F8E">
        <w:rPr>
          <w:noProof/>
        </w:rPr>
        <w:fldChar w:fldCharType="end"/>
      </w:r>
      <w:bookmarkEnd w:id="61"/>
      <w:r>
        <w:t>:</w:t>
      </w:r>
      <w:r w:rsidR="009D7C95">
        <w:t xml:space="preserve"> P</w:t>
      </w:r>
      <w:r w:rsidR="009D7C95" w:rsidRPr="00286039">
        <w:t>hysiological based pharmacokinetic modelling</w:t>
      </w:r>
      <w:r w:rsidR="009D7C95">
        <w:t xml:space="preserve"> for carbamazepine, </w:t>
      </w:r>
      <w:proofErr w:type="gramStart"/>
      <w:r w:rsidR="009D7C95">
        <w:t>phenobarbital</w:t>
      </w:r>
      <w:proofErr w:type="gramEnd"/>
      <w:r w:rsidR="00BD0BAF">
        <w:t xml:space="preserve"> and phenytoin</w:t>
      </w:r>
    </w:p>
    <w:p w14:paraId="659479AD" w14:textId="29F2C54B" w:rsidR="00F82FF4" w:rsidRDefault="00286039" w:rsidP="00286039">
      <w:r>
        <w:rPr>
          <w:noProof/>
          <w:lang w:val="en-GB" w:eastAsia="en-GB"/>
        </w:rPr>
        <w:drawing>
          <wp:inline distT="0" distB="0" distL="0" distR="0" wp14:anchorId="1AE0BEE1" wp14:editId="5C12E764">
            <wp:extent cx="5309229" cy="1894637"/>
            <wp:effectExtent l="0" t="0" r="6350" b="0"/>
            <wp:docPr id="10" name="Picture 10" descr="Physiological based pharmacokinetic modelling for carbamazepine, phenobarbital and phenyt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ysiological based pharmacokinetic modelling for carbamazepine, phenobarbital and phenytoin"/>
                    <pic:cNvPicPr>
                      <a:picLocks noChangeAspect="1" noChangeArrowheads="1"/>
                    </pic:cNvPicPr>
                  </pic:nvPicPr>
                  <pic:blipFill rotWithShape="1">
                    <a:blip r:embed="rId30">
                      <a:extLst>
                        <a:ext uri="{28A0092B-C50C-407E-A947-70E740481C1C}">
                          <a14:useLocalDpi xmlns:a14="http://schemas.microsoft.com/office/drawing/2010/main" val="0"/>
                        </a:ext>
                      </a:extLst>
                    </a:blip>
                    <a:srcRect l="2114" t="4460" r="1509" b="16334"/>
                    <a:stretch/>
                  </pic:blipFill>
                  <pic:spPr bwMode="auto">
                    <a:xfrm>
                      <a:off x="0" y="0"/>
                      <a:ext cx="5333146" cy="1903172"/>
                    </a:xfrm>
                    <a:prstGeom prst="rect">
                      <a:avLst/>
                    </a:prstGeom>
                    <a:noFill/>
                    <a:ln>
                      <a:noFill/>
                    </a:ln>
                    <a:extLst>
                      <a:ext uri="{53640926-AAD7-44D8-BBD7-CCE9431645EC}">
                        <a14:shadowObscured xmlns:a14="http://schemas.microsoft.com/office/drawing/2010/main"/>
                      </a:ext>
                    </a:extLst>
                  </pic:spPr>
                </pic:pic>
              </a:graphicData>
            </a:graphic>
          </wp:inline>
        </w:drawing>
      </w:r>
    </w:p>
    <w:p w14:paraId="61879FC4" w14:textId="6DBDC463" w:rsidR="00286039" w:rsidRPr="00286039" w:rsidRDefault="00286039" w:rsidP="00286039">
      <w:pPr>
        <w:pStyle w:val="TableDescription"/>
      </w:pPr>
      <w:r w:rsidRPr="00C53A1C">
        <w:rPr>
          <w:vertAlign w:val="superscript"/>
        </w:rPr>
        <w:t>a</w:t>
      </w:r>
      <w:r w:rsidRPr="00286039">
        <w:t xml:space="preserve"> Based on physiologically based pharmacokinetic modelling results from 10 trials of 20 subject each. The </w:t>
      </w:r>
      <w:proofErr w:type="spellStart"/>
      <w:r w:rsidRPr="00286039">
        <w:t>maribavir</w:t>
      </w:r>
      <w:proofErr w:type="spellEnd"/>
      <w:r w:rsidRPr="00286039">
        <w:t xml:space="preserve"> dosing regimen and geometric mean ratios (5</w:t>
      </w:r>
      <w:r w:rsidRPr="001B00E9">
        <w:rPr>
          <w:vertAlign w:val="superscript"/>
        </w:rPr>
        <w:t>th</w:t>
      </w:r>
      <w:r w:rsidRPr="00286039">
        <w:t xml:space="preserve"> percentile, 95</w:t>
      </w:r>
      <w:r w:rsidRPr="001B00E9">
        <w:rPr>
          <w:vertAlign w:val="superscript"/>
        </w:rPr>
        <w:t>th</w:t>
      </w:r>
      <w:r w:rsidRPr="00286039">
        <w:t xml:space="preserve"> percentile) correspond to dose</w:t>
      </w:r>
      <w:r w:rsidR="001B00E9">
        <w:t xml:space="preserve"> </w:t>
      </w:r>
      <w:r w:rsidRPr="00286039">
        <w:t xml:space="preserve">adjusted </w:t>
      </w:r>
      <w:proofErr w:type="spellStart"/>
      <w:r w:rsidRPr="00286039">
        <w:t>maribavir</w:t>
      </w:r>
      <w:proofErr w:type="spellEnd"/>
      <w:r w:rsidRPr="00286039">
        <w:t xml:space="preserve"> with inducer versus 400 mg daily without inducer.</w:t>
      </w:r>
    </w:p>
    <w:p w14:paraId="603A4B0B" w14:textId="6505D44B" w:rsidR="00286039" w:rsidRDefault="00286039" w:rsidP="00286039">
      <w:pPr>
        <w:pStyle w:val="TableDescription"/>
      </w:pPr>
      <w:r w:rsidRPr="00286039">
        <w:t>C</w:t>
      </w:r>
      <w:r w:rsidRPr="00286039">
        <w:rPr>
          <w:vertAlign w:val="subscript"/>
        </w:rPr>
        <w:t>tau</w:t>
      </w:r>
      <w:r w:rsidRPr="00286039">
        <w:t xml:space="preserve"> is </w:t>
      </w:r>
      <w:proofErr w:type="spellStart"/>
      <w:r w:rsidRPr="00286039">
        <w:t>maribavir</w:t>
      </w:r>
      <w:proofErr w:type="spellEnd"/>
      <w:r w:rsidRPr="00286039">
        <w:t xml:space="preserve"> dosing interval: 12 hours</w:t>
      </w:r>
    </w:p>
    <w:p w14:paraId="2BAE3F21" w14:textId="62C14CE5" w:rsidR="009D7C95" w:rsidRDefault="009D7C95" w:rsidP="00286039">
      <w:pPr>
        <w:pStyle w:val="TableDescription"/>
      </w:pPr>
      <w:r>
        <w:t>Source: FDA approved label;</w:t>
      </w:r>
      <w:r w:rsidR="00930D01" w:rsidRPr="00C53A1C">
        <w:rPr>
          <w:vertAlign w:val="superscript"/>
        </w:rPr>
        <w:fldChar w:fldCharType="begin"/>
      </w:r>
      <w:r w:rsidR="00930D01" w:rsidRPr="00C53A1C">
        <w:rPr>
          <w:vertAlign w:val="superscript"/>
        </w:rPr>
        <w:instrText xml:space="preserve"> NOTEREF _Ref135823441 \h </w:instrText>
      </w:r>
      <w:r w:rsidR="00930D01">
        <w:rPr>
          <w:vertAlign w:val="superscript"/>
        </w:rPr>
        <w:instrText xml:space="preserve"> \* MERGEFORMAT </w:instrText>
      </w:r>
      <w:r w:rsidR="00930D01" w:rsidRPr="00C53A1C">
        <w:rPr>
          <w:vertAlign w:val="superscript"/>
        </w:rPr>
      </w:r>
      <w:r w:rsidR="00930D01" w:rsidRPr="00C53A1C">
        <w:rPr>
          <w:vertAlign w:val="superscript"/>
        </w:rPr>
        <w:fldChar w:fldCharType="separate"/>
      </w:r>
      <w:r w:rsidR="001D123C">
        <w:rPr>
          <w:vertAlign w:val="superscript"/>
        </w:rPr>
        <w:t>3</w:t>
      </w:r>
      <w:r w:rsidR="00930D01" w:rsidRPr="00C53A1C">
        <w:rPr>
          <w:vertAlign w:val="superscript"/>
        </w:rPr>
        <w:fldChar w:fldCharType="end"/>
      </w:r>
      <w:r w:rsidR="00930D01" w:rsidRPr="00C53A1C" w:rsidDel="00930D01">
        <w:rPr>
          <w:vertAlign w:val="superscript"/>
        </w:rPr>
        <w:t xml:space="preserve"> </w:t>
      </w:r>
    </w:p>
    <w:p w14:paraId="1E61C10A" w14:textId="72F11BD8" w:rsidR="00286039" w:rsidRPr="00453FD6" w:rsidRDefault="00286039" w:rsidP="00286039">
      <w:r w:rsidRPr="00453FD6">
        <w:t>Strong CYP3A4 inhibitors may increase the plasma exposure to maribavir</w:t>
      </w:r>
      <w:r>
        <w:t>.</w:t>
      </w:r>
      <w:r w:rsidR="00930D01" w:rsidRPr="006B33E8">
        <w:rPr>
          <w:vertAlign w:val="superscript"/>
        </w:rPr>
        <w:fldChar w:fldCharType="begin"/>
      </w:r>
      <w:r w:rsidR="00930D01" w:rsidRPr="006B33E8">
        <w:rPr>
          <w:vertAlign w:val="superscript"/>
        </w:rPr>
        <w:instrText xml:space="preserve"> NOTEREF _Ref135823631 \h </w:instrText>
      </w:r>
      <w:r w:rsidR="00930D01">
        <w:rPr>
          <w:vertAlign w:val="superscript"/>
        </w:rPr>
        <w:instrText xml:space="preserve"> \* MERGEFORMAT </w:instrText>
      </w:r>
      <w:r w:rsidR="00930D01" w:rsidRPr="006B33E8">
        <w:rPr>
          <w:vertAlign w:val="superscript"/>
        </w:rPr>
      </w:r>
      <w:r w:rsidR="00930D01" w:rsidRPr="006B33E8">
        <w:rPr>
          <w:vertAlign w:val="superscript"/>
        </w:rPr>
        <w:fldChar w:fldCharType="separate"/>
      </w:r>
      <w:r w:rsidR="001D123C">
        <w:rPr>
          <w:vertAlign w:val="superscript"/>
        </w:rPr>
        <w:t>6</w:t>
      </w:r>
      <w:r w:rsidR="00930D01" w:rsidRPr="006B33E8">
        <w:rPr>
          <w:vertAlign w:val="superscript"/>
        </w:rPr>
        <w:fldChar w:fldCharType="end"/>
      </w:r>
      <w:r>
        <w:t xml:space="preserve"> </w:t>
      </w:r>
      <w:r w:rsidRPr="00453FD6">
        <w:t xml:space="preserve">Based on less than </w:t>
      </w:r>
      <w:r w:rsidR="00930D01">
        <w:t>a </w:t>
      </w:r>
      <w:r w:rsidR="00BD0BAF">
        <w:t>three-</w:t>
      </w:r>
      <w:r w:rsidRPr="00453FD6">
        <w:t xml:space="preserve">fold increase in </w:t>
      </w:r>
      <w:r w:rsidR="00930D01">
        <w:t xml:space="preserve">the expected </w:t>
      </w:r>
      <w:proofErr w:type="spellStart"/>
      <w:r w:rsidRPr="00453FD6">
        <w:t>maribavir</w:t>
      </w:r>
      <w:proofErr w:type="spellEnd"/>
      <w:r w:rsidRPr="00453FD6">
        <w:t xml:space="preserve"> exposure</w:t>
      </w:r>
      <w:r w:rsidR="00930D01">
        <w:t>,</w:t>
      </w:r>
      <w:r>
        <w:t xml:space="preserve"> the recommendation is to allow </w:t>
      </w:r>
      <w:r w:rsidRPr="00453FD6">
        <w:t>co</w:t>
      </w:r>
      <w:r w:rsidR="00930D01">
        <w:noBreakHyphen/>
      </w:r>
      <w:r w:rsidRPr="00453FD6">
        <w:t>administ</w:t>
      </w:r>
      <w:r>
        <w:t>ration</w:t>
      </w:r>
      <w:r w:rsidRPr="00453FD6">
        <w:t xml:space="preserve"> with a strong CYP3A4 inhibitor</w:t>
      </w:r>
      <w:r>
        <w:t>s</w:t>
      </w:r>
      <w:r w:rsidRPr="00453FD6">
        <w:t xml:space="preserve"> without dose adjustment.</w:t>
      </w:r>
    </w:p>
    <w:p w14:paraId="27374DB6" w14:textId="4D5C2F5E" w:rsidR="00286039" w:rsidRPr="00453FD6" w:rsidRDefault="00286039" w:rsidP="00286039">
      <w:r w:rsidRPr="00453FD6">
        <w:t>When immunosuppressants</w:t>
      </w:r>
      <w:r>
        <w:t xml:space="preserve"> agents such as </w:t>
      </w:r>
      <w:r w:rsidRPr="00453FD6">
        <w:t>tacrolimus, cyclosporine, everolimus, or sirolimus are co</w:t>
      </w:r>
      <w:r w:rsidR="00930D01">
        <w:noBreakHyphen/>
      </w:r>
      <w:r w:rsidRPr="00453FD6">
        <w:t xml:space="preserve">administered with </w:t>
      </w:r>
      <w:proofErr w:type="spellStart"/>
      <w:r w:rsidRPr="00453FD6">
        <w:t>maribavir</w:t>
      </w:r>
      <w:proofErr w:type="spellEnd"/>
      <w:r w:rsidRPr="00453FD6">
        <w:t xml:space="preserve">, </w:t>
      </w:r>
      <w:r>
        <w:t xml:space="preserve">the recommendation is to </w:t>
      </w:r>
      <w:r w:rsidRPr="00453FD6">
        <w:t>frequently monitor</w:t>
      </w:r>
      <w:r>
        <w:t xml:space="preserve"> drug levels </w:t>
      </w:r>
      <w:r w:rsidRPr="00453FD6">
        <w:t xml:space="preserve">especially </w:t>
      </w:r>
      <w:r>
        <w:t xml:space="preserve">when initiating the </w:t>
      </w:r>
      <w:r w:rsidRPr="00453FD6">
        <w:t xml:space="preserve">treatment and after discontinuation of </w:t>
      </w:r>
      <w:proofErr w:type="spellStart"/>
      <w:r w:rsidRPr="00453FD6">
        <w:t>maribavir</w:t>
      </w:r>
      <w:proofErr w:type="spellEnd"/>
      <w:r w:rsidRPr="00453FD6">
        <w:t>.</w:t>
      </w:r>
    </w:p>
    <w:p w14:paraId="0FAD17FC" w14:textId="2007CBF6" w:rsidR="00286039" w:rsidRPr="00453FD6" w:rsidRDefault="00286039" w:rsidP="00286039">
      <w:r w:rsidRPr="00453FD6">
        <w:t xml:space="preserve">Based on </w:t>
      </w:r>
      <w:r w:rsidR="00BD0BAF">
        <w:t>p</w:t>
      </w:r>
      <w:r w:rsidR="00BD0BAF" w:rsidRPr="009D7C95">
        <w:t xml:space="preserve">hysiological based </w:t>
      </w:r>
      <w:r w:rsidRPr="00453FD6">
        <w:t>PK modelling, co</w:t>
      </w:r>
      <w:r w:rsidR="00930D01">
        <w:noBreakHyphen/>
      </w:r>
      <w:r w:rsidRPr="00453FD6">
        <w:t xml:space="preserve">administration of 400 mg </w:t>
      </w:r>
      <w:proofErr w:type="spellStart"/>
      <w:r w:rsidRPr="00453FD6">
        <w:t>maribavir</w:t>
      </w:r>
      <w:proofErr w:type="spellEnd"/>
      <w:r w:rsidRPr="00453FD6">
        <w:t xml:space="preserve"> </w:t>
      </w:r>
      <w:r w:rsidR="00930D01">
        <w:t xml:space="preserve">twice daily </w:t>
      </w:r>
      <w:r w:rsidRPr="00453FD6">
        <w:t>with rosuvastatin</w:t>
      </w:r>
      <w:r>
        <w:t xml:space="preserve"> (</w:t>
      </w:r>
      <w:r w:rsidRPr="00453FD6">
        <w:t xml:space="preserve">a sensitive </w:t>
      </w:r>
      <w:r w:rsidR="001B00E9" w:rsidRPr="00453FD6">
        <w:t>breast cancer resistance protein</w:t>
      </w:r>
      <w:r w:rsidRPr="00453FD6">
        <w:t xml:space="preserve"> substrate</w:t>
      </w:r>
      <w:r>
        <w:t>)</w:t>
      </w:r>
      <w:r w:rsidRPr="00453FD6">
        <w:t xml:space="preserve"> is expected to increase </w:t>
      </w:r>
      <w:r w:rsidR="00930D01">
        <w:t xml:space="preserve">the exposure of </w:t>
      </w:r>
      <w:r w:rsidRPr="00453FD6">
        <w:t xml:space="preserve">rosuvastatin </w:t>
      </w:r>
      <w:r w:rsidR="00930D01">
        <w:t>(</w:t>
      </w:r>
      <w:r w:rsidRPr="00453FD6">
        <w:t>AUC by 2</w:t>
      </w:r>
      <w:r w:rsidR="00BD0BAF">
        <w:t xml:space="preserve"> to </w:t>
      </w:r>
      <w:proofErr w:type="gramStart"/>
      <w:r>
        <w:t xml:space="preserve">3 </w:t>
      </w:r>
      <w:r w:rsidRPr="00453FD6">
        <w:t>fold</w:t>
      </w:r>
      <w:proofErr w:type="gramEnd"/>
      <w:r w:rsidRPr="00453FD6">
        <w:t>, and C</w:t>
      </w:r>
      <w:r w:rsidRPr="00BD0BAF">
        <w:rPr>
          <w:vertAlign w:val="subscript"/>
        </w:rPr>
        <w:t>max</w:t>
      </w:r>
      <w:r w:rsidRPr="00453FD6">
        <w:t xml:space="preserve"> by 3.4</w:t>
      </w:r>
      <w:r w:rsidR="00BD0BAF">
        <w:t xml:space="preserve"> to </w:t>
      </w:r>
      <w:r>
        <w:t xml:space="preserve">5 </w:t>
      </w:r>
      <w:r w:rsidRPr="00453FD6">
        <w:t>fold</w:t>
      </w:r>
      <w:r w:rsidR="00930D01">
        <w:t>)</w:t>
      </w:r>
      <w:r w:rsidRPr="00453FD6">
        <w:t xml:space="preserve">. </w:t>
      </w:r>
      <w:r>
        <w:t>The proposed recommendation is to allow</w:t>
      </w:r>
      <w:r w:rsidRPr="00453FD6">
        <w:t xml:space="preserve"> co</w:t>
      </w:r>
      <w:r w:rsidR="00BD0BAF">
        <w:t>-</w:t>
      </w:r>
      <w:r w:rsidRPr="00453FD6">
        <w:t>admin</w:t>
      </w:r>
      <w:r>
        <w:t>istration of</w:t>
      </w:r>
      <w:r w:rsidRPr="00453FD6">
        <w:t xml:space="preserve"> </w:t>
      </w:r>
      <w:proofErr w:type="spellStart"/>
      <w:r w:rsidRPr="00453FD6">
        <w:t>maribavir</w:t>
      </w:r>
      <w:proofErr w:type="spellEnd"/>
      <w:r w:rsidRPr="00453FD6">
        <w:t xml:space="preserve"> and rosuvastatin</w:t>
      </w:r>
      <w:r>
        <w:t xml:space="preserve"> with</w:t>
      </w:r>
      <w:r w:rsidRPr="00453FD6">
        <w:t xml:space="preserve"> close monitor</w:t>
      </w:r>
      <w:r>
        <w:t>ing</w:t>
      </w:r>
      <w:r w:rsidRPr="00453FD6">
        <w:t xml:space="preserve"> for myopathy and rhabdomyolysis.</w:t>
      </w:r>
    </w:p>
    <w:p w14:paraId="7E7DE25A" w14:textId="77777777" w:rsidR="00286039" w:rsidRPr="000203A5" w:rsidRDefault="00286039" w:rsidP="00286039">
      <w:pPr>
        <w:pStyle w:val="Heading5"/>
      </w:pPr>
      <w:bookmarkStart w:id="62" w:name="3.1_Pharmacodynamics"/>
      <w:bookmarkStart w:id="63" w:name="_bookmark14"/>
      <w:bookmarkEnd w:id="62"/>
      <w:bookmarkEnd w:id="63"/>
      <w:r w:rsidRPr="00B328EF">
        <w:t>Pharmacodynamics</w:t>
      </w:r>
    </w:p>
    <w:p w14:paraId="431D0DC0" w14:textId="5665D228" w:rsidR="00286039" w:rsidRDefault="00286039" w:rsidP="00286039">
      <w:proofErr w:type="spellStart"/>
      <w:r w:rsidRPr="002E25ED">
        <w:t>Maribavir</w:t>
      </w:r>
      <w:proofErr w:type="spellEnd"/>
      <w:r w:rsidRPr="002E25ED">
        <w:t xml:space="preserve"> pharmacological activity is due to the parent drug.</w:t>
      </w:r>
      <w:r>
        <w:t xml:space="preserve"> </w:t>
      </w:r>
      <w:proofErr w:type="spellStart"/>
      <w:r>
        <w:t>Maribavir</w:t>
      </w:r>
      <w:proofErr w:type="spellEnd"/>
      <w:r>
        <w:t xml:space="preserve"> is not expected to cross </w:t>
      </w:r>
      <w:r w:rsidR="00930D01">
        <w:t xml:space="preserve">the </w:t>
      </w:r>
      <w:r>
        <w:t>blood brain barrier.</w:t>
      </w:r>
    </w:p>
    <w:p w14:paraId="4CA551EC" w14:textId="66286738" w:rsidR="00286039" w:rsidRPr="00453FD6" w:rsidRDefault="00286039" w:rsidP="00286039">
      <w:proofErr w:type="spellStart"/>
      <w:r>
        <w:t>Maribavir</w:t>
      </w:r>
      <w:proofErr w:type="spellEnd"/>
      <w:r>
        <w:t xml:space="preserve"> at doses up to 1200</w:t>
      </w:r>
      <w:r w:rsidR="00BD0BAF">
        <w:t xml:space="preserve"> </w:t>
      </w:r>
      <w:r>
        <w:t>mg were examined in single dose, placebo and active (moxifloxacin) controlled trial in healthy subjects and did not indicate clinically relevant effect on QT</w:t>
      </w:r>
      <w:r w:rsidR="004C681A">
        <w:t>-</w:t>
      </w:r>
      <w:r>
        <w:t>interval prolongation.</w:t>
      </w:r>
      <w:r w:rsidR="004C681A">
        <w:rPr>
          <w:rStyle w:val="FootnoteReference"/>
        </w:rPr>
        <w:footnoteReference w:id="7"/>
      </w:r>
    </w:p>
    <w:p w14:paraId="7D449609" w14:textId="1BA8444E" w:rsidR="00286039" w:rsidRPr="00B328EF" w:rsidRDefault="000A7D6B" w:rsidP="00AE2DFA">
      <w:pPr>
        <w:pStyle w:val="Heading4"/>
      </w:pPr>
      <w:bookmarkStart w:id="64" w:name="1.4.1_Design_of_the_Pivotal_Study"/>
      <w:bookmarkStart w:id="65" w:name="_bookmark10"/>
      <w:bookmarkStart w:id="66" w:name="_Toc135918984"/>
      <w:bookmarkEnd w:id="64"/>
      <w:bookmarkEnd w:id="65"/>
      <w:r>
        <w:t>E</w:t>
      </w:r>
      <w:r w:rsidR="00286039" w:rsidRPr="00B328EF">
        <w:t>fficacy</w:t>
      </w:r>
      <w:bookmarkEnd w:id="66"/>
    </w:p>
    <w:p w14:paraId="4B3CC62A" w14:textId="77777777" w:rsidR="00286039" w:rsidRPr="00B328EF" w:rsidRDefault="00286039" w:rsidP="00AE2DFA">
      <w:pPr>
        <w:pStyle w:val="Heading5"/>
        <w:rPr>
          <w:rFonts w:eastAsia="Cambria"/>
        </w:rPr>
      </w:pPr>
      <w:r w:rsidRPr="00B328EF">
        <w:rPr>
          <w:rFonts w:eastAsia="Cambria"/>
        </w:rPr>
        <w:t>Dose selection</w:t>
      </w:r>
    </w:p>
    <w:p w14:paraId="758B0C80" w14:textId="53A30827" w:rsidR="00286039" w:rsidRPr="00453FD6" w:rsidRDefault="00286039" w:rsidP="00286039">
      <w:r w:rsidRPr="00453FD6">
        <w:t xml:space="preserve">The dose regimen selected for the pivotal efficacy </w:t>
      </w:r>
      <w:r>
        <w:t>S</w:t>
      </w:r>
      <w:r w:rsidRPr="00453FD6">
        <w:t xml:space="preserve">tudy 303 was </w:t>
      </w:r>
      <w:proofErr w:type="spellStart"/>
      <w:r>
        <w:t>maribavir</w:t>
      </w:r>
      <w:proofErr w:type="spellEnd"/>
      <w:r>
        <w:t xml:space="preserve"> </w:t>
      </w:r>
      <w:r w:rsidRPr="00453FD6">
        <w:t>400</w:t>
      </w:r>
      <w:r>
        <w:t xml:space="preserve"> </w:t>
      </w:r>
      <w:r w:rsidRPr="00453FD6">
        <w:t xml:space="preserve">mg </w:t>
      </w:r>
      <w:r>
        <w:t>twice daily orally</w:t>
      </w:r>
      <w:r w:rsidRPr="00453FD6">
        <w:t>.</w:t>
      </w:r>
      <w:r>
        <w:t xml:space="preserve"> </w:t>
      </w:r>
      <w:r w:rsidRPr="00453FD6">
        <w:t xml:space="preserve">This </w:t>
      </w:r>
      <w:r>
        <w:t>was based on</w:t>
      </w:r>
      <w:r w:rsidRPr="00453FD6">
        <w:t xml:space="preserve"> data from </w:t>
      </w:r>
      <w:r>
        <w:t>two</w:t>
      </w:r>
      <w:r w:rsidRPr="00453FD6">
        <w:t xml:space="preserve"> Phase </w:t>
      </w:r>
      <w:r>
        <w:t>II</w:t>
      </w:r>
      <w:r w:rsidRPr="00453FD6">
        <w:t xml:space="preserve"> </w:t>
      </w:r>
      <w:r>
        <w:t>S</w:t>
      </w:r>
      <w:r w:rsidRPr="00453FD6">
        <w:t>tudies 202 and 203</w:t>
      </w:r>
      <w:r>
        <w:t xml:space="preserve"> in the CMV infection treatment indication.</w:t>
      </w:r>
    </w:p>
    <w:p w14:paraId="726B8322" w14:textId="084F8250" w:rsidR="00286039" w:rsidRDefault="00286039" w:rsidP="00286039">
      <w:proofErr w:type="spellStart"/>
      <w:r w:rsidRPr="00453FD6">
        <w:lastRenderedPageBreak/>
        <w:t>Maribavir</w:t>
      </w:r>
      <w:proofErr w:type="spellEnd"/>
      <w:r w:rsidRPr="00453FD6">
        <w:t xml:space="preserve"> was </w:t>
      </w:r>
      <w:r>
        <w:t>initially investigated for prevention of</w:t>
      </w:r>
      <w:r w:rsidRPr="00453FD6">
        <w:t xml:space="preserve"> CMV </w:t>
      </w:r>
      <w:r>
        <w:t>infection</w:t>
      </w:r>
      <w:r w:rsidRPr="00453FD6">
        <w:t xml:space="preserve"> in transplant </w:t>
      </w:r>
      <w:r>
        <w:t>recipients</w:t>
      </w:r>
      <w:r w:rsidRPr="00453FD6">
        <w:t xml:space="preserve">. Two Phase </w:t>
      </w:r>
      <w:r>
        <w:t>III</w:t>
      </w:r>
      <w:r w:rsidRPr="00453FD6">
        <w:t xml:space="preserve"> CMV </w:t>
      </w:r>
      <w:r>
        <w:t>prevention</w:t>
      </w:r>
      <w:r w:rsidRPr="00453FD6">
        <w:t xml:space="preserve"> </w:t>
      </w:r>
      <w:r>
        <w:t>S</w:t>
      </w:r>
      <w:r w:rsidRPr="00453FD6">
        <w:t>tudies 300 and 301</w:t>
      </w:r>
      <w:r>
        <w:t xml:space="preserve"> investigated </w:t>
      </w:r>
      <w:proofErr w:type="spellStart"/>
      <w:r w:rsidRPr="00453FD6">
        <w:t>maribavir</w:t>
      </w:r>
      <w:proofErr w:type="spellEnd"/>
      <w:r w:rsidRPr="00453FD6">
        <w:t xml:space="preserve"> at</w:t>
      </w:r>
      <w:r>
        <w:t xml:space="preserve"> </w:t>
      </w:r>
      <w:r w:rsidRPr="00453FD6">
        <w:t>100</w:t>
      </w:r>
      <w:r>
        <w:t xml:space="preserve"> </w:t>
      </w:r>
      <w:r w:rsidRPr="00453FD6">
        <w:t xml:space="preserve">mg </w:t>
      </w:r>
      <w:r>
        <w:t>twice daily</w:t>
      </w:r>
      <w:r w:rsidRPr="00453FD6">
        <w:t xml:space="preserve"> dos</w:t>
      </w:r>
      <w:r>
        <w:t>ing in these studies</w:t>
      </w:r>
      <w:r w:rsidRPr="00453FD6">
        <w:t>. These studies failed to demonstrate efficacy, suggesting that higher doses m</w:t>
      </w:r>
      <w:r>
        <w:t>ay</w:t>
      </w:r>
      <w:r w:rsidRPr="00453FD6">
        <w:t xml:space="preserve"> be ne</w:t>
      </w:r>
      <w:r>
        <w:t>eded</w:t>
      </w:r>
      <w:r w:rsidRPr="00453FD6">
        <w:t xml:space="preserve"> for </w:t>
      </w:r>
      <w:r>
        <w:t>effective antiviral activity</w:t>
      </w:r>
      <w:r w:rsidRPr="00453FD6">
        <w:t>.</w:t>
      </w:r>
    </w:p>
    <w:p w14:paraId="21929A47" w14:textId="300F2FD7" w:rsidR="00286039" w:rsidRDefault="00286039" w:rsidP="00286039">
      <w:r>
        <w:t>The mean</w:t>
      </w:r>
      <w:r w:rsidRPr="00453FD6">
        <w:t xml:space="preserve"> </w:t>
      </w:r>
      <w:r w:rsidRPr="000203A5">
        <w:rPr>
          <w:i/>
          <w:iCs/>
        </w:rPr>
        <w:t>in vitro</w:t>
      </w:r>
      <w:r w:rsidRPr="00453FD6">
        <w:t xml:space="preserve"> </w:t>
      </w:r>
      <w:r w:rsidRPr="00286039">
        <w:t>half maximal inhibitory concentration</w:t>
      </w:r>
      <w:r>
        <w:t xml:space="preserve"> </w:t>
      </w:r>
      <w:r w:rsidRPr="00453FD6">
        <w:t xml:space="preserve">for clinical CMV isolates </w:t>
      </w:r>
      <w:r>
        <w:t>is</w:t>
      </w:r>
      <w:r w:rsidRPr="00453FD6">
        <w:t xml:space="preserve"> achieved with </w:t>
      </w:r>
      <w:proofErr w:type="spellStart"/>
      <w:r>
        <w:t>maribavir</w:t>
      </w:r>
      <w:proofErr w:type="spellEnd"/>
      <w:r w:rsidR="001B00E9">
        <w:t xml:space="preserve"> t</w:t>
      </w:r>
      <w:r w:rsidR="001B00E9" w:rsidRPr="001B00E9">
        <w:t xml:space="preserve">rough </w:t>
      </w:r>
      <w:r w:rsidRPr="00453FD6">
        <w:t xml:space="preserve">concentration of </w:t>
      </w:r>
      <w:r w:rsidR="00E55AD5">
        <w:t>greater or equal to</w:t>
      </w:r>
      <w:r w:rsidR="00E97EA6">
        <w:t xml:space="preserve"> </w:t>
      </w:r>
      <w:r w:rsidRPr="00453FD6">
        <w:t>6</w:t>
      </w:r>
      <w:r w:rsidR="001B00E9">
        <w:t xml:space="preserve"> µ</w:t>
      </w:r>
      <w:r w:rsidRPr="00453FD6">
        <w:t>g/</w:t>
      </w:r>
      <w:proofErr w:type="spellStart"/>
      <w:r w:rsidRPr="00453FD6">
        <w:t>mL.</w:t>
      </w:r>
      <w:proofErr w:type="spellEnd"/>
      <w:r>
        <w:t xml:space="preserve"> </w:t>
      </w:r>
      <w:r w:rsidRPr="00453FD6">
        <w:t xml:space="preserve">In </w:t>
      </w:r>
      <w:r>
        <w:t>a P</w:t>
      </w:r>
      <w:r w:rsidRPr="00453FD6">
        <w:t xml:space="preserve">hase </w:t>
      </w:r>
      <w:r>
        <w:t>II</w:t>
      </w:r>
      <w:r w:rsidRPr="00453FD6">
        <w:t xml:space="preserve"> CMV prevention </w:t>
      </w:r>
      <w:r>
        <w:t>study (S</w:t>
      </w:r>
      <w:r w:rsidRPr="00453FD6">
        <w:t>tudy 200</w:t>
      </w:r>
      <w:r>
        <w:t>)</w:t>
      </w:r>
      <w:r w:rsidRPr="00453FD6">
        <w:t xml:space="preserve"> this target concentration was achieved</w:t>
      </w:r>
      <w:r>
        <w:t xml:space="preserve"> with a </w:t>
      </w:r>
      <w:proofErr w:type="spellStart"/>
      <w:r>
        <w:t>maribavir</w:t>
      </w:r>
      <w:proofErr w:type="spellEnd"/>
      <w:r w:rsidRPr="00453FD6">
        <w:t xml:space="preserve"> dose of 400</w:t>
      </w:r>
      <w:r w:rsidR="001B00E9">
        <w:t xml:space="preserve"> </w:t>
      </w:r>
      <w:r w:rsidRPr="00453FD6">
        <w:t xml:space="preserve">mg </w:t>
      </w:r>
      <w:r w:rsidR="00E97EA6">
        <w:t>twice daily</w:t>
      </w:r>
      <w:r w:rsidRPr="00453FD6">
        <w:t>.</w:t>
      </w:r>
    </w:p>
    <w:p w14:paraId="10355111" w14:textId="399DB827" w:rsidR="00286039" w:rsidRDefault="00286039" w:rsidP="00286039">
      <w:proofErr w:type="spellStart"/>
      <w:r>
        <w:t>M</w:t>
      </w:r>
      <w:r w:rsidRPr="00453FD6">
        <w:t>aribavir</w:t>
      </w:r>
      <w:proofErr w:type="spellEnd"/>
      <w:r w:rsidRPr="00453FD6">
        <w:t xml:space="preserve"> 400</w:t>
      </w:r>
      <w:r w:rsidR="00E97EA6">
        <w:t xml:space="preserve"> </w:t>
      </w:r>
      <w:r>
        <w:t xml:space="preserve">mg </w:t>
      </w:r>
      <w:r w:rsidR="00E97EA6">
        <w:t>twice daily</w:t>
      </w:r>
      <w:r w:rsidRPr="00453FD6">
        <w:t>, 800</w:t>
      </w:r>
      <w:r w:rsidR="00E97EA6">
        <w:t xml:space="preserve"> </w:t>
      </w:r>
      <w:r>
        <w:t xml:space="preserve">mg </w:t>
      </w:r>
      <w:r w:rsidR="00E97EA6">
        <w:t>twice daily</w:t>
      </w:r>
      <w:r w:rsidRPr="00453FD6">
        <w:t xml:space="preserve"> and 1200</w:t>
      </w:r>
      <w:r w:rsidR="00E97EA6">
        <w:t xml:space="preserve"> </w:t>
      </w:r>
      <w:r w:rsidRPr="00453FD6">
        <w:t xml:space="preserve">mg </w:t>
      </w:r>
      <w:r w:rsidR="00E97EA6">
        <w:t>twice daily</w:t>
      </w:r>
      <w:r>
        <w:t xml:space="preserve"> dose levels were therefore investigated in the two</w:t>
      </w:r>
      <w:r w:rsidRPr="00453FD6">
        <w:t xml:space="preserve"> Phase </w:t>
      </w:r>
      <w:r w:rsidR="00E97EA6">
        <w:t>II</w:t>
      </w:r>
      <w:r w:rsidRPr="00453FD6">
        <w:t xml:space="preserve"> dose</w:t>
      </w:r>
      <w:r>
        <w:t xml:space="preserve"> </w:t>
      </w:r>
      <w:r w:rsidRPr="00453FD6">
        <w:t xml:space="preserve">ranging </w:t>
      </w:r>
      <w:r w:rsidR="00E97EA6">
        <w:t>S</w:t>
      </w:r>
      <w:r>
        <w:t>tudies</w:t>
      </w:r>
      <w:r w:rsidRPr="00453FD6">
        <w:t xml:space="preserve"> 202 and 203</w:t>
      </w:r>
      <w:r>
        <w:t xml:space="preserve"> in the CMV treatment indication. </w:t>
      </w:r>
      <w:r w:rsidRPr="00453FD6">
        <w:t xml:space="preserve">The results from </w:t>
      </w:r>
      <w:r w:rsidR="00E97EA6">
        <w:t>S</w:t>
      </w:r>
      <w:r w:rsidRPr="00453FD6">
        <w:t>tud</w:t>
      </w:r>
      <w:r>
        <w:t>ies</w:t>
      </w:r>
      <w:r w:rsidRPr="00453FD6">
        <w:t xml:space="preserve"> 202 and 203 showed that </w:t>
      </w:r>
      <w:r>
        <w:t xml:space="preserve">the </w:t>
      </w:r>
      <w:r w:rsidR="00E97EA6">
        <w:t>three</w:t>
      </w:r>
      <w:r>
        <w:t xml:space="preserve"> dose levels (</w:t>
      </w:r>
      <w:r w:rsidRPr="00453FD6">
        <w:t>400</w:t>
      </w:r>
      <w:r w:rsidR="00E97EA6">
        <w:t xml:space="preserve"> </w:t>
      </w:r>
      <w:r w:rsidRPr="00453FD6">
        <w:t xml:space="preserve">mg </w:t>
      </w:r>
      <w:r w:rsidR="00E97EA6">
        <w:t>twice daily</w:t>
      </w:r>
      <w:r w:rsidRPr="00453FD6">
        <w:t>, 800</w:t>
      </w:r>
      <w:r w:rsidR="00E97EA6">
        <w:t xml:space="preserve"> </w:t>
      </w:r>
      <w:r w:rsidRPr="00453FD6">
        <w:t xml:space="preserve">mg </w:t>
      </w:r>
      <w:r w:rsidR="00E97EA6">
        <w:t>twice daily</w:t>
      </w:r>
      <w:r w:rsidRPr="00453FD6">
        <w:t>, and 1200</w:t>
      </w:r>
      <w:r w:rsidR="00E97EA6">
        <w:t xml:space="preserve"> </w:t>
      </w:r>
      <w:r w:rsidRPr="00453FD6">
        <w:t xml:space="preserve">mg </w:t>
      </w:r>
      <w:r w:rsidR="00E97EA6">
        <w:t>twice daily</w:t>
      </w:r>
      <w:r>
        <w:t>)</w:t>
      </w:r>
      <w:r w:rsidRPr="00453FD6">
        <w:t xml:space="preserve"> had similar </w:t>
      </w:r>
      <w:r>
        <w:t>efficacy (viral DNA clearance).</w:t>
      </w:r>
    </w:p>
    <w:p w14:paraId="6873A049" w14:textId="6B30CBFD" w:rsidR="00286039" w:rsidRDefault="00286039" w:rsidP="00286039">
      <w:r w:rsidRPr="00453FD6">
        <w:t>The exposure</w:t>
      </w:r>
      <w:r w:rsidR="00E55AD5">
        <w:t xml:space="preserve"> </w:t>
      </w:r>
      <w:r>
        <w:t>response</w:t>
      </w:r>
      <w:r w:rsidRPr="00453FD6">
        <w:t xml:space="preserve"> relationship in the</w:t>
      </w:r>
      <w:r>
        <w:t>se</w:t>
      </w:r>
      <w:r w:rsidRPr="00453FD6">
        <w:t xml:space="preserve"> </w:t>
      </w:r>
      <w:r w:rsidR="00E97EA6">
        <w:t>two</w:t>
      </w:r>
      <w:r w:rsidRPr="00453FD6">
        <w:t xml:space="preserve"> Phase </w:t>
      </w:r>
      <w:r w:rsidR="00E97EA6">
        <w:t>II</w:t>
      </w:r>
      <w:r w:rsidRPr="00453FD6">
        <w:t xml:space="preserve"> studies was </w:t>
      </w:r>
      <w:r>
        <w:t xml:space="preserve">further </w:t>
      </w:r>
      <w:r w:rsidRPr="00453FD6">
        <w:t>e</w:t>
      </w:r>
      <w:r>
        <w:t>xplored</w:t>
      </w:r>
      <w:r w:rsidRPr="00453FD6">
        <w:t xml:space="preserve"> </w:t>
      </w:r>
      <w:r>
        <w:t xml:space="preserve">in </w:t>
      </w:r>
      <w:r w:rsidRPr="00453FD6">
        <w:t>PK</w:t>
      </w:r>
      <w:r w:rsidR="001B00E9">
        <w:t>/</w:t>
      </w:r>
      <w:r>
        <w:t>PD modelling</w:t>
      </w:r>
      <w:r w:rsidRPr="00453FD6">
        <w:t>.</w:t>
      </w:r>
      <w:r>
        <w:t xml:space="preserve"> N</w:t>
      </w:r>
      <w:r w:rsidRPr="00453FD6">
        <w:t xml:space="preserve">o significant exposure-response relationships were observed for </w:t>
      </w:r>
      <w:r>
        <w:t>various</w:t>
      </w:r>
      <w:r w:rsidRPr="00453FD6">
        <w:t xml:space="preserve"> efficacy endpoints</w:t>
      </w:r>
      <w:r>
        <w:t>.</w:t>
      </w:r>
    </w:p>
    <w:p w14:paraId="36D909AE" w14:textId="55B2880D" w:rsidR="00286039" w:rsidRDefault="00286039" w:rsidP="00286039">
      <w:r>
        <w:t>The dose dependent treatment emergent adverse events were dysgeusia</w:t>
      </w:r>
      <w:r w:rsidR="004C681A">
        <w:t xml:space="preserve"> (altered sense of taste)</w:t>
      </w:r>
      <w:r>
        <w:t xml:space="preserve"> and elevations in concomitant immunosuppressant drug levels.</w:t>
      </w:r>
    </w:p>
    <w:p w14:paraId="3F552709" w14:textId="5AEA55CB" w:rsidR="00286039" w:rsidRPr="00453FD6" w:rsidRDefault="00286039" w:rsidP="00286039">
      <w:r w:rsidRPr="00453FD6">
        <w:t xml:space="preserve">Given these </w:t>
      </w:r>
      <w:r>
        <w:t xml:space="preserve">findings, </w:t>
      </w:r>
      <w:proofErr w:type="spellStart"/>
      <w:r w:rsidRPr="00453FD6">
        <w:t>maribavir</w:t>
      </w:r>
      <w:proofErr w:type="spellEnd"/>
      <w:r w:rsidRPr="00453FD6">
        <w:t xml:space="preserve"> 400 mg </w:t>
      </w:r>
      <w:r w:rsidR="00E97EA6">
        <w:t>twice daily</w:t>
      </w:r>
      <w:r w:rsidRPr="00453FD6">
        <w:t xml:space="preserve"> dose was </w:t>
      </w:r>
      <w:r>
        <w:t>selected</w:t>
      </w:r>
      <w:r w:rsidRPr="00453FD6">
        <w:t xml:space="preserve"> for progression to the </w:t>
      </w:r>
      <w:r>
        <w:t xml:space="preserve">confirmatory </w:t>
      </w:r>
      <w:r w:rsidRPr="00453FD6">
        <w:t xml:space="preserve">Phase </w:t>
      </w:r>
      <w:r w:rsidR="00E97EA6">
        <w:t>III</w:t>
      </w:r>
      <w:r w:rsidRPr="00453FD6">
        <w:t xml:space="preserve"> </w:t>
      </w:r>
      <w:r w:rsidR="00E97EA6">
        <w:t>S</w:t>
      </w:r>
      <w:r w:rsidRPr="00453FD6">
        <w:t>tudy</w:t>
      </w:r>
      <w:r>
        <w:t xml:space="preserve"> 303.</w:t>
      </w:r>
    </w:p>
    <w:p w14:paraId="40C76168" w14:textId="4A0E91E2" w:rsidR="00286039" w:rsidRDefault="00286039" w:rsidP="00286039">
      <w:r w:rsidRPr="00F24B76">
        <w:rPr>
          <w:i/>
          <w:iCs/>
        </w:rPr>
        <w:t>Treatment duration</w:t>
      </w:r>
    </w:p>
    <w:p w14:paraId="3BF0A427" w14:textId="478D55A3" w:rsidR="00286039" w:rsidRPr="00453FD6" w:rsidRDefault="00286039" w:rsidP="00286039">
      <w:r>
        <w:t xml:space="preserve">Eight </w:t>
      </w:r>
      <w:r w:rsidRPr="00453FD6">
        <w:t>week</w:t>
      </w:r>
      <w:r>
        <w:t>s</w:t>
      </w:r>
      <w:r w:rsidRPr="00453FD6">
        <w:t xml:space="preserve"> treatment was </w:t>
      </w:r>
      <w:r>
        <w:t xml:space="preserve">again </w:t>
      </w:r>
      <w:r w:rsidRPr="00453FD6">
        <w:t xml:space="preserve">selected based on data from </w:t>
      </w:r>
      <w:r>
        <w:t xml:space="preserve">the Phase </w:t>
      </w:r>
      <w:r w:rsidR="00E97EA6">
        <w:t>II</w:t>
      </w:r>
      <w:r>
        <w:t xml:space="preserve"> </w:t>
      </w:r>
      <w:r w:rsidR="00E97EA6">
        <w:t>S</w:t>
      </w:r>
      <w:r w:rsidRPr="00453FD6">
        <w:t xml:space="preserve">tudy 202 </w:t>
      </w:r>
      <w:r>
        <w:t xml:space="preserve">(in </w:t>
      </w:r>
      <w:r w:rsidRPr="00453FD6">
        <w:t>resistant</w:t>
      </w:r>
      <w:r>
        <w:t>/</w:t>
      </w:r>
      <w:r w:rsidRPr="00453FD6">
        <w:t>refractory CMV</w:t>
      </w:r>
      <w:r>
        <w:t xml:space="preserve"> patients) which showed</w:t>
      </w:r>
      <w:r w:rsidRPr="00453FD6">
        <w:t xml:space="preserve"> that most </w:t>
      </w:r>
      <w:r>
        <w:t>patients</w:t>
      </w:r>
      <w:r w:rsidRPr="00453FD6">
        <w:t xml:space="preserve"> achieved confirmed undetectable plasma CMV DNA by Week 6 of treatment with </w:t>
      </w:r>
      <w:proofErr w:type="spellStart"/>
      <w:r w:rsidRPr="00453FD6">
        <w:t>maribavir</w:t>
      </w:r>
      <w:proofErr w:type="spellEnd"/>
      <w:r w:rsidRPr="00453FD6">
        <w:t>. A fixed</w:t>
      </w:r>
      <w:r w:rsidR="00E55AD5">
        <w:t xml:space="preserve"> </w:t>
      </w:r>
      <w:r w:rsidRPr="00453FD6">
        <w:t>8</w:t>
      </w:r>
      <w:r w:rsidR="00E97EA6">
        <w:t xml:space="preserve"> </w:t>
      </w:r>
      <w:proofErr w:type="gramStart"/>
      <w:r w:rsidRPr="00453FD6">
        <w:t>week</w:t>
      </w:r>
      <w:r w:rsidR="00E55AD5">
        <w:t>s</w:t>
      </w:r>
      <w:proofErr w:type="gramEnd"/>
      <w:r w:rsidRPr="00453FD6">
        <w:t xml:space="preserve"> treatment duration was selected </w:t>
      </w:r>
      <w:r>
        <w:t xml:space="preserve">for the Phase </w:t>
      </w:r>
      <w:r w:rsidR="00E97EA6">
        <w:t>III</w:t>
      </w:r>
      <w:r>
        <w:t xml:space="preserve"> trial as this was</w:t>
      </w:r>
      <w:r w:rsidRPr="00453FD6">
        <w:t xml:space="preserve"> consistent with the current clinical practice of giving </w:t>
      </w:r>
      <w:r w:rsidR="00E97EA6">
        <w:t>two</w:t>
      </w:r>
      <w:r w:rsidRPr="00453FD6">
        <w:t xml:space="preserve"> additional weeks of therapy after </w:t>
      </w:r>
      <w:r>
        <w:t>achieving</w:t>
      </w:r>
      <w:r w:rsidRPr="00453FD6">
        <w:t xml:space="preserve"> undetectable plasma CMV DNA levels.</w:t>
      </w:r>
    </w:p>
    <w:p w14:paraId="19D6500D" w14:textId="0B109BDE" w:rsidR="00286039" w:rsidRPr="00453FD6" w:rsidRDefault="00286039" w:rsidP="00AE2DFA">
      <w:pPr>
        <w:pStyle w:val="Heading5"/>
      </w:pPr>
      <w:r w:rsidRPr="00453FD6">
        <w:t>Study 303 (S</w:t>
      </w:r>
      <w:r w:rsidR="00E97EA6">
        <w:t>olstice</w:t>
      </w:r>
      <w:r w:rsidRPr="00453FD6">
        <w:t xml:space="preserve"> trial)</w:t>
      </w:r>
    </w:p>
    <w:p w14:paraId="680B6E60" w14:textId="72FADEAD" w:rsidR="00230EF3" w:rsidRDefault="00286039" w:rsidP="00286039">
      <w:r>
        <w:t xml:space="preserve">The </w:t>
      </w:r>
      <w:r w:rsidR="00E97EA6">
        <w:t>S</w:t>
      </w:r>
      <w:r w:rsidRPr="00453FD6">
        <w:t xml:space="preserve">tudy </w:t>
      </w:r>
      <w:r w:rsidR="004C681A">
        <w:t>SHP620-</w:t>
      </w:r>
      <w:r w:rsidRPr="00453FD6">
        <w:t xml:space="preserve">303 </w:t>
      </w:r>
      <w:r w:rsidR="004C681A">
        <w:t xml:space="preserve">(abbreviated as Study 303) </w:t>
      </w:r>
      <w:r w:rsidRPr="00453FD6">
        <w:t>was a</w:t>
      </w:r>
      <w:r>
        <w:t>n open label,</w:t>
      </w:r>
      <w:r w:rsidRPr="00453FD6">
        <w:t xml:space="preserve"> multicentre</w:t>
      </w:r>
      <w:r>
        <w:t xml:space="preserve"> (</w:t>
      </w:r>
      <w:r w:rsidRPr="00453FD6">
        <w:t>94 sites in 12 countries</w:t>
      </w:r>
      <w:r>
        <w:t>)</w:t>
      </w:r>
      <w:r w:rsidRPr="00453FD6">
        <w:t>, randomised (2:1</w:t>
      </w:r>
      <w:r>
        <w:t xml:space="preserve"> ratio for </w:t>
      </w:r>
      <w:r w:rsidR="00E55AD5">
        <w:t>t</w:t>
      </w:r>
      <w:r>
        <w:t>est v</w:t>
      </w:r>
      <w:r w:rsidR="00E97EA6">
        <w:t>ersus</w:t>
      </w:r>
      <w:r>
        <w:t xml:space="preserve"> </w:t>
      </w:r>
      <w:r w:rsidR="00E55AD5">
        <w:t>c</w:t>
      </w:r>
      <w:r>
        <w:t>ontrol</w:t>
      </w:r>
      <w:r w:rsidRPr="00453FD6">
        <w:t xml:space="preserve">) trial to </w:t>
      </w:r>
      <w:r>
        <w:t>investigate the</w:t>
      </w:r>
      <w:r w:rsidRPr="00453FD6">
        <w:t xml:space="preserve"> efficacy of </w:t>
      </w:r>
      <w:proofErr w:type="spellStart"/>
      <w:r w:rsidRPr="00453FD6">
        <w:t>maribavir</w:t>
      </w:r>
      <w:proofErr w:type="spellEnd"/>
      <w:r>
        <w:t xml:space="preserve"> (400</w:t>
      </w:r>
      <w:r w:rsidR="00E55AD5">
        <w:t xml:space="preserve"> </w:t>
      </w:r>
      <w:r>
        <w:t xml:space="preserve">mg </w:t>
      </w:r>
      <w:r w:rsidR="00E97EA6">
        <w:t>twice daily</w:t>
      </w:r>
      <w:r>
        <w:t xml:space="preserve"> orally) versus </w:t>
      </w:r>
      <w:r w:rsidR="00E55AD5">
        <w:t>i</w:t>
      </w:r>
      <w:r w:rsidRPr="00453FD6">
        <w:t>nvestigator</w:t>
      </w:r>
      <w:r>
        <w:t xml:space="preserve"> </w:t>
      </w:r>
      <w:r w:rsidR="00E55AD5">
        <w:t>a</w:t>
      </w:r>
      <w:r w:rsidRPr="00453FD6">
        <w:t xml:space="preserve">ssigned </w:t>
      </w:r>
      <w:r w:rsidR="004C681A">
        <w:t>[</w:t>
      </w:r>
      <w:r w:rsidRPr="00453FD6">
        <w:t>anti-CMV</w:t>
      </w:r>
      <w:r w:rsidR="004C681A">
        <w:t>]</w:t>
      </w:r>
      <w:r w:rsidRPr="00453FD6">
        <w:t xml:space="preserve"> </w:t>
      </w:r>
      <w:r w:rsidR="00E55AD5">
        <w:t>t</w:t>
      </w:r>
      <w:r>
        <w:t>herapy</w:t>
      </w:r>
      <w:r w:rsidR="00A10974">
        <w:t>/treatment</w:t>
      </w:r>
      <w:r w:rsidRPr="00453FD6">
        <w:t xml:space="preserve"> (IAT) in the treatment of CMV infection or disease in refractory and/or resistant </w:t>
      </w:r>
      <w:r>
        <w:t xml:space="preserve">post-transplant </w:t>
      </w:r>
      <w:r w:rsidRPr="00453FD6">
        <w:t>patient population</w:t>
      </w:r>
      <w:r w:rsidR="00230EF3">
        <w:t>.</w:t>
      </w:r>
    </w:p>
    <w:p w14:paraId="1D3D9021" w14:textId="15289A8B" w:rsidR="00230EF3" w:rsidRPr="00C53A1C" w:rsidRDefault="00230EF3" w:rsidP="00286039">
      <w:pPr>
        <w:rPr>
          <w:vertAlign w:val="superscript"/>
        </w:rPr>
      </w:pPr>
      <w:r>
        <w:t>This study has also been referred to as the Solstice trial.</w:t>
      </w:r>
      <w:bookmarkStart w:id="67" w:name="_Ref135827397"/>
      <w:r>
        <w:rPr>
          <w:rStyle w:val="FootnoteReference"/>
        </w:rPr>
        <w:footnoteReference w:id="8"/>
      </w:r>
      <w:bookmarkEnd w:id="67"/>
      <w:r>
        <w:rPr>
          <w:vertAlign w:val="superscript"/>
        </w:rPr>
        <w:t>,</w:t>
      </w:r>
      <w:bookmarkStart w:id="68" w:name="_Ref135827400"/>
      <w:r>
        <w:rPr>
          <w:rStyle w:val="FootnoteReference"/>
        </w:rPr>
        <w:footnoteReference w:id="9"/>
      </w:r>
      <w:bookmarkEnd w:id="68"/>
    </w:p>
    <w:p w14:paraId="4DC9BB11" w14:textId="4DA3F47D" w:rsidR="00286039" w:rsidRDefault="004C681A" w:rsidP="00286039">
      <w:r>
        <w:t xml:space="preserve">An overview of the study is shown in </w:t>
      </w:r>
      <w:r w:rsidR="00E55AD5">
        <w:fldChar w:fldCharType="begin"/>
      </w:r>
      <w:r w:rsidR="00E55AD5">
        <w:instrText xml:space="preserve"> REF _Ref132800141 \h </w:instrText>
      </w:r>
      <w:r w:rsidR="00E55AD5">
        <w:fldChar w:fldCharType="separate"/>
      </w:r>
      <w:r w:rsidR="001D123C">
        <w:t xml:space="preserve">Table </w:t>
      </w:r>
      <w:r w:rsidR="001D123C">
        <w:rPr>
          <w:noProof/>
        </w:rPr>
        <w:t>11</w:t>
      </w:r>
      <w:r w:rsidR="00E55AD5">
        <w:fldChar w:fldCharType="end"/>
      </w:r>
      <w:r>
        <w:t>, below</w:t>
      </w:r>
      <w:r w:rsidR="00E55AD5">
        <w:t>.</w:t>
      </w:r>
    </w:p>
    <w:p w14:paraId="245A63ED" w14:textId="796B5A28" w:rsidR="00230EF3" w:rsidRDefault="00230EF3" w:rsidP="00C53A1C">
      <w:pPr>
        <w:pStyle w:val="Heading6"/>
      </w:pPr>
      <w:r>
        <w:lastRenderedPageBreak/>
        <w:t>Study overview</w:t>
      </w:r>
    </w:p>
    <w:p w14:paraId="7866E4BB" w14:textId="2FC00BE1" w:rsidR="00286039" w:rsidRDefault="00320612" w:rsidP="00320612">
      <w:pPr>
        <w:pStyle w:val="TableTitle"/>
      </w:pPr>
      <w:bookmarkStart w:id="69" w:name="_Ref132800141"/>
      <w:r>
        <w:t xml:space="preserve">Table </w:t>
      </w:r>
      <w:r w:rsidR="00B24F8E">
        <w:fldChar w:fldCharType="begin"/>
      </w:r>
      <w:r w:rsidR="00B24F8E">
        <w:instrText xml:space="preserve"> SEQ Table \* ARABIC </w:instrText>
      </w:r>
      <w:r w:rsidR="00B24F8E">
        <w:fldChar w:fldCharType="separate"/>
      </w:r>
      <w:r w:rsidR="001D123C">
        <w:rPr>
          <w:noProof/>
        </w:rPr>
        <w:t>11</w:t>
      </w:r>
      <w:r w:rsidR="00B24F8E">
        <w:rPr>
          <w:noProof/>
        </w:rPr>
        <w:fldChar w:fldCharType="end"/>
      </w:r>
      <w:bookmarkEnd w:id="69"/>
      <w:r>
        <w:t>:</w:t>
      </w:r>
      <w:r w:rsidR="00E55AD5">
        <w:t xml:space="preserve"> Study 303 </w:t>
      </w:r>
      <w:r w:rsidR="00230EF3">
        <w:t xml:space="preserve">Overview and study </w:t>
      </w:r>
      <w:r w:rsidR="00E55AD5">
        <w:t>design</w:t>
      </w:r>
    </w:p>
    <w:p w14:paraId="5E884E2E" w14:textId="67A5BFDE" w:rsidR="00320612" w:rsidRDefault="00320612" w:rsidP="00320612">
      <w:r>
        <w:rPr>
          <w:noProof/>
          <w:lang w:val="en-GB" w:eastAsia="en-GB"/>
        </w:rPr>
        <w:drawing>
          <wp:inline distT="0" distB="0" distL="0" distR="0" wp14:anchorId="2E2C1F6B" wp14:editId="6DAA82CD">
            <wp:extent cx="4961255" cy="2783840"/>
            <wp:effectExtent l="0" t="0" r="0" b="0"/>
            <wp:docPr id="14" name="Picture 14" descr="Study 303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udy 303 desig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1255" cy="2783840"/>
                    </a:xfrm>
                    <a:prstGeom prst="rect">
                      <a:avLst/>
                    </a:prstGeom>
                    <a:noFill/>
                    <a:ln>
                      <a:noFill/>
                    </a:ln>
                  </pic:spPr>
                </pic:pic>
              </a:graphicData>
            </a:graphic>
          </wp:inline>
        </w:drawing>
      </w:r>
    </w:p>
    <w:p w14:paraId="5CBE8EF9" w14:textId="5F5AA188" w:rsidR="00230EF3" w:rsidRDefault="00230EF3" w:rsidP="006B33E8">
      <w:pPr>
        <w:pStyle w:val="TableDescription"/>
      </w:pPr>
      <w:r>
        <w:t xml:space="preserve">Abbreviations: BID = twice daily; CMV = cytomegalovirus; HSCT = </w:t>
      </w:r>
      <w:proofErr w:type="spellStart"/>
      <w:r>
        <w:t>haemopoeitic</w:t>
      </w:r>
      <w:proofErr w:type="spellEnd"/>
      <w:r>
        <w:t xml:space="preserve"> stem cell transplant; IAT = i</w:t>
      </w:r>
      <w:r w:rsidRPr="00453FD6">
        <w:t>nvestigator</w:t>
      </w:r>
      <w:r>
        <w:t xml:space="preserve"> a</w:t>
      </w:r>
      <w:r w:rsidRPr="00453FD6">
        <w:t xml:space="preserve">ssigned </w:t>
      </w:r>
      <w:r>
        <w:t>[</w:t>
      </w:r>
      <w:r w:rsidRPr="00453FD6">
        <w:t>anti-CMV</w:t>
      </w:r>
      <w:r>
        <w:t>]</w:t>
      </w:r>
      <w:r w:rsidRPr="00453FD6">
        <w:t xml:space="preserve"> </w:t>
      </w:r>
      <w:r>
        <w:t>therapy/treatment; SOT = solid organ transplant.</w:t>
      </w:r>
    </w:p>
    <w:p w14:paraId="5B817B65" w14:textId="45FE7C2E" w:rsidR="00320612" w:rsidRDefault="00320612" w:rsidP="00320612">
      <w:r w:rsidRPr="00453FD6">
        <w:t>The study co</w:t>
      </w:r>
      <w:r>
        <w:t xml:space="preserve">mprised </w:t>
      </w:r>
      <w:r w:rsidRPr="00453FD6">
        <w:t xml:space="preserve">a screening phase </w:t>
      </w:r>
      <w:r>
        <w:t xml:space="preserve">of </w:t>
      </w:r>
      <w:r w:rsidRPr="00453FD6">
        <w:t xml:space="preserve">up to </w:t>
      </w:r>
      <w:r w:rsidR="00E55AD5">
        <w:t>two</w:t>
      </w:r>
      <w:r w:rsidRPr="00453FD6">
        <w:t xml:space="preserve"> weeks, an </w:t>
      </w:r>
      <w:r w:rsidR="00E55AD5">
        <w:t>eight</w:t>
      </w:r>
      <w:r>
        <w:t xml:space="preserve"> </w:t>
      </w:r>
      <w:r w:rsidRPr="00453FD6">
        <w:t xml:space="preserve">week treatment </w:t>
      </w:r>
      <w:r>
        <w:t>period</w:t>
      </w:r>
      <w:r w:rsidRPr="00453FD6">
        <w:t xml:space="preserve"> and a 12</w:t>
      </w:r>
      <w:r w:rsidR="00E55AD5">
        <w:t xml:space="preserve"> </w:t>
      </w:r>
      <w:r w:rsidRPr="00453FD6">
        <w:t>week follow</w:t>
      </w:r>
      <w:r>
        <w:t xml:space="preserve"> </w:t>
      </w:r>
      <w:r w:rsidRPr="00453FD6">
        <w:t>up phase.</w:t>
      </w:r>
    </w:p>
    <w:p w14:paraId="1167AE75" w14:textId="318DD714" w:rsidR="00320612" w:rsidRDefault="00320612" w:rsidP="00320612">
      <w:r w:rsidRPr="00453FD6">
        <w:t xml:space="preserve">The inclusion criteria required that </w:t>
      </w:r>
      <w:r>
        <w:t>a</w:t>
      </w:r>
      <w:r w:rsidRPr="00453FD6">
        <w:t xml:space="preserve"> subject (at least 12 years of age and at least 35</w:t>
      </w:r>
      <w:r w:rsidR="00E55AD5">
        <w:t xml:space="preserve"> </w:t>
      </w:r>
      <w:r w:rsidRPr="00453FD6">
        <w:t xml:space="preserve">kg body weight) must have been a recipient of a haematopoietic stem cell transplant or solid organ transplant and must have had documented CMV infection in two consecutive assessments separated by at least </w:t>
      </w:r>
      <w:r w:rsidR="00E55AD5">
        <w:t>one</w:t>
      </w:r>
      <w:r w:rsidRPr="00453FD6">
        <w:t xml:space="preserve"> day.</w:t>
      </w:r>
    </w:p>
    <w:p w14:paraId="519C6D09" w14:textId="27008765" w:rsidR="00320612" w:rsidRPr="00453FD6" w:rsidRDefault="00320612" w:rsidP="00320612">
      <w:r>
        <w:t>The s</w:t>
      </w:r>
      <w:r w:rsidRPr="00453FD6">
        <w:t>ubject</w:t>
      </w:r>
      <w:r>
        <w:t>s</w:t>
      </w:r>
      <w:r w:rsidRPr="00453FD6">
        <w:t xml:space="preserve"> must have had a current CMV infection that was refractory to the most recently administered of </w:t>
      </w:r>
      <w:r w:rsidR="00E55AD5">
        <w:t>four</w:t>
      </w:r>
      <w:r w:rsidRPr="00453FD6">
        <w:t xml:space="preserve"> anti-CMV treatment agents (ganciclovir</w:t>
      </w:r>
      <w:r>
        <w:t>/</w:t>
      </w:r>
      <w:r w:rsidRPr="00453FD6">
        <w:t xml:space="preserve">valganciclovir, </w:t>
      </w:r>
      <w:proofErr w:type="spellStart"/>
      <w:r w:rsidRPr="00453FD6">
        <w:t>foscarnet</w:t>
      </w:r>
      <w:proofErr w:type="spellEnd"/>
      <w:r w:rsidRPr="00453FD6">
        <w:t xml:space="preserve"> or cidofovir). Refractory was defined as documented failure to achieve </w:t>
      </w:r>
      <w:r w:rsidR="00E55AD5">
        <w:t xml:space="preserve">greater than </w:t>
      </w:r>
      <w:r w:rsidRPr="00453FD6">
        <w:t>1 log</w:t>
      </w:r>
      <w:r w:rsidRPr="00E55AD5">
        <w:rPr>
          <w:vertAlign w:val="subscript"/>
        </w:rPr>
        <w:t>10</w:t>
      </w:r>
      <w:r w:rsidRPr="00453FD6">
        <w:t xml:space="preserve"> decrease in CMV DNA level in whole blood or plasma after a 14-day or longer treatment period with </w:t>
      </w:r>
      <w:r w:rsidR="00E55AD5">
        <w:t>intravenous</w:t>
      </w:r>
      <w:r w:rsidRPr="00453FD6">
        <w:t xml:space="preserve"> ganciclovir/oral valganciclovir, </w:t>
      </w:r>
      <w:r w:rsidR="00E55AD5">
        <w:t>intravenous</w:t>
      </w:r>
      <w:r w:rsidRPr="00453FD6">
        <w:t xml:space="preserve"> </w:t>
      </w:r>
      <w:proofErr w:type="spellStart"/>
      <w:r w:rsidRPr="00453FD6">
        <w:t>foscarnet</w:t>
      </w:r>
      <w:proofErr w:type="spellEnd"/>
      <w:r w:rsidRPr="00453FD6">
        <w:t xml:space="preserve">, or </w:t>
      </w:r>
      <w:r w:rsidR="00E55AD5">
        <w:t>intravenous</w:t>
      </w:r>
      <w:r w:rsidRPr="00453FD6">
        <w:t xml:space="preserve"> cidofovir</w:t>
      </w:r>
      <w:r>
        <w:t>.</w:t>
      </w:r>
    </w:p>
    <w:p w14:paraId="790FC463" w14:textId="4FE1A3AC" w:rsidR="00320612" w:rsidRDefault="00320612" w:rsidP="00320612">
      <w:r>
        <w:t>The s</w:t>
      </w:r>
      <w:r w:rsidRPr="00453FD6">
        <w:t xml:space="preserve">ubjects with documentation of </w:t>
      </w:r>
      <w:r w:rsidR="00E55AD5">
        <w:t>one</w:t>
      </w:r>
      <w:r w:rsidRPr="00453FD6">
        <w:t xml:space="preserve"> or more CMV genetic mutations associated with resistance to ganciclovir/valganciclovir, </w:t>
      </w:r>
      <w:proofErr w:type="spellStart"/>
      <w:r w:rsidRPr="00453FD6">
        <w:t>foscarnet</w:t>
      </w:r>
      <w:proofErr w:type="spellEnd"/>
      <w:r w:rsidRPr="00453FD6">
        <w:t xml:space="preserve">, and/or cidofovir </w:t>
      </w:r>
      <w:r>
        <w:t xml:space="preserve">were </w:t>
      </w:r>
      <w:r w:rsidRPr="00453FD6">
        <w:t xml:space="preserve">also </w:t>
      </w:r>
      <w:r>
        <w:t xml:space="preserve">required to </w:t>
      </w:r>
      <w:r w:rsidRPr="00453FD6">
        <w:t>meet the above definition of refractory.</w:t>
      </w:r>
    </w:p>
    <w:p w14:paraId="6CEE0D29" w14:textId="02064575" w:rsidR="00320612" w:rsidRDefault="00320612" w:rsidP="00320612">
      <w:r w:rsidRPr="00453FD6">
        <w:t xml:space="preserve">Subjects with invasive CMV disease with central nervous system involvement, including retina (CMV retinitis) and </w:t>
      </w:r>
      <w:r w:rsidR="00E55AD5" w:rsidRPr="00E55AD5">
        <w:t>human immunodeficiency virus</w:t>
      </w:r>
      <w:r w:rsidRPr="00453FD6">
        <w:t xml:space="preserve"> patients were excluded.</w:t>
      </w:r>
    </w:p>
    <w:p w14:paraId="037BE033" w14:textId="07D001C3" w:rsidR="00320612" w:rsidRPr="00453FD6" w:rsidRDefault="00320612" w:rsidP="00320612">
      <w:r w:rsidRPr="00453FD6">
        <w:t xml:space="preserve">Combination therapy with </w:t>
      </w:r>
      <w:proofErr w:type="spellStart"/>
      <w:r w:rsidRPr="00453FD6">
        <w:t>foscarnet</w:t>
      </w:r>
      <w:proofErr w:type="spellEnd"/>
      <w:r w:rsidRPr="00453FD6">
        <w:t xml:space="preserve"> and cidofovir was not permitted in the IAT arm due to the potential for serious nephrotoxicity.</w:t>
      </w:r>
      <w:r>
        <w:t xml:space="preserve"> Other </w:t>
      </w:r>
      <w:r w:rsidRPr="00453FD6">
        <w:t>exclusion criteria includ</w:t>
      </w:r>
      <w:r>
        <w:t>ed</w:t>
      </w:r>
      <w:r w:rsidRPr="00453FD6">
        <w:t xml:space="preserve"> subjects receiving leflunomide (unless discontinued at least 14 days prior), </w:t>
      </w:r>
      <w:proofErr w:type="spellStart"/>
      <w:r w:rsidRPr="00453FD6">
        <w:t>letermovir</w:t>
      </w:r>
      <w:proofErr w:type="spellEnd"/>
      <w:r w:rsidRPr="00453FD6">
        <w:t xml:space="preserve"> (unless discontinued </w:t>
      </w:r>
      <w:r w:rsidR="00E55AD5">
        <w:t>three</w:t>
      </w:r>
      <w:r w:rsidRPr="00453FD6">
        <w:t xml:space="preserve"> days prior), or artesunate when study treatment was initiated.</w:t>
      </w:r>
    </w:p>
    <w:p w14:paraId="4254B335" w14:textId="281A2DEF" w:rsidR="00320612" w:rsidRDefault="00320612" w:rsidP="00320612">
      <w:r w:rsidRPr="00453FD6">
        <w:t>Randomisation was stratified according to</w:t>
      </w:r>
      <w:r>
        <w:t xml:space="preserve"> t</w:t>
      </w:r>
      <w:r w:rsidRPr="00453FD6">
        <w:t>ransplant type (</w:t>
      </w:r>
      <w:r w:rsidR="00A10974" w:rsidRPr="00453FD6">
        <w:t>haematopoietic stem cell transplant</w:t>
      </w:r>
      <w:r w:rsidRPr="00453FD6">
        <w:t xml:space="preserve"> </w:t>
      </w:r>
      <w:r w:rsidR="00E55AD5">
        <w:t>versus</w:t>
      </w:r>
      <w:r w:rsidRPr="00453FD6">
        <w:t xml:space="preserve"> </w:t>
      </w:r>
      <w:r w:rsidR="00A10974" w:rsidRPr="00453FD6">
        <w:t>solid organ transplant</w:t>
      </w:r>
      <w:r w:rsidRPr="00453FD6">
        <w:t>)</w:t>
      </w:r>
      <w:r>
        <w:t xml:space="preserve"> </w:t>
      </w:r>
      <w:r w:rsidRPr="00453FD6">
        <w:t>and</w:t>
      </w:r>
      <w:r>
        <w:t xml:space="preserve"> </w:t>
      </w:r>
      <w:r w:rsidRPr="00453FD6">
        <w:t xml:space="preserve">CMV viral load at </w:t>
      </w:r>
      <w:r w:rsidR="00E55AD5">
        <w:t>B</w:t>
      </w:r>
      <w:r w:rsidRPr="00453FD6">
        <w:t>aseline</w:t>
      </w:r>
      <w:r>
        <w:t>. The CMV viral load categories were as follows.</w:t>
      </w:r>
    </w:p>
    <w:p w14:paraId="1AEEC676" w14:textId="787DB233" w:rsidR="00320612" w:rsidRPr="00453FD6" w:rsidRDefault="00320612" w:rsidP="00320612">
      <w:pPr>
        <w:pStyle w:val="TableTitle"/>
      </w:pPr>
      <w:r>
        <w:lastRenderedPageBreak/>
        <w:t xml:space="preserve">Table </w:t>
      </w:r>
      <w:r w:rsidR="00B24F8E">
        <w:fldChar w:fldCharType="begin"/>
      </w:r>
      <w:r w:rsidR="00B24F8E">
        <w:instrText xml:space="preserve"> SEQ Table \* ARABIC </w:instrText>
      </w:r>
      <w:r w:rsidR="00B24F8E">
        <w:fldChar w:fldCharType="separate"/>
      </w:r>
      <w:r w:rsidR="001D123C">
        <w:rPr>
          <w:noProof/>
        </w:rPr>
        <w:t>12</w:t>
      </w:r>
      <w:r w:rsidR="00B24F8E">
        <w:rPr>
          <w:noProof/>
        </w:rPr>
        <w:fldChar w:fldCharType="end"/>
      </w:r>
      <w:r>
        <w:t>:</w:t>
      </w:r>
      <w:r w:rsidR="00E55AD5">
        <w:t xml:space="preserve"> </w:t>
      </w:r>
      <w:r w:rsidR="00230EF3">
        <w:t xml:space="preserve">Study 303 </w:t>
      </w:r>
      <w:r w:rsidR="00D011E5">
        <w:t>Cytomegalovirus</w:t>
      </w:r>
      <w:r w:rsidR="00E55AD5">
        <w:t xml:space="preserve"> viral load categories</w:t>
      </w:r>
    </w:p>
    <w:p w14:paraId="21406109" w14:textId="02DD0400" w:rsidR="00320612" w:rsidRDefault="00320612" w:rsidP="00320612">
      <w:r>
        <w:rPr>
          <w:noProof/>
          <w:lang w:val="en-GB" w:eastAsia="en-GB"/>
        </w:rPr>
        <w:drawing>
          <wp:inline distT="0" distB="0" distL="0" distR="0" wp14:anchorId="0E6FE396" wp14:editId="2EEBECBF">
            <wp:extent cx="4914920" cy="955344"/>
            <wp:effectExtent l="0" t="0" r="0" b="0"/>
            <wp:docPr id="15" name="Picture 15" descr="Cytomegalovirus viral load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ytomegalovirus viral load categories"/>
                    <pic:cNvPicPr>
                      <a:picLocks noChangeAspect="1" noChangeArrowheads="1"/>
                    </pic:cNvPicPr>
                  </pic:nvPicPr>
                  <pic:blipFill rotWithShape="1">
                    <a:blip r:embed="rId32">
                      <a:extLst>
                        <a:ext uri="{28A0092B-C50C-407E-A947-70E740481C1C}">
                          <a14:useLocalDpi xmlns:a14="http://schemas.microsoft.com/office/drawing/2010/main" val="0"/>
                        </a:ext>
                      </a:extLst>
                    </a:blip>
                    <a:srcRect r="857" b="10565"/>
                    <a:stretch/>
                  </pic:blipFill>
                  <pic:spPr bwMode="auto">
                    <a:xfrm>
                      <a:off x="0" y="0"/>
                      <a:ext cx="4922938" cy="956902"/>
                    </a:xfrm>
                    <a:prstGeom prst="rect">
                      <a:avLst/>
                    </a:prstGeom>
                    <a:noFill/>
                    <a:ln>
                      <a:noFill/>
                    </a:ln>
                    <a:extLst>
                      <a:ext uri="{53640926-AAD7-44D8-BBD7-CCE9431645EC}">
                        <a14:shadowObscured xmlns:a14="http://schemas.microsoft.com/office/drawing/2010/main"/>
                      </a:ext>
                    </a:extLst>
                  </pic:spPr>
                </pic:pic>
              </a:graphicData>
            </a:graphic>
          </wp:inline>
        </w:drawing>
      </w:r>
    </w:p>
    <w:p w14:paraId="73EF1FAE" w14:textId="5669EDDB" w:rsidR="00320612" w:rsidRDefault="00320612" w:rsidP="00320612">
      <w:pPr>
        <w:pStyle w:val="TableDescription"/>
      </w:pPr>
      <w:r>
        <w:t>CMV = cytomegalovirus; DNA = deoxyribonucleic acid; IU = international units.</w:t>
      </w:r>
    </w:p>
    <w:p w14:paraId="2247AE15" w14:textId="3757153F" w:rsidR="00320612" w:rsidRDefault="00320612" w:rsidP="00320612">
      <w:r>
        <w:t xml:space="preserve">A total of 352 eligible patients were randomised to the </w:t>
      </w:r>
      <w:r w:rsidR="00D011E5">
        <w:t>two</w:t>
      </w:r>
      <w:r>
        <w:t xml:space="preserve"> parallel treatment groups (117 in IAT and 235 in </w:t>
      </w:r>
      <w:proofErr w:type="spellStart"/>
      <w:r>
        <w:t>maribavir</w:t>
      </w:r>
      <w:proofErr w:type="spellEnd"/>
      <w:r>
        <w:t xml:space="preserve"> group).</w:t>
      </w:r>
    </w:p>
    <w:p w14:paraId="32EE206A" w14:textId="77777777" w:rsidR="00320612" w:rsidRDefault="00320612" w:rsidP="00320612">
      <w:r w:rsidRPr="00453FD6">
        <w:t xml:space="preserve">The patients randomised IAT were assigned to monotherapy or </w:t>
      </w:r>
      <w:r>
        <w:t>combination</w:t>
      </w:r>
      <w:r w:rsidRPr="00453FD6">
        <w:t xml:space="preserve"> therapy</w:t>
      </w:r>
      <w:r>
        <w:t xml:space="preserve"> with currently available anti-CMV medications</w:t>
      </w:r>
      <w:r w:rsidRPr="00453FD6">
        <w:t xml:space="preserve"> at the discretion of the investigator.</w:t>
      </w:r>
    </w:p>
    <w:p w14:paraId="745E529A" w14:textId="5B22EFAB" w:rsidR="00320612" w:rsidRDefault="00320612" w:rsidP="00320612">
      <w:r>
        <w:t>Patients</w:t>
      </w:r>
      <w:r w:rsidRPr="00453FD6">
        <w:t xml:space="preserve"> in the IAT arm who met criteria for lack of improvement or worsening of CMV after </w:t>
      </w:r>
      <w:r>
        <w:t>three</w:t>
      </w:r>
      <w:r w:rsidRPr="00453FD6">
        <w:t xml:space="preserve"> weeks, had the option of crossing over to a </w:t>
      </w:r>
      <w:proofErr w:type="spellStart"/>
      <w:r w:rsidRPr="00453FD6">
        <w:t>maribavir</w:t>
      </w:r>
      <w:proofErr w:type="spellEnd"/>
      <w:r w:rsidRPr="00453FD6">
        <w:t xml:space="preserve"> rescue arm, in which they were treated with </w:t>
      </w:r>
      <w:proofErr w:type="spellStart"/>
      <w:r w:rsidRPr="00453FD6">
        <w:t>maribavir</w:t>
      </w:r>
      <w:proofErr w:type="spellEnd"/>
      <w:r w:rsidRPr="00453FD6">
        <w:t xml:space="preserve"> for a total of </w:t>
      </w:r>
      <w:r>
        <w:t>eight</w:t>
      </w:r>
      <w:r w:rsidRPr="00453FD6">
        <w:t xml:space="preserve"> weeks.</w:t>
      </w:r>
    </w:p>
    <w:p w14:paraId="6193E4D1" w14:textId="0C9B20E3" w:rsidR="00320612" w:rsidRDefault="00320612" w:rsidP="00320612">
      <w:r w:rsidRPr="00453FD6">
        <w:t>The demographic and baseline</w:t>
      </w:r>
      <w:r>
        <w:t xml:space="preserve"> </w:t>
      </w:r>
      <w:r w:rsidRPr="00920E41">
        <w:t>pathologic</w:t>
      </w:r>
      <w:r w:rsidRPr="00453FD6">
        <w:t xml:space="preserve"> characteristics were generally comparable between the </w:t>
      </w:r>
      <w:r>
        <w:t>two</w:t>
      </w:r>
      <w:r w:rsidRPr="00453FD6">
        <w:t xml:space="preserve"> treatment groups</w:t>
      </w:r>
      <w:r>
        <w:t>. T</w:t>
      </w:r>
      <w:r w:rsidRPr="00453FD6">
        <w:t>he median age of study</w:t>
      </w:r>
      <w:r>
        <w:t xml:space="preserve"> participants</w:t>
      </w:r>
      <w:r w:rsidRPr="00453FD6">
        <w:t xml:space="preserve"> was 55 years.</w:t>
      </w:r>
      <w:r>
        <w:t xml:space="preserve"> </w:t>
      </w:r>
      <w:r w:rsidRPr="00453FD6">
        <w:t>There were more elderly (</w:t>
      </w:r>
      <w:r w:rsidR="00D011E5">
        <w:t>greater or equal to</w:t>
      </w:r>
      <w:r w:rsidRPr="00453FD6">
        <w:t xml:space="preserve"> 65 years) </w:t>
      </w:r>
      <w:r>
        <w:t xml:space="preserve">subjects </w:t>
      </w:r>
      <w:r w:rsidRPr="00453FD6">
        <w:t xml:space="preserve">in </w:t>
      </w:r>
      <w:proofErr w:type="spellStart"/>
      <w:r w:rsidRPr="00453FD6">
        <w:t>maribavir</w:t>
      </w:r>
      <w:proofErr w:type="spellEnd"/>
      <w:r w:rsidRPr="00453FD6">
        <w:t xml:space="preserve"> arm </w:t>
      </w:r>
      <w:r>
        <w:t>(</w:t>
      </w:r>
      <w:r w:rsidRPr="00453FD6">
        <w:t>23</w:t>
      </w:r>
      <w:r>
        <w:t>%)</w:t>
      </w:r>
      <w:r w:rsidRPr="00453FD6">
        <w:t xml:space="preserve"> v</w:t>
      </w:r>
      <w:r>
        <w:t>ersus</w:t>
      </w:r>
      <w:r w:rsidRPr="00453FD6">
        <w:t xml:space="preserve"> </w:t>
      </w:r>
      <w:r>
        <w:t>IAT arm (</w:t>
      </w:r>
      <w:r w:rsidRPr="00453FD6">
        <w:t>13.7%</w:t>
      </w:r>
      <w:r>
        <w:t>)</w:t>
      </w:r>
      <w:r w:rsidRPr="00453FD6">
        <w:t>. Only a small proportion of subjects in the trial had tissue</w:t>
      </w:r>
      <w:r w:rsidR="00D011E5">
        <w:t xml:space="preserve"> </w:t>
      </w:r>
      <w:r w:rsidRPr="00453FD6">
        <w:t xml:space="preserve">invasive disease and this was more common in the </w:t>
      </w:r>
      <w:proofErr w:type="spellStart"/>
      <w:r w:rsidRPr="00453FD6">
        <w:t>maribavir</w:t>
      </w:r>
      <w:proofErr w:type="spellEnd"/>
      <w:r w:rsidRPr="00453FD6">
        <w:t xml:space="preserve"> arm </w:t>
      </w:r>
      <w:r>
        <w:t>(</w:t>
      </w:r>
      <w:r w:rsidRPr="00453FD6">
        <w:t>5.1%) v</w:t>
      </w:r>
      <w:r>
        <w:t>ersus</w:t>
      </w:r>
      <w:r w:rsidRPr="00453FD6">
        <w:t xml:space="preserve"> </w:t>
      </w:r>
      <w:r>
        <w:t>IAT (</w:t>
      </w:r>
      <w:r w:rsidRPr="00453FD6">
        <w:t>0.9%).</w:t>
      </w:r>
      <w:r>
        <w:t xml:space="preserve"> </w:t>
      </w:r>
      <w:r w:rsidRPr="00453FD6">
        <w:t xml:space="preserve">Only 8.2% of subjects had symptomatic CMV infection, as assessed by the independent adjudication committee. Most subjects in the </w:t>
      </w:r>
      <w:r w:rsidR="00A10974" w:rsidRPr="00453FD6">
        <w:t>solid organ transplant</w:t>
      </w:r>
      <w:r w:rsidRPr="00453FD6">
        <w:t xml:space="preserve"> group were </w:t>
      </w:r>
      <w:r w:rsidR="00D011E5">
        <w:t>donor</w:t>
      </w:r>
      <w:r w:rsidRPr="00453FD6">
        <w:t>+/</w:t>
      </w:r>
      <w:r w:rsidR="00D011E5">
        <w:t>recipient</w:t>
      </w:r>
      <w:r w:rsidRPr="00453FD6">
        <w:t xml:space="preserve">-, and most in the </w:t>
      </w:r>
      <w:r w:rsidR="00A10974" w:rsidRPr="00453FD6">
        <w:t>haematopoietic stem cell transplant</w:t>
      </w:r>
      <w:r w:rsidRPr="00453FD6">
        <w:t xml:space="preserve"> group were </w:t>
      </w:r>
      <w:r w:rsidR="00D011E5">
        <w:t>recipient</w:t>
      </w:r>
      <w:r w:rsidRPr="00453FD6">
        <w:t>+. The current episode of CMV infection was the first episode in 68.2%</w:t>
      </w:r>
      <w:r>
        <w:t xml:space="preserve"> </w:t>
      </w:r>
      <w:r w:rsidRPr="00453FD6">
        <w:t>subjects.</w:t>
      </w:r>
    </w:p>
    <w:p w14:paraId="01BDFDF8" w14:textId="3A98DA80" w:rsidR="00320612" w:rsidRDefault="00320612" w:rsidP="00320612">
      <w:r w:rsidRPr="00453FD6">
        <w:t xml:space="preserve">Baseline genotyping indicated that </w:t>
      </w:r>
      <w:r>
        <w:t>overall 190 out of 350 (</w:t>
      </w:r>
      <w:r w:rsidRPr="00453FD6">
        <w:t>54.3%</w:t>
      </w:r>
      <w:r>
        <w:t>)</w:t>
      </w:r>
      <w:r w:rsidRPr="00453FD6">
        <w:t xml:space="preserve"> </w:t>
      </w:r>
      <w:r>
        <w:t>patients</w:t>
      </w:r>
      <w:r w:rsidRPr="00453FD6">
        <w:t xml:space="preserve"> had at least one resistance</w:t>
      </w:r>
      <w:r w:rsidR="00A10974">
        <w:t xml:space="preserve"> </w:t>
      </w:r>
      <w:r w:rsidRPr="00453FD6">
        <w:t>associated amino acid substitution</w:t>
      </w:r>
      <w:r>
        <w:t xml:space="preserve"> to</w:t>
      </w:r>
      <w:r w:rsidRPr="00453FD6">
        <w:t xml:space="preserve"> ganciclovir, </w:t>
      </w:r>
      <w:proofErr w:type="spellStart"/>
      <w:r w:rsidRPr="00453FD6">
        <w:t>foscarnet</w:t>
      </w:r>
      <w:proofErr w:type="spellEnd"/>
      <w:r w:rsidRPr="00453FD6">
        <w:t>, and/or cidofovir</w:t>
      </w:r>
      <w:r>
        <w:t>, and 4 out of 350 (</w:t>
      </w:r>
      <w:r w:rsidRPr="00453FD6">
        <w:t>1.1%</w:t>
      </w:r>
      <w:r>
        <w:t xml:space="preserve">) </w:t>
      </w:r>
      <w:r w:rsidRPr="00453FD6">
        <w:t xml:space="preserve">had </w:t>
      </w:r>
      <w:r w:rsidR="00D011E5" w:rsidRPr="00453FD6">
        <w:t>resistance</w:t>
      </w:r>
      <w:r w:rsidR="00A10974">
        <w:t xml:space="preserve"> </w:t>
      </w:r>
      <w:r w:rsidR="00D011E5" w:rsidRPr="00453FD6">
        <w:t>associated amino acid substitution</w:t>
      </w:r>
      <w:r w:rsidRPr="00453FD6">
        <w:t xml:space="preserve"> known to be associated with resistance to </w:t>
      </w:r>
      <w:proofErr w:type="spellStart"/>
      <w:r w:rsidRPr="00453FD6">
        <w:t>maribavir</w:t>
      </w:r>
      <w:proofErr w:type="spellEnd"/>
      <w:r>
        <w:t xml:space="preserve">. </w:t>
      </w:r>
      <w:r w:rsidRPr="00453FD6">
        <w:t>A</w:t>
      </w:r>
      <w:r>
        <w:t xml:space="preserve"> total of</w:t>
      </w:r>
      <w:r w:rsidRPr="00453FD6">
        <w:t xml:space="preserve"> </w:t>
      </w:r>
      <w:r>
        <w:t>69 out of 116 (</w:t>
      </w:r>
      <w:r w:rsidRPr="00453FD6">
        <w:t>59.5%</w:t>
      </w:r>
      <w:r>
        <w:t>) patients in IAT arm compared to 121 out of 234 (</w:t>
      </w:r>
      <w:r w:rsidRPr="00453FD6">
        <w:t>51.7%</w:t>
      </w:r>
      <w:r>
        <w:t xml:space="preserve">) patients in </w:t>
      </w:r>
      <w:proofErr w:type="spellStart"/>
      <w:r>
        <w:t>maribavir</w:t>
      </w:r>
      <w:proofErr w:type="spellEnd"/>
      <w:r>
        <w:t xml:space="preserve"> arm had </w:t>
      </w:r>
      <w:r w:rsidR="00D011E5" w:rsidRPr="00453FD6">
        <w:t xml:space="preserve">resistance-associated amino acid substitution </w:t>
      </w:r>
      <w:r>
        <w:t>conferring resistance to</w:t>
      </w:r>
      <w:r w:rsidRPr="00453FD6">
        <w:t xml:space="preserve"> ganciclovir, </w:t>
      </w:r>
      <w:proofErr w:type="spellStart"/>
      <w:r w:rsidRPr="00453FD6">
        <w:t>foscarnet</w:t>
      </w:r>
      <w:proofErr w:type="spellEnd"/>
      <w:r w:rsidRPr="00453FD6">
        <w:t>, and/or cidofovir</w:t>
      </w:r>
      <w:r>
        <w:t xml:space="preserve"> at </w:t>
      </w:r>
      <w:r w:rsidR="00D011E5">
        <w:t>B</w:t>
      </w:r>
      <w:r>
        <w:t>aseline.</w:t>
      </w:r>
    </w:p>
    <w:p w14:paraId="38D6C4C6" w14:textId="11493A08" w:rsidR="00320612" w:rsidRDefault="00FA7878" w:rsidP="00320612">
      <w:r w:rsidRPr="00FA7878">
        <w:t xml:space="preserve">The inclusion criteria required the participants to have </w:t>
      </w:r>
      <w:r w:rsidR="00230EF3">
        <w:t>an estimated glomerular filtration rate (eGFR)</w:t>
      </w:r>
      <w:r w:rsidR="00230EF3" w:rsidRPr="00FA7878">
        <w:t xml:space="preserve"> </w:t>
      </w:r>
      <w:r w:rsidR="00D011E5">
        <w:t xml:space="preserve">greater than </w:t>
      </w:r>
      <w:r w:rsidRPr="00FA7878">
        <w:t>30</w:t>
      </w:r>
      <w:r w:rsidR="00D011E5">
        <w:t xml:space="preserve"> </w:t>
      </w:r>
      <w:r w:rsidRPr="00FA7878">
        <w:t>mL/min/1.73</w:t>
      </w:r>
      <w:r w:rsidR="00D011E5">
        <w:t xml:space="preserve"> </w:t>
      </w:r>
      <w:r w:rsidRPr="00FA7878">
        <w:t>m</w:t>
      </w:r>
      <w:r w:rsidRPr="00D011E5">
        <w:rPr>
          <w:vertAlign w:val="superscript"/>
        </w:rPr>
        <w:t>2</w:t>
      </w:r>
      <w:r w:rsidRPr="00FA7878">
        <w:t xml:space="preserve">. At </w:t>
      </w:r>
      <w:r w:rsidR="00D011E5">
        <w:t>B</w:t>
      </w:r>
      <w:r w:rsidRPr="00FA7878">
        <w:t>aseline, the comparative groups were as follows</w:t>
      </w:r>
      <w:r w:rsidR="00D011E5">
        <w:t xml:space="preserve"> (</w:t>
      </w:r>
      <w:r w:rsidR="00D011E5">
        <w:fldChar w:fldCharType="begin"/>
      </w:r>
      <w:r w:rsidR="00D011E5">
        <w:instrText xml:space="preserve"> REF _Ref132800649 \h </w:instrText>
      </w:r>
      <w:r w:rsidR="00D011E5">
        <w:fldChar w:fldCharType="separate"/>
      </w:r>
      <w:r w:rsidR="001D123C">
        <w:t xml:space="preserve">Table </w:t>
      </w:r>
      <w:r w:rsidR="001D123C">
        <w:rPr>
          <w:noProof/>
        </w:rPr>
        <w:t>13</w:t>
      </w:r>
      <w:r w:rsidR="00D011E5">
        <w:fldChar w:fldCharType="end"/>
      </w:r>
      <w:r w:rsidR="00D011E5">
        <w:t>).</w:t>
      </w:r>
    </w:p>
    <w:p w14:paraId="71DCE046" w14:textId="7B54C572" w:rsidR="00FA7878" w:rsidRDefault="00FA7878" w:rsidP="00FA7878">
      <w:pPr>
        <w:pStyle w:val="TableTitle"/>
      </w:pPr>
      <w:bookmarkStart w:id="70" w:name="_Ref132800649"/>
      <w:r>
        <w:t xml:space="preserve">Table </w:t>
      </w:r>
      <w:r w:rsidR="00B24F8E">
        <w:fldChar w:fldCharType="begin"/>
      </w:r>
      <w:r w:rsidR="00B24F8E">
        <w:instrText xml:space="preserve"> SEQ Table \* ARABIC </w:instrText>
      </w:r>
      <w:r w:rsidR="00B24F8E">
        <w:fldChar w:fldCharType="separate"/>
      </w:r>
      <w:r w:rsidR="001D123C">
        <w:rPr>
          <w:noProof/>
        </w:rPr>
        <w:t>13</w:t>
      </w:r>
      <w:r w:rsidR="00B24F8E">
        <w:rPr>
          <w:noProof/>
        </w:rPr>
        <w:fldChar w:fldCharType="end"/>
      </w:r>
      <w:bookmarkEnd w:id="70"/>
      <w:r>
        <w:t>:</w:t>
      </w:r>
      <w:r w:rsidR="00D011E5">
        <w:t xml:space="preserve"> </w:t>
      </w:r>
      <w:r w:rsidR="00230EF3">
        <w:t xml:space="preserve">Study 303 </w:t>
      </w:r>
      <w:r w:rsidR="00D011E5">
        <w:t>General baseline characteristic</w:t>
      </w:r>
      <w:r w:rsidR="00230EF3">
        <w:t>s</w:t>
      </w:r>
      <w:r w:rsidR="00D011E5">
        <w:t xml:space="preserve"> by treatment group</w:t>
      </w:r>
    </w:p>
    <w:p w14:paraId="41BE43D3" w14:textId="366BE1EF" w:rsidR="00FA7878" w:rsidRDefault="00FA7878" w:rsidP="00FA7878">
      <w:r>
        <w:rPr>
          <w:noProof/>
          <w:lang w:val="en-GB" w:eastAsia="en-GB"/>
        </w:rPr>
        <w:drawing>
          <wp:inline distT="0" distB="0" distL="0" distR="0" wp14:anchorId="3EEC4D79" wp14:editId="4443D88A">
            <wp:extent cx="5476199" cy="1511300"/>
            <wp:effectExtent l="0" t="0" r="0" b="0"/>
            <wp:docPr id="16" name="Picture 16" descr="General baseline characteristic by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eneral baseline characteristic by treatment group"/>
                    <pic:cNvPicPr>
                      <a:picLocks noChangeAspect="1" noChangeArrowheads="1"/>
                    </pic:cNvPicPr>
                  </pic:nvPicPr>
                  <pic:blipFill rotWithShape="1">
                    <a:blip r:embed="rId33">
                      <a:extLst>
                        <a:ext uri="{28A0092B-C50C-407E-A947-70E740481C1C}">
                          <a14:useLocalDpi xmlns:a14="http://schemas.microsoft.com/office/drawing/2010/main" val="0"/>
                        </a:ext>
                      </a:extLst>
                    </a:blip>
                    <a:srcRect t="12586" r="982" b="4653"/>
                    <a:stretch/>
                  </pic:blipFill>
                  <pic:spPr bwMode="auto">
                    <a:xfrm>
                      <a:off x="0" y="0"/>
                      <a:ext cx="5479306" cy="1512158"/>
                    </a:xfrm>
                    <a:prstGeom prst="rect">
                      <a:avLst/>
                    </a:prstGeom>
                    <a:noFill/>
                    <a:ln>
                      <a:noFill/>
                    </a:ln>
                    <a:extLst>
                      <a:ext uri="{53640926-AAD7-44D8-BBD7-CCE9431645EC}">
                        <a14:shadowObscured xmlns:a14="http://schemas.microsoft.com/office/drawing/2010/main"/>
                      </a:ext>
                    </a:extLst>
                  </pic:spPr>
                </pic:pic>
              </a:graphicData>
            </a:graphic>
          </wp:inline>
        </w:drawing>
      </w:r>
    </w:p>
    <w:p w14:paraId="2176630F" w14:textId="4C613775" w:rsidR="00FA7878" w:rsidRDefault="00FA7878" w:rsidP="00FA7878">
      <w:r>
        <w:t>The t</w:t>
      </w:r>
      <w:r w:rsidRPr="00453FD6">
        <w:t xml:space="preserve">reatment was </w:t>
      </w:r>
      <w:r>
        <w:t xml:space="preserve">to be </w:t>
      </w:r>
      <w:r w:rsidRPr="00453FD6">
        <w:t>continued for 8 weeks</w:t>
      </w:r>
      <w:r>
        <w:t xml:space="preserve"> in both arms. </w:t>
      </w:r>
      <w:r w:rsidRPr="00453FD6">
        <w:t>Overall, 220</w:t>
      </w:r>
      <w:r>
        <w:t xml:space="preserve"> out of 352</w:t>
      </w:r>
      <w:r w:rsidRPr="00453FD6">
        <w:t xml:space="preserve"> (62.5%) randomised patients completed 8 weeks of study-assigned treatment.</w:t>
      </w:r>
    </w:p>
    <w:p w14:paraId="55C2FE9B" w14:textId="39BDF298" w:rsidR="00FA7878" w:rsidRPr="00453FD6" w:rsidRDefault="00FA7878" w:rsidP="00FA7878">
      <w:r w:rsidRPr="00453FD6">
        <w:t xml:space="preserve">In </w:t>
      </w:r>
      <w:proofErr w:type="spellStart"/>
      <w:r w:rsidRPr="00453FD6">
        <w:t>maribavir</w:t>
      </w:r>
      <w:proofErr w:type="spellEnd"/>
      <w:r w:rsidRPr="00453FD6">
        <w:t xml:space="preserve"> arm, 77.9% </w:t>
      </w:r>
      <w:r>
        <w:t>patients</w:t>
      </w:r>
      <w:r w:rsidRPr="00453FD6">
        <w:t xml:space="preserve"> completed the full </w:t>
      </w:r>
      <w:r>
        <w:t xml:space="preserve">eight </w:t>
      </w:r>
      <w:r w:rsidRPr="00453FD6">
        <w:t>week treatment period, compared with 31.6% in the IAT arm.</w:t>
      </w:r>
    </w:p>
    <w:p w14:paraId="34AE5714" w14:textId="45D0E007" w:rsidR="00FA7878" w:rsidRDefault="00FA7878" w:rsidP="00FA7878">
      <w:r w:rsidRPr="00453FD6">
        <w:lastRenderedPageBreak/>
        <w:t>Twenty</w:t>
      </w:r>
      <w:r w:rsidR="00A10974">
        <w:t xml:space="preserve"> </w:t>
      </w:r>
      <w:r w:rsidRPr="00453FD6">
        <w:t xml:space="preserve">two </w:t>
      </w:r>
      <w:r>
        <w:t xml:space="preserve">IAT </w:t>
      </w:r>
      <w:r w:rsidRPr="00453FD6">
        <w:t xml:space="preserve">randomised </w:t>
      </w:r>
      <w:r>
        <w:t xml:space="preserve">subjects </w:t>
      </w:r>
      <w:r w:rsidRPr="00453FD6">
        <w:t>entered a protocol</w:t>
      </w:r>
      <w:r>
        <w:t xml:space="preserve"> </w:t>
      </w:r>
      <w:r w:rsidRPr="00453FD6">
        <w:t xml:space="preserve">defined </w:t>
      </w:r>
      <w:proofErr w:type="spellStart"/>
      <w:r>
        <w:t>maribavir</w:t>
      </w:r>
      <w:proofErr w:type="spellEnd"/>
      <w:r>
        <w:t xml:space="preserve"> </w:t>
      </w:r>
      <w:r w:rsidRPr="00453FD6">
        <w:t>rescue period after failing to demonstrate adequate virological response to IAT.</w:t>
      </w:r>
    </w:p>
    <w:p w14:paraId="1F4F5AC8" w14:textId="77777777" w:rsidR="00FA7878" w:rsidRPr="00344271" w:rsidRDefault="00FA7878" w:rsidP="00FA7878">
      <w:pPr>
        <w:pStyle w:val="Heading6"/>
      </w:pPr>
      <w:r>
        <w:t>Results</w:t>
      </w:r>
    </w:p>
    <w:p w14:paraId="425A6D31" w14:textId="348383F6" w:rsidR="00FA7878" w:rsidRDefault="00FA7878" w:rsidP="00FA7878">
      <w:r w:rsidRPr="00453FD6">
        <w:t xml:space="preserve">The primary </w:t>
      </w:r>
      <w:r>
        <w:t>outcome</w:t>
      </w:r>
      <w:r w:rsidRPr="00453FD6">
        <w:t xml:space="preserve"> was a surrogate meas</w:t>
      </w:r>
      <w:r>
        <w:t>ure</w:t>
      </w:r>
      <w:r w:rsidRPr="00453FD6">
        <w:t xml:space="preserve"> </w:t>
      </w:r>
      <w:r>
        <w:t>that is</w:t>
      </w:r>
      <w:r w:rsidRPr="00453FD6">
        <w:t xml:space="preserve"> confirmed CMV viremia clearance </w:t>
      </w:r>
      <w:r>
        <w:t>(after</w:t>
      </w:r>
      <w:r w:rsidRPr="00453FD6">
        <w:t xml:space="preserve"> </w:t>
      </w:r>
      <w:r>
        <w:t>8</w:t>
      </w:r>
      <w:r w:rsidR="00230EF3">
        <w:t> </w:t>
      </w:r>
      <w:r>
        <w:t>weeks of treatment)</w:t>
      </w:r>
      <w:r w:rsidRPr="00453FD6">
        <w:t>.</w:t>
      </w:r>
      <w:r>
        <w:t xml:space="preserve"> This outcome </w:t>
      </w:r>
      <w:r w:rsidRPr="00453FD6">
        <w:t>has been shown to predict</w:t>
      </w:r>
      <w:r>
        <w:t xml:space="preserve"> the</w:t>
      </w:r>
      <w:r w:rsidRPr="00453FD6">
        <w:t xml:space="preserve"> development of CMV disease </w:t>
      </w:r>
      <w:r>
        <w:t xml:space="preserve">and mortality </w:t>
      </w:r>
      <w:r w:rsidRPr="00453FD6">
        <w:t>in transplant recipients.</w:t>
      </w:r>
    </w:p>
    <w:p w14:paraId="221BD608" w14:textId="77777777" w:rsidR="00FA7878" w:rsidRPr="00453FD6" w:rsidRDefault="00FA7878" w:rsidP="00FA7878">
      <w:r>
        <w:t>The primary analysis was based on randomised set.</w:t>
      </w:r>
    </w:p>
    <w:p w14:paraId="20EEB398" w14:textId="7B48BE52" w:rsidR="00FA7878" w:rsidRDefault="00FA7878" w:rsidP="00FA7878">
      <w:r>
        <w:t>A total of 131 out of 235 (</w:t>
      </w:r>
      <w:r w:rsidRPr="00453FD6">
        <w:t>55.7%</w:t>
      </w:r>
      <w:r>
        <w:t>)</w:t>
      </w:r>
      <w:r w:rsidRPr="00453FD6">
        <w:t xml:space="preserve"> </w:t>
      </w:r>
      <w:proofErr w:type="spellStart"/>
      <w:r w:rsidRPr="00453FD6">
        <w:t>maribavir</w:t>
      </w:r>
      <w:proofErr w:type="spellEnd"/>
      <w:r>
        <w:t xml:space="preserve"> patients</w:t>
      </w:r>
      <w:r w:rsidRPr="00453FD6">
        <w:t xml:space="preserve"> achieved confirmed CMV viremia clearance at Week 8 compared to </w:t>
      </w:r>
      <w:r>
        <w:t>28 out of 117 (</w:t>
      </w:r>
      <w:r w:rsidRPr="00453FD6">
        <w:t>23.9%</w:t>
      </w:r>
      <w:r>
        <w:t>)</w:t>
      </w:r>
      <w:r w:rsidRPr="00453FD6">
        <w:t xml:space="preserve"> IAT</w:t>
      </w:r>
      <w:r>
        <w:t xml:space="preserve"> patients. The adjusted treatment difference was </w:t>
      </w:r>
      <w:r w:rsidRPr="00453FD6">
        <w:t>32.8%</w:t>
      </w:r>
      <w:r>
        <w:t xml:space="preserve"> (</w:t>
      </w:r>
      <w:r w:rsidRPr="00453FD6">
        <w:t>95%</w:t>
      </w:r>
      <w:r w:rsidR="00230EF3">
        <w:t xml:space="preserve"> confidence interval (</w:t>
      </w:r>
      <w:r w:rsidRPr="00453FD6">
        <w:t>CI</w:t>
      </w:r>
      <w:r w:rsidR="00230EF3">
        <w:t>)</w:t>
      </w:r>
      <w:r>
        <w:t xml:space="preserve">: </w:t>
      </w:r>
      <w:r w:rsidRPr="00453FD6">
        <w:t>22.80</w:t>
      </w:r>
      <w:r>
        <w:t>%</w:t>
      </w:r>
      <w:r w:rsidRPr="00453FD6">
        <w:t>, 42.74</w:t>
      </w:r>
      <w:r>
        <w:t>%</w:t>
      </w:r>
      <w:r w:rsidRPr="00453FD6">
        <w:t>)</w:t>
      </w:r>
      <w:r>
        <w:t xml:space="preserve"> in favour of </w:t>
      </w:r>
      <w:proofErr w:type="spellStart"/>
      <w:r>
        <w:t>maribavir</w:t>
      </w:r>
      <w:proofErr w:type="spellEnd"/>
      <w:r>
        <w:t xml:space="preserve"> as shown below in </w:t>
      </w:r>
      <w:r w:rsidR="00B67D9D">
        <w:fldChar w:fldCharType="begin"/>
      </w:r>
      <w:r w:rsidR="00B67D9D">
        <w:instrText xml:space="preserve"> REF _Ref132359146 \h </w:instrText>
      </w:r>
      <w:r w:rsidR="00B67D9D">
        <w:fldChar w:fldCharType="separate"/>
      </w:r>
      <w:r w:rsidR="001D123C">
        <w:t xml:space="preserve">Table </w:t>
      </w:r>
      <w:r w:rsidR="001D123C">
        <w:rPr>
          <w:noProof/>
        </w:rPr>
        <w:t>14</w:t>
      </w:r>
      <w:r w:rsidR="00B67D9D">
        <w:fldChar w:fldCharType="end"/>
      </w:r>
      <w:r w:rsidR="00B67D9D">
        <w:t>.</w:t>
      </w:r>
    </w:p>
    <w:p w14:paraId="64C335E9" w14:textId="51EE6A5C" w:rsidR="00FA7878" w:rsidRDefault="00FA7878" w:rsidP="00FA7878">
      <w:pPr>
        <w:pStyle w:val="TableTitle"/>
      </w:pPr>
      <w:bookmarkStart w:id="71" w:name="_Ref132359146"/>
      <w:r>
        <w:t xml:space="preserve">Table </w:t>
      </w:r>
      <w:r w:rsidR="00B24F8E">
        <w:fldChar w:fldCharType="begin"/>
      </w:r>
      <w:r w:rsidR="00B24F8E">
        <w:instrText xml:space="preserve"> SEQ Table \* ARABIC </w:instrText>
      </w:r>
      <w:r w:rsidR="00B24F8E">
        <w:fldChar w:fldCharType="separate"/>
      </w:r>
      <w:r w:rsidR="001D123C">
        <w:rPr>
          <w:noProof/>
        </w:rPr>
        <w:t>14</w:t>
      </w:r>
      <w:r w:rsidR="00B24F8E">
        <w:rPr>
          <w:noProof/>
        </w:rPr>
        <w:fldChar w:fldCharType="end"/>
      </w:r>
      <w:bookmarkEnd w:id="71"/>
      <w:r>
        <w:t xml:space="preserve">: </w:t>
      </w:r>
      <w:r w:rsidR="00D011E5">
        <w:t>Study 303 Confirmed cytomegalovirus viremia clearance response at Week 8 by treatment group (randomised set)</w:t>
      </w:r>
    </w:p>
    <w:p w14:paraId="006C9B06" w14:textId="2FA688D9" w:rsidR="00FA7878" w:rsidRPr="00453FD6" w:rsidRDefault="00FA7878" w:rsidP="00FA7878">
      <w:r>
        <w:rPr>
          <w:noProof/>
          <w:lang w:val="en-GB" w:eastAsia="en-GB"/>
        </w:rPr>
        <w:drawing>
          <wp:inline distT="0" distB="0" distL="0" distR="0" wp14:anchorId="477D6A76" wp14:editId="2B2FCD98">
            <wp:extent cx="4992447" cy="1515110"/>
            <wp:effectExtent l="0" t="0" r="0" b="8890"/>
            <wp:docPr id="25" name="Picture 25" descr="Study 303 Confirmed cytomegalovirus viremia clearance response at Week 8 by treatment group (randomis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tudy 303 Confirmed cytomegalovirus viremia clearance response at Week 8 by treatment group (randomised set)"/>
                    <pic:cNvPicPr>
                      <a:picLocks noChangeAspect="1" noChangeArrowheads="1"/>
                    </pic:cNvPicPr>
                  </pic:nvPicPr>
                  <pic:blipFill rotWithShape="1">
                    <a:blip r:embed="rId34">
                      <a:extLst>
                        <a:ext uri="{28A0092B-C50C-407E-A947-70E740481C1C}">
                          <a14:useLocalDpi xmlns:a14="http://schemas.microsoft.com/office/drawing/2010/main" val="0"/>
                        </a:ext>
                      </a:extLst>
                    </a:blip>
                    <a:srcRect l="1198" t="17959" r="1379" b="7833"/>
                    <a:stretch/>
                  </pic:blipFill>
                  <pic:spPr bwMode="auto">
                    <a:xfrm>
                      <a:off x="0" y="0"/>
                      <a:ext cx="4993388" cy="1515396"/>
                    </a:xfrm>
                    <a:prstGeom prst="rect">
                      <a:avLst/>
                    </a:prstGeom>
                    <a:noFill/>
                    <a:ln>
                      <a:noFill/>
                    </a:ln>
                    <a:extLst>
                      <a:ext uri="{53640926-AAD7-44D8-BBD7-CCE9431645EC}">
                        <a14:shadowObscured xmlns:a14="http://schemas.microsoft.com/office/drawing/2010/main"/>
                      </a:ext>
                    </a:extLst>
                  </pic:spPr>
                </pic:pic>
              </a:graphicData>
            </a:graphic>
          </wp:inline>
        </w:drawing>
      </w:r>
    </w:p>
    <w:p w14:paraId="6183EF9F" w14:textId="7986E8E5" w:rsidR="00FA7878" w:rsidRDefault="00FA7878" w:rsidP="00FA7878">
      <w:bookmarkStart w:id="72" w:name="4.3.2_Key_Secondary_Endpoint_in_Study_30"/>
      <w:bookmarkStart w:id="73" w:name="_bookmark25"/>
      <w:bookmarkEnd w:id="72"/>
      <w:bookmarkEnd w:id="73"/>
      <w:r>
        <w:t>The result was examined using various sensitivity analyses and considered robust. However, completers analysis (patients who completed eight weeks on their randomised treatment: 183</w:t>
      </w:r>
      <w:r w:rsidR="00230EF3">
        <w:t> </w:t>
      </w:r>
      <w:r>
        <w:t xml:space="preserve">out of 235 </w:t>
      </w:r>
      <w:proofErr w:type="spellStart"/>
      <w:r>
        <w:t>maribavir</w:t>
      </w:r>
      <w:proofErr w:type="spellEnd"/>
      <w:r>
        <w:t xml:space="preserve"> versus 37 out of 117 IAT patients) numerically in favour of </w:t>
      </w:r>
      <w:proofErr w:type="spellStart"/>
      <w:r>
        <w:t>maribavir</w:t>
      </w:r>
      <w:proofErr w:type="spellEnd"/>
      <w:r>
        <w:t xml:space="preserve"> but the 10% treatment difference was statistically not significant</w:t>
      </w:r>
      <w:r w:rsidR="00B67D9D">
        <w:t xml:space="preserve"> (</w:t>
      </w:r>
      <w:r w:rsidR="00B67D9D">
        <w:fldChar w:fldCharType="begin"/>
      </w:r>
      <w:r w:rsidR="00B67D9D">
        <w:instrText xml:space="preserve"> REF _Ref132359170 \h </w:instrText>
      </w:r>
      <w:r w:rsidR="00B67D9D">
        <w:fldChar w:fldCharType="separate"/>
      </w:r>
      <w:r w:rsidR="001D123C">
        <w:t xml:space="preserve">Table </w:t>
      </w:r>
      <w:r w:rsidR="001D123C">
        <w:rPr>
          <w:noProof/>
        </w:rPr>
        <w:t>15</w:t>
      </w:r>
      <w:r w:rsidR="00B67D9D">
        <w:fldChar w:fldCharType="end"/>
      </w:r>
      <w:r w:rsidR="00B67D9D">
        <w:t>).</w:t>
      </w:r>
    </w:p>
    <w:p w14:paraId="3C1B4885" w14:textId="27452ABC" w:rsidR="00FA7878" w:rsidRDefault="00FA7878" w:rsidP="00FA7878">
      <w:pPr>
        <w:pStyle w:val="TableTitle"/>
      </w:pPr>
      <w:bookmarkStart w:id="74" w:name="_Ref132359170"/>
      <w:r>
        <w:t xml:space="preserve">Table </w:t>
      </w:r>
      <w:r w:rsidR="00B24F8E">
        <w:fldChar w:fldCharType="begin"/>
      </w:r>
      <w:r w:rsidR="00B24F8E">
        <w:instrText xml:space="preserve"> SEQ Table \* ARABIC </w:instrText>
      </w:r>
      <w:r w:rsidR="00B24F8E">
        <w:fldChar w:fldCharType="separate"/>
      </w:r>
      <w:r w:rsidR="001D123C">
        <w:rPr>
          <w:noProof/>
        </w:rPr>
        <w:t>15</w:t>
      </w:r>
      <w:r w:rsidR="00B24F8E">
        <w:rPr>
          <w:noProof/>
        </w:rPr>
        <w:fldChar w:fldCharType="end"/>
      </w:r>
      <w:bookmarkEnd w:id="74"/>
      <w:r>
        <w:t>:</w:t>
      </w:r>
      <w:r w:rsidR="00D011E5">
        <w:t xml:space="preserve"> </w:t>
      </w:r>
      <w:r w:rsidR="00230EF3">
        <w:t xml:space="preserve">Study 303 </w:t>
      </w:r>
      <w:r w:rsidR="00D011E5">
        <w:t>Sensitivity analysis of confirmed cytomegalovirus viremia clearance in subjects who received 8 weeks of study assigned treatment (randomised set)</w:t>
      </w:r>
    </w:p>
    <w:p w14:paraId="1D8C9AAE" w14:textId="4B038375" w:rsidR="00FA7878" w:rsidRDefault="00FA7878" w:rsidP="00FA7878">
      <w:pPr>
        <w:spacing w:after="0"/>
      </w:pPr>
      <w:r>
        <w:rPr>
          <w:noProof/>
          <w:lang w:val="en-GB" w:eastAsia="en-GB"/>
        </w:rPr>
        <w:drawing>
          <wp:inline distT="0" distB="0" distL="0" distR="0" wp14:anchorId="316A187F" wp14:editId="7527CE21">
            <wp:extent cx="5490492" cy="1352550"/>
            <wp:effectExtent l="0" t="0" r="0" b="0"/>
            <wp:docPr id="24" name="Picture 24" descr="Sensitivity analysis of confirmed cytomegalovirus viremia clearance in subjects who received 8 weeks of study assigned treatment (randomis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ensitivity analysis of confirmed cytomegalovirus viremia clearance in subjects who received 8 weeks of study assigned treatment (randomised set)"/>
                    <pic:cNvPicPr>
                      <a:picLocks noChangeAspect="1" noChangeArrowheads="1"/>
                    </pic:cNvPicPr>
                  </pic:nvPicPr>
                  <pic:blipFill rotWithShape="1">
                    <a:blip r:embed="rId35">
                      <a:extLst>
                        <a:ext uri="{28A0092B-C50C-407E-A947-70E740481C1C}">
                          <a14:useLocalDpi xmlns:a14="http://schemas.microsoft.com/office/drawing/2010/main" val="0"/>
                        </a:ext>
                      </a:extLst>
                    </a:blip>
                    <a:srcRect l="1068" t="20457" r="2028" b="5395"/>
                    <a:stretch/>
                  </pic:blipFill>
                  <pic:spPr bwMode="auto">
                    <a:xfrm>
                      <a:off x="0" y="0"/>
                      <a:ext cx="5498385" cy="1354494"/>
                    </a:xfrm>
                    <a:prstGeom prst="rect">
                      <a:avLst/>
                    </a:prstGeom>
                    <a:noFill/>
                    <a:ln>
                      <a:noFill/>
                    </a:ln>
                    <a:extLst>
                      <a:ext uri="{53640926-AAD7-44D8-BBD7-CCE9431645EC}">
                        <a14:shadowObscured xmlns:a14="http://schemas.microsoft.com/office/drawing/2010/main"/>
                      </a:ext>
                    </a:extLst>
                  </pic:spPr>
                </pic:pic>
              </a:graphicData>
            </a:graphic>
          </wp:inline>
        </w:drawing>
      </w:r>
    </w:p>
    <w:p w14:paraId="3616C414" w14:textId="00C02909" w:rsidR="00FA7878" w:rsidRDefault="00FA7878" w:rsidP="00FA7878">
      <w:r w:rsidRPr="00FA7878">
        <w:t xml:space="preserve">The primary outcome (CMV DNA undetectable at 8 weeks; randomised set) was consistent across various subgroups, noting very low numbers in the </w:t>
      </w:r>
      <w:r w:rsidR="00D011E5">
        <w:t>h</w:t>
      </w:r>
      <w:r w:rsidRPr="00FA7878">
        <w:t xml:space="preserve">igh viral load subgroup at </w:t>
      </w:r>
      <w:r w:rsidR="00D011E5">
        <w:t>B</w:t>
      </w:r>
      <w:r w:rsidRPr="00FA7878">
        <w:t xml:space="preserve">aseline in the </w:t>
      </w:r>
      <w:r w:rsidR="00D011E5">
        <w:fldChar w:fldCharType="begin"/>
      </w:r>
      <w:r w:rsidR="00D011E5">
        <w:instrText xml:space="preserve"> REF _Ref132801059 \h </w:instrText>
      </w:r>
      <w:r w:rsidR="00D011E5">
        <w:fldChar w:fldCharType="separate"/>
      </w:r>
      <w:r w:rsidR="001D123C">
        <w:t xml:space="preserve">Table </w:t>
      </w:r>
      <w:r w:rsidR="001D123C">
        <w:rPr>
          <w:noProof/>
        </w:rPr>
        <w:t>16</w:t>
      </w:r>
      <w:r w:rsidR="00D011E5">
        <w:fldChar w:fldCharType="end"/>
      </w:r>
      <w:r w:rsidRPr="00FA7878">
        <w:t xml:space="preserve"> below</w:t>
      </w:r>
      <w:r w:rsidR="008C114A">
        <w:t>.</w:t>
      </w:r>
    </w:p>
    <w:p w14:paraId="23D9AE76" w14:textId="2625C6B7" w:rsidR="00B67D9D" w:rsidRDefault="00B67D9D" w:rsidP="00B67D9D">
      <w:pPr>
        <w:pStyle w:val="TableTitle"/>
      </w:pPr>
      <w:bookmarkStart w:id="75" w:name="_Ref132801059"/>
      <w:r>
        <w:lastRenderedPageBreak/>
        <w:t xml:space="preserve">Table </w:t>
      </w:r>
      <w:r w:rsidR="00B24F8E">
        <w:fldChar w:fldCharType="begin"/>
      </w:r>
      <w:r w:rsidR="00B24F8E">
        <w:instrText xml:space="preserve"> SEQ Table \* ARABIC </w:instrText>
      </w:r>
      <w:r w:rsidR="00B24F8E">
        <w:fldChar w:fldCharType="separate"/>
      </w:r>
      <w:r w:rsidR="001D123C">
        <w:rPr>
          <w:noProof/>
        </w:rPr>
        <w:t>16</w:t>
      </w:r>
      <w:r w:rsidR="00B24F8E">
        <w:rPr>
          <w:noProof/>
        </w:rPr>
        <w:fldChar w:fldCharType="end"/>
      </w:r>
      <w:bookmarkEnd w:id="75"/>
      <w:r>
        <w:t>:</w:t>
      </w:r>
      <w:r w:rsidR="008C114A">
        <w:t xml:space="preserve"> Study 303 responders by subgroup</w:t>
      </w:r>
    </w:p>
    <w:p w14:paraId="3A2AE359" w14:textId="04E3CFD7" w:rsidR="00B67D9D" w:rsidRDefault="00B67D9D" w:rsidP="00957596">
      <w:r>
        <w:rPr>
          <w:noProof/>
          <w:lang w:val="en-GB" w:eastAsia="en-GB"/>
        </w:rPr>
        <w:drawing>
          <wp:inline distT="0" distB="0" distL="0" distR="0" wp14:anchorId="45ECAE79" wp14:editId="32244FEC">
            <wp:extent cx="5353050" cy="4416397"/>
            <wp:effectExtent l="0" t="0" r="0" b="3810"/>
            <wp:docPr id="23" name="Picture 23" descr="Study 303 responders by 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tudy 303 responders by subgroup"/>
                    <pic:cNvPicPr>
                      <a:picLocks noChangeAspect="1" noChangeArrowheads="1"/>
                    </pic:cNvPicPr>
                  </pic:nvPicPr>
                  <pic:blipFill rotWithShape="1">
                    <a:blip r:embed="rId36">
                      <a:extLst>
                        <a:ext uri="{28A0092B-C50C-407E-A947-70E740481C1C}">
                          <a14:useLocalDpi xmlns:a14="http://schemas.microsoft.com/office/drawing/2010/main" val="0"/>
                        </a:ext>
                      </a:extLst>
                    </a:blip>
                    <a:srcRect l="1305" t="3183" b="1961"/>
                    <a:stretch/>
                  </pic:blipFill>
                  <pic:spPr bwMode="auto">
                    <a:xfrm>
                      <a:off x="0" y="0"/>
                      <a:ext cx="5368915" cy="4429486"/>
                    </a:xfrm>
                    <a:prstGeom prst="rect">
                      <a:avLst/>
                    </a:prstGeom>
                    <a:noFill/>
                    <a:ln>
                      <a:noFill/>
                    </a:ln>
                    <a:extLst>
                      <a:ext uri="{53640926-AAD7-44D8-BBD7-CCE9431645EC}">
                        <a14:shadowObscured xmlns:a14="http://schemas.microsoft.com/office/drawing/2010/main"/>
                      </a:ext>
                    </a:extLst>
                  </pic:spPr>
                </pic:pic>
              </a:graphicData>
            </a:graphic>
          </wp:inline>
        </w:drawing>
      </w:r>
    </w:p>
    <w:p w14:paraId="32A91AB0" w14:textId="0F98D06D" w:rsidR="008C114A" w:rsidRPr="008C114A" w:rsidRDefault="008C114A" w:rsidP="008C114A">
      <w:pPr>
        <w:pStyle w:val="TableDescription"/>
      </w:pPr>
      <w:r>
        <w:t>Source: FDA approved label;</w:t>
      </w:r>
      <w:r w:rsidR="00230EF3" w:rsidRPr="00C53A1C">
        <w:rPr>
          <w:vertAlign w:val="superscript"/>
        </w:rPr>
        <w:fldChar w:fldCharType="begin"/>
      </w:r>
      <w:r w:rsidR="00230EF3" w:rsidRPr="00C53A1C">
        <w:rPr>
          <w:vertAlign w:val="superscript"/>
        </w:rPr>
        <w:instrText xml:space="preserve"> NOTEREF _Ref135823441 \h </w:instrText>
      </w:r>
      <w:r w:rsidR="00230EF3">
        <w:rPr>
          <w:vertAlign w:val="superscript"/>
        </w:rPr>
        <w:instrText xml:space="preserve"> \* MERGEFORMAT </w:instrText>
      </w:r>
      <w:r w:rsidR="00230EF3" w:rsidRPr="00C53A1C">
        <w:rPr>
          <w:vertAlign w:val="superscript"/>
        </w:rPr>
      </w:r>
      <w:r w:rsidR="00230EF3" w:rsidRPr="00C53A1C">
        <w:rPr>
          <w:vertAlign w:val="superscript"/>
        </w:rPr>
        <w:fldChar w:fldCharType="separate"/>
      </w:r>
      <w:r w:rsidR="001D123C">
        <w:rPr>
          <w:vertAlign w:val="superscript"/>
        </w:rPr>
        <w:t>3</w:t>
      </w:r>
      <w:r w:rsidR="00230EF3" w:rsidRPr="00C53A1C">
        <w:rPr>
          <w:vertAlign w:val="superscript"/>
        </w:rPr>
        <w:fldChar w:fldCharType="end"/>
      </w:r>
    </w:p>
    <w:p w14:paraId="4F2996EA" w14:textId="77777777" w:rsidR="008C114A" w:rsidRDefault="008C114A">
      <w:r>
        <w:br w:type="page"/>
      </w:r>
    </w:p>
    <w:p w14:paraId="49245E71" w14:textId="20C14791" w:rsidR="00FA7878" w:rsidRDefault="00FA7878" w:rsidP="00FA7878">
      <w:r>
        <w:lastRenderedPageBreak/>
        <w:t xml:space="preserve">The analysis of </w:t>
      </w:r>
      <w:r w:rsidR="00A10974">
        <w:t>f</w:t>
      </w:r>
      <w:r>
        <w:t>ailures (reasons for failure) for the primary efficacy outcome wa</w:t>
      </w:r>
      <w:r w:rsidR="008C114A">
        <w:t xml:space="preserve">s shown in </w:t>
      </w:r>
      <w:r w:rsidR="008C114A">
        <w:fldChar w:fldCharType="begin"/>
      </w:r>
      <w:r w:rsidR="008C114A">
        <w:instrText xml:space="preserve"> REF _Ref132801145 \h </w:instrText>
      </w:r>
      <w:r w:rsidR="008C114A">
        <w:fldChar w:fldCharType="separate"/>
      </w:r>
      <w:r w:rsidR="001D123C">
        <w:t xml:space="preserve">Table </w:t>
      </w:r>
      <w:r w:rsidR="001D123C">
        <w:rPr>
          <w:noProof/>
        </w:rPr>
        <w:t>17</w:t>
      </w:r>
      <w:r w:rsidR="008C114A">
        <w:fldChar w:fldCharType="end"/>
      </w:r>
      <w:r w:rsidR="008C114A">
        <w:t>.</w:t>
      </w:r>
    </w:p>
    <w:p w14:paraId="6A23597A" w14:textId="3485B902" w:rsidR="00B67D9D" w:rsidRDefault="00B67D9D" w:rsidP="00B67D9D">
      <w:pPr>
        <w:pStyle w:val="TableTitle"/>
      </w:pPr>
      <w:bookmarkStart w:id="76" w:name="_Ref132801145"/>
      <w:r>
        <w:t xml:space="preserve">Table </w:t>
      </w:r>
      <w:r w:rsidR="00B24F8E">
        <w:fldChar w:fldCharType="begin"/>
      </w:r>
      <w:r w:rsidR="00B24F8E">
        <w:instrText xml:space="preserve"> SEQ Table \* ARABIC </w:instrText>
      </w:r>
      <w:r w:rsidR="00B24F8E">
        <w:fldChar w:fldCharType="separate"/>
      </w:r>
      <w:r w:rsidR="001D123C">
        <w:rPr>
          <w:noProof/>
        </w:rPr>
        <w:t>17</w:t>
      </w:r>
      <w:r w:rsidR="00B24F8E">
        <w:rPr>
          <w:noProof/>
        </w:rPr>
        <w:fldChar w:fldCharType="end"/>
      </w:r>
      <w:bookmarkEnd w:id="76"/>
      <w:r>
        <w:t>:</w:t>
      </w:r>
      <w:r w:rsidR="008C114A">
        <w:t xml:space="preserve"> </w:t>
      </w:r>
      <w:r w:rsidR="00230EF3">
        <w:t xml:space="preserve">Study 303 </w:t>
      </w:r>
      <w:r w:rsidR="008C114A">
        <w:t>Analysis of failures for primary efficacy endpoint</w:t>
      </w:r>
    </w:p>
    <w:p w14:paraId="1347F5DC" w14:textId="1B2038A7" w:rsidR="00FA7878" w:rsidRDefault="00FA7878" w:rsidP="002900B2">
      <w:pPr>
        <w:pStyle w:val="TableDescription"/>
      </w:pPr>
      <w:r>
        <w:rPr>
          <w:noProof/>
          <w:lang w:val="en-GB" w:eastAsia="en-GB"/>
        </w:rPr>
        <w:drawing>
          <wp:inline distT="0" distB="0" distL="0" distR="0" wp14:anchorId="34A5B1DF" wp14:editId="53F3E872">
            <wp:extent cx="5251069" cy="2828251"/>
            <wp:effectExtent l="0" t="0" r="6985" b="0"/>
            <wp:docPr id="22" name="Picture 22" descr="Analysis of failures for primary efficac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nalysis of failures for primary efficacy endpoint"/>
                    <pic:cNvPicPr>
                      <a:picLocks noChangeAspect="1" noChangeArrowheads="1"/>
                    </pic:cNvPicPr>
                  </pic:nvPicPr>
                  <pic:blipFill rotWithShape="1">
                    <a:blip r:embed="rId37">
                      <a:extLst>
                        <a:ext uri="{28A0092B-C50C-407E-A947-70E740481C1C}">
                          <a14:useLocalDpi xmlns:a14="http://schemas.microsoft.com/office/drawing/2010/main" val="0"/>
                        </a:ext>
                      </a:extLst>
                    </a:blip>
                    <a:srcRect l="1186" t="5418" r="13616" b="30618"/>
                    <a:stretch/>
                  </pic:blipFill>
                  <pic:spPr bwMode="auto">
                    <a:xfrm>
                      <a:off x="0" y="0"/>
                      <a:ext cx="5260218" cy="2833179"/>
                    </a:xfrm>
                    <a:prstGeom prst="rect">
                      <a:avLst/>
                    </a:prstGeom>
                    <a:noFill/>
                    <a:ln>
                      <a:noFill/>
                    </a:ln>
                    <a:extLst>
                      <a:ext uri="{53640926-AAD7-44D8-BBD7-CCE9431645EC}">
                        <a14:shadowObscured xmlns:a14="http://schemas.microsoft.com/office/drawing/2010/main"/>
                      </a:ext>
                    </a:extLst>
                  </pic:spPr>
                </pic:pic>
              </a:graphicData>
            </a:graphic>
          </wp:inline>
        </w:drawing>
      </w:r>
    </w:p>
    <w:p w14:paraId="3E2A25DA" w14:textId="1794E960" w:rsidR="008C114A" w:rsidRDefault="008C114A" w:rsidP="008C114A">
      <w:pPr>
        <w:pStyle w:val="TableDescription"/>
      </w:pPr>
      <w:r>
        <w:t xml:space="preserve">Abbreviation, CMV = cytomegalovirus; IAT = investigator assigned anti-CMV treatment; MBV = </w:t>
      </w:r>
      <w:proofErr w:type="spellStart"/>
      <w:r>
        <w:t>maribavir</w:t>
      </w:r>
      <w:proofErr w:type="spellEnd"/>
      <w:r>
        <w:t>.</w:t>
      </w:r>
    </w:p>
    <w:p w14:paraId="46C9D7E6" w14:textId="737DDF9C" w:rsidR="008C114A" w:rsidRDefault="008C114A" w:rsidP="008C114A">
      <w:pPr>
        <w:pStyle w:val="TableDescription"/>
      </w:pPr>
      <w:r>
        <w:t>Percentages are based on the number of subjects in the randomised set.</w:t>
      </w:r>
    </w:p>
    <w:p w14:paraId="3EF86A8B" w14:textId="2B2758BD" w:rsidR="008C114A" w:rsidRDefault="008C114A" w:rsidP="008C114A">
      <w:pPr>
        <w:pStyle w:val="TableDescription"/>
      </w:pPr>
      <w:r w:rsidRPr="00C53A1C">
        <w:rPr>
          <w:vertAlign w:val="superscript"/>
        </w:rPr>
        <w:t>a</w:t>
      </w:r>
      <w:r>
        <w:t xml:space="preserve"> confirmed CMV DNA level less than </w:t>
      </w:r>
      <w:r w:rsidR="003E03E1" w:rsidRPr="003E03E1">
        <w:t xml:space="preserve">lower limit of quantitation </w:t>
      </w:r>
      <w:r>
        <w:t xml:space="preserve">at the end of Week 8 (2 consecutive samples separated by at least 5 days with DNA level less than </w:t>
      </w:r>
      <w:r w:rsidR="003E03E1" w:rsidRPr="003E03E1">
        <w:t xml:space="preserve">lower limit of quantitation </w:t>
      </w:r>
      <w:r>
        <w:t>(that is less than 137 IU/mL))</w:t>
      </w:r>
    </w:p>
    <w:p w14:paraId="223A525F" w14:textId="101A2AFD" w:rsidR="008C114A" w:rsidRDefault="008C114A" w:rsidP="008C114A">
      <w:pPr>
        <w:pStyle w:val="TableDescription"/>
      </w:pPr>
      <w:r w:rsidRPr="00C53A1C">
        <w:rPr>
          <w:vertAlign w:val="superscript"/>
        </w:rPr>
        <w:t>b</w:t>
      </w:r>
      <w:r>
        <w:t xml:space="preserve"> CMV DNA breakthrough = achieved confirmed CMV DNA level less than </w:t>
      </w:r>
      <w:r w:rsidR="003E03E1" w:rsidRPr="003E03E1">
        <w:t xml:space="preserve">lower limit of quantitation </w:t>
      </w:r>
      <w:r>
        <w:t>and subsequently became detectable.</w:t>
      </w:r>
    </w:p>
    <w:p w14:paraId="58E12314" w14:textId="49A36240" w:rsidR="008C114A" w:rsidRDefault="008C114A" w:rsidP="008C114A">
      <w:pPr>
        <w:pStyle w:val="TableDescription"/>
      </w:pPr>
      <w:r w:rsidRPr="00C53A1C">
        <w:rPr>
          <w:vertAlign w:val="superscript"/>
        </w:rPr>
        <w:t>c</w:t>
      </w:r>
      <w:r>
        <w:t xml:space="preserve"> </w:t>
      </w:r>
      <w:proofErr w:type="gramStart"/>
      <w:r>
        <w:t>Other</w:t>
      </w:r>
      <w:proofErr w:type="gramEnd"/>
      <w:r>
        <w:t xml:space="preserve"> reasons = other reasons not including adverse events, deaths and lack of efficacy, withdrawal of consent, and non-compliance.</w:t>
      </w:r>
    </w:p>
    <w:p w14:paraId="1BFD0B2B" w14:textId="7204D617" w:rsidR="008C114A" w:rsidRDefault="008C114A" w:rsidP="008C114A">
      <w:pPr>
        <w:pStyle w:val="TableDescription"/>
      </w:pPr>
      <w:r w:rsidRPr="00C53A1C">
        <w:rPr>
          <w:vertAlign w:val="superscript"/>
        </w:rPr>
        <w:t>d</w:t>
      </w:r>
      <w:r>
        <w:t xml:space="preserve"> Includes subjects who completed study assigned treatment and were non-responders.</w:t>
      </w:r>
    </w:p>
    <w:p w14:paraId="3E961BBA" w14:textId="78AC3574" w:rsidR="00B47CCA" w:rsidRPr="008C114A" w:rsidRDefault="00B47CCA" w:rsidP="008C114A">
      <w:pPr>
        <w:pStyle w:val="TableDescription"/>
      </w:pPr>
      <w:r>
        <w:t>Source: FDA approved label;</w:t>
      </w:r>
      <w:r>
        <w:rPr>
          <w:vertAlign w:val="superscript"/>
        </w:rPr>
        <w:fldChar w:fldCharType="begin"/>
      </w:r>
      <w:r>
        <w:rPr>
          <w:vertAlign w:val="superscript"/>
        </w:rPr>
        <w:instrText xml:space="preserve"> NOTEREF _Ref135823441 \h  \* MERGEFORMAT </w:instrText>
      </w:r>
      <w:r>
        <w:rPr>
          <w:vertAlign w:val="superscript"/>
        </w:rPr>
      </w:r>
      <w:r>
        <w:rPr>
          <w:vertAlign w:val="superscript"/>
        </w:rPr>
        <w:fldChar w:fldCharType="separate"/>
      </w:r>
      <w:r w:rsidR="001D123C">
        <w:rPr>
          <w:vertAlign w:val="superscript"/>
        </w:rPr>
        <w:t>3</w:t>
      </w:r>
      <w:r>
        <w:rPr>
          <w:vertAlign w:val="superscript"/>
        </w:rPr>
        <w:fldChar w:fldCharType="end"/>
      </w:r>
    </w:p>
    <w:p w14:paraId="4AAFC679" w14:textId="77777777" w:rsidR="00FA7878" w:rsidRDefault="00FA7878" w:rsidP="00FA7878">
      <w:r w:rsidRPr="00992499">
        <w:t xml:space="preserve">Overall, 22 IAT randomised patients received </w:t>
      </w:r>
      <w:proofErr w:type="spellStart"/>
      <w:r w:rsidRPr="00992499">
        <w:t>maribavir</w:t>
      </w:r>
      <w:proofErr w:type="spellEnd"/>
      <w:r w:rsidRPr="00992499">
        <w:t xml:space="preserve"> as rescue therapy</w:t>
      </w:r>
      <w:r>
        <w:t xml:space="preserve"> based on predefined failure criteria</w:t>
      </w:r>
      <w:r w:rsidRPr="00992499">
        <w:t xml:space="preserve">. Of the 22 patients, 11 (50%) patients achieved confirmed CMV viremia clearance at </w:t>
      </w:r>
      <w:r>
        <w:t>8 weeks</w:t>
      </w:r>
      <w:r w:rsidRPr="00992499">
        <w:t xml:space="preserve"> of </w:t>
      </w:r>
      <w:proofErr w:type="spellStart"/>
      <w:r w:rsidRPr="00992499">
        <w:t>maribavir</w:t>
      </w:r>
      <w:proofErr w:type="spellEnd"/>
      <w:r w:rsidRPr="00992499">
        <w:t xml:space="preserve"> rescue treatment phase and 11 (50%) were non-responders.</w:t>
      </w:r>
    </w:p>
    <w:p w14:paraId="545DE9B8" w14:textId="62D4EDF1" w:rsidR="00FA7878" w:rsidRDefault="00FA7878" w:rsidP="00FA7878">
      <w:r>
        <w:t>A key</w:t>
      </w:r>
      <w:r w:rsidRPr="00453FD6">
        <w:t xml:space="preserve"> </w:t>
      </w:r>
      <w:r>
        <w:t xml:space="preserve">secondary </w:t>
      </w:r>
      <w:r w:rsidRPr="00453FD6">
        <w:t xml:space="preserve">endpoint </w:t>
      </w:r>
      <w:r>
        <w:t>was</w:t>
      </w:r>
      <w:r w:rsidRPr="00453FD6">
        <w:t xml:space="preserve"> </w:t>
      </w:r>
      <w:r>
        <w:t xml:space="preserve">composite of </w:t>
      </w:r>
      <w:r w:rsidRPr="00453FD6">
        <w:t xml:space="preserve">viral clearance and CMV infection symptom control at Week 8 </w:t>
      </w:r>
      <w:r>
        <w:t>w</w:t>
      </w:r>
      <w:r w:rsidRPr="00453FD6">
        <w:t>ith maintenance through Week 16</w:t>
      </w:r>
      <w:r>
        <w:t xml:space="preserve">. The treatment difference for this outcome was 9.5% (95%CI: 2.02%, 16.88%) in favour of </w:t>
      </w:r>
      <w:proofErr w:type="spellStart"/>
      <w:r>
        <w:t>maribavir</w:t>
      </w:r>
      <w:proofErr w:type="spellEnd"/>
      <w:r>
        <w:t xml:space="preserve"> </w:t>
      </w:r>
      <w:r w:rsidR="008C114A">
        <w:t>(</w:t>
      </w:r>
      <w:r w:rsidR="00B47CCA">
        <w:t xml:space="preserve">see </w:t>
      </w:r>
      <w:r w:rsidR="008C114A">
        <w:fldChar w:fldCharType="begin"/>
      </w:r>
      <w:r w:rsidR="008C114A">
        <w:instrText xml:space="preserve"> REF _Ref132801494 \h </w:instrText>
      </w:r>
      <w:r w:rsidR="008C114A">
        <w:fldChar w:fldCharType="separate"/>
      </w:r>
      <w:r w:rsidR="001D123C">
        <w:t xml:space="preserve">Table </w:t>
      </w:r>
      <w:r w:rsidR="001D123C">
        <w:rPr>
          <w:noProof/>
        </w:rPr>
        <w:t>18</w:t>
      </w:r>
      <w:r w:rsidR="008C114A">
        <w:fldChar w:fldCharType="end"/>
      </w:r>
      <w:r w:rsidR="008C114A">
        <w:t>).</w:t>
      </w:r>
    </w:p>
    <w:p w14:paraId="5C1432BF" w14:textId="77777777" w:rsidR="00B47CCA" w:rsidRDefault="00B47CCA" w:rsidP="00FA7878"/>
    <w:p w14:paraId="07FA42BE" w14:textId="184C9987" w:rsidR="00AE2DFA" w:rsidRDefault="00AE2DFA" w:rsidP="00AE2DFA">
      <w:pPr>
        <w:pStyle w:val="TableTitle"/>
      </w:pPr>
      <w:bookmarkStart w:id="77" w:name="_Ref132801494"/>
      <w:r>
        <w:lastRenderedPageBreak/>
        <w:t xml:space="preserve">Table </w:t>
      </w:r>
      <w:r w:rsidR="00B24F8E">
        <w:fldChar w:fldCharType="begin"/>
      </w:r>
      <w:r w:rsidR="00B24F8E">
        <w:instrText xml:space="preserve"> SEQ Table \* ARABIC </w:instrText>
      </w:r>
      <w:r w:rsidR="00B24F8E">
        <w:fldChar w:fldCharType="separate"/>
      </w:r>
      <w:r w:rsidR="001D123C">
        <w:rPr>
          <w:noProof/>
        </w:rPr>
        <w:t>18</w:t>
      </w:r>
      <w:r w:rsidR="00B24F8E">
        <w:rPr>
          <w:noProof/>
        </w:rPr>
        <w:fldChar w:fldCharType="end"/>
      </w:r>
      <w:bookmarkEnd w:id="77"/>
      <w:r>
        <w:t>:</w:t>
      </w:r>
      <w:r w:rsidR="003E03E1">
        <w:t xml:space="preserve"> Study 303 Key secondary endpoint of achieving confirmed CMV viremia clearance and CMV infection symptom control followed by maintenance through Week 16 by treatment group (randomised set)</w:t>
      </w:r>
    </w:p>
    <w:p w14:paraId="31DC28E9" w14:textId="56EFF14B" w:rsidR="00FA7878" w:rsidRDefault="00FA7878" w:rsidP="003E03E1">
      <w:r>
        <w:rPr>
          <w:noProof/>
          <w:lang w:val="en-GB" w:eastAsia="en-GB"/>
        </w:rPr>
        <w:drawing>
          <wp:inline distT="0" distB="0" distL="0" distR="0" wp14:anchorId="53A57E72" wp14:editId="27CC8FD6">
            <wp:extent cx="5545816" cy="1651000"/>
            <wp:effectExtent l="0" t="0" r="0" b="6350"/>
            <wp:docPr id="21" name="Picture 21" descr="Study 303 Key secondary endpoint of achieving confirmed CMV viremia clearance and CMV infection symptom control followed by maintenance through Week 16 by treatment group (randomis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tudy 303 Key secondary endpoint of achieving confirmed CMV viremia clearance and CMV infection symptom control followed by maintenance through Week 16 by treatment group (randomised set)"/>
                    <pic:cNvPicPr>
                      <a:picLocks noChangeAspect="1" noChangeArrowheads="1"/>
                    </pic:cNvPicPr>
                  </pic:nvPicPr>
                  <pic:blipFill rotWithShape="1">
                    <a:blip r:embed="rId38">
                      <a:extLst>
                        <a:ext uri="{28A0092B-C50C-407E-A947-70E740481C1C}">
                          <a14:useLocalDpi xmlns:a14="http://schemas.microsoft.com/office/drawing/2010/main" val="0"/>
                        </a:ext>
                      </a:extLst>
                    </a:blip>
                    <a:srcRect l="1507" t="26710" r="1583" b="4730"/>
                    <a:stretch/>
                  </pic:blipFill>
                  <pic:spPr bwMode="auto">
                    <a:xfrm>
                      <a:off x="0" y="0"/>
                      <a:ext cx="5548279" cy="1651733"/>
                    </a:xfrm>
                    <a:prstGeom prst="rect">
                      <a:avLst/>
                    </a:prstGeom>
                    <a:noFill/>
                    <a:ln>
                      <a:noFill/>
                    </a:ln>
                    <a:extLst>
                      <a:ext uri="{53640926-AAD7-44D8-BBD7-CCE9431645EC}">
                        <a14:shadowObscured xmlns:a14="http://schemas.microsoft.com/office/drawing/2010/main"/>
                      </a:ext>
                    </a:extLst>
                  </pic:spPr>
                </pic:pic>
              </a:graphicData>
            </a:graphic>
          </wp:inline>
        </w:drawing>
      </w:r>
    </w:p>
    <w:p w14:paraId="4E08ABBA" w14:textId="0EEBF293" w:rsidR="003E03E1" w:rsidRDefault="003E03E1" w:rsidP="003E03E1">
      <w:pPr>
        <w:pStyle w:val="TableDescription"/>
      </w:pPr>
      <w:r>
        <w:t>Abbreviation, BID = twice daily;</w:t>
      </w:r>
      <w:r w:rsidRPr="003E03E1">
        <w:t xml:space="preserve"> </w:t>
      </w:r>
      <w:r>
        <w:t>CMV = cytomegalovirus; IAT = investigator assigned anti-CMV treatment.</w:t>
      </w:r>
    </w:p>
    <w:p w14:paraId="0CC5BAB0" w14:textId="621DC253" w:rsidR="00B47CCA" w:rsidRDefault="00B47CCA" w:rsidP="003E03E1">
      <w:pPr>
        <w:pStyle w:val="TableDescription"/>
      </w:pPr>
      <w:r>
        <w:t>Source: FDA approved label;</w:t>
      </w:r>
      <w:r>
        <w:rPr>
          <w:vertAlign w:val="superscript"/>
        </w:rPr>
        <w:fldChar w:fldCharType="begin"/>
      </w:r>
      <w:r>
        <w:rPr>
          <w:vertAlign w:val="superscript"/>
        </w:rPr>
        <w:instrText xml:space="preserve"> NOTEREF _Ref135823441 \h  \* MERGEFORMAT </w:instrText>
      </w:r>
      <w:r>
        <w:rPr>
          <w:vertAlign w:val="superscript"/>
        </w:rPr>
      </w:r>
      <w:r>
        <w:rPr>
          <w:vertAlign w:val="superscript"/>
        </w:rPr>
        <w:fldChar w:fldCharType="separate"/>
      </w:r>
      <w:r w:rsidR="001D123C">
        <w:rPr>
          <w:vertAlign w:val="superscript"/>
        </w:rPr>
        <w:t>3</w:t>
      </w:r>
      <w:r>
        <w:rPr>
          <w:vertAlign w:val="superscript"/>
        </w:rPr>
        <w:fldChar w:fldCharType="end"/>
      </w:r>
    </w:p>
    <w:p w14:paraId="661A5027" w14:textId="77777777" w:rsidR="00FA7878" w:rsidRDefault="00FA7878" w:rsidP="00FA7878">
      <w:bookmarkStart w:id="78" w:name="4.3.4_Other_Important_Secondary_Endpoint"/>
      <w:bookmarkStart w:id="79" w:name="_bookmark27"/>
      <w:bookmarkEnd w:id="78"/>
      <w:bookmarkEnd w:id="79"/>
      <w:r w:rsidRPr="00453FD6">
        <w:t xml:space="preserve">For both treatment arms, the </w:t>
      </w:r>
      <w:r>
        <w:t>highest</w:t>
      </w:r>
      <w:r w:rsidRPr="00453FD6">
        <w:t xml:space="preserve"> loss in effect occurred between Week 8 and the </w:t>
      </w:r>
      <w:r w:rsidRPr="00BB7095">
        <w:t>Week 12 (</w:t>
      </w:r>
      <w:r w:rsidRPr="00453FD6">
        <w:t xml:space="preserve">response rate declined from 55.7% to 22.6% for </w:t>
      </w:r>
      <w:proofErr w:type="spellStart"/>
      <w:r w:rsidRPr="00453FD6">
        <w:t>maribavir</w:t>
      </w:r>
      <w:proofErr w:type="spellEnd"/>
      <w:r w:rsidRPr="00453FD6">
        <w:t xml:space="preserve"> and from 23.9% to 10.3% for IAT). The loss of effect from Week 12 to Week 20 was minimal (response rates of 22.6% to 18.3% for </w:t>
      </w:r>
      <w:proofErr w:type="spellStart"/>
      <w:r w:rsidRPr="00453FD6">
        <w:t>maribavir</w:t>
      </w:r>
      <w:proofErr w:type="spellEnd"/>
      <w:r w:rsidRPr="00453FD6">
        <w:t xml:space="preserve"> and 10.3% to 9.4% for IAT).</w:t>
      </w:r>
    </w:p>
    <w:p w14:paraId="1A81DC62" w14:textId="77307DD2" w:rsidR="00FA7878" w:rsidRDefault="00FA7878" w:rsidP="00FA7878">
      <w:r>
        <w:t xml:space="preserve">In </w:t>
      </w:r>
      <w:r w:rsidR="003E03E1">
        <w:t>S</w:t>
      </w:r>
      <w:r>
        <w:t xml:space="preserve">tudy </w:t>
      </w:r>
      <w:r w:rsidRPr="00453FD6">
        <w:t>303</w:t>
      </w:r>
      <w:r w:rsidR="0008522E">
        <w:t>,</w:t>
      </w:r>
      <w:r w:rsidRPr="00453FD6">
        <w:t xml:space="preserve"> </w:t>
      </w:r>
      <w:r>
        <w:t xml:space="preserve">recurrence </w:t>
      </w:r>
      <w:r w:rsidRPr="00453FD6">
        <w:t xml:space="preserve">was assessed using virologic criteria </w:t>
      </w:r>
      <w:r>
        <w:t>of</w:t>
      </w:r>
      <w:r w:rsidRPr="00453FD6">
        <w:t xml:space="preserve"> plasma CMV DNA </w:t>
      </w:r>
      <w:r w:rsidR="003E03E1">
        <w:t xml:space="preserve">greater than or equal to </w:t>
      </w:r>
      <w:r w:rsidR="003E03E1" w:rsidRPr="003E03E1">
        <w:t>lower limit of quantitation</w:t>
      </w:r>
      <w:r w:rsidRPr="00453FD6">
        <w:t xml:space="preserve"> in </w:t>
      </w:r>
      <w:r w:rsidR="003E03E1">
        <w:t>two</w:t>
      </w:r>
      <w:r w:rsidRPr="00453FD6">
        <w:t xml:space="preserve"> consecutive samples at least </w:t>
      </w:r>
      <w:r w:rsidR="003E03E1">
        <w:t>five</w:t>
      </w:r>
      <w:r w:rsidRPr="00453FD6">
        <w:t xml:space="preserve"> days apart in subjects who had achieved confirmed viremia clearance</w:t>
      </w:r>
      <w:r w:rsidRPr="005A4361">
        <w:t xml:space="preserve">. In this analysis, clinically relevant recurrence </w:t>
      </w:r>
      <w:r w:rsidR="003E03E1">
        <w:t>that is</w:t>
      </w:r>
      <w:r w:rsidRPr="005A4361">
        <w:t xml:space="preserve"> recurrence requiring anti-CMV treatment after Week 8, was reported for 34</w:t>
      </w:r>
      <w:r w:rsidR="003E03E1">
        <w:t xml:space="preserve"> out of </w:t>
      </w:r>
      <w:r w:rsidRPr="005A4361">
        <w:t xml:space="preserve">131 (26%) </w:t>
      </w:r>
      <w:proofErr w:type="spellStart"/>
      <w:r w:rsidRPr="005A4361">
        <w:t>maribavir</w:t>
      </w:r>
      <w:proofErr w:type="spellEnd"/>
      <w:r w:rsidRPr="005A4361">
        <w:t xml:space="preserve"> patients compared to 10</w:t>
      </w:r>
      <w:r w:rsidR="003E03E1">
        <w:t xml:space="preserve"> out of </w:t>
      </w:r>
      <w:r w:rsidRPr="005A4361">
        <w:t xml:space="preserve">28 (35.7%) IAT patients. The median time to recurrence after </w:t>
      </w:r>
      <w:r>
        <w:t xml:space="preserve">confirmed </w:t>
      </w:r>
      <w:r w:rsidRPr="005A4361">
        <w:t>CMV viremia clearance was 21 days (range 13</w:t>
      </w:r>
      <w:r w:rsidR="003E03E1">
        <w:t xml:space="preserve"> to </w:t>
      </w:r>
      <w:r w:rsidRPr="005A4361">
        <w:t xml:space="preserve">80 days) in </w:t>
      </w:r>
      <w:proofErr w:type="spellStart"/>
      <w:r w:rsidRPr="005A4361">
        <w:t>maribavir</w:t>
      </w:r>
      <w:proofErr w:type="spellEnd"/>
      <w:r w:rsidRPr="005A4361">
        <w:t xml:space="preserve"> group and 22 days (range 14</w:t>
      </w:r>
      <w:r w:rsidR="003E03E1">
        <w:t xml:space="preserve"> to </w:t>
      </w:r>
      <w:r w:rsidRPr="005A4361">
        <w:t>36 days) in IAT group.</w:t>
      </w:r>
    </w:p>
    <w:p w14:paraId="02F06AE1" w14:textId="4321DE23" w:rsidR="00FA7878" w:rsidRDefault="00FA7878" w:rsidP="00FA7878">
      <w:r w:rsidRPr="00453FD6">
        <w:t>Post</w:t>
      </w:r>
      <w:r>
        <w:t>-</w:t>
      </w:r>
      <w:r w:rsidRPr="00453FD6">
        <w:t xml:space="preserve">baseline, </w:t>
      </w:r>
      <w:r w:rsidR="003E03E1">
        <w:t>overall,</w:t>
      </w:r>
      <w:r>
        <w:t xml:space="preserve"> </w:t>
      </w:r>
      <w:r w:rsidRPr="00453FD6">
        <w:t>the</w:t>
      </w:r>
      <w:r>
        <w:t xml:space="preserve">re were </w:t>
      </w:r>
      <w:r w:rsidRPr="00453FD6">
        <w:t xml:space="preserve">22 cases of </w:t>
      </w:r>
      <w:r>
        <w:t>n</w:t>
      </w:r>
      <w:r w:rsidRPr="00453FD6">
        <w:t xml:space="preserve">ew onset </w:t>
      </w:r>
      <w:r>
        <w:t xml:space="preserve">of </w:t>
      </w:r>
      <w:r w:rsidRPr="00453FD6">
        <w:t xml:space="preserve">symptomatic CMV infection in 21 </w:t>
      </w:r>
      <w:r>
        <w:t>patients</w:t>
      </w:r>
      <w:r w:rsidRPr="00453FD6">
        <w:t xml:space="preserve">, with </w:t>
      </w:r>
      <w:r w:rsidR="003E03E1">
        <w:t>one</w:t>
      </w:r>
      <w:r w:rsidRPr="00453FD6">
        <w:t xml:space="preserve"> </w:t>
      </w:r>
      <w:r>
        <w:t>patient</w:t>
      </w:r>
      <w:r w:rsidRPr="00453FD6">
        <w:t xml:space="preserve"> in IAT</w:t>
      </w:r>
      <w:r>
        <w:t xml:space="preserve"> </w:t>
      </w:r>
      <w:r w:rsidRPr="00453FD6">
        <w:t xml:space="preserve">group having </w:t>
      </w:r>
      <w:r w:rsidR="003E03E1">
        <w:t>two</w:t>
      </w:r>
      <w:r w:rsidRPr="00453FD6">
        <w:t xml:space="preserve"> episodes</w:t>
      </w:r>
      <w:r w:rsidR="003E03E1">
        <w:t xml:space="preserve"> (</w:t>
      </w:r>
      <w:r w:rsidR="00B47CCA">
        <w:t xml:space="preserve">see </w:t>
      </w:r>
      <w:r w:rsidR="003E03E1">
        <w:fldChar w:fldCharType="begin"/>
      </w:r>
      <w:r w:rsidR="003E03E1">
        <w:instrText xml:space="preserve"> REF _Ref132802188 \h </w:instrText>
      </w:r>
      <w:r w:rsidR="003E03E1">
        <w:fldChar w:fldCharType="separate"/>
      </w:r>
      <w:r w:rsidR="001D123C">
        <w:t xml:space="preserve">Table </w:t>
      </w:r>
      <w:r w:rsidR="001D123C">
        <w:rPr>
          <w:noProof/>
        </w:rPr>
        <w:t>19</w:t>
      </w:r>
      <w:r w:rsidR="003E03E1">
        <w:fldChar w:fldCharType="end"/>
      </w:r>
      <w:r w:rsidR="003E03E1">
        <w:t>)</w:t>
      </w:r>
      <w:r w:rsidR="00AE2DFA">
        <w:t>.</w:t>
      </w:r>
    </w:p>
    <w:p w14:paraId="43ACC05D" w14:textId="572D7FA3" w:rsidR="00AE2DFA" w:rsidRDefault="00AE2DFA" w:rsidP="00AE2DFA">
      <w:pPr>
        <w:pStyle w:val="TableTitle"/>
      </w:pPr>
      <w:bookmarkStart w:id="80" w:name="_Ref132802188"/>
      <w:r>
        <w:t xml:space="preserve">Table </w:t>
      </w:r>
      <w:r w:rsidR="00B24F8E">
        <w:fldChar w:fldCharType="begin"/>
      </w:r>
      <w:r w:rsidR="00B24F8E">
        <w:instrText xml:space="preserve"> SEQ Table \* ARABIC </w:instrText>
      </w:r>
      <w:r w:rsidR="00B24F8E">
        <w:fldChar w:fldCharType="separate"/>
      </w:r>
      <w:r w:rsidR="001D123C">
        <w:rPr>
          <w:noProof/>
        </w:rPr>
        <w:t>19</w:t>
      </w:r>
      <w:r w:rsidR="00B24F8E">
        <w:rPr>
          <w:noProof/>
        </w:rPr>
        <w:fldChar w:fldCharType="end"/>
      </w:r>
      <w:bookmarkEnd w:id="80"/>
      <w:r>
        <w:t>:</w:t>
      </w:r>
      <w:r w:rsidR="003E03E1">
        <w:t xml:space="preserve"> Study 303 </w:t>
      </w:r>
      <w:r w:rsidR="00F210FD">
        <w:t>Summary</w:t>
      </w:r>
      <w:r w:rsidR="003E03E1">
        <w:t xml:space="preserve"> of post baseline new onset of symptomatic </w:t>
      </w:r>
      <w:r w:rsidR="00F210FD" w:rsidRPr="00EA73C9">
        <w:t>cytomegalovirus</w:t>
      </w:r>
      <w:r w:rsidR="003E03E1">
        <w:t xml:space="preserve"> infection (randomised set)</w:t>
      </w:r>
    </w:p>
    <w:p w14:paraId="5C40F3F5" w14:textId="4D9B7880" w:rsidR="00FA7878" w:rsidRPr="00EA73C9" w:rsidRDefault="00FA7878" w:rsidP="00FA7878">
      <w:pPr>
        <w:spacing w:before="240" w:after="240"/>
        <w:jc w:val="center"/>
      </w:pPr>
      <w:r w:rsidRPr="00EA73C9">
        <w:rPr>
          <w:noProof/>
          <w:lang w:val="en-GB" w:eastAsia="en-GB"/>
        </w:rPr>
        <w:drawing>
          <wp:inline distT="0" distB="0" distL="0" distR="0" wp14:anchorId="0EF0AB5E" wp14:editId="429B8AAD">
            <wp:extent cx="5629496" cy="1732906"/>
            <wp:effectExtent l="0" t="0" r="0" b="1270"/>
            <wp:docPr id="20" name="Picture 20" descr="Study 303 Summary of post baseline new onset of symptomatic cytomegalovirus infection (randomis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tudy 303 Summary of post baseline new onset of symptomatic cytomegalovirus infection (randomised set)"/>
                    <pic:cNvPicPr>
                      <a:picLocks noChangeAspect="1" noChangeArrowheads="1"/>
                    </pic:cNvPicPr>
                  </pic:nvPicPr>
                  <pic:blipFill rotWithShape="1">
                    <a:blip r:embed="rId39">
                      <a:extLst>
                        <a:ext uri="{28A0092B-C50C-407E-A947-70E740481C1C}">
                          <a14:useLocalDpi xmlns:a14="http://schemas.microsoft.com/office/drawing/2010/main" val="0"/>
                        </a:ext>
                      </a:extLst>
                    </a:blip>
                    <a:srcRect l="967" t="13726" r="1219" b="18150"/>
                    <a:stretch/>
                  </pic:blipFill>
                  <pic:spPr bwMode="auto">
                    <a:xfrm>
                      <a:off x="0" y="0"/>
                      <a:ext cx="5631048" cy="1733384"/>
                    </a:xfrm>
                    <a:prstGeom prst="rect">
                      <a:avLst/>
                    </a:prstGeom>
                    <a:noFill/>
                    <a:ln>
                      <a:noFill/>
                    </a:ln>
                    <a:extLst>
                      <a:ext uri="{53640926-AAD7-44D8-BBD7-CCE9431645EC}">
                        <a14:shadowObscured xmlns:a14="http://schemas.microsoft.com/office/drawing/2010/main"/>
                      </a:ext>
                    </a:extLst>
                  </pic:spPr>
                </pic:pic>
              </a:graphicData>
            </a:graphic>
          </wp:inline>
        </w:drawing>
      </w:r>
    </w:p>
    <w:p w14:paraId="0939C0FF" w14:textId="3DAD441E" w:rsidR="003E03E1" w:rsidRDefault="003E03E1" w:rsidP="003E03E1">
      <w:pPr>
        <w:pStyle w:val="TableDescription"/>
      </w:pPr>
      <w:r w:rsidRPr="00EA73C9">
        <w:t>BID = twice daily; CMV =</w:t>
      </w:r>
      <w:r w:rsidR="00F210FD">
        <w:t xml:space="preserve"> </w:t>
      </w:r>
      <w:r w:rsidRPr="00EA73C9">
        <w:t>cytomegalovirus; EAC = endpoint adju</w:t>
      </w:r>
      <w:r w:rsidR="00EA73C9" w:rsidRPr="00EA73C9">
        <w:t xml:space="preserve">dication committee; IAT = investigator assigned </w:t>
      </w:r>
      <w:proofErr w:type="spellStart"/>
      <w:r w:rsidR="00EA73C9" w:rsidRPr="00EA73C9">
        <w:t>anto</w:t>
      </w:r>
      <w:proofErr w:type="spellEnd"/>
      <w:r w:rsidR="00EA73C9" w:rsidRPr="00EA73C9">
        <w:t>-CMV treatment; N = number of subjects.</w:t>
      </w:r>
    </w:p>
    <w:p w14:paraId="43E22070" w14:textId="36D350E2" w:rsidR="00EA73C9" w:rsidRDefault="00EA73C9" w:rsidP="003E03E1">
      <w:pPr>
        <w:pStyle w:val="TableDescription"/>
      </w:pPr>
      <w:r w:rsidRPr="00C53A1C">
        <w:rPr>
          <w:vertAlign w:val="superscript"/>
        </w:rPr>
        <w:t>a</w:t>
      </w:r>
      <w:r>
        <w:t xml:space="preserve"> One subject in the IAT group had new onset of symptomatic CMV infection at both Week 12 and Week 16.</w:t>
      </w:r>
    </w:p>
    <w:p w14:paraId="42DBDD04" w14:textId="561F1F66" w:rsidR="00FA7878" w:rsidRDefault="00FA7878" w:rsidP="00FA7878">
      <w:r>
        <w:t xml:space="preserve">As noted earlier, at </w:t>
      </w:r>
      <w:r w:rsidR="00A10974">
        <w:t>B</w:t>
      </w:r>
      <w:r>
        <w:t>aseline 69</w:t>
      </w:r>
      <w:r w:rsidR="00A10974">
        <w:t xml:space="preserve"> out of </w:t>
      </w:r>
      <w:r>
        <w:t>116 (</w:t>
      </w:r>
      <w:r w:rsidRPr="00453FD6">
        <w:t>59.5%</w:t>
      </w:r>
      <w:r>
        <w:t>) patients in IAT arm compared to 121</w:t>
      </w:r>
      <w:r w:rsidR="00A10974">
        <w:t xml:space="preserve"> out of </w:t>
      </w:r>
      <w:r>
        <w:t>234 (</w:t>
      </w:r>
      <w:r w:rsidRPr="00453FD6">
        <w:t>51.7%</w:t>
      </w:r>
      <w:r>
        <w:t xml:space="preserve">) patients in </w:t>
      </w:r>
      <w:proofErr w:type="spellStart"/>
      <w:r>
        <w:t>maribavir</w:t>
      </w:r>
      <w:proofErr w:type="spellEnd"/>
      <w:r>
        <w:t xml:space="preserve"> arm had </w:t>
      </w:r>
      <w:r w:rsidR="00A10974">
        <w:t>resistance associated amino acid substitution</w:t>
      </w:r>
      <w:r>
        <w:t xml:space="preserve"> conferring resistance to</w:t>
      </w:r>
      <w:r w:rsidRPr="00453FD6">
        <w:t xml:space="preserve"> </w:t>
      </w:r>
      <w:r>
        <w:t>IAT, and 3</w:t>
      </w:r>
      <w:r w:rsidR="00A10974">
        <w:t xml:space="preserve"> out of </w:t>
      </w:r>
      <w:r>
        <w:t>116 (2.6) patients in IAT arm compared to 1</w:t>
      </w:r>
      <w:r w:rsidR="00A10974">
        <w:t xml:space="preserve"> out of </w:t>
      </w:r>
      <w:r>
        <w:t xml:space="preserve">234 (0.4%) in </w:t>
      </w:r>
      <w:proofErr w:type="spellStart"/>
      <w:r>
        <w:t>maribavir</w:t>
      </w:r>
      <w:proofErr w:type="spellEnd"/>
      <w:r>
        <w:t xml:space="preserve"> arm has </w:t>
      </w:r>
      <w:r w:rsidR="00A10974">
        <w:t>resistance associated amino acid substitution</w:t>
      </w:r>
      <w:r>
        <w:t xml:space="preserve"> conferring resistance to </w:t>
      </w:r>
      <w:proofErr w:type="spellStart"/>
      <w:r>
        <w:t>maribavir</w:t>
      </w:r>
      <w:proofErr w:type="spellEnd"/>
      <w:r w:rsidR="00A10974">
        <w:t xml:space="preserve"> (</w:t>
      </w:r>
      <w:r w:rsidR="00A10974">
        <w:fldChar w:fldCharType="begin"/>
      </w:r>
      <w:r w:rsidR="00A10974">
        <w:instrText xml:space="preserve"> REF _Ref132889960 \h </w:instrText>
      </w:r>
      <w:r w:rsidR="00A10974">
        <w:fldChar w:fldCharType="separate"/>
      </w:r>
      <w:r w:rsidR="001D123C">
        <w:t xml:space="preserve">Table </w:t>
      </w:r>
      <w:r w:rsidR="001D123C">
        <w:rPr>
          <w:noProof/>
        </w:rPr>
        <w:t>20</w:t>
      </w:r>
      <w:r w:rsidR="00A10974">
        <w:fldChar w:fldCharType="end"/>
      </w:r>
      <w:r w:rsidR="00A10974">
        <w:t>).</w:t>
      </w:r>
    </w:p>
    <w:p w14:paraId="703C19CC" w14:textId="5041C0C3" w:rsidR="00AE2DFA" w:rsidRDefault="00AE2DFA" w:rsidP="00AE2DFA">
      <w:pPr>
        <w:pStyle w:val="TableTitle"/>
      </w:pPr>
      <w:bookmarkStart w:id="81" w:name="_Ref132889960"/>
      <w:r>
        <w:lastRenderedPageBreak/>
        <w:t xml:space="preserve">Table </w:t>
      </w:r>
      <w:r w:rsidR="00B24F8E">
        <w:fldChar w:fldCharType="begin"/>
      </w:r>
      <w:r w:rsidR="00B24F8E">
        <w:instrText xml:space="preserve"> SEQ Table \* ARABIC </w:instrText>
      </w:r>
      <w:r w:rsidR="00B24F8E">
        <w:fldChar w:fldCharType="separate"/>
      </w:r>
      <w:r w:rsidR="001D123C">
        <w:rPr>
          <w:noProof/>
        </w:rPr>
        <w:t>20</w:t>
      </w:r>
      <w:r w:rsidR="00B24F8E">
        <w:rPr>
          <w:noProof/>
        </w:rPr>
        <w:fldChar w:fldCharType="end"/>
      </w:r>
      <w:bookmarkEnd w:id="81"/>
      <w:r>
        <w:t>:</w:t>
      </w:r>
      <w:r w:rsidR="00EA73C9">
        <w:t xml:space="preserve"> Baseline resistance profile (modified randomised set)</w:t>
      </w:r>
    </w:p>
    <w:p w14:paraId="07BAB939" w14:textId="3CF798E8" w:rsidR="00FA7878" w:rsidRDefault="00FA7878" w:rsidP="00265045">
      <w:pPr>
        <w:spacing w:before="240" w:after="240"/>
      </w:pPr>
      <w:r>
        <w:rPr>
          <w:noProof/>
          <w:lang w:val="en-GB" w:eastAsia="en-GB"/>
        </w:rPr>
        <w:drawing>
          <wp:inline distT="0" distB="0" distL="0" distR="0" wp14:anchorId="41EAE15B" wp14:editId="43E5D7D5">
            <wp:extent cx="5112689" cy="2154555"/>
            <wp:effectExtent l="0" t="0" r="0" b="0"/>
            <wp:docPr id="19" name="Picture 19" descr="Baseline resistance profile (modified randomis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aseline resistance profile (modified randomised set)"/>
                    <pic:cNvPicPr>
                      <a:picLocks noChangeAspect="1" noChangeArrowheads="1"/>
                    </pic:cNvPicPr>
                  </pic:nvPicPr>
                  <pic:blipFill rotWithShape="1">
                    <a:blip r:embed="rId40">
                      <a:extLst>
                        <a:ext uri="{28A0092B-C50C-407E-A947-70E740481C1C}">
                          <a14:useLocalDpi xmlns:a14="http://schemas.microsoft.com/office/drawing/2010/main" val="0"/>
                        </a:ext>
                      </a:extLst>
                    </a:blip>
                    <a:srcRect t="9666" r="904"/>
                    <a:stretch/>
                  </pic:blipFill>
                  <pic:spPr bwMode="auto">
                    <a:xfrm>
                      <a:off x="0" y="0"/>
                      <a:ext cx="5113999" cy="2155107"/>
                    </a:xfrm>
                    <a:prstGeom prst="rect">
                      <a:avLst/>
                    </a:prstGeom>
                    <a:noFill/>
                    <a:ln>
                      <a:noFill/>
                    </a:ln>
                    <a:extLst>
                      <a:ext uri="{53640926-AAD7-44D8-BBD7-CCE9431645EC}">
                        <a14:shadowObscured xmlns:a14="http://schemas.microsoft.com/office/drawing/2010/main"/>
                      </a:ext>
                    </a:extLst>
                  </pic:spPr>
                </pic:pic>
              </a:graphicData>
            </a:graphic>
          </wp:inline>
        </w:drawing>
      </w:r>
    </w:p>
    <w:p w14:paraId="21608039" w14:textId="1F84100C" w:rsidR="00FA7878" w:rsidRPr="00992499" w:rsidRDefault="00B47CCA" w:rsidP="00FA7878">
      <w:r>
        <w:t>The p</w:t>
      </w:r>
      <w:r w:rsidR="00FA7878" w:rsidRPr="00992499">
        <w:t xml:space="preserve">rimary </w:t>
      </w:r>
      <w:r w:rsidR="00EA73C9">
        <w:t>r</w:t>
      </w:r>
      <w:r w:rsidR="00FA7878" w:rsidRPr="00992499">
        <w:t xml:space="preserve">esistance </w:t>
      </w:r>
      <w:r w:rsidR="00EA73C9">
        <w:t>s</w:t>
      </w:r>
      <w:r w:rsidR="00FA7878" w:rsidRPr="00992499">
        <w:t>et (PRS) was defined as all subjects with at least one known resistance</w:t>
      </w:r>
      <w:r w:rsidR="00A10974">
        <w:t xml:space="preserve"> </w:t>
      </w:r>
      <w:r w:rsidR="00FA7878" w:rsidRPr="00992499">
        <w:t>associated amino acid substitution to IAT in pUL97 (</w:t>
      </w:r>
      <w:r w:rsidR="00FA7878" w:rsidRPr="00EA73C9">
        <w:t>translated protein of</w:t>
      </w:r>
      <w:r w:rsidR="00FA7878" w:rsidRPr="00992499">
        <w:t xml:space="preserve"> </w:t>
      </w:r>
      <w:r w:rsidR="00FA7878" w:rsidRPr="00EA73C9">
        <w:rPr>
          <w:i/>
          <w:iCs/>
        </w:rPr>
        <w:t>UL97</w:t>
      </w:r>
      <w:r w:rsidR="00FA7878" w:rsidRPr="00992499">
        <w:t xml:space="preserve">) and/or pUL54 at </w:t>
      </w:r>
      <w:r w:rsidR="00EA73C9">
        <w:t>B</w:t>
      </w:r>
      <w:r w:rsidR="00FA7878" w:rsidRPr="00992499">
        <w:t xml:space="preserve">aseline. Subjects without baseline IAT </w:t>
      </w:r>
      <w:r w:rsidR="007739F6" w:rsidRPr="007739F6">
        <w:t>resistance</w:t>
      </w:r>
      <w:r w:rsidR="00A10974">
        <w:t xml:space="preserve"> </w:t>
      </w:r>
      <w:r w:rsidR="007739F6" w:rsidRPr="007739F6">
        <w:t>associated amino acid substitution</w:t>
      </w:r>
      <w:r w:rsidR="00FA7878" w:rsidRPr="00992499">
        <w:t>s were designated non-PRS.</w:t>
      </w:r>
    </w:p>
    <w:p w14:paraId="0E23CD3F" w14:textId="2868577B" w:rsidR="00FA7878" w:rsidRPr="00992499" w:rsidRDefault="00B47CCA" w:rsidP="00FA7878">
      <w:r>
        <w:t xml:space="preserve">The </w:t>
      </w:r>
      <w:proofErr w:type="spellStart"/>
      <w:r>
        <w:t>m</w:t>
      </w:r>
      <w:r w:rsidR="00FA7878" w:rsidRPr="00992499">
        <w:t>aribavir</w:t>
      </w:r>
      <w:proofErr w:type="spellEnd"/>
      <w:r w:rsidR="00FA7878" w:rsidRPr="00992499">
        <w:t xml:space="preserve"> </w:t>
      </w:r>
      <w:r w:rsidR="00EA73C9">
        <w:t>r</w:t>
      </w:r>
      <w:r w:rsidR="00FA7878" w:rsidRPr="00992499">
        <w:t xml:space="preserve">esistance </w:t>
      </w:r>
      <w:r w:rsidR="00EA73C9">
        <w:t>s</w:t>
      </w:r>
      <w:r w:rsidR="00FA7878" w:rsidRPr="00992499">
        <w:t xml:space="preserve">et (MRS) was defined as all subjects with at least one known </w:t>
      </w:r>
      <w:r w:rsidR="007739F6" w:rsidRPr="00992499">
        <w:t>resistance-associated amino acid substitution</w:t>
      </w:r>
      <w:r w:rsidR="00FA7878" w:rsidRPr="00992499">
        <w:t xml:space="preserve"> to </w:t>
      </w:r>
      <w:proofErr w:type="spellStart"/>
      <w:r w:rsidR="00FA7878" w:rsidRPr="00992499">
        <w:t>maribavir</w:t>
      </w:r>
      <w:proofErr w:type="spellEnd"/>
      <w:r w:rsidR="00FA7878" w:rsidRPr="00992499">
        <w:t xml:space="preserve"> in pUL97 and/or pUL27 at </w:t>
      </w:r>
      <w:r w:rsidR="007739F6">
        <w:t>B</w:t>
      </w:r>
      <w:r w:rsidR="00FA7878" w:rsidRPr="00992499">
        <w:t xml:space="preserve">aseline. Subjects without baseline </w:t>
      </w:r>
      <w:proofErr w:type="spellStart"/>
      <w:r w:rsidR="00FA7878" w:rsidRPr="00992499">
        <w:t>maribavir</w:t>
      </w:r>
      <w:proofErr w:type="spellEnd"/>
      <w:r w:rsidR="00FA7878" w:rsidRPr="00992499">
        <w:t xml:space="preserve"> </w:t>
      </w:r>
      <w:r w:rsidR="007739F6" w:rsidRPr="00992499">
        <w:t>resistance-associated amino acid substitution</w:t>
      </w:r>
      <w:r w:rsidR="00FA7878" w:rsidRPr="00992499">
        <w:t>s are designated non-MRS.</w:t>
      </w:r>
    </w:p>
    <w:p w14:paraId="0E85A8C1" w14:textId="1A7365F7" w:rsidR="00FA7878" w:rsidRDefault="00FA7878" w:rsidP="00FA7878">
      <w:r w:rsidRPr="00992499">
        <w:t>The primary outcome at 8 weeks in various populations sets defined by PRS or MRS subpopulations was indicative of relatively smaller treatment difference (</w:t>
      </w:r>
      <w:proofErr w:type="spellStart"/>
      <w:r w:rsidRPr="00992499">
        <w:t>maribavir</w:t>
      </w:r>
      <w:proofErr w:type="spellEnd"/>
      <w:r w:rsidRPr="00992499">
        <w:t xml:space="preserve"> 43.5% v</w:t>
      </w:r>
      <w:r w:rsidR="007739F6">
        <w:t>ersus</w:t>
      </w:r>
      <w:r w:rsidRPr="00992499">
        <w:t xml:space="preserve"> IAT 32.4%) in non-PRS patients and relatively larger treatment difference (</w:t>
      </w:r>
      <w:proofErr w:type="spellStart"/>
      <w:r w:rsidRPr="00992499">
        <w:t>maribavir</w:t>
      </w:r>
      <w:proofErr w:type="spellEnd"/>
      <w:r w:rsidRPr="00992499">
        <w:t xml:space="preserve"> 62.8% v</w:t>
      </w:r>
      <w:r w:rsidR="007739F6">
        <w:t>ersus</w:t>
      </w:r>
      <w:r w:rsidRPr="00992499">
        <w:t xml:space="preserve"> IAT 20.3%) in the PRS population</w:t>
      </w:r>
      <w:r w:rsidR="007739F6">
        <w:t xml:space="preserve"> (</w:t>
      </w:r>
      <w:r w:rsidR="00B47CCA">
        <w:t xml:space="preserve">see </w:t>
      </w:r>
      <w:r w:rsidR="007739F6">
        <w:fldChar w:fldCharType="begin"/>
      </w:r>
      <w:r w:rsidR="007739F6">
        <w:instrText xml:space="preserve"> REF _Ref132814825 \h </w:instrText>
      </w:r>
      <w:r w:rsidR="007739F6">
        <w:fldChar w:fldCharType="separate"/>
      </w:r>
      <w:r w:rsidR="001D123C">
        <w:t xml:space="preserve">Table </w:t>
      </w:r>
      <w:r w:rsidR="001D123C">
        <w:rPr>
          <w:noProof/>
        </w:rPr>
        <w:t>21</w:t>
      </w:r>
      <w:r w:rsidR="007739F6">
        <w:fldChar w:fldCharType="end"/>
      </w:r>
      <w:r w:rsidR="007739F6">
        <w:t xml:space="preserve"> and </w:t>
      </w:r>
      <w:r w:rsidR="007739F6">
        <w:fldChar w:fldCharType="begin"/>
      </w:r>
      <w:r w:rsidR="007739F6">
        <w:instrText xml:space="preserve"> REF _Ref132814833 \h </w:instrText>
      </w:r>
      <w:r w:rsidR="007739F6">
        <w:fldChar w:fldCharType="separate"/>
      </w:r>
      <w:r w:rsidR="001D123C">
        <w:t xml:space="preserve">Table </w:t>
      </w:r>
      <w:r w:rsidR="001D123C">
        <w:rPr>
          <w:noProof/>
        </w:rPr>
        <w:t>22</w:t>
      </w:r>
      <w:r w:rsidR="007739F6">
        <w:fldChar w:fldCharType="end"/>
      </w:r>
      <w:r w:rsidR="007739F6">
        <w:t>).</w:t>
      </w:r>
    </w:p>
    <w:p w14:paraId="3E13C224" w14:textId="58ED6BFC" w:rsidR="00AE2DFA" w:rsidRDefault="00AE2DFA" w:rsidP="00AE2DFA">
      <w:pPr>
        <w:pStyle w:val="TableTitle"/>
      </w:pPr>
      <w:bookmarkStart w:id="82" w:name="_Ref132814825"/>
      <w:r>
        <w:t xml:space="preserve">Table </w:t>
      </w:r>
      <w:r w:rsidR="00B24F8E">
        <w:fldChar w:fldCharType="begin"/>
      </w:r>
      <w:r w:rsidR="00B24F8E">
        <w:instrText xml:space="preserve"> SEQ Table \* ARABIC </w:instrText>
      </w:r>
      <w:r w:rsidR="00B24F8E">
        <w:fldChar w:fldCharType="separate"/>
      </w:r>
      <w:r w:rsidR="001D123C">
        <w:rPr>
          <w:noProof/>
        </w:rPr>
        <w:t>21</w:t>
      </w:r>
      <w:r w:rsidR="00B24F8E">
        <w:rPr>
          <w:noProof/>
        </w:rPr>
        <w:fldChar w:fldCharType="end"/>
      </w:r>
      <w:bookmarkEnd w:id="82"/>
      <w:r>
        <w:t>:</w:t>
      </w:r>
      <w:r w:rsidR="007739F6">
        <w:t xml:space="preserve"> Subjects </w:t>
      </w:r>
      <w:r w:rsidR="00401564">
        <w:t xml:space="preserve">achieving confirmed clearance of </w:t>
      </w:r>
      <w:r w:rsidR="00B47CCA">
        <w:t>p</w:t>
      </w:r>
      <w:r w:rsidR="00401564">
        <w:t>lasma CMV DNA at the end of the study week 8 by analysis group and primary resistance set classification</w:t>
      </w:r>
    </w:p>
    <w:p w14:paraId="38A7B6CD" w14:textId="255112AA" w:rsidR="00FA7878" w:rsidRDefault="00FA7878" w:rsidP="00265045">
      <w:r>
        <w:rPr>
          <w:noProof/>
          <w:lang w:val="en-GB" w:eastAsia="en-GB"/>
        </w:rPr>
        <w:drawing>
          <wp:inline distT="0" distB="0" distL="0" distR="0" wp14:anchorId="6AD44057" wp14:editId="606F5FE9">
            <wp:extent cx="5399827" cy="808892"/>
            <wp:effectExtent l="0" t="0" r="0" b="0"/>
            <wp:docPr id="18" name="Picture 18" descr="Subjects achieving confirmed clearance of Plasma CMV DNA at the end of the study week 8 by analysis group and primary resistance set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ubjects achieving confirmed clearance of Plasma CMV DNA at the end of the study week 8 by analysis group and primary resistance set classification"/>
                    <pic:cNvPicPr>
                      <a:picLocks noChangeAspect="1" noChangeArrowheads="1"/>
                    </pic:cNvPicPr>
                  </pic:nvPicPr>
                  <pic:blipFill rotWithShape="1">
                    <a:blip r:embed="rId41">
                      <a:extLst>
                        <a:ext uri="{28A0092B-C50C-407E-A947-70E740481C1C}">
                          <a14:useLocalDpi xmlns:a14="http://schemas.microsoft.com/office/drawing/2010/main" val="0"/>
                        </a:ext>
                      </a:extLst>
                    </a:blip>
                    <a:srcRect t="10593" b="67777"/>
                    <a:stretch/>
                  </pic:blipFill>
                  <pic:spPr bwMode="auto">
                    <a:xfrm>
                      <a:off x="0" y="0"/>
                      <a:ext cx="5436307" cy="814357"/>
                    </a:xfrm>
                    <a:prstGeom prst="rect">
                      <a:avLst/>
                    </a:prstGeom>
                    <a:noFill/>
                    <a:ln>
                      <a:noFill/>
                    </a:ln>
                    <a:extLst>
                      <a:ext uri="{53640926-AAD7-44D8-BBD7-CCE9431645EC}">
                        <a14:shadowObscured xmlns:a14="http://schemas.microsoft.com/office/drawing/2010/main"/>
                      </a:ext>
                    </a:extLst>
                  </pic:spPr>
                </pic:pic>
              </a:graphicData>
            </a:graphic>
          </wp:inline>
        </w:drawing>
      </w:r>
    </w:p>
    <w:p w14:paraId="3245D941" w14:textId="47DCE8F4" w:rsidR="00401564" w:rsidRDefault="00401564" w:rsidP="00401564">
      <w:pPr>
        <w:pStyle w:val="TableDescription"/>
      </w:pPr>
      <w:r>
        <w:t xml:space="preserve">CMV = cytomegalovirus; DNA = deoxyribonucleic acid; IAT = investigator assigned anti-CMV treatment; MBV = </w:t>
      </w:r>
      <w:proofErr w:type="spellStart"/>
      <w:r>
        <w:t>maribavir</w:t>
      </w:r>
      <w:proofErr w:type="spellEnd"/>
      <w:r>
        <w:t>; PRS = primary resistance set.</w:t>
      </w:r>
    </w:p>
    <w:p w14:paraId="00E1AEF6" w14:textId="5A50D96D" w:rsidR="00401564" w:rsidRDefault="00401564" w:rsidP="00401564">
      <w:pPr>
        <w:pStyle w:val="TableDescription"/>
      </w:pPr>
      <w:r>
        <w:t>N = Number of subjects in the modified randomised set within each analysis group.</w:t>
      </w:r>
    </w:p>
    <w:p w14:paraId="0823832D" w14:textId="354F5608" w:rsidR="00401564" w:rsidRDefault="00401564" w:rsidP="00401564">
      <w:pPr>
        <w:pStyle w:val="TableDescription"/>
      </w:pPr>
      <w:r>
        <w:t>n = number of subjects with baseline genotyping data for each category.</w:t>
      </w:r>
    </w:p>
    <w:p w14:paraId="1886D051" w14:textId="17C6C351" w:rsidR="00401564" w:rsidRDefault="00401564" w:rsidP="00401564">
      <w:pPr>
        <w:pStyle w:val="TableDescription"/>
      </w:pPr>
      <w:r>
        <w:t>m = number of subjects with baseline genotyping data who achieved primary efficacy endpoint for each category.</w:t>
      </w:r>
    </w:p>
    <w:p w14:paraId="2D57AD08" w14:textId="337FF446" w:rsidR="00B47CCA" w:rsidRPr="00464A1F" w:rsidRDefault="00B47CCA" w:rsidP="00C53A1C">
      <w:r>
        <w:br w:type="page"/>
      </w:r>
    </w:p>
    <w:p w14:paraId="695F8322" w14:textId="19123F06" w:rsidR="00AE2DFA" w:rsidRDefault="00AE2DFA" w:rsidP="00AE2DFA">
      <w:pPr>
        <w:pStyle w:val="TableTitle"/>
      </w:pPr>
      <w:bookmarkStart w:id="83" w:name="_Ref132814833"/>
      <w:r>
        <w:lastRenderedPageBreak/>
        <w:t xml:space="preserve">Table </w:t>
      </w:r>
      <w:r w:rsidR="00B24F8E">
        <w:fldChar w:fldCharType="begin"/>
      </w:r>
      <w:r w:rsidR="00B24F8E">
        <w:instrText xml:space="preserve"> SEQ Table \* ARABIC </w:instrText>
      </w:r>
      <w:r w:rsidR="00B24F8E">
        <w:fldChar w:fldCharType="separate"/>
      </w:r>
      <w:r w:rsidR="001D123C">
        <w:rPr>
          <w:noProof/>
        </w:rPr>
        <w:t>22</w:t>
      </w:r>
      <w:r w:rsidR="00B24F8E">
        <w:rPr>
          <w:noProof/>
        </w:rPr>
        <w:fldChar w:fldCharType="end"/>
      </w:r>
      <w:bookmarkEnd w:id="83"/>
      <w:r>
        <w:t>:</w:t>
      </w:r>
      <w:r w:rsidR="00423BED">
        <w:t xml:space="preserve"> Subjects achieving confirmed clearance of </w:t>
      </w:r>
      <w:r w:rsidR="00B47CCA">
        <w:t>p</w:t>
      </w:r>
      <w:r w:rsidR="00423BED">
        <w:t xml:space="preserve">lasma CMV DNA at the end of the study week 8 by analysis group and </w:t>
      </w:r>
      <w:proofErr w:type="spellStart"/>
      <w:r w:rsidR="00423BED">
        <w:t>maribavir</w:t>
      </w:r>
      <w:proofErr w:type="spellEnd"/>
      <w:r w:rsidR="00423BED">
        <w:t xml:space="preserve"> resistance set classification</w:t>
      </w:r>
    </w:p>
    <w:p w14:paraId="7D89CED8" w14:textId="77777777" w:rsidR="00401564" w:rsidRDefault="00AE2DFA" w:rsidP="00401564">
      <w:pPr>
        <w:pStyle w:val="TableDescription"/>
      </w:pPr>
      <w:r>
        <w:rPr>
          <w:noProof/>
          <w:lang w:val="en-GB" w:eastAsia="en-GB"/>
        </w:rPr>
        <w:drawing>
          <wp:inline distT="0" distB="0" distL="0" distR="0" wp14:anchorId="00DFD77B" wp14:editId="6F202A54">
            <wp:extent cx="5422130" cy="829847"/>
            <wp:effectExtent l="0" t="0" r="0" b="8890"/>
            <wp:docPr id="9" name="Picture 9" descr="Subjects achieving confirmed clearance of Plasma CMV DNA at the end of the study week 8 by analysis group and maribavir resistance set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ubjects achieving confirmed clearance of Plasma CMV DNA at the end of the study week 8 by analysis group and maribavir resistance set classification"/>
                    <pic:cNvPicPr>
                      <a:picLocks noChangeAspect="1" noChangeArrowheads="1"/>
                    </pic:cNvPicPr>
                  </pic:nvPicPr>
                  <pic:blipFill rotWithShape="1">
                    <a:blip r:embed="rId41">
                      <a:extLst>
                        <a:ext uri="{28A0092B-C50C-407E-A947-70E740481C1C}">
                          <a14:useLocalDpi xmlns:a14="http://schemas.microsoft.com/office/drawing/2010/main" val="0"/>
                        </a:ext>
                      </a:extLst>
                    </a:blip>
                    <a:srcRect l="40" t="59899" r="-40" b="18002"/>
                    <a:stretch/>
                  </pic:blipFill>
                  <pic:spPr bwMode="auto">
                    <a:xfrm>
                      <a:off x="0" y="0"/>
                      <a:ext cx="5439566" cy="832516"/>
                    </a:xfrm>
                    <a:prstGeom prst="rect">
                      <a:avLst/>
                    </a:prstGeom>
                    <a:noFill/>
                    <a:ln>
                      <a:noFill/>
                    </a:ln>
                    <a:extLst>
                      <a:ext uri="{53640926-AAD7-44D8-BBD7-CCE9431645EC}">
                        <a14:shadowObscured xmlns:a14="http://schemas.microsoft.com/office/drawing/2010/main"/>
                      </a:ext>
                    </a:extLst>
                  </pic:spPr>
                </pic:pic>
              </a:graphicData>
            </a:graphic>
          </wp:inline>
        </w:drawing>
      </w:r>
    </w:p>
    <w:p w14:paraId="20EF713C" w14:textId="16FCDBD2" w:rsidR="00401564" w:rsidRDefault="00401564" w:rsidP="00401564">
      <w:pPr>
        <w:pStyle w:val="TableDescription"/>
      </w:pPr>
      <w:r>
        <w:t xml:space="preserve">CMV = cytomegalovirus; DNA = deoxyribonucleic acid; IAT = investigator assigned anti-CMV treatment; MBV = </w:t>
      </w:r>
      <w:proofErr w:type="spellStart"/>
      <w:r>
        <w:t>maribavir</w:t>
      </w:r>
      <w:proofErr w:type="spellEnd"/>
      <w:r>
        <w:t>; PRS = primary resistance set.</w:t>
      </w:r>
    </w:p>
    <w:p w14:paraId="1CD7CD30" w14:textId="77777777" w:rsidR="00401564" w:rsidRDefault="00401564" w:rsidP="00401564">
      <w:pPr>
        <w:pStyle w:val="TableDescription"/>
      </w:pPr>
      <w:r>
        <w:t>N = Number of subjects in the modified randomised set within each analysis group.</w:t>
      </w:r>
    </w:p>
    <w:p w14:paraId="1DE75B5E" w14:textId="77777777" w:rsidR="00401564" w:rsidRDefault="00401564" w:rsidP="00401564">
      <w:pPr>
        <w:pStyle w:val="TableDescription"/>
      </w:pPr>
      <w:r>
        <w:t>n = number of subjects with baseline genotyping data for each category.</w:t>
      </w:r>
    </w:p>
    <w:p w14:paraId="1123ACE1" w14:textId="5E553CA8" w:rsidR="00AE2DFA" w:rsidRDefault="00401564" w:rsidP="00423BED">
      <w:pPr>
        <w:pStyle w:val="TableDescription"/>
      </w:pPr>
      <w:r>
        <w:t>m = number of subjects with baseline genotyping data who achieved primary efficacy endpoint for each category.</w:t>
      </w:r>
    </w:p>
    <w:p w14:paraId="151CA347" w14:textId="7460AA1D" w:rsidR="00FA7878" w:rsidRPr="00792D52" w:rsidRDefault="00B47CCA" w:rsidP="00C53A1C">
      <w:pPr>
        <w:pStyle w:val="Heading6"/>
      </w:pPr>
      <w:r>
        <w:t>Treatment resistance</w:t>
      </w:r>
    </w:p>
    <w:p w14:paraId="06B0953E" w14:textId="62A30765" w:rsidR="00FA7878" w:rsidRPr="00992499" w:rsidRDefault="00FA7878" w:rsidP="00FA7878">
      <w:r w:rsidRPr="00992499">
        <w:t>A total of 28</w:t>
      </w:r>
      <w:r w:rsidR="00265045">
        <w:t xml:space="preserve"> out of </w:t>
      </w:r>
      <w:r w:rsidRPr="00992499">
        <w:t xml:space="preserve">217 (12.9%) </w:t>
      </w:r>
      <w:proofErr w:type="spellStart"/>
      <w:r w:rsidRPr="00992499">
        <w:t>maribavir</w:t>
      </w:r>
      <w:proofErr w:type="spellEnd"/>
      <w:r w:rsidRPr="00992499">
        <w:t xml:space="preserve"> treated patients and 5</w:t>
      </w:r>
      <w:r w:rsidR="00423BED">
        <w:t xml:space="preserve"> out of </w:t>
      </w:r>
      <w:r w:rsidRPr="00992499">
        <w:t xml:space="preserve">103 (4.9%) IAT treated patients in </w:t>
      </w:r>
      <w:r w:rsidR="00B47CCA">
        <w:t>the combined primary (</w:t>
      </w:r>
      <w:r w:rsidRPr="00992499">
        <w:t>PRS</w:t>
      </w:r>
      <w:r w:rsidR="00B47CCA">
        <w:t xml:space="preserve">) and non-primary resistance set populations </w:t>
      </w:r>
      <w:r w:rsidRPr="00992499">
        <w:t>developed treatment</w:t>
      </w:r>
      <w:r w:rsidR="00B47CCA">
        <w:t>-</w:t>
      </w:r>
      <w:r w:rsidRPr="00992499">
        <w:t xml:space="preserve">emergent </w:t>
      </w:r>
      <w:r w:rsidR="00B47CCA">
        <w:t>r</w:t>
      </w:r>
      <w:r w:rsidR="00B47CCA" w:rsidRPr="00B47CCA">
        <w:t>esistance-associated amino acid substitutions</w:t>
      </w:r>
      <w:r w:rsidRPr="00992499">
        <w:t xml:space="preserve"> to IAT</w:t>
      </w:r>
      <w:r w:rsidR="00423BED">
        <w:t xml:space="preserve"> (</w:t>
      </w:r>
      <w:r w:rsidR="00B47CCA">
        <w:t xml:space="preserve">see </w:t>
      </w:r>
      <w:r w:rsidR="00423BED">
        <w:fldChar w:fldCharType="begin"/>
      </w:r>
      <w:r w:rsidR="00423BED">
        <w:instrText xml:space="preserve"> REF _Ref132815722 \h </w:instrText>
      </w:r>
      <w:r w:rsidR="00423BED">
        <w:fldChar w:fldCharType="separate"/>
      </w:r>
      <w:r w:rsidR="001D123C">
        <w:t xml:space="preserve">Table </w:t>
      </w:r>
      <w:r w:rsidR="001D123C">
        <w:rPr>
          <w:noProof/>
        </w:rPr>
        <w:t>23</w:t>
      </w:r>
      <w:r w:rsidR="00423BED">
        <w:fldChar w:fldCharType="end"/>
      </w:r>
      <w:r w:rsidR="00423BED">
        <w:t>).</w:t>
      </w:r>
    </w:p>
    <w:p w14:paraId="3F5A12B6" w14:textId="13683A40" w:rsidR="00FA7878" w:rsidRDefault="00FA7878" w:rsidP="00FA7878">
      <w:r w:rsidRPr="00992499">
        <w:t>A total of 42</w:t>
      </w:r>
      <w:r w:rsidR="00423BED">
        <w:t xml:space="preserve"> out of </w:t>
      </w:r>
      <w:r w:rsidRPr="00992499">
        <w:t xml:space="preserve">214 (19.6%) </w:t>
      </w:r>
      <w:proofErr w:type="spellStart"/>
      <w:r w:rsidRPr="00992499">
        <w:t>maribavir</w:t>
      </w:r>
      <w:proofErr w:type="spellEnd"/>
      <w:r w:rsidRPr="00992499">
        <w:t xml:space="preserve"> treated patients and </w:t>
      </w:r>
      <w:r w:rsidR="00B47CCA">
        <w:t>zero</w:t>
      </w:r>
      <w:r w:rsidR="00423BED">
        <w:t xml:space="preserve"> out of </w:t>
      </w:r>
      <w:r w:rsidRPr="00992499">
        <w:t xml:space="preserve">100 (0%) IAT treated patients in </w:t>
      </w:r>
      <w:r w:rsidR="00B47CCA">
        <w:t xml:space="preserve">the combined </w:t>
      </w:r>
      <w:proofErr w:type="spellStart"/>
      <w:r w:rsidR="00B47CCA">
        <w:t>maribavir</w:t>
      </w:r>
      <w:proofErr w:type="spellEnd"/>
      <w:r w:rsidR="00B47CCA">
        <w:t xml:space="preserve"> (MRS) and non-</w:t>
      </w:r>
      <w:proofErr w:type="spellStart"/>
      <w:r w:rsidR="00B47CCA">
        <w:t>maribavir</w:t>
      </w:r>
      <w:proofErr w:type="spellEnd"/>
      <w:r w:rsidR="00B47CCA">
        <w:t xml:space="preserve"> resistance set</w:t>
      </w:r>
      <w:r w:rsidRPr="00992499">
        <w:t xml:space="preserve"> population</w:t>
      </w:r>
      <w:r w:rsidR="00B47CCA">
        <w:t>s</w:t>
      </w:r>
      <w:r w:rsidRPr="00992499">
        <w:t xml:space="preserve"> developed treatment</w:t>
      </w:r>
      <w:r w:rsidR="00B47CCA">
        <w:t>-</w:t>
      </w:r>
      <w:r w:rsidRPr="00992499">
        <w:t xml:space="preserve">emergent </w:t>
      </w:r>
      <w:r w:rsidR="00B47CCA">
        <w:t>r</w:t>
      </w:r>
      <w:r w:rsidR="00B47CCA" w:rsidRPr="00B47CCA">
        <w:t>esistance-associated amino acid substitutions</w:t>
      </w:r>
      <w:r w:rsidR="00B47CCA" w:rsidRPr="00992499">
        <w:t xml:space="preserve"> </w:t>
      </w:r>
      <w:r w:rsidRPr="00992499">
        <w:t xml:space="preserve">to </w:t>
      </w:r>
      <w:proofErr w:type="spellStart"/>
      <w:r w:rsidRPr="00992499">
        <w:t>maribavir</w:t>
      </w:r>
      <w:proofErr w:type="spellEnd"/>
      <w:r w:rsidR="00423BED">
        <w:t xml:space="preserve"> (</w:t>
      </w:r>
      <w:r w:rsidR="00B47CCA">
        <w:t xml:space="preserve">see </w:t>
      </w:r>
      <w:r w:rsidR="00423BED">
        <w:fldChar w:fldCharType="begin"/>
      </w:r>
      <w:r w:rsidR="00423BED">
        <w:instrText xml:space="preserve"> REF _Ref132815727 \h </w:instrText>
      </w:r>
      <w:r w:rsidR="00423BED">
        <w:fldChar w:fldCharType="separate"/>
      </w:r>
      <w:r w:rsidR="001D123C">
        <w:t xml:space="preserve">Table </w:t>
      </w:r>
      <w:r w:rsidR="001D123C">
        <w:rPr>
          <w:noProof/>
        </w:rPr>
        <w:t>24</w:t>
      </w:r>
      <w:r w:rsidR="00423BED">
        <w:fldChar w:fldCharType="end"/>
      </w:r>
      <w:r w:rsidR="00423BED">
        <w:t>).</w:t>
      </w:r>
    </w:p>
    <w:p w14:paraId="12B05135" w14:textId="1581F742" w:rsidR="00265045" w:rsidRDefault="00265045" w:rsidP="00265045">
      <w:pPr>
        <w:pStyle w:val="TableTitle"/>
      </w:pPr>
      <w:bookmarkStart w:id="84" w:name="_Ref132815722"/>
      <w:r>
        <w:t xml:space="preserve">Table </w:t>
      </w:r>
      <w:r w:rsidR="00B24F8E">
        <w:fldChar w:fldCharType="begin"/>
      </w:r>
      <w:r w:rsidR="00B24F8E">
        <w:instrText xml:space="preserve"> SEQ Table \* ARABIC </w:instrText>
      </w:r>
      <w:r w:rsidR="00B24F8E">
        <w:fldChar w:fldCharType="separate"/>
      </w:r>
      <w:r w:rsidR="001D123C">
        <w:rPr>
          <w:noProof/>
        </w:rPr>
        <w:t>23</w:t>
      </w:r>
      <w:r w:rsidR="00B24F8E">
        <w:rPr>
          <w:noProof/>
        </w:rPr>
        <w:fldChar w:fldCharType="end"/>
      </w:r>
      <w:bookmarkEnd w:id="84"/>
      <w:r>
        <w:t>:</w:t>
      </w:r>
      <w:r w:rsidR="00022123">
        <w:t xml:space="preserve"> Summary of treatment emergent known resistance associated amino acid </w:t>
      </w:r>
      <w:r w:rsidR="004751C4">
        <w:t>substitutions</w:t>
      </w:r>
      <w:r w:rsidR="00022123">
        <w:t xml:space="preserve"> to investigator assigned anti-CMV treatment in primary resistance set plus non-primary resistance set</w:t>
      </w:r>
    </w:p>
    <w:p w14:paraId="7D8CA9E1" w14:textId="23AF50D9" w:rsidR="00FA7878" w:rsidRDefault="00FA7878" w:rsidP="00265045">
      <w:r>
        <w:rPr>
          <w:noProof/>
          <w:lang w:val="en-GB" w:eastAsia="en-GB"/>
        </w:rPr>
        <w:drawing>
          <wp:inline distT="0" distB="0" distL="0" distR="0" wp14:anchorId="6BB5331A" wp14:editId="2A492B80">
            <wp:extent cx="5379441" cy="1345721"/>
            <wp:effectExtent l="0" t="0" r="0" b="6985"/>
            <wp:docPr id="17" name="Picture 17" descr="Summary of treatment emergent known resistance associated amino acid substitutions to investigator assigned anti-CMV treatment in primary resistance set plus non-primary resistanc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ummary of treatment emergent known resistance associated amino acid substitutions to investigator assigned anti-CMV treatment in primary resistance set plus non-primary resistance set"/>
                    <pic:cNvPicPr>
                      <a:picLocks noChangeAspect="1" noChangeArrowheads="1"/>
                    </pic:cNvPicPr>
                  </pic:nvPicPr>
                  <pic:blipFill rotWithShape="1">
                    <a:blip r:embed="rId42">
                      <a:extLst>
                        <a:ext uri="{28A0092B-C50C-407E-A947-70E740481C1C}">
                          <a14:useLocalDpi xmlns:a14="http://schemas.microsoft.com/office/drawing/2010/main" val="0"/>
                        </a:ext>
                      </a:extLst>
                    </a:blip>
                    <a:srcRect l="1556" t="11945" b="56535"/>
                    <a:stretch/>
                  </pic:blipFill>
                  <pic:spPr bwMode="auto">
                    <a:xfrm>
                      <a:off x="0" y="0"/>
                      <a:ext cx="5387202" cy="1347663"/>
                    </a:xfrm>
                    <a:prstGeom prst="rect">
                      <a:avLst/>
                    </a:prstGeom>
                    <a:noFill/>
                    <a:ln>
                      <a:noFill/>
                    </a:ln>
                    <a:extLst>
                      <a:ext uri="{53640926-AAD7-44D8-BBD7-CCE9431645EC}">
                        <a14:shadowObscured xmlns:a14="http://schemas.microsoft.com/office/drawing/2010/main"/>
                      </a:ext>
                    </a:extLst>
                  </pic:spPr>
                </pic:pic>
              </a:graphicData>
            </a:graphic>
          </wp:inline>
        </w:drawing>
      </w:r>
    </w:p>
    <w:p w14:paraId="17BD587F" w14:textId="64B1E5F7" w:rsidR="00022123" w:rsidRDefault="00022123" w:rsidP="00022123">
      <w:pPr>
        <w:pStyle w:val="TableDescription"/>
      </w:pPr>
      <w:r>
        <w:t xml:space="preserve">BL GT = baseline genotype; CMV = cytomegalovirus; IAT = investigator assigned anti-CMV treatment; MBV = </w:t>
      </w:r>
      <w:proofErr w:type="spellStart"/>
      <w:r>
        <w:t>maribavir</w:t>
      </w:r>
      <w:proofErr w:type="spellEnd"/>
      <w:r>
        <w:t xml:space="preserve">; PRS = </w:t>
      </w:r>
      <w:r w:rsidR="000D1C8E">
        <w:t>primary resistance set; RAS = resistance associated amino acid substitution.</w:t>
      </w:r>
    </w:p>
    <w:p w14:paraId="17D03190" w14:textId="6CC9B926" w:rsidR="000D1C8E" w:rsidRDefault="000D1C8E" w:rsidP="00022123">
      <w:pPr>
        <w:pStyle w:val="TableDescription"/>
      </w:pPr>
      <w:proofErr w:type="spellStart"/>
      <w:r w:rsidRPr="00C53A1C">
        <w:rPr>
          <w:vertAlign w:val="superscript"/>
        </w:rPr>
        <w:t>a</w:t>
      </w:r>
      <w:proofErr w:type="spellEnd"/>
      <w:r>
        <w:t xml:space="preserve"> Includes MBV RAS with cross</w:t>
      </w:r>
      <w:r w:rsidR="00B47CCA">
        <w:t>-</w:t>
      </w:r>
      <w:r>
        <w:t>resistance to IAT</w:t>
      </w:r>
    </w:p>
    <w:p w14:paraId="72E05B68" w14:textId="6CA68356" w:rsidR="00265045" w:rsidRDefault="00265045" w:rsidP="00265045">
      <w:pPr>
        <w:pStyle w:val="TableTitle"/>
      </w:pPr>
      <w:bookmarkStart w:id="85" w:name="_Ref132815727"/>
      <w:r>
        <w:t xml:space="preserve">Table </w:t>
      </w:r>
      <w:r w:rsidR="00B24F8E">
        <w:fldChar w:fldCharType="begin"/>
      </w:r>
      <w:r w:rsidR="00B24F8E">
        <w:instrText xml:space="preserve"> SEQ Table \* ARABIC </w:instrText>
      </w:r>
      <w:r w:rsidR="00B24F8E">
        <w:fldChar w:fldCharType="separate"/>
      </w:r>
      <w:r w:rsidR="001D123C">
        <w:rPr>
          <w:noProof/>
        </w:rPr>
        <w:t>24</w:t>
      </w:r>
      <w:r w:rsidR="00B24F8E">
        <w:rPr>
          <w:noProof/>
        </w:rPr>
        <w:fldChar w:fldCharType="end"/>
      </w:r>
      <w:bookmarkEnd w:id="85"/>
      <w:r>
        <w:t>:</w:t>
      </w:r>
      <w:r w:rsidR="004751C4">
        <w:t xml:space="preserve"> Summary of treatment emergent known resistance associated amino acid substitutions to </w:t>
      </w:r>
      <w:proofErr w:type="spellStart"/>
      <w:r w:rsidR="004751C4">
        <w:t>maribavir</w:t>
      </w:r>
      <w:proofErr w:type="spellEnd"/>
      <w:r w:rsidR="004751C4">
        <w:t xml:space="preserve"> in </w:t>
      </w:r>
      <w:proofErr w:type="spellStart"/>
      <w:r w:rsidR="004751C4">
        <w:t>maribavir</w:t>
      </w:r>
      <w:proofErr w:type="spellEnd"/>
      <w:r w:rsidR="004751C4">
        <w:t xml:space="preserve"> resistance set plus non-</w:t>
      </w:r>
      <w:proofErr w:type="spellStart"/>
      <w:r w:rsidR="004751C4">
        <w:t>maribavir</w:t>
      </w:r>
      <w:proofErr w:type="spellEnd"/>
      <w:r w:rsidR="004751C4">
        <w:t xml:space="preserve"> resistance set</w:t>
      </w:r>
    </w:p>
    <w:p w14:paraId="7527AE44" w14:textId="3F12A0C8" w:rsidR="00265045" w:rsidRDefault="00265045" w:rsidP="00265045">
      <w:r>
        <w:rPr>
          <w:noProof/>
          <w:lang w:val="en-GB" w:eastAsia="en-GB"/>
        </w:rPr>
        <w:drawing>
          <wp:inline distT="0" distB="0" distL="0" distR="0" wp14:anchorId="7CFDA82A" wp14:editId="27A21090">
            <wp:extent cx="5457151" cy="1371600"/>
            <wp:effectExtent l="0" t="0" r="0" b="0"/>
            <wp:docPr id="26" name="Picture 26" descr="Summary of treatment emergent known resistance associated amino acid substitutions to maribavir in maribavir resistance set plus non-maribavir resistanc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ummary of treatment emergent known resistance associated amino acid substitutions to maribavir in maribavir resistance set plus non-maribavir resistance set"/>
                    <pic:cNvPicPr>
                      <a:picLocks noChangeAspect="1" noChangeArrowheads="1"/>
                    </pic:cNvPicPr>
                  </pic:nvPicPr>
                  <pic:blipFill rotWithShape="1">
                    <a:blip r:embed="rId42">
                      <a:extLst>
                        <a:ext uri="{28A0092B-C50C-407E-A947-70E740481C1C}">
                          <a14:useLocalDpi xmlns:a14="http://schemas.microsoft.com/office/drawing/2010/main" val="0"/>
                        </a:ext>
                      </a:extLst>
                    </a:blip>
                    <a:srcRect l="1799" t="61718" b="6692"/>
                    <a:stretch/>
                  </pic:blipFill>
                  <pic:spPr bwMode="auto">
                    <a:xfrm>
                      <a:off x="0" y="0"/>
                      <a:ext cx="5484769" cy="1378542"/>
                    </a:xfrm>
                    <a:prstGeom prst="rect">
                      <a:avLst/>
                    </a:prstGeom>
                    <a:noFill/>
                    <a:ln>
                      <a:noFill/>
                    </a:ln>
                    <a:extLst>
                      <a:ext uri="{53640926-AAD7-44D8-BBD7-CCE9431645EC}">
                        <a14:shadowObscured xmlns:a14="http://schemas.microsoft.com/office/drawing/2010/main"/>
                      </a:ext>
                    </a:extLst>
                  </pic:spPr>
                </pic:pic>
              </a:graphicData>
            </a:graphic>
          </wp:inline>
        </w:drawing>
      </w:r>
    </w:p>
    <w:p w14:paraId="303C1D4A" w14:textId="77777777" w:rsidR="004751C4" w:rsidRDefault="004751C4" w:rsidP="004751C4">
      <w:pPr>
        <w:pStyle w:val="TableDescription"/>
      </w:pPr>
      <w:r>
        <w:t xml:space="preserve">BL GT = baseline genotype; CMV = cytomegalovirus; IAT = investigator assigned anti-CMV treatment; MBV = </w:t>
      </w:r>
      <w:proofErr w:type="spellStart"/>
      <w:r>
        <w:t>maribavir</w:t>
      </w:r>
      <w:proofErr w:type="spellEnd"/>
      <w:r>
        <w:t>; PRS = primary resistance set; RAS = resistance associated amino acid substitution.</w:t>
      </w:r>
    </w:p>
    <w:p w14:paraId="185E0DCF" w14:textId="11D0E5BD" w:rsidR="00FA7878" w:rsidRDefault="00FA7878" w:rsidP="00FA7878">
      <w:r w:rsidRPr="00992499">
        <w:lastRenderedPageBreak/>
        <w:t xml:space="preserve">Of the 42 </w:t>
      </w:r>
      <w:proofErr w:type="spellStart"/>
      <w:r w:rsidRPr="00992499">
        <w:t>maribavir</w:t>
      </w:r>
      <w:proofErr w:type="spellEnd"/>
      <w:r w:rsidRPr="00992499">
        <w:t xml:space="preserve"> treated patients who developed CMV mutations associated with </w:t>
      </w:r>
      <w:proofErr w:type="spellStart"/>
      <w:r w:rsidRPr="00992499">
        <w:t>maribavir</w:t>
      </w:r>
      <w:proofErr w:type="spellEnd"/>
      <w:r w:rsidRPr="00992499">
        <w:t xml:space="preserve"> resistance, 41</w:t>
      </w:r>
      <w:r w:rsidR="00265045">
        <w:t xml:space="preserve"> out of </w:t>
      </w:r>
      <w:r w:rsidRPr="00992499">
        <w:t xml:space="preserve">42 (97.6%) did not achieve the primary endpoint of viraemia clearance at </w:t>
      </w:r>
      <w:r w:rsidR="00265045">
        <w:t>W</w:t>
      </w:r>
      <w:r w:rsidRPr="00992499">
        <w:t>eek 8. Of these 42 patients 18</w:t>
      </w:r>
      <w:r w:rsidR="00265045">
        <w:t xml:space="preserve"> out of </w:t>
      </w:r>
      <w:r w:rsidRPr="00992499">
        <w:t>42 (42.9%) did not achieve vir</w:t>
      </w:r>
      <w:r w:rsidR="00A922AE">
        <w:t>a</w:t>
      </w:r>
      <w:r w:rsidRPr="00992499">
        <w:t>emia clearance at any time point during the study. Of the remaining 24</w:t>
      </w:r>
      <w:r w:rsidR="00265045">
        <w:t xml:space="preserve"> out of </w:t>
      </w:r>
      <w:r w:rsidRPr="00992499">
        <w:t>42 patients 21</w:t>
      </w:r>
      <w:r w:rsidR="00265045">
        <w:t xml:space="preserve">out of </w:t>
      </w:r>
      <w:r w:rsidRPr="00992499">
        <w:t>24 (87.5%) had recurrence on</w:t>
      </w:r>
      <w:r w:rsidR="00A922AE">
        <w:t>-</w:t>
      </w:r>
      <w:r w:rsidRPr="00992499">
        <w:t xml:space="preserve"> or off</w:t>
      </w:r>
      <w:r w:rsidR="00A922AE">
        <w:t>-</w:t>
      </w:r>
      <w:r w:rsidRPr="00992499">
        <w:t>treatment.</w:t>
      </w:r>
    </w:p>
    <w:p w14:paraId="2DD7D41E" w14:textId="37D170C6" w:rsidR="00265045" w:rsidRDefault="00265045" w:rsidP="000A7D6B">
      <w:pPr>
        <w:pStyle w:val="Heading4"/>
      </w:pPr>
      <w:bookmarkStart w:id="86" w:name="_Toc135918985"/>
      <w:r>
        <w:t>Safety</w:t>
      </w:r>
      <w:bookmarkEnd w:id="86"/>
    </w:p>
    <w:p w14:paraId="78E0389D" w14:textId="5CC74839" w:rsidR="00A922AE" w:rsidRPr="00464A1F" w:rsidRDefault="00A922AE" w:rsidP="00C53A1C">
      <w:pPr>
        <w:pStyle w:val="Heading5"/>
      </w:pPr>
      <w:r>
        <w:t>Exposure</w:t>
      </w:r>
    </w:p>
    <w:p w14:paraId="4BF143A3" w14:textId="2A9663F1" w:rsidR="00265045" w:rsidRDefault="00265045" w:rsidP="00265045">
      <w:r>
        <w:t xml:space="preserve">A total of 1555 subjects were exposed to </w:t>
      </w:r>
      <w:proofErr w:type="spellStart"/>
      <w:r>
        <w:t>maribavir</w:t>
      </w:r>
      <w:proofErr w:type="spellEnd"/>
      <w:r>
        <w:t xml:space="preserve"> in the </w:t>
      </w:r>
      <w:proofErr w:type="spellStart"/>
      <w:r>
        <w:t>maribavir</w:t>
      </w:r>
      <w:proofErr w:type="spellEnd"/>
      <w:r>
        <w:t xml:space="preserve"> clinical development program for the treatment indication, of which 1175 received </w:t>
      </w:r>
      <w:proofErr w:type="spellStart"/>
      <w:r>
        <w:t>maribavir</w:t>
      </w:r>
      <w:proofErr w:type="spellEnd"/>
      <w:r>
        <w:t xml:space="preserve"> in </w:t>
      </w:r>
      <w:r w:rsidR="00A922AE">
        <w:t xml:space="preserve">the </w:t>
      </w:r>
      <w:r>
        <w:t xml:space="preserve">Phase </w:t>
      </w:r>
      <w:r w:rsidR="004751C4">
        <w:t>II</w:t>
      </w:r>
      <w:r>
        <w:t xml:space="preserve"> </w:t>
      </w:r>
      <w:r w:rsidR="00A922AE">
        <w:t>and</w:t>
      </w:r>
      <w:r>
        <w:t xml:space="preserve"> </w:t>
      </w:r>
      <w:r w:rsidR="004751C4">
        <w:t>III</w:t>
      </w:r>
      <w:r>
        <w:t xml:space="preserve"> studies including 234 in the pivotal study</w:t>
      </w:r>
      <w:r w:rsidR="00A922AE">
        <w:t xml:space="preserve"> (Study 3030)</w:t>
      </w:r>
      <w:r w:rsidR="004751C4">
        <w:t xml:space="preserve"> (</w:t>
      </w:r>
      <w:r w:rsidR="00A922AE">
        <w:t xml:space="preserve">see </w:t>
      </w:r>
      <w:r w:rsidR="004751C4">
        <w:fldChar w:fldCharType="begin"/>
      </w:r>
      <w:r w:rsidR="004751C4">
        <w:instrText xml:space="preserve"> REF _Ref132878062 \h </w:instrText>
      </w:r>
      <w:r w:rsidR="004751C4">
        <w:fldChar w:fldCharType="separate"/>
      </w:r>
      <w:r w:rsidR="001D123C">
        <w:t xml:space="preserve">Table </w:t>
      </w:r>
      <w:r w:rsidR="001D123C">
        <w:rPr>
          <w:noProof/>
        </w:rPr>
        <w:t>25</w:t>
      </w:r>
      <w:r w:rsidR="004751C4">
        <w:fldChar w:fldCharType="end"/>
      </w:r>
      <w:r w:rsidR="004751C4">
        <w:t>)</w:t>
      </w:r>
      <w:r>
        <w:t xml:space="preserve">. All were adults </w:t>
      </w:r>
      <w:r w:rsidRPr="00C53A1C">
        <w:t xml:space="preserve">at least </w:t>
      </w:r>
      <w:r>
        <w:t>18 years of age and above</w:t>
      </w:r>
      <w:r w:rsidR="000A7D6B">
        <w:t>.</w:t>
      </w:r>
    </w:p>
    <w:p w14:paraId="247850B1" w14:textId="2C8AD3F4" w:rsidR="000A7D6B" w:rsidRDefault="000A7D6B" w:rsidP="000A7D6B">
      <w:pPr>
        <w:pStyle w:val="TableTitle"/>
      </w:pPr>
      <w:bookmarkStart w:id="87" w:name="_Ref132878062"/>
      <w:r>
        <w:t xml:space="preserve">Table </w:t>
      </w:r>
      <w:r w:rsidR="00B24F8E">
        <w:fldChar w:fldCharType="begin"/>
      </w:r>
      <w:r w:rsidR="00B24F8E">
        <w:instrText xml:space="preserve"> SEQ Table \* ARABIC </w:instrText>
      </w:r>
      <w:r w:rsidR="00B24F8E">
        <w:fldChar w:fldCharType="separate"/>
      </w:r>
      <w:r w:rsidR="001D123C">
        <w:rPr>
          <w:noProof/>
        </w:rPr>
        <w:t>25</w:t>
      </w:r>
      <w:r w:rsidR="00B24F8E">
        <w:rPr>
          <w:noProof/>
        </w:rPr>
        <w:fldChar w:fldCharType="end"/>
      </w:r>
      <w:bookmarkEnd w:id="87"/>
      <w:r>
        <w:t>:</w:t>
      </w:r>
      <w:r w:rsidR="004751C4">
        <w:t xml:space="preserve"> Estimated cumulative subject exposure to </w:t>
      </w:r>
      <w:proofErr w:type="spellStart"/>
      <w:r w:rsidR="004751C4">
        <w:t>maribavir</w:t>
      </w:r>
      <w:proofErr w:type="spellEnd"/>
      <w:r w:rsidR="004751C4">
        <w:t xml:space="preserve"> from completed clinical studies by age and gender</w:t>
      </w:r>
    </w:p>
    <w:p w14:paraId="01BC9BA9" w14:textId="12DABDCC" w:rsidR="00265045" w:rsidRDefault="00265045" w:rsidP="00957596">
      <w:r>
        <w:rPr>
          <w:noProof/>
          <w:lang w:val="en-GB" w:eastAsia="en-GB"/>
        </w:rPr>
        <w:drawing>
          <wp:inline distT="0" distB="0" distL="0" distR="0" wp14:anchorId="7DEC7D1D" wp14:editId="547389DD">
            <wp:extent cx="5253487" cy="1864556"/>
            <wp:effectExtent l="0" t="0" r="4445" b="2540"/>
            <wp:docPr id="40" name="Picture 40" descr="Estimated cumulative subject exposure to maribavir from completed clinical studies by age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Estimated cumulative subject exposure to maribavir from completed clinical studies by age and gender"/>
                    <pic:cNvPicPr>
                      <a:picLocks noChangeAspect="1" noChangeArrowheads="1"/>
                    </pic:cNvPicPr>
                  </pic:nvPicPr>
                  <pic:blipFill rotWithShape="1">
                    <a:blip r:embed="rId43">
                      <a:extLst>
                        <a:ext uri="{28A0092B-C50C-407E-A947-70E740481C1C}">
                          <a14:useLocalDpi xmlns:a14="http://schemas.microsoft.com/office/drawing/2010/main" val="0"/>
                        </a:ext>
                      </a:extLst>
                    </a:blip>
                    <a:srcRect l="1636" t="16734" r="1452" b="-454"/>
                    <a:stretch/>
                  </pic:blipFill>
                  <pic:spPr bwMode="auto">
                    <a:xfrm>
                      <a:off x="0" y="0"/>
                      <a:ext cx="5281381" cy="1874456"/>
                    </a:xfrm>
                    <a:prstGeom prst="rect">
                      <a:avLst/>
                    </a:prstGeom>
                    <a:noFill/>
                    <a:ln>
                      <a:noFill/>
                    </a:ln>
                    <a:extLst>
                      <a:ext uri="{53640926-AAD7-44D8-BBD7-CCE9431645EC}">
                        <a14:shadowObscured xmlns:a14="http://schemas.microsoft.com/office/drawing/2010/main"/>
                      </a:ext>
                    </a:extLst>
                  </pic:spPr>
                </pic:pic>
              </a:graphicData>
            </a:graphic>
          </wp:inline>
        </w:drawing>
      </w:r>
    </w:p>
    <w:p w14:paraId="3BAC54E6" w14:textId="675B70D8" w:rsidR="00265045" w:rsidRDefault="00265045" w:rsidP="00265045">
      <w:r>
        <w:t xml:space="preserve">In </w:t>
      </w:r>
      <w:r w:rsidR="004751C4">
        <w:t>S</w:t>
      </w:r>
      <w:r>
        <w:t>tudy 303, t</w:t>
      </w:r>
      <w:r w:rsidRPr="00453FD6">
        <w:t>he m</w:t>
      </w:r>
      <w:r>
        <w:t>edian</w:t>
      </w:r>
      <w:r w:rsidRPr="00453FD6">
        <w:t xml:space="preserve"> duration of exposur</w:t>
      </w:r>
      <w:r>
        <w:t xml:space="preserve">e was 34 days (range 4, 64) and 57 days (range 2, 64) in IAT and </w:t>
      </w:r>
      <w:proofErr w:type="spellStart"/>
      <w:r>
        <w:t>maribavir</w:t>
      </w:r>
      <w:proofErr w:type="spellEnd"/>
      <w:r>
        <w:t xml:space="preserve"> groups respectively. Results in study 303 are discussed further.</w:t>
      </w:r>
    </w:p>
    <w:p w14:paraId="5D41BF5E" w14:textId="5CEFF289" w:rsidR="00265045" w:rsidRDefault="00265045" w:rsidP="00265045">
      <w:r>
        <w:t xml:space="preserve">A total of 256 </w:t>
      </w:r>
      <w:proofErr w:type="spellStart"/>
      <w:r>
        <w:t>maribavir</w:t>
      </w:r>
      <w:proofErr w:type="spellEnd"/>
      <w:r>
        <w:t xml:space="preserve"> treated patients experienced a total Person-</w:t>
      </w:r>
      <w:r w:rsidR="00C53A1C">
        <w:t>T</w:t>
      </w:r>
      <w:r>
        <w:t>ime of 13,38</w:t>
      </w:r>
      <w:r w:rsidR="004751C4">
        <w:t>9</w:t>
      </w:r>
      <w:r>
        <w:t xml:space="preserve"> days in </w:t>
      </w:r>
      <w:r w:rsidR="004751C4">
        <w:t>S</w:t>
      </w:r>
      <w:r>
        <w:t>tudy</w:t>
      </w:r>
      <w:r w:rsidR="00A922AE">
        <w:t> </w:t>
      </w:r>
      <w:r>
        <w:t xml:space="preserve">303. The distribution of exposure days was as follows indicating 227 patients received </w:t>
      </w:r>
      <w:proofErr w:type="spellStart"/>
      <w:r>
        <w:t>maribavir</w:t>
      </w:r>
      <w:proofErr w:type="spellEnd"/>
      <w:r>
        <w:t xml:space="preserve"> for at least 43 days and above</w:t>
      </w:r>
      <w:r w:rsidR="004751C4">
        <w:t xml:space="preserve"> (</w:t>
      </w:r>
      <w:r w:rsidR="004751C4">
        <w:fldChar w:fldCharType="begin"/>
      </w:r>
      <w:r w:rsidR="004751C4">
        <w:instrText xml:space="preserve"> REF _Ref132878092 \h </w:instrText>
      </w:r>
      <w:r w:rsidR="004751C4">
        <w:fldChar w:fldCharType="separate"/>
      </w:r>
      <w:r w:rsidR="001D123C">
        <w:t xml:space="preserve">Table </w:t>
      </w:r>
      <w:r w:rsidR="001D123C">
        <w:rPr>
          <w:noProof/>
        </w:rPr>
        <w:t>26</w:t>
      </w:r>
      <w:r w:rsidR="004751C4">
        <w:fldChar w:fldCharType="end"/>
      </w:r>
      <w:r w:rsidR="004751C4">
        <w:t>).</w:t>
      </w:r>
    </w:p>
    <w:p w14:paraId="0832B963" w14:textId="64FF4D31" w:rsidR="000A7D6B" w:rsidRDefault="000A7D6B" w:rsidP="000A7D6B">
      <w:pPr>
        <w:pStyle w:val="TableTitle"/>
      </w:pPr>
      <w:bookmarkStart w:id="88" w:name="_Ref132878092"/>
      <w:r>
        <w:t xml:space="preserve">Table </w:t>
      </w:r>
      <w:r w:rsidR="00B24F8E">
        <w:fldChar w:fldCharType="begin"/>
      </w:r>
      <w:r w:rsidR="00B24F8E">
        <w:instrText xml:space="preserve"> SEQ Table \* ARABIC </w:instrText>
      </w:r>
      <w:r w:rsidR="00B24F8E">
        <w:fldChar w:fldCharType="separate"/>
      </w:r>
      <w:r w:rsidR="001D123C">
        <w:rPr>
          <w:noProof/>
        </w:rPr>
        <w:t>26</w:t>
      </w:r>
      <w:r w:rsidR="00B24F8E">
        <w:rPr>
          <w:noProof/>
        </w:rPr>
        <w:fldChar w:fldCharType="end"/>
      </w:r>
      <w:bookmarkEnd w:id="88"/>
      <w:r>
        <w:t>:</w:t>
      </w:r>
      <w:r w:rsidR="004751C4">
        <w:t xml:space="preserve"> Study 303 Duration of exposure to </w:t>
      </w:r>
      <w:proofErr w:type="spellStart"/>
      <w:r w:rsidR="004751C4">
        <w:t>maribavir</w:t>
      </w:r>
      <w:proofErr w:type="spellEnd"/>
      <w:r w:rsidR="004751C4">
        <w:t xml:space="preserve"> 400 mg twice daily</w:t>
      </w:r>
    </w:p>
    <w:p w14:paraId="3E575263" w14:textId="68BD8496" w:rsidR="00265045" w:rsidRDefault="00265045" w:rsidP="000A7D6B">
      <w:pPr>
        <w:spacing w:after="0"/>
      </w:pPr>
      <w:r>
        <w:rPr>
          <w:noProof/>
          <w:lang w:val="en-GB" w:eastAsia="en-GB"/>
        </w:rPr>
        <w:drawing>
          <wp:inline distT="0" distB="0" distL="0" distR="0" wp14:anchorId="7488C5C8" wp14:editId="59610501">
            <wp:extent cx="5486400" cy="1987176"/>
            <wp:effectExtent l="0" t="0" r="0" b="0"/>
            <wp:docPr id="39" name="Picture 39" descr="Study 303 Duration of exposure to maribavir 400 mg twice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tudy 303 Duration of exposure to maribavir 400 mg twice daily"/>
                    <pic:cNvPicPr>
                      <a:picLocks noChangeAspect="1" noChangeArrowheads="1"/>
                    </pic:cNvPicPr>
                  </pic:nvPicPr>
                  <pic:blipFill rotWithShape="1">
                    <a:blip r:embed="rId44">
                      <a:extLst>
                        <a:ext uri="{28A0092B-C50C-407E-A947-70E740481C1C}">
                          <a14:useLocalDpi xmlns:a14="http://schemas.microsoft.com/office/drawing/2010/main" val="0"/>
                        </a:ext>
                      </a:extLst>
                    </a:blip>
                    <a:srcRect t="9156" b="13848"/>
                    <a:stretch/>
                  </pic:blipFill>
                  <pic:spPr bwMode="auto">
                    <a:xfrm>
                      <a:off x="0" y="0"/>
                      <a:ext cx="5520090" cy="1999379"/>
                    </a:xfrm>
                    <a:prstGeom prst="rect">
                      <a:avLst/>
                    </a:prstGeom>
                    <a:noFill/>
                    <a:ln>
                      <a:noFill/>
                    </a:ln>
                    <a:extLst>
                      <a:ext uri="{53640926-AAD7-44D8-BBD7-CCE9431645EC}">
                        <a14:shadowObscured xmlns:a14="http://schemas.microsoft.com/office/drawing/2010/main"/>
                      </a:ext>
                    </a:extLst>
                  </pic:spPr>
                </pic:pic>
              </a:graphicData>
            </a:graphic>
          </wp:inline>
        </w:drawing>
      </w:r>
    </w:p>
    <w:p w14:paraId="48DE6EF5" w14:textId="2A9311A1" w:rsidR="004751C4" w:rsidRDefault="004751C4" w:rsidP="004751C4">
      <w:pPr>
        <w:pStyle w:val="TableDescription"/>
      </w:pPr>
      <w:proofErr w:type="spellStart"/>
      <w:proofErr w:type="gramStart"/>
      <w:r w:rsidRPr="00C53A1C">
        <w:rPr>
          <w:vertAlign w:val="superscript"/>
        </w:rPr>
        <w:t>a</w:t>
      </w:r>
      <w:proofErr w:type="spellEnd"/>
      <w:proofErr w:type="gramEnd"/>
      <w:r>
        <w:t xml:space="preserve"> Exposure duration: Number of days between the date of the first dose and the date of last dose of </w:t>
      </w:r>
      <w:proofErr w:type="spellStart"/>
      <w:r>
        <w:t>maribavir</w:t>
      </w:r>
      <w:proofErr w:type="spellEnd"/>
      <w:r>
        <w:t>.</w:t>
      </w:r>
    </w:p>
    <w:p w14:paraId="671824B4" w14:textId="4C7A1A0E" w:rsidR="004751C4" w:rsidRDefault="004751C4" w:rsidP="004751C4">
      <w:pPr>
        <w:pStyle w:val="TableDescription"/>
      </w:pPr>
      <w:r w:rsidRPr="00C53A1C">
        <w:rPr>
          <w:vertAlign w:val="superscript"/>
        </w:rPr>
        <w:t>b</w:t>
      </w:r>
      <w:r>
        <w:t xml:space="preserve"> Person time (day) is defined as the total number of days of exposure for all subjects who received </w:t>
      </w:r>
      <w:proofErr w:type="spellStart"/>
      <w:r>
        <w:t>maribavir</w:t>
      </w:r>
      <w:proofErr w:type="spellEnd"/>
      <w:r>
        <w:t xml:space="preserve"> 400 mg twice daily either as the study assigned treatment or as rescue treatment in Study 303.</w:t>
      </w:r>
    </w:p>
    <w:p w14:paraId="2E4FD29D" w14:textId="77777777" w:rsidR="00A922AE" w:rsidRDefault="00A922AE" w:rsidP="00265045"/>
    <w:p w14:paraId="54C4009C" w14:textId="59D61E01" w:rsidR="00A922AE" w:rsidRDefault="00A922AE" w:rsidP="00C53A1C">
      <w:pPr>
        <w:pStyle w:val="Heading5"/>
      </w:pPr>
      <w:r>
        <w:lastRenderedPageBreak/>
        <w:t>Treatment-emergent adverse events</w:t>
      </w:r>
    </w:p>
    <w:p w14:paraId="3700869E" w14:textId="418453F8" w:rsidR="00265045" w:rsidRDefault="00265045" w:rsidP="00265045">
      <w:r>
        <w:t xml:space="preserve">Overall, at least one </w:t>
      </w:r>
      <w:r w:rsidR="000A7D6B">
        <w:t>t</w:t>
      </w:r>
      <w:r>
        <w:t>reatment</w:t>
      </w:r>
      <w:r w:rsidR="00A922AE">
        <w:t>-</w:t>
      </w:r>
      <w:r w:rsidR="000A7D6B">
        <w:t>e</w:t>
      </w:r>
      <w:r>
        <w:t xml:space="preserve">mergent </w:t>
      </w:r>
      <w:r w:rsidR="000A7D6B">
        <w:t>a</w:t>
      </w:r>
      <w:r>
        <w:t xml:space="preserve">dverse </w:t>
      </w:r>
      <w:r w:rsidR="000A7D6B">
        <w:t>e</w:t>
      </w:r>
      <w:r>
        <w:t xml:space="preserve">vents (TEAEs) </w:t>
      </w:r>
      <w:proofErr w:type="gramStart"/>
      <w:r>
        <w:t>was</w:t>
      </w:r>
      <w:proofErr w:type="gramEnd"/>
      <w:r>
        <w:t xml:space="preserve"> reported in majority of participants in </w:t>
      </w:r>
      <w:r w:rsidR="004751C4">
        <w:t>S</w:t>
      </w:r>
      <w:r>
        <w:t>tudy 303 (91.4% v</w:t>
      </w:r>
      <w:r w:rsidR="004751C4">
        <w:t xml:space="preserve">ersus </w:t>
      </w:r>
      <w:r>
        <w:t xml:space="preserve">97.4% for IAT and </w:t>
      </w:r>
      <w:proofErr w:type="spellStart"/>
      <w:r>
        <w:t>maribavir</w:t>
      </w:r>
      <w:proofErr w:type="spellEnd"/>
      <w:r w:rsidR="00370F6B">
        <w:t>,</w:t>
      </w:r>
      <w:r>
        <w:t xml:space="preserve"> respectively)</w:t>
      </w:r>
      <w:r w:rsidR="004751C4">
        <w:t xml:space="preserve"> (</w:t>
      </w:r>
      <w:r w:rsidR="00A922AE">
        <w:t xml:space="preserve">see </w:t>
      </w:r>
      <w:r w:rsidR="004751C4">
        <w:fldChar w:fldCharType="begin"/>
      </w:r>
      <w:r w:rsidR="004751C4">
        <w:instrText xml:space="preserve"> REF _Ref132878141 \h </w:instrText>
      </w:r>
      <w:r w:rsidR="004751C4">
        <w:fldChar w:fldCharType="separate"/>
      </w:r>
      <w:r w:rsidR="001D123C">
        <w:t xml:space="preserve">Table </w:t>
      </w:r>
      <w:r w:rsidR="001D123C">
        <w:rPr>
          <w:noProof/>
        </w:rPr>
        <w:t>27</w:t>
      </w:r>
      <w:r w:rsidR="004751C4">
        <w:fldChar w:fldCharType="end"/>
      </w:r>
      <w:r w:rsidR="004751C4">
        <w:t>).</w:t>
      </w:r>
    </w:p>
    <w:p w14:paraId="1181B3B5" w14:textId="211A4901" w:rsidR="000A7D6B" w:rsidRDefault="000A7D6B" w:rsidP="000A7D6B">
      <w:pPr>
        <w:pStyle w:val="TableTitle"/>
      </w:pPr>
      <w:bookmarkStart w:id="89" w:name="_Ref132878141"/>
      <w:r>
        <w:t xml:space="preserve">Table </w:t>
      </w:r>
      <w:r w:rsidR="00B24F8E">
        <w:fldChar w:fldCharType="begin"/>
      </w:r>
      <w:r w:rsidR="00B24F8E">
        <w:instrText xml:space="preserve"> SEQ Table \* ARABIC </w:instrText>
      </w:r>
      <w:r w:rsidR="00B24F8E">
        <w:fldChar w:fldCharType="separate"/>
      </w:r>
      <w:r w:rsidR="001D123C">
        <w:rPr>
          <w:noProof/>
        </w:rPr>
        <w:t>27</w:t>
      </w:r>
      <w:r w:rsidR="00B24F8E">
        <w:rPr>
          <w:noProof/>
        </w:rPr>
        <w:fldChar w:fldCharType="end"/>
      </w:r>
      <w:bookmarkEnd w:id="89"/>
      <w:r>
        <w:t>:</w:t>
      </w:r>
      <w:r w:rsidR="004751C4">
        <w:t xml:space="preserve"> Study 303 Overall treatment</w:t>
      </w:r>
      <w:r w:rsidR="00A922AE">
        <w:t>-</w:t>
      </w:r>
      <w:r w:rsidR="004751C4">
        <w:t>emergent adverse events during the on treatment observation period by treatment group (safety set)</w:t>
      </w:r>
    </w:p>
    <w:p w14:paraId="2A392F65" w14:textId="55D309E6" w:rsidR="00265045" w:rsidRDefault="00265045" w:rsidP="000A7D6B">
      <w:pPr>
        <w:spacing w:after="0"/>
      </w:pPr>
      <w:r>
        <w:rPr>
          <w:noProof/>
          <w:lang w:val="en-GB" w:eastAsia="en-GB"/>
        </w:rPr>
        <w:drawing>
          <wp:inline distT="0" distB="0" distL="0" distR="0" wp14:anchorId="3E187A6C" wp14:editId="71159DE9">
            <wp:extent cx="5585222" cy="3105509"/>
            <wp:effectExtent l="0" t="0" r="0" b="0"/>
            <wp:docPr id="38" name="Picture 38" descr="Study 303 Overall treatment emergent adverse events during the on treatment observation period by treatment group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tudy 303 Overall treatment emergent adverse events during the on treatment observation period by treatment group (safety set)"/>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344" t="7737" r="1328"/>
                    <a:stretch/>
                  </pic:blipFill>
                  <pic:spPr bwMode="auto">
                    <a:xfrm>
                      <a:off x="0" y="0"/>
                      <a:ext cx="5609434" cy="3118972"/>
                    </a:xfrm>
                    <a:prstGeom prst="rect">
                      <a:avLst/>
                    </a:prstGeom>
                    <a:noFill/>
                    <a:ln>
                      <a:noFill/>
                    </a:ln>
                    <a:extLst>
                      <a:ext uri="{53640926-AAD7-44D8-BBD7-CCE9431645EC}">
                        <a14:shadowObscured xmlns:a14="http://schemas.microsoft.com/office/drawing/2010/main"/>
                      </a:ext>
                    </a:extLst>
                  </pic:spPr>
                </pic:pic>
              </a:graphicData>
            </a:graphic>
          </wp:inline>
        </w:drawing>
      </w:r>
    </w:p>
    <w:p w14:paraId="6EDC00EB" w14:textId="37BF2438" w:rsidR="00265045" w:rsidRDefault="00265045" w:rsidP="00265045">
      <w:r>
        <w:t>The most frequently (</w:t>
      </w:r>
      <w:r w:rsidR="00FC621C">
        <w:t>at least</w:t>
      </w:r>
      <w:r w:rsidR="004751C4">
        <w:t xml:space="preserve"> </w:t>
      </w:r>
      <w:r>
        <w:t>5%) reported TEAEs (</w:t>
      </w:r>
      <w:r w:rsidR="00A922AE">
        <w:t xml:space="preserve">by </w:t>
      </w:r>
      <w:r>
        <w:t xml:space="preserve">Preferred Term) in the </w:t>
      </w:r>
      <w:r w:rsidR="004751C4">
        <w:t>S</w:t>
      </w:r>
      <w:r>
        <w:t>tudy 303 during the 8 weeks treatment period were as follows</w:t>
      </w:r>
      <w:r w:rsidR="00FC621C">
        <w:t xml:space="preserve"> (</w:t>
      </w:r>
      <w:r w:rsidR="00FC621C">
        <w:fldChar w:fldCharType="begin"/>
      </w:r>
      <w:r w:rsidR="00FC621C">
        <w:instrText xml:space="preserve"> REF _Ref132878255 \h </w:instrText>
      </w:r>
      <w:r w:rsidR="00FC621C">
        <w:fldChar w:fldCharType="separate"/>
      </w:r>
      <w:r w:rsidR="001D123C">
        <w:t xml:space="preserve">Table </w:t>
      </w:r>
      <w:r w:rsidR="001D123C">
        <w:rPr>
          <w:noProof/>
        </w:rPr>
        <w:t>28</w:t>
      </w:r>
      <w:r w:rsidR="00FC621C">
        <w:fldChar w:fldCharType="end"/>
      </w:r>
      <w:r w:rsidR="00FC621C">
        <w:t>).</w:t>
      </w:r>
    </w:p>
    <w:p w14:paraId="630BA611" w14:textId="0EECCBEE" w:rsidR="00156B3B" w:rsidRDefault="00156B3B" w:rsidP="00156B3B">
      <w:pPr>
        <w:pStyle w:val="TableTitle"/>
      </w:pPr>
      <w:bookmarkStart w:id="90" w:name="_Ref132878255"/>
      <w:r>
        <w:t xml:space="preserve">Table </w:t>
      </w:r>
      <w:r w:rsidR="00B24F8E">
        <w:fldChar w:fldCharType="begin"/>
      </w:r>
      <w:r w:rsidR="00B24F8E">
        <w:instrText xml:space="preserve"> SEQ Table \* ARABIC </w:instrText>
      </w:r>
      <w:r w:rsidR="00B24F8E">
        <w:fldChar w:fldCharType="separate"/>
      </w:r>
      <w:r w:rsidR="001D123C">
        <w:rPr>
          <w:noProof/>
        </w:rPr>
        <w:t>28</w:t>
      </w:r>
      <w:r w:rsidR="00B24F8E">
        <w:rPr>
          <w:noProof/>
        </w:rPr>
        <w:fldChar w:fldCharType="end"/>
      </w:r>
      <w:bookmarkEnd w:id="90"/>
      <w:r>
        <w:t>:</w:t>
      </w:r>
      <w:r w:rsidR="00FC621C">
        <w:t xml:space="preserve"> Frequently occurring treatment</w:t>
      </w:r>
      <w:r w:rsidR="00A922AE">
        <w:t>-</w:t>
      </w:r>
      <w:r w:rsidR="00FC621C">
        <w:t xml:space="preserve">emergent adverse events in at least 5% of subjects in the </w:t>
      </w:r>
      <w:proofErr w:type="spellStart"/>
      <w:r w:rsidR="00FC621C">
        <w:t>maribavir</w:t>
      </w:r>
      <w:proofErr w:type="spellEnd"/>
      <w:r w:rsidR="00FC621C">
        <w:t xml:space="preserve"> or </w:t>
      </w:r>
      <w:r w:rsidR="00FC621C" w:rsidRPr="00FC621C">
        <w:t>investigator assigned anti-CMV treatm</w:t>
      </w:r>
      <w:r w:rsidR="00FC621C">
        <w:t xml:space="preserve">ent during the on treatment observation period by </w:t>
      </w:r>
      <w:r w:rsidR="00A922AE">
        <w:t>P</w:t>
      </w:r>
      <w:r w:rsidR="00FC621C">
        <w:t xml:space="preserve">referred </w:t>
      </w:r>
      <w:r w:rsidR="00A922AE">
        <w:t>T</w:t>
      </w:r>
      <w:r w:rsidR="00FC621C">
        <w:t>erm (safety set)</w:t>
      </w:r>
    </w:p>
    <w:p w14:paraId="091C1F4D" w14:textId="591260BE" w:rsidR="00265045" w:rsidRDefault="00265045" w:rsidP="00265045">
      <w:pPr>
        <w:jc w:val="center"/>
      </w:pPr>
      <w:r>
        <w:rPr>
          <w:noProof/>
          <w:lang w:val="en-GB" w:eastAsia="en-GB"/>
        </w:rPr>
        <w:drawing>
          <wp:inline distT="0" distB="0" distL="0" distR="0" wp14:anchorId="4C1D694F" wp14:editId="72A3D01D">
            <wp:extent cx="5621473" cy="2268747"/>
            <wp:effectExtent l="0" t="0" r="0" b="0"/>
            <wp:docPr id="37" name="Picture 37" descr="Frequently occurring treatment emergent adverse events in at least 5% of subjects in the maribavir or investigator assigned anti-CMV treatment during the on treatment observation period by preferred term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requently occurring treatment emergent adverse events in at least 5% of subjects in the maribavir or investigator assigned anti-CMV treatment during the on treatment observation period by preferred term (safety set)"/>
                    <pic:cNvPicPr>
                      <a:picLocks noChangeAspect="1" noChangeArrowheads="1"/>
                    </pic:cNvPicPr>
                  </pic:nvPicPr>
                  <pic:blipFill rotWithShape="1">
                    <a:blip r:embed="rId46">
                      <a:extLst>
                        <a:ext uri="{28A0092B-C50C-407E-A947-70E740481C1C}">
                          <a14:useLocalDpi xmlns:a14="http://schemas.microsoft.com/office/drawing/2010/main" val="0"/>
                        </a:ext>
                      </a:extLst>
                    </a:blip>
                    <a:srcRect l="1498" t="14367" r="847" b="1621"/>
                    <a:stretch/>
                  </pic:blipFill>
                  <pic:spPr bwMode="auto">
                    <a:xfrm>
                      <a:off x="0" y="0"/>
                      <a:ext cx="5624406" cy="2269931"/>
                    </a:xfrm>
                    <a:prstGeom prst="rect">
                      <a:avLst/>
                    </a:prstGeom>
                    <a:noFill/>
                    <a:ln>
                      <a:noFill/>
                    </a:ln>
                    <a:extLst>
                      <a:ext uri="{53640926-AAD7-44D8-BBD7-CCE9431645EC}">
                        <a14:shadowObscured xmlns:a14="http://schemas.microsoft.com/office/drawing/2010/main"/>
                      </a:ext>
                    </a:extLst>
                  </pic:spPr>
                </pic:pic>
              </a:graphicData>
            </a:graphic>
          </wp:inline>
        </w:drawing>
      </w:r>
    </w:p>
    <w:p w14:paraId="0983F967" w14:textId="409029C5" w:rsidR="00A922AE" w:rsidRDefault="00A922AE" w:rsidP="00C53A1C">
      <w:pPr>
        <w:pStyle w:val="Heading5"/>
      </w:pPr>
      <w:r>
        <w:t>Adverse events of special interest</w:t>
      </w:r>
    </w:p>
    <w:p w14:paraId="16E97E0E" w14:textId="15661D6F" w:rsidR="00265045" w:rsidRDefault="00265045" w:rsidP="00265045">
      <w:r>
        <w:t xml:space="preserve">Neutropenia was one of the TEAEs of special interest and the reported incidence in </w:t>
      </w:r>
      <w:r w:rsidR="00FC621C">
        <w:t>S</w:t>
      </w:r>
      <w:r>
        <w:t>tudy 303 treatment period was 10.3% (</w:t>
      </w:r>
      <w:proofErr w:type="spellStart"/>
      <w:r>
        <w:t>maribavir</w:t>
      </w:r>
      <w:proofErr w:type="spellEnd"/>
      <w:r>
        <w:t>), 25.9% (</w:t>
      </w:r>
      <w:r w:rsidR="00FC621C" w:rsidRPr="00FC621C">
        <w:t>investigator assigned anti-CMV treatm</w:t>
      </w:r>
      <w:r w:rsidR="00FC621C">
        <w:t>ent</w:t>
      </w:r>
      <w:r>
        <w:t>), 39.3% (ganciclovir/valganciclovir) and 17% (</w:t>
      </w:r>
      <w:proofErr w:type="spellStart"/>
      <w:r>
        <w:t>foscarnet</w:t>
      </w:r>
      <w:proofErr w:type="spellEnd"/>
      <w:r>
        <w:t xml:space="preserve">) indicative of relative bone marrow suppressive safety with </w:t>
      </w:r>
      <w:proofErr w:type="spellStart"/>
      <w:r>
        <w:t>maribavir</w:t>
      </w:r>
      <w:proofErr w:type="spellEnd"/>
      <w:r>
        <w:t>.</w:t>
      </w:r>
    </w:p>
    <w:p w14:paraId="16959197" w14:textId="1774220A" w:rsidR="00265045" w:rsidRDefault="00265045" w:rsidP="00265045">
      <w:r>
        <w:lastRenderedPageBreak/>
        <w:t xml:space="preserve">Notably the reported incidence of graft versus host disease was higher in </w:t>
      </w:r>
      <w:proofErr w:type="spellStart"/>
      <w:r>
        <w:t>maribavir</w:t>
      </w:r>
      <w:proofErr w:type="spellEnd"/>
      <w:r>
        <w:t xml:space="preserve"> (9%) compared to 4.3% (</w:t>
      </w:r>
      <w:r w:rsidR="00FC621C" w:rsidRPr="00FC621C">
        <w:t>investigator assigned anti-CMV treatm</w:t>
      </w:r>
      <w:r w:rsidR="00FC621C">
        <w:t>ent</w:t>
      </w:r>
      <w:r>
        <w:t>), 3.6% (ganciclovir/valganciclovir) and 6.4% (</w:t>
      </w:r>
      <w:proofErr w:type="spellStart"/>
      <w:r>
        <w:t>foscarnet</w:t>
      </w:r>
      <w:proofErr w:type="spellEnd"/>
      <w:r>
        <w:t>).</w:t>
      </w:r>
    </w:p>
    <w:p w14:paraId="02FF11AB" w14:textId="0ECE9856" w:rsidR="00265045" w:rsidRDefault="00265045" w:rsidP="00265045">
      <w:r>
        <w:t>The reported incidence of concomitant immunosuppressant drug levels increased was 9% (</w:t>
      </w:r>
      <w:proofErr w:type="spellStart"/>
      <w:r>
        <w:t>maribavir</w:t>
      </w:r>
      <w:proofErr w:type="spellEnd"/>
      <w:r>
        <w:t>), 0.9% (</w:t>
      </w:r>
      <w:r w:rsidR="00FC621C" w:rsidRPr="00FC621C">
        <w:t>investigator assigned anti-CMV treatm</w:t>
      </w:r>
      <w:r w:rsidR="00FC621C">
        <w:t>ent</w:t>
      </w:r>
      <w:r>
        <w:t>), 1.8% (ganciclovir/valganciclovir) and 0% (</w:t>
      </w:r>
      <w:proofErr w:type="spellStart"/>
      <w:r>
        <w:t>foscarnet</w:t>
      </w:r>
      <w:proofErr w:type="spellEnd"/>
      <w:r>
        <w:t>)</w:t>
      </w:r>
      <w:r w:rsidR="00FC621C">
        <w:t xml:space="preserve"> (</w:t>
      </w:r>
      <w:r w:rsidR="00FC621C">
        <w:fldChar w:fldCharType="begin"/>
      </w:r>
      <w:r w:rsidR="00FC621C">
        <w:instrText xml:space="preserve"> REF _Ref132878480 \h </w:instrText>
      </w:r>
      <w:r w:rsidR="00FC621C">
        <w:fldChar w:fldCharType="separate"/>
      </w:r>
      <w:r w:rsidR="001D123C">
        <w:t xml:space="preserve">Table </w:t>
      </w:r>
      <w:r w:rsidR="001D123C">
        <w:rPr>
          <w:noProof/>
        </w:rPr>
        <w:t>29</w:t>
      </w:r>
      <w:r w:rsidR="00FC621C">
        <w:fldChar w:fldCharType="end"/>
      </w:r>
      <w:r w:rsidR="00FC621C">
        <w:t>).</w:t>
      </w:r>
    </w:p>
    <w:p w14:paraId="778F7441" w14:textId="6AA71836" w:rsidR="00156B3B" w:rsidRDefault="00156B3B" w:rsidP="00156B3B">
      <w:pPr>
        <w:pStyle w:val="TableTitle"/>
      </w:pPr>
      <w:bookmarkStart w:id="91" w:name="_Ref132878480"/>
      <w:r>
        <w:t xml:space="preserve">Table </w:t>
      </w:r>
      <w:r w:rsidR="00B24F8E">
        <w:fldChar w:fldCharType="begin"/>
      </w:r>
      <w:r w:rsidR="00B24F8E">
        <w:instrText xml:space="preserve"> SEQ Table \* ARABIC </w:instrText>
      </w:r>
      <w:r w:rsidR="00B24F8E">
        <w:fldChar w:fldCharType="separate"/>
      </w:r>
      <w:r w:rsidR="001D123C">
        <w:rPr>
          <w:noProof/>
        </w:rPr>
        <w:t>29</w:t>
      </w:r>
      <w:r w:rsidR="00B24F8E">
        <w:rPr>
          <w:noProof/>
        </w:rPr>
        <w:fldChar w:fldCharType="end"/>
      </w:r>
      <w:bookmarkEnd w:id="91"/>
      <w:r>
        <w:t>:</w:t>
      </w:r>
      <w:r w:rsidR="00FC621C">
        <w:t xml:space="preserve"> Treatment</w:t>
      </w:r>
      <w:r w:rsidR="00A922AE">
        <w:t>-</w:t>
      </w:r>
      <w:r w:rsidR="00FC621C">
        <w:t>emergent a</w:t>
      </w:r>
      <w:r w:rsidR="00FC621C" w:rsidRPr="00FC621C">
        <w:t>dverse event</w:t>
      </w:r>
      <w:r w:rsidR="00A922AE">
        <w:t>s</w:t>
      </w:r>
      <w:r w:rsidR="00FC621C" w:rsidRPr="00FC621C">
        <w:t xml:space="preserve"> of special interest</w:t>
      </w:r>
      <w:r w:rsidR="00FC621C">
        <w:t xml:space="preserve"> during the on treatment observation period by a</w:t>
      </w:r>
      <w:r w:rsidR="00FC621C" w:rsidRPr="00FC621C">
        <w:t>dverse event of special interest</w:t>
      </w:r>
      <w:r w:rsidR="00FC621C">
        <w:t xml:space="preserve"> class, treatment group, and selected </w:t>
      </w:r>
      <w:r w:rsidR="00FC621C" w:rsidRPr="00FC621C">
        <w:t>investigator assigned anti-CMV treatm</w:t>
      </w:r>
      <w:r w:rsidR="00FC621C">
        <w:t>ent type (safety set)</w:t>
      </w:r>
    </w:p>
    <w:p w14:paraId="0E558F5C" w14:textId="271E163A" w:rsidR="00EB2136" w:rsidRDefault="00265045" w:rsidP="00156B3B">
      <w:r>
        <w:rPr>
          <w:noProof/>
          <w:lang w:val="en-GB" w:eastAsia="en-GB"/>
        </w:rPr>
        <w:drawing>
          <wp:inline distT="0" distB="0" distL="0" distR="0" wp14:anchorId="1F5DE101" wp14:editId="3A347BFB">
            <wp:extent cx="5460521" cy="4663391"/>
            <wp:effectExtent l="0" t="0" r="6985" b="4445"/>
            <wp:docPr id="36" name="Picture 36" descr="Treatment emergent adverse event of special interest during the on treatment observation period by adverse event of special interest class, treatment group, and selected investigator assigned anti-CMV treatment type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reatment emergent adverse event of special interest during the on treatment observation period by adverse event of special interest class, treatment group, and selected investigator assigned anti-CMV treatment type (safety set)"/>
                    <pic:cNvPicPr>
                      <a:picLocks noChangeAspect="1" noChangeArrowheads="1"/>
                    </pic:cNvPicPr>
                  </pic:nvPicPr>
                  <pic:blipFill rotWithShape="1">
                    <a:blip r:embed="rId47">
                      <a:extLst>
                        <a:ext uri="{28A0092B-C50C-407E-A947-70E740481C1C}">
                          <a14:useLocalDpi xmlns:a14="http://schemas.microsoft.com/office/drawing/2010/main" val="0"/>
                        </a:ext>
                      </a:extLst>
                    </a:blip>
                    <a:srcRect t="7630" r="963" b="1860"/>
                    <a:stretch/>
                  </pic:blipFill>
                  <pic:spPr bwMode="auto">
                    <a:xfrm>
                      <a:off x="0" y="0"/>
                      <a:ext cx="5472374" cy="4673513"/>
                    </a:xfrm>
                    <a:prstGeom prst="rect">
                      <a:avLst/>
                    </a:prstGeom>
                    <a:noFill/>
                    <a:ln>
                      <a:noFill/>
                    </a:ln>
                    <a:extLst>
                      <a:ext uri="{53640926-AAD7-44D8-BBD7-CCE9431645EC}">
                        <a14:shadowObscured xmlns:a14="http://schemas.microsoft.com/office/drawing/2010/main"/>
                      </a:ext>
                    </a:extLst>
                  </pic:spPr>
                </pic:pic>
              </a:graphicData>
            </a:graphic>
          </wp:inline>
        </w:drawing>
      </w:r>
    </w:p>
    <w:p w14:paraId="48476505" w14:textId="15EF6D74" w:rsidR="00EB2136" w:rsidRDefault="00A922AE" w:rsidP="00C53A1C">
      <w:pPr>
        <w:pStyle w:val="TableDescription"/>
      </w:pPr>
      <w:r>
        <w:t>Abbreviations: AESI = adverse event of special interest; GVHD = graft versus host disease.</w:t>
      </w:r>
      <w:r w:rsidR="00EB2136">
        <w:br w:type="page"/>
      </w:r>
    </w:p>
    <w:p w14:paraId="036985C8" w14:textId="24C0C7F1" w:rsidR="00265045" w:rsidRDefault="00265045" w:rsidP="00265045">
      <w:r>
        <w:lastRenderedPageBreak/>
        <w:t xml:space="preserve">The reported incidence of renal TEAEs was overall in favour of </w:t>
      </w:r>
      <w:proofErr w:type="spellStart"/>
      <w:r>
        <w:t>maribavir</w:t>
      </w:r>
      <w:proofErr w:type="spellEnd"/>
      <w:r>
        <w:t xml:space="preserve"> (15.8%) compared to 19.0% (</w:t>
      </w:r>
      <w:r w:rsidR="00FC621C" w:rsidRPr="00FC621C">
        <w:t>investigator assigned anti-CMV treatm</w:t>
      </w:r>
      <w:r w:rsidR="00FC621C">
        <w:t>ent</w:t>
      </w:r>
      <w:r>
        <w:t>) and 31.9% (</w:t>
      </w:r>
      <w:proofErr w:type="spellStart"/>
      <w:r>
        <w:t>foscarnet</w:t>
      </w:r>
      <w:proofErr w:type="spellEnd"/>
      <w:r>
        <w:t>). This advantage was noticeable in patients with baseline normal or mild renal impairment, but not in patients with baseline moderate/severe renal impairment in which the incidence was 32.4% (</w:t>
      </w:r>
      <w:proofErr w:type="spellStart"/>
      <w:r>
        <w:t>maribavir</w:t>
      </w:r>
      <w:proofErr w:type="spellEnd"/>
      <w:r>
        <w:t>), 24.0% (</w:t>
      </w:r>
      <w:r w:rsidR="00FC621C" w:rsidRPr="00FC621C">
        <w:t>investigator assigned anti-CMV treatm</w:t>
      </w:r>
      <w:r w:rsidR="00FC621C">
        <w:t>ent</w:t>
      </w:r>
      <w:r>
        <w:t>) and 30% (</w:t>
      </w:r>
      <w:proofErr w:type="spellStart"/>
      <w:r>
        <w:t>foscarnet</w:t>
      </w:r>
      <w:proofErr w:type="spellEnd"/>
      <w:r>
        <w:t>)</w:t>
      </w:r>
      <w:r w:rsidR="00FC621C">
        <w:t xml:space="preserve"> (</w:t>
      </w:r>
      <w:r w:rsidR="00FC621C">
        <w:fldChar w:fldCharType="begin"/>
      </w:r>
      <w:r w:rsidR="00FC621C">
        <w:instrText xml:space="preserve"> REF _Ref132878612 \h </w:instrText>
      </w:r>
      <w:r w:rsidR="00FC621C">
        <w:fldChar w:fldCharType="separate"/>
      </w:r>
      <w:r w:rsidR="001D123C">
        <w:t xml:space="preserve">Table </w:t>
      </w:r>
      <w:r w:rsidR="001D123C">
        <w:rPr>
          <w:noProof/>
        </w:rPr>
        <w:t>30</w:t>
      </w:r>
      <w:r w:rsidR="00FC621C">
        <w:fldChar w:fldCharType="end"/>
      </w:r>
      <w:r w:rsidR="00FC621C">
        <w:t>).</w:t>
      </w:r>
    </w:p>
    <w:p w14:paraId="4B08DEAD" w14:textId="4F18DB18" w:rsidR="00156B3B" w:rsidRDefault="00156B3B" w:rsidP="00156B3B">
      <w:pPr>
        <w:pStyle w:val="TableTitle"/>
      </w:pPr>
      <w:bookmarkStart w:id="92" w:name="_Ref132878612"/>
      <w:r>
        <w:t xml:space="preserve">Table </w:t>
      </w:r>
      <w:r w:rsidR="00B24F8E">
        <w:fldChar w:fldCharType="begin"/>
      </w:r>
      <w:r w:rsidR="00B24F8E">
        <w:instrText xml:space="preserve"> SEQ Table \* ARABIC </w:instrText>
      </w:r>
      <w:r w:rsidR="00B24F8E">
        <w:fldChar w:fldCharType="separate"/>
      </w:r>
      <w:r w:rsidR="001D123C">
        <w:rPr>
          <w:noProof/>
        </w:rPr>
        <w:t>30</w:t>
      </w:r>
      <w:r w:rsidR="00B24F8E">
        <w:rPr>
          <w:noProof/>
        </w:rPr>
        <w:fldChar w:fldCharType="end"/>
      </w:r>
      <w:bookmarkEnd w:id="92"/>
      <w:r>
        <w:t>:</w:t>
      </w:r>
      <w:r w:rsidR="00EF51EA">
        <w:t xml:space="preserve"> Treatment</w:t>
      </w:r>
      <w:r w:rsidR="00A922AE">
        <w:t>-</w:t>
      </w:r>
      <w:r w:rsidR="00EF51EA">
        <w:t xml:space="preserve">emergent adverse events pertaining to renal disorders by treatment group and </w:t>
      </w:r>
      <w:r w:rsidR="00EF51EA" w:rsidRPr="00FC621C">
        <w:t>investigator assigned anti-CMV treatm</w:t>
      </w:r>
      <w:r w:rsidR="00EF51EA">
        <w:t>ent type (</w:t>
      </w:r>
      <w:proofErr w:type="spellStart"/>
      <w:r w:rsidR="00A922AE">
        <w:t>f</w:t>
      </w:r>
      <w:r w:rsidR="00EF51EA">
        <w:t>oscarnet</w:t>
      </w:r>
      <w:proofErr w:type="spellEnd"/>
      <w:r w:rsidR="00EF51EA">
        <w:t>) (safety set)</w:t>
      </w:r>
    </w:p>
    <w:p w14:paraId="023E0D78" w14:textId="2AFE0334" w:rsidR="00265045" w:rsidRDefault="00265045" w:rsidP="00156B3B">
      <w:r>
        <w:rPr>
          <w:noProof/>
          <w:lang w:val="en-GB" w:eastAsia="en-GB"/>
        </w:rPr>
        <w:drawing>
          <wp:inline distT="0" distB="0" distL="0" distR="0" wp14:anchorId="6F8DAD04" wp14:editId="53E0EA7F">
            <wp:extent cx="5503653" cy="2862967"/>
            <wp:effectExtent l="0" t="0" r="1905" b="0"/>
            <wp:docPr id="35" name="Picture 35" descr="Treatment emergent adverse events pertaining to renal disorders by treatment group and investigator assigned anti-CMV treatment type (Foscarnet)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reatment emergent adverse events pertaining to renal disorders by treatment group and investigator assigned anti-CMV treatment type (Foscarnet) (safety set)"/>
                    <pic:cNvPicPr>
                      <a:picLocks noChangeAspect="1" noChangeArrowheads="1"/>
                    </pic:cNvPicPr>
                  </pic:nvPicPr>
                  <pic:blipFill rotWithShape="1">
                    <a:blip r:embed="rId48">
                      <a:extLst>
                        <a:ext uri="{28A0092B-C50C-407E-A947-70E740481C1C}">
                          <a14:useLocalDpi xmlns:a14="http://schemas.microsoft.com/office/drawing/2010/main" val="0"/>
                        </a:ext>
                      </a:extLst>
                    </a:blip>
                    <a:srcRect l="2443" t="12905"/>
                    <a:stretch/>
                  </pic:blipFill>
                  <pic:spPr bwMode="auto">
                    <a:xfrm>
                      <a:off x="0" y="0"/>
                      <a:ext cx="5516281" cy="2869536"/>
                    </a:xfrm>
                    <a:prstGeom prst="rect">
                      <a:avLst/>
                    </a:prstGeom>
                    <a:noFill/>
                    <a:ln>
                      <a:noFill/>
                    </a:ln>
                    <a:extLst>
                      <a:ext uri="{53640926-AAD7-44D8-BBD7-CCE9431645EC}">
                        <a14:shadowObscured xmlns:a14="http://schemas.microsoft.com/office/drawing/2010/main"/>
                      </a:ext>
                    </a:extLst>
                  </pic:spPr>
                </pic:pic>
              </a:graphicData>
            </a:graphic>
          </wp:inline>
        </w:drawing>
      </w:r>
    </w:p>
    <w:p w14:paraId="219776D5" w14:textId="7E87F7C0" w:rsidR="00265045" w:rsidRDefault="00265045" w:rsidP="00265045">
      <w:r>
        <w:t>The mean serum creatinine at</w:t>
      </w:r>
      <w:r w:rsidR="00A922AE">
        <w:t xml:space="preserve"> B</w:t>
      </w:r>
      <w:r>
        <w:t xml:space="preserve">aseline, overtime and post-treatment could not be located, but the median number of subjects with post-treatment change were as follows indicative of relatively </w:t>
      </w:r>
      <w:proofErr w:type="spellStart"/>
      <w:r>
        <w:t>maribavir</w:t>
      </w:r>
      <w:proofErr w:type="spellEnd"/>
      <w:r>
        <w:t xml:space="preserve"> renal safety profile</w:t>
      </w:r>
      <w:r w:rsidR="00EF51EA">
        <w:t xml:space="preserve"> (</w:t>
      </w:r>
      <w:r w:rsidR="00A922AE">
        <w:t xml:space="preserve">see </w:t>
      </w:r>
      <w:r w:rsidR="00EF51EA">
        <w:fldChar w:fldCharType="begin"/>
      </w:r>
      <w:r w:rsidR="00EF51EA">
        <w:instrText xml:space="preserve"> REF _Ref132879391 \h </w:instrText>
      </w:r>
      <w:r w:rsidR="00EF51EA">
        <w:fldChar w:fldCharType="separate"/>
      </w:r>
      <w:r w:rsidR="001D123C">
        <w:t xml:space="preserve">Table </w:t>
      </w:r>
      <w:r w:rsidR="001D123C">
        <w:rPr>
          <w:noProof/>
        </w:rPr>
        <w:t>31</w:t>
      </w:r>
      <w:r w:rsidR="00EF51EA">
        <w:fldChar w:fldCharType="end"/>
      </w:r>
      <w:r w:rsidR="00EF51EA">
        <w:t>).</w:t>
      </w:r>
    </w:p>
    <w:p w14:paraId="2906B302" w14:textId="46ED229D" w:rsidR="00156B3B" w:rsidRDefault="00156B3B" w:rsidP="00156B3B">
      <w:pPr>
        <w:pStyle w:val="TableTitle"/>
      </w:pPr>
      <w:bookmarkStart w:id="93" w:name="_Ref132879391"/>
      <w:r>
        <w:t xml:space="preserve">Table </w:t>
      </w:r>
      <w:r w:rsidR="00B24F8E">
        <w:fldChar w:fldCharType="begin"/>
      </w:r>
      <w:r w:rsidR="00B24F8E">
        <w:instrText xml:space="preserve"> SEQ Table \* ARABIC </w:instrText>
      </w:r>
      <w:r w:rsidR="00B24F8E">
        <w:fldChar w:fldCharType="separate"/>
      </w:r>
      <w:r w:rsidR="001D123C">
        <w:rPr>
          <w:noProof/>
        </w:rPr>
        <w:t>31</w:t>
      </w:r>
      <w:r w:rsidR="00B24F8E">
        <w:rPr>
          <w:noProof/>
        </w:rPr>
        <w:fldChar w:fldCharType="end"/>
      </w:r>
      <w:bookmarkEnd w:id="93"/>
      <w:r>
        <w:t>:</w:t>
      </w:r>
      <w:r w:rsidR="00EF51EA">
        <w:t xml:space="preserve"> Summary of baseline median and median change from baseline to the last on treatment value in creatinine (µmol/L) by treatment group and selected </w:t>
      </w:r>
      <w:r w:rsidR="009B7B27" w:rsidRPr="009B7B27">
        <w:t>investigator assigned anti-CMV treatment</w:t>
      </w:r>
      <w:r w:rsidR="009B7B27">
        <w:t xml:space="preserve"> type (safety set)</w:t>
      </w:r>
    </w:p>
    <w:p w14:paraId="4AB692BC" w14:textId="627367C6" w:rsidR="00265045" w:rsidRDefault="00265045" w:rsidP="00265045">
      <w:r>
        <w:rPr>
          <w:noProof/>
          <w:lang w:val="en-GB" w:eastAsia="en-GB"/>
        </w:rPr>
        <w:drawing>
          <wp:inline distT="0" distB="0" distL="0" distR="0" wp14:anchorId="29336180" wp14:editId="47C0A1B9">
            <wp:extent cx="5578491" cy="1664407"/>
            <wp:effectExtent l="0" t="0" r="3175" b="0"/>
            <wp:docPr id="34" name="Picture 34" descr="Summary of baseline median and median change from baseline to the last on treatment value in creatinine (µmol/L) by treatment group and selected investigator assigned anti-CMV treatment type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ummary of baseline median and median change from baseline to the last on treatment value in creatinine (µmol/L) by treatment group and selected investigator assigned anti-CMV treatment type (safety set)"/>
                    <pic:cNvPicPr>
                      <a:picLocks noChangeAspect="1" noChangeArrowheads="1"/>
                    </pic:cNvPicPr>
                  </pic:nvPicPr>
                  <pic:blipFill rotWithShape="1">
                    <a:blip r:embed="rId49">
                      <a:extLst>
                        <a:ext uri="{28A0092B-C50C-407E-A947-70E740481C1C}">
                          <a14:useLocalDpi xmlns:a14="http://schemas.microsoft.com/office/drawing/2010/main" val="0"/>
                        </a:ext>
                      </a:extLst>
                    </a:blip>
                    <a:srcRect t="14982"/>
                    <a:stretch/>
                  </pic:blipFill>
                  <pic:spPr bwMode="auto">
                    <a:xfrm>
                      <a:off x="0" y="0"/>
                      <a:ext cx="5591462" cy="1668277"/>
                    </a:xfrm>
                    <a:prstGeom prst="rect">
                      <a:avLst/>
                    </a:prstGeom>
                    <a:noFill/>
                    <a:ln>
                      <a:noFill/>
                    </a:ln>
                    <a:extLst>
                      <a:ext uri="{53640926-AAD7-44D8-BBD7-CCE9431645EC}">
                        <a14:shadowObscured xmlns:a14="http://schemas.microsoft.com/office/drawing/2010/main"/>
                      </a:ext>
                    </a:extLst>
                  </pic:spPr>
                </pic:pic>
              </a:graphicData>
            </a:graphic>
          </wp:inline>
        </w:drawing>
      </w:r>
    </w:p>
    <w:p w14:paraId="6CB4744E" w14:textId="77777777" w:rsidR="00EB2136" w:rsidRDefault="00EB2136">
      <w:r>
        <w:br w:type="page"/>
      </w:r>
    </w:p>
    <w:p w14:paraId="59282078" w14:textId="4D3F3514" w:rsidR="00265045" w:rsidRDefault="00265045" w:rsidP="00265045">
      <w:r>
        <w:lastRenderedPageBreak/>
        <w:t>The number of subjects reported with increasing shift in creatinine level (on treatment and overall)</w:t>
      </w:r>
      <w:r w:rsidR="009B7B27">
        <w:t xml:space="preserve"> (</w:t>
      </w:r>
      <w:r w:rsidR="009B7B27">
        <w:fldChar w:fldCharType="begin"/>
      </w:r>
      <w:r w:rsidR="009B7B27">
        <w:instrText xml:space="preserve"> REF _Ref132879498 \h </w:instrText>
      </w:r>
      <w:r w:rsidR="009B7B27">
        <w:fldChar w:fldCharType="separate"/>
      </w:r>
      <w:r w:rsidR="001D123C">
        <w:t xml:space="preserve">Table </w:t>
      </w:r>
      <w:r w:rsidR="001D123C">
        <w:rPr>
          <w:noProof/>
        </w:rPr>
        <w:t>32</w:t>
      </w:r>
      <w:r w:rsidR="009B7B27">
        <w:fldChar w:fldCharType="end"/>
      </w:r>
      <w:r w:rsidR="009B7B27">
        <w:t>).</w:t>
      </w:r>
    </w:p>
    <w:p w14:paraId="616A0CAC" w14:textId="3B8141F4" w:rsidR="00156B3B" w:rsidRDefault="00156B3B" w:rsidP="00156B3B">
      <w:pPr>
        <w:pStyle w:val="TableTitle"/>
      </w:pPr>
      <w:bookmarkStart w:id="94" w:name="_Ref132879498"/>
      <w:r>
        <w:t xml:space="preserve">Table </w:t>
      </w:r>
      <w:r w:rsidR="00B24F8E">
        <w:fldChar w:fldCharType="begin"/>
      </w:r>
      <w:r w:rsidR="00B24F8E">
        <w:instrText xml:space="preserve"> SEQ Table \* ARABIC </w:instrText>
      </w:r>
      <w:r w:rsidR="00B24F8E">
        <w:fldChar w:fldCharType="separate"/>
      </w:r>
      <w:r w:rsidR="001D123C">
        <w:rPr>
          <w:noProof/>
        </w:rPr>
        <w:t>32</w:t>
      </w:r>
      <w:r w:rsidR="00B24F8E">
        <w:rPr>
          <w:noProof/>
        </w:rPr>
        <w:fldChar w:fldCharType="end"/>
      </w:r>
      <w:bookmarkEnd w:id="94"/>
      <w:r>
        <w:t>:</w:t>
      </w:r>
      <w:r w:rsidR="009B7B27">
        <w:t xml:space="preserve"> Number of subjects with increasing shifts in creatinine from lower grade to first maximum post baseline </w:t>
      </w:r>
      <w:r w:rsidR="006C7164">
        <w:t xml:space="preserve">National Cancer Institute Common Toxicity Criteria Grade 3 or 4 by study period, treatment group, and selected </w:t>
      </w:r>
      <w:r w:rsidR="006C7164" w:rsidRPr="009B7B27">
        <w:t>investigator assigned anti-CMV treatment</w:t>
      </w:r>
      <w:r w:rsidR="006C7164">
        <w:t xml:space="preserve"> type (safety set)</w:t>
      </w:r>
    </w:p>
    <w:p w14:paraId="73728431" w14:textId="55F83EF7" w:rsidR="00265045" w:rsidRDefault="00265045" w:rsidP="00156B3B">
      <w:r>
        <w:rPr>
          <w:noProof/>
          <w:lang w:val="en-GB" w:eastAsia="en-GB"/>
        </w:rPr>
        <w:drawing>
          <wp:inline distT="0" distB="0" distL="0" distR="0" wp14:anchorId="33302678" wp14:editId="7B52EE7F">
            <wp:extent cx="5578023" cy="1440611"/>
            <wp:effectExtent l="0" t="0" r="3810" b="7620"/>
            <wp:docPr id="33" name="Picture 33" descr="Number of subjects with increasing shifts in creatinine from lower grade to first maximum post baseline National Cancer Institute Common Toxicity Criteria Grade 3 or 4 by study period, treatment group, and selected investigator assigned anti-CMV treatment type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Number of subjects with increasing shifts in creatinine from lower grade to first maximum post baseline National Cancer Institute Common Toxicity Criteria Grade 3 or 4 by study period, treatment group, and selected investigator assigned anti-CMV treatment type (safety set)"/>
                    <pic:cNvPicPr>
                      <a:picLocks noChangeAspect="1" noChangeArrowheads="1"/>
                    </pic:cNvPicPr>
                  </pic:nvPicPr>
                  <pic:blipFill rotWithShape="1">
                    <a:blip r:embed="rId50">
                      <a:extLst>
                        <a:ext uri="{28A0092B-C50C-407E-A947-70E740481C1C}">
                          <a14:useLocalDpi xmlns:a14="http://schemas.microsoft.com/office/drawing/2010/main" val="0"/>
                        </a:ext>
                      </a:extLst>
                    </a:blip>
                    <a:srcRect l="1184" t="19964" r="1526" b="27934"/>
                    <a:stretch/>
                  </pic:blipFill>
                  <pic:spPr bwMode="auto">
                    <a:xfrm>
                      <a:off x="0" y="0"/>
                      <a:ext cx="5593263" cy="1444547"/>
                    </a:xfrm>
                    <a:prstGeom prst="rect">
                      <a:avLst/>
                    </a:prstGeom>
                    <a:noFill/>
                    <a:ln>
                      <a:noFill/>
                    </a:ln>
                    <a:extLst>
                      <a:ext uri="{53640926-AAD7-44D8-BBD7-CCE9431645EC}">
                        <a14:shadowObscured xmlns:a14="http://schemas.microsoft.com/office/drawing/2010/main"/>
                      </a:ext>
                    </a:extLst>
                  </pic:spPr>
                </pic:pic>
              </a:graphicData>
            </a:graphic>
          </wp:inline>
        </w:drawing>
      </w:r>
    </w:p>
    <w:p w14:paraId="2F947E05" w14:textId="19622299" w:rsidR="006C7164" w:rsidRDefault="006C7164" w:rsidP="00EB2136">
      <w:pPr>
        <w:pStyle w:val="TableDescription"/>
      </w:pPr>
      <w:r>
        <w:t>BID = twice daily; CMV = cytomegalovirus; IAT = investigator assigned anti-CMV treatment; ULN = upper limit of normal</w:t>
      </w:r>
    </w:p>
    <w:p w14:paraId="64D60CF7" w14:textId="08635805" w:rsidR="00EB2136" w:rsidRDefault="00EB2136" w:rsidP="00EB2136">
      <w:pPr>
        <w:pStyle w:val="TableDescription"/>
      </w:pPr>
      <w:proofErr w:type="gramStart"/>
      <w:r w:rsidRPr="00C53A1C">
        <w:rPr>
          <w:vertAlign w:val="superscript"/>
        </w:rPr>
        <w:t>a</w:t>
      </w:r>
      <w:proofErr w:type="gramEnd"/>
      <w:r>
        <w:t xml:space="preserve"> NCI CTC grade = National Cancer Institute Common Toxicity Criteria, version 4.03; 3 = severe; 4 = life-threatening</w:t>
      </w:r>
    </w:p>
    <w:p w14:paraId="66345C01" w14:textId="4BE2FC12" w:rsidR="00EB2136" w:rsidRDefault="00EB2136" w:rsidP="00EB2136">
      <w:pPr>
        <w:pStyle w:val="TableDescription"/>
      </w:pPr>
      <w:r w:rsidRPr="00C53A1C">
        <w:rPr>
          <w:vertAlign w:val="superscript"/>
        </w:rPr>
        <w:t>b</w:t>
      </w:r>
      <w:r>
        <w:t xml:space="preserve"> Evaluable was defined by the number of subjects with both baseline and post baseline non-missing data.</w:t>
      </w:r>
    </w:p>
    <w:p w14:paraId="5DED1169" w14:textId="34DC0A02" w:rsidR="00EB2136" w:rsidRDefault="00EB2136" w:rsidP="00EB2136">
      <w:pPr>
        <w:pStyle w:val="TableDescription"/>
      </w:pPr>
      <w:r>
        <w:t>Percentages were based on the number of subjects with the evaluable lab data at that study period in each treatment group Grade 3 creatinine increased: ˃ 3 x baseline or 3 to 6 ULN; Grade 4 creatinine: ˃ 6 x ULN.</w:t>
      </w:r>
    </w:p>
    <w:p w14:paraId="0B463B86" w14:textId="77F3CE5D" w:rsidR="00265045" w:rsidRDefault="00265045" w:rsidP="00265045">
      <w:r>
        <w:t>The number of subjects with creatinine values considered potentially significant (on treatment)</w:t>
      </w:r>
      <w:r w:rsidR="00D03391">
        <w:t xml:space="preserve"> (</w:t>
      </w:r>
      <w:r w:rsidR="00D03391">
        <w:fldChar w:fldCharType="begin"/>
      </w:r>
      <w:r w:rsidR="00D03391">
        <w:instrText xml:space="preserve"> REF _Ref132880616 \h </w:instrText>
      </w:r>
      <w:r w:rsidR="00D03391">
        <w:fldChar w:fldCharType="separate"/>
      </w:r>
      <w:r w:rsidR="001D123C">
        <w:t xml:space="preserve">Table </w:t>
      </w:r>
      <w:r w:rsidR="001D123C">
        <w:rPr>
          <w:noProof/>
        </w:rPr>
        <w:t>33</w:t>
      </w:r>
      <w:r w:rsidR="00D03391">
        <w:fldChar w:fldCharType="end"/>
      </w:r>
      <w:r w:rsidR="00D03391">
        <w:t>).</w:t>
      </w:r>
    </w:p>
    <w:p w14:paraId="35BEC85B" w14:textId="1E6D368E" w:rsidR="00156B3B" w:rsidRDefault="00156B3B" w:rsidP="00156B3B">
      <w:pPr>
        <w:pStyle w:val="TableTitle"/>
      </w:pPr>
      <w:bookmarkStart w:id="95" w:name="_Ref132880616"/>
      <w:r>
        <w:t xml:space="preserve">Table </w:t>
      </w:r>
      <w:r w:rsidR="00B24F8E">
        <w:fldChar w:fldCharType="begin"/>
      </w:r>
      <w:r w:rsidR="00B24F8E">
        <w:instrText xml:space="preserve"> SEQ Table \* ARABIC </w:instrText>
      </w:r>
      <w:r w:rsidR="00B24F8E">
        <w:fldChar w:fldCharType="separate"/>
      </w:r>
      <w:r w:rsidR="001D123C">
        <w:rPr>
          <w:noProof/>
        </w:rPr>
        <w:t>33</w:t>
      </w:r>
      <w:r w:rsidR="00B24F8E">
        <w:rPr>
          <w:noProof/>
        </w:rPr>
        <w:fldChar w:fldCharType="end"/>
      </w:r>
      <w:bookmarkEnd w:id="95"/>
      <w:r>
        <w:t>:</w:t>
      </w:r>
      <w:r w:rsidR="00D03391">
        <w:t xml:space="preserve"> Potentially clinically significant creatinine values as determined by the investigator by </w:t>
      </w:r>
      <w:r w:rsidR="003F5AB0">
        <w:t>study period and treatment group (safety set)</w:t>
      </w:r>
    </w:p>
    <w:p w14:paraId="20663090" w14:textId="28142745" w:rsidR="00265045" w:rsidRDefault="00265045" w:rsidP="00156B3B">
      <w:r>
        <w:rPr>
          <w:noProof/>
          <w:lang w:val="en-GB" w:eastAsia="en-GB"/>
        </w:rPr>
        <w:drawing>
          <wp:inline distT="0" distB="0" distL="0" distR="0" wp14:anchorId="5940A18F" wp14:editId="72DF5A06">
            <wp:extent cx="5319100" cy="897147"/>
            <wp:effectExtent l="0" t="0" r="0" b="0"/>
            <wp:docPr id="32" name="Picture 32" descr="Potentially clinically significant creatinine values as determined by the investigator by study period and treatment group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otentially clinically significant creatinine values as determined by the investigator by study period and treatment group (safety set)"/>
                    <pic:cNvPicPr>
                      <a:picLocks noChangeAspect="1" noChangeArrowheads="1"/>
                    </pic:cNvPicPr>
                  </pic:nvPicPr>
                  <pic:blipFill rotWithShape="1">
                    <a:blip r:embed="rId51">
                      <a:extLst>
                        <a:ext uri="{28A0092B-C50C-407E-A947-70E740481C1C}">
                          <a14:useLocalDpi xmlns:a14="http://schemas.microsoft.com/office/drawing/2010/main" val="0"/>
                        </a:ext>
                      </a:extLst>
                    </a:blip>
                    <a:srcRect t="29286" r="1344"/>
                    <a:stretch/>
                  </pic:blipFill>
                  <pic:spPr bwMode="auto">
                    <a:xfrm>
                      <a:off x="0" y="0"/>
                      <a:ext cx="5386557" cy="908525"/>
                    </a:xfrm>
                    <a:prstGeom prst="rect">
                      <a:avLst/>
                    </a:prstGeom>
                    <a:noFill/>
                    <a:ln>
                      <a:noFill/>
                    </a:ln>
                    <a:extLst>
                      <a:ext uri="{53640926-AAD7-44D8-BBD7-CCE9431645EC}">
                        <a14:shadowObscured xmlns:a14="http://schemas.microsoft.com/office/drawing/2010/main"/>
                      </a:ext>
                    </a:extLst>
                  </pic:spPr>
                </pic:pic>
              </a:graphicData>
            </a:graphic>
          </wp:inline>
        </w:drawing>
      </w:r>
    </w:p>
    <w:p w14:paraId="0B61D696" w14:textId="729A80AB" w:rsidR="003F5AB0" w:rsidRDefault="00265045" w:rsidP="00265045">
      <w:r>
        <w:t xml:space="preserve">Haematological TEAEs (on treatment and overall) were consistent with the expectation of relative safety with </w:t>
      </w:r>
      <w:proofErr w:type="spellStart"/>
      <w:r>
        <w:t>maribavir</w:t>
      </w:r>
      <w:proofErr w:type="spellEnd"/>
      <w:r>
        <w:t xml:space="preserve"> or </w:t>
      </w:r>
      <w:proofErr w:type="spellStart"/>
      <w:r>
        <w:t>foscarnet</w:t>
      </w:r>
      <w:proofErr w:type="spellEnd"/>
      <w:r>
        <w:t xml:space="preserve"> compared to ganciclovir/valganciclovir</w:t>
      </w:r>
      <w:r w:rsidR="003F5AB0">
        <w:t xml:space="preserve"> (</w:t>
      </w:r>
      <w:r w:rsidR="003F5AB0">
        <w:fldChar w:fldCharType="begin"/>
      </w:r>
      <w:r w:rsidR="003F5AB0">
        <w:instrText xml:space="preserve"> REF _Ref132880699 \h </w:instrText>
      </w:r>
      <w:r w:rsidR="003F5AB0">
        <w:fldChar w:fldCharType="separate"/>
      </w:r>
      <w:r w:rsidR="001D123C">
        <w:t xml:space="preserve">Table </w:t>
      </w:r>
      <w:r w:rsidR="001D123C">
        <w:rPr>
          <w:noProof/>
        </w:rPr>
        <w:t>34</w:t>
      </w:r>
      <w:r w:rsidR="003F5AB0">
        <w:fldChar w:fldCharType="end"/>
      </w:r>
      <w:r w:rsidR="003F5AB0">
        <w:t>).</w:t>
      </w:r>
    </w:p>
    <w:p w14:paraId="0D49A1CD" w14:textId="77777777" w:rsidR="003F5AB0" w:rsidRDefault="003F5AB0">
      <w:r>
        <w:br w:type="page"/>
      </w:r>
    </w:p>
    <w:p w14:paraId="6496D4F9" w14:textId="77C91148" w:rsidR="00156B3B" w:rsidRDefault="00156B3B" w:rsidP="00156B3B">
      <w:pPr>
        <w:pStyle w:val="TableTitle"/>
      </w:pPr>
      <w:bookmarkStart w:id="96" w:name="_Ref132880699"/>
      <w:r>
        <w:lastRenderedPageBreak/>
        <w:t xml:space="preserve">Table </w:t>
      </w:r>
      <w:r w:rsidR="00B24F8E">
        <w:fldChar w:fldCharType="begin"/>
      </w:r>
      <w:r w:rsidR="00B24F8E">
        <w:instrText xml:space="preserve"> SEQ Table \* ARABIC </w:instrText>
      </w:r>
      <w:r w:rsidR="00B24F8E">
        <w:fldChar w:fldCharType="separate"/>
      </w:r>
      <w:r w:rsidR="001D123C">
        <w:rPr>
          <w:noProof/>
        </w:rPr>
        <w:t>34</w:t>
      </w:r>
      <w:r w:rsidR="00B24F8E">
        <w:rPr>
          <w:noProof/>
        </w:rPr>
        <w:fldChar w:fldCharType="end"/>
      </w:r>
      <w:bookmarkEnd w:id="96"/>
      <w:r>
        <w:t>:</w:t>
      </w:r>
      <w:r w:rsidR="003F5AB0">
        <w:t xml:space="preserve"> Number of subjects with decreasing shifts in hematology laboratory assessments from lower grade to first maximum post baseline National Cancer Institute Common Toxicity Criteria Grade 3 or 4 by study period, treatment group, and selected </w:t>
      </w:r>
      <w:r w:rsidR="003F5AB0" w:rsidRPr="009B7B27">
        <w:t>investigator assigned anti-CMV treatment</w:t>
      </w:r>
      <w:r w:rsidR="003F5AB0">
        <w:t xml:space="preserve"> type (safety set)</w:t>
      </w:r>
    </w:p>
    <w:p w14:paraId="4371FCE7" w14:textId="28AE7427" w:rsidR="00265045" w:rsidRDefault="00265045" w:rsidP="001221E9">
      <w:r>
        <w:rPr>
          <w:noProof/>
          <w:lang w:val="en-GB" w:eastAsia="en-GB"/>
        </w:rPr>
        <w:drawing>
          <wp:inline distT="0" distB="0" distL="0" distR="0" wp14:anchorId="1F82CE3B" wp14:editId="77534691">
            <wp:extent cx="5605017" cy="1915064"/>
            <wp:effectExtent l="0" t="0" r="0" b="9525"/>
            <wp:docPr id="31" name="Picture 31" descr="Number of subjects with decreasing shifts in hematology laboratory assessments from lower grade to first maximum post baseline National Cancer Institute Common Toxicity Criteria Grade 3 or 4 by study period, treatment group, and selected investigator assigned anti-CMV treatment type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Number of subjects with decreasing shifts in hematology laboratory assessments from lower grade to first maximum post baseline National Cancer Institute Common Toxicity Criteria Grade 3 or 4 by study period, treatment group, and selected investigator assigned anti-CMV treatment type (safety set)"/>
                    <pic:cNvPicPr>
                      <a:picLocks noChangeAspect="1" noChangeArrowheads="1"/>
                    </pic:cNvPicPr>
                  </pic:nvPicPr>
                  <pic:blipFill rotWithShape="1">
                    <a:blip r:embed="rId52">
                      <a:extLst>
                        <a:ext uri="{28A0092B-C50C-407E-A947-70E740481C1C}">
                          <a14:useLocalDpi xmlns:a14="http://schemas.microsoft.com/office/drawing/2010/main" val="0"/>
                        </a:ext>
                      </a:extLst>
                    </a:blip>
                    <a:srcRect l="1049" t="14623" r="1575" b="11578"/>
                    <a:stretch/>
                  </pic:blipFill>
                  <pic:spPr bwMode="auto">
                    <a:xfrm>
                      <a:off x="0" y="0"/>
                      <a:ext cx="5608326" cy="1916195"/>
                    </a:xfrm>
                    <a:prstGeom prst="rect">
                      <a:avLst/>
                    </a:prstGeom>
                    <a:noFill/>
                    <a:ln>
                      <a:noFill/>
                    </a:ln>
                    <a:extLst>
                      <a:ext uri="{53640926-AAD7-44D8-BBD7-CCE9431645EC}">
                        <a14:shadowObscured xmlns:a14="http://schemas.microsoft.com/office/drawing/2010/main"/>
                      </a:ext>
                    </a:extLst>
                  </pic:spPr>
                </pic:pic>
              </a:graphicData>
            </a:graphic>
          </wp:inline>
        </w:drawing>
      </w:r>
    </w:p>
    <w:p w14:paraId="3D00884D" w14:textId="526BD4AD" w:rsidR="003F5AB0" w:rsidRDefault="003F5AB0" w:rsidP="003F5AB0">
      <w:pPr>
        <w:pStyle w:val="TableDescription"/>
      </w:pPr>
      <w:proofErr w:type="gramStart"/>
      <w:r w:rsidRPr="00C53A1C">
        <w:rPr>
          <w:vertAlign w:val="superscript"/>
        </w:rPr>
        <w:t>a</w:t>
      </w:r>
      <w:proofErr w:type="gramEnd"/>
      <w:r>
        <w:t xml:space="preserve"> NCI CTC grade = National Cancer Institute Common Toxicity Criteria, version 4.03; 3 = severe; 4 = life-threatening; Grade 4 was not available for haemoglobin low direction. Grade 3 neutrophil count decreased: &lt; 1 to 0.5 x 10</w:t>
      </w:r>
      <w:r w:rsidRPr="003F5AB0">
        <w:rPr>
          <w:vertAlign w:val="superscript"/>
        </w:rPr>
        <w:t>9</w:t>
      </w:r>
      <w:r>
        <w:t>/L; Grade 4 neutrophil count decreased: &lt; 0.5 x 10</w:t>
      </w:r>
      <w:r w:rsidRPr="003F5AB0">
        <w:rPr>
          <w:vertAlign w:val="superscript"/>
        </w:rPr>
        <w:t>9</w:t>
      </w:r>
      <w:r>
        <w:t>/L</w:t>
      </w:r>
    </w:p>
    <w:p w14:paraId="06FFFD8B" w14:textId="77777777" w:rsidR="00265045" w:rsidRPr="0009160B" w:rsidRDefault="00265045" w:rsidP="00C53A1C">
      <w:pPr>
        <w:pStyle w:val="Heading5"/>
      </w:pPr>
      <w:r>
        <w:t>A</w:t>
      </w:r>
      <w:r w:rsidRPr="0009160B">
        <w:t>ll-cause mortality</w:t>
      </w:r>
    </w:p>
    <w:p w14:paraId="25AE65E2" w14:textId="69B59A8F" w:rsidR="00265045" w:rsidRDefault="00265045" w:rsidP="00265045">
      <w:r>
        <w:t>A total of 6</w:t>
      </w:r>
      <w:r w:rsidR="003F5AB0">
        <w:t xml:space="preserve"> out of </w:t>
      </w:r>
      <w:r>
        <w:t xml:space="preserve">116 (5.2%) deaths in </w:t>
      </w:r>
      <w:r w:rsidR="003F5AB0" w:rsidRPr="009B7B27">
        <w:t>investigator assigned anti-CMV treatment</w:t>
      </w:r>
      <w:r>
        <w:t xml:space="preserve"> group compared with 16</w:t>
      </w:r>
      <w:r w:rsidR="003F5AB0">
        <w:t xml:space="preserve"> out of </w:t>
      </w:r>
      <w:r>
        <w:t xml:space="preserve">234 (6.8%) in </w:t>
      </w:r>
      <w:proofErr w:type="spellStart"/>
      <w:r>
        <w:t>maribavir</w:t>
      </w:r>
      <w:proofErr w:type="spellEnd"/>
      <w:r>
        <w:t xml:space="preserve"> group were reported in the 8 weeks on treatment period in </w:t>
      </w:r>
      <w:r w:rsidR="003F5AB0">
        <w:t>S</w:t>
      </w:r>
      <w:r>
        <w:t>tudy 303</w:t>
      </w:r>
      <w:r w:rsidR="003F5AB0">
        <w:t xml:space="preserve"> (</w:t>
      </w:r>
      <w:r w:rsidR="003F5AB0">
        <w:fldChar w:fldCharType="begin"/>
      </w:r>
      <w:r w:rsidR="003F5AB0">
        <w:instrText xml:space="preserve"> REF _Ref132880969 \h </w:instrText>
      </w:r>
      <w:r w:rsidR="003F5AB0">
        <w:fldChar w:fldCharType="separate"/>
      </w:r>
      <w:r w:rsidR="001D123C">
        <w:t xml:space="preserve">Table </w:t>
      </w:r>
      <w:r w:rsidR="001D123C">
        <w:rPr>
          <w:noProof/>
        </w:rPr>
        <w:t>35</w:t>
      </w:r>
      <w:r w:rsidR="003F5AB0">
        <w:fldChar w:fldCharType="end"/>
      </w:r>
      <w:r w:rsidR="003F5AB0">
        <w:t>).</w:t>
      </w:r>
    </w:p>
    <w:p w14:paraId="2163E8ED" w14:textId="2E544906" w:rsidR="00156B3B" w:rsidRDefault="00156B3B" w:rsidP="00156B3B">
      <w:pPr>
        <w:pStyle w:val="TableTitle"/>
      </w:pPr>
      <w:bookmarkStart w:id="97" w:name="_Ref132880969"/>
      <w:r>
        <w:t xml:space="preserve">Table </w:t>
      </w:r>
      <w:r w:rsidR="00B24F8E">
        <w:fldChar w:fldCharType="begin"/>
      </w:r>
      <w:r w:rsidR="00B24F8E">
        <w:instrText xml:space="preserve"> SEQ Table \* ARABIC </w:instrText>
      </w:r>
      <w:r w:rsidR="00B24F8E">
        <w:fldChar w:fldCharType="separate"/>
      </w:r>
      <w:r w:rsidR="001D123C">
        <w:rPr>
          <w:noProof/>
        </w:rPr>
        <w:t>35</w:t>
      </w:r>
      <w:r w:rsidR="00B24F8E">
        <w:rPr>
          <w:noProof/>
        </w:rPr>
        <w:fldChar w:fldCharType="end"/>
      </w:r>
      <w:bookmarkEnd w:id="97"/>
      <w:r>
        <w:t>:</w:t>
      </w:r>
      <w:r w:rsidR="003F5AB0">
        <w:t xml:space="preserve"> Study 303 Overall treatment emergent adverse events during the on treatment observation period by treatment group (safety set)</w:t>
      </w:r>
    </w:p>
    <w:p w14:paraId="2E876545" w14:textId="3B1CEEF2" w:rsidR="00265045" w:rsidRDefault="00265045" w:rsidP="00156B3B">
      <w:r>
        <w:rPr>
          <w:noProof/>
          <w:lang w:val="en-GB" w:eastAsia="en-GB"/>
        </w:rPr>
        <w:drawing>
          <wp:inline distT="0" distB="0" distL="0" distR="0" wp14:anchorId="782E7AC2" wp14:editId="37035D4F">
            <wp:extent cx="5471769" cy="1462914"/>
            <wp:effectExtent l="0" t="0" r="0" b="4445"/>
            <wp:docPr id="30" name="Picture 30" descr="Study 303 Overall treatment emergent adverse events during the on treatment observation period by treatment group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tudy 303 Overall treatment emergent adverse events during the on treatment observation period by treatment group (safety set)"/>
                    <pic:cNvPicPr>
                      <a:picLocks noChangeAspect="1" noChangeArrowheads="1"/>
                    </pic:cNvPicPr>
                  </pic:nvPicPr>
                  <pic:blipFill rotWithShape="1">
                    <a:blip r:embed="rId53">
                      <a:extLst>
                        <a:ext uri="{28A0092B-C50C-407E-A947-70E740481C1C}">
                          <a14:useLocalDpi xmlns:a14="http://schemas.microsoft.com/office/drawing/2010/main" val="0"/>
                        </a:ext>
                      </a:extLst>
                    </a:blip>
                    <a:srcRect l="-1" t="11841" r="852" b="32357"/>
                    <a:stretch/>
                  </pic:blipFill>
                  <pic:spPr bwMode="auto">
                    <a:xfrm>
                      <a:off x="0" y="0"/>
                      <a:ext cx="5473658" cy="1463419"/>
                    </a:xfrm>
                    <a:prstGeom prst="rect">
                      <a:avLst/>
                    </a:prstGeom>
                    <a:noFill/>
                    <a:ln>
                      <a:noFill/>
                    </a:ln>
                    <a:extLst>
                      <a:ext uri="{53640926-AAD7-44D8-BBD7-CCE9431645EC}">
                        <a14:shadowObscured xmlns:a14="http://schemas.microsoft.com/office/drawing/2010/main"/>
                      </a:ext>
                    </a:extLst>
                  </pic:spPr>
                </pic:pic>
              </a:graphicData>
            </a:graphic>
          </wp:inline>
        </w:drawing>
      </w:r>
    </w:p>
    <w:p w14:paraId="600797B9" w14:textId="02435B44" w:rsidR="003F5AB0" w:rsidRDefault="00E2403A" w:rsidP="003F5AB0">
      <w:pPr>
        <w:pStyle w:val="TableDescription"/>
      </w:pPr>
      <w:r>
        <w:t xml:space="preserve">AESI = adverse event of special interest; BID = twice daily; IAT = </w:t>
      </w:r>
      <w:r w:rsidRPr="009B7B27">
        <w:t>investigator assigned anti-CMV treatment</w:t>
      </w:r>
      <w:r>
        <w:t>; MedDRA = Medical Dictionary of Regulatory Activities; N = number of subjects; n = number of subjects experiencing the event; m = number of events; TEAE = treatment emergent adverse event; TESAE = treatment emergent serious adverse event.</w:t>
      </w:r>
    </w:p>
    <w:p w14:paraId="6D10E2D8" w14:textId="7787D180" w:rsidR="00E2403A" w:rsidRDefault="00E2403A" w:rsidP="003F5AB0">
      <w:pPr>
        <w:pStyle w:val="TableDescription"/>
      </w:pPr>
      <w:r>
        <w:t>Percentages were based on the number of subjects in the safety set within each column</w:t>
      </w:r>
    </w:p>
    <w:p w14:paraId="307D1509" w14:textId="0F74671A" w:rsidR="00E2403A" w:rsidRDefault="00E2403A" w:rsidP="003F5AB0">
      <w:pPr>
        <w:pStyle w:val="TableDescription"/>
      </w:pPr>
      <w:r>
        <w:t xml:space="preserve">Intravenous ganciclovir and oral valganciclovir were combined, as the change between the 2 </w:t>
      </w:r>
      <w:proofErr w:type="gramStart"/>
      <w:r>
        <w:t>was</w:t>
      </w:r>
      <w:proofErr w:type="gramEnd"/>
      <w:r>
        <w:t xml:space="preserve"> allowed.</w:t>
      </w:r>
    </w:p>
    <w:p w14:paraId="214538A6" w14:textId="15C462B0" w:rsidR="00E2403A" w:rsidRDefault="00E2403A" w:rsidP="003F5AB0">
      <w:pPr>
        <w:pStyle w:val="TableDescription"/>
      </w:pPr>
      <w:r>
        <w:t>Subjects were counted once per category per treatment</w:t>
      </w:r>
    </w:p>
    <w:p w14:paraId="2A0AB2BC" w14:textId="3B01080E" w:rsidR="00E2403A" w:rsidRDefault="00E2403A" w:rsidP="003F5AB0">
      <w:pPr>
        <w:pStyle w:val="TableDescription"/>
      </w:pPr>
      <w:r>
        <w:t xml:space="preserve">The </w:t>
      </w:r>
      <w:r w:rsidR="00C3280B">
        <w:t>on-treatment</w:t>
      </w:r>
      <w:r>
        <w:t xml:space="preserve"> observation period started at the time of study assigned treatment initiation through 7 days afte</w:t>
      </w:r>
      <w:r w:rsidR="008B0D48">
        <w:t>r</w:t>
      </w:r>
      <w:r>
        <w:t xml:space="preserve"> the last dose of study assigned treatment or thro</w:t>
      </w:r>
      <w:r w:rsidR="00B845F4">
        <w:t xml:space="preserve">ugh 21 days if cidofovir was used, or until the </w:t>
      </w:r>
      <w:proofErr w:type="spellStart"/>
      <w:r w:rsidR="00B845F4">
        <w:t>maribavir</w:t>
      </w:r>
      <w:proofErr w:type="spellEnd"/>
      <w:r w:rsidR="00B845F4">
        <w:t xml:space="preserve"> rescue treatment initiation or until the </w:t>
      </w:r>
      <w:proofErr w:type="spellStart"/>
      <w:r w:rsidR="00B845F4">
        <w:t>nonstudy</w:t>
      </w:r>
      <w:proofErr w:type="spellEnd"/>
      <w:r w:rsidR="00B845F4">
        <w:t xml:space="preserve"> CMV treatment initiation, whichever was earlier.</w:t>
      </w:r>
    </w:p>
    <w:p w14:paraId="7DDECBEE" w14:textId="0FB6649D" w:rsidR="00B845F4" w:rsidRDefault="00B845F4" w:rsidP="003F5AB0">
      <w:pPr>
        <w:pStyle w:val="TableDescription"/>
      </w:pPr>
      <w:r>
        <w:t>TEAEs were defined as any adverse event occurring during the on-treatment observation period.</w:t>
      </w:r>
    </w:p>
    <w:p w14:paraId="1B44DD90" w14:textId="0FD5F630" w:rsidR="00265045" w:rsidRDefault="00265045" w:rsidP="00265045">
      <w:r>
        <w:t>A total of 40 deaths comprising 13</w:t>
      </w:r>
      <w:r w:rsidR="00B845F4">
        <w:t xml:space="preserve"> out of </w:t>
      </w:r>
      <w:r>
        <w:t xml:space="preserve">116 (11.2%) in </w:t>
      </w:r>
      <w:r w:rsidR="00B845F4" w:rsidRPr="009B7B27">
        <w:t>investigator assigned anti-CMV treatment</w:t>
      </w:r>
      <w:r>
        <w:t xml:space="preserve"> group compared with 27</w:t>
      </w:r>
      <w:r w:rsidR="00B845F4">
        <w:t xml:space="preserve"> out of </w:t>
      </w:r>
      <w:r>
        <w:t xml:space="preserve">235 (11.5%) deaths were reported over the whole course of follow up in </w:t>
      </w:r>
      <w:r w:rsidR="00B845F4">
        <w:t>S</w:t>
      </w:r>
      <w:r>
        <w:t xml:space="preserve">tudy 303. The distribution was as follows, noting that no deaths were reported with cidofovir or patients who received combination </w:t>
      </w:r>
      <w:r w:rsidR="00B845F4" w:rsidRPr="009B7B27">
        <w:t>investigator assigned anti-CMV treatment</w:t>
      </w:r>
      <w:r w:rsidR="00B845F4">
        <w:t xml:space="preserve"> (</w:t>
      </w:r>
      <w:r w:rsidR="00B845F4">
        <w:fldChar w:fldCharType="begin"/>
      </w:r>
      <w:r w:rsidR="00B845F4">
        <w:instrText xml:space="preserve"> REF _Ref132881465 \h </w:instrText>
      </w:r>
      <w:r w:rsidR="00B845F4">
        <w:fldChar w:fldCharType="separate"/>
      </w:r>
      <w:r w:rsidR="001D123C">
        <w:t xml:space="preserve">Table </w:t>
      </w:r>
      <w:r w:rsidR="001D123C">
        <w:rPr>
          <w:noProof/>
        </w:rPr>
        <w:t>36</w:t>
      </w:r>
      <w:r w:rsidR="00B845F4">
        <w:fldChar w:fldCharType="end"/>
      </w:r>
      <w:r w:rsidR="00B845F4">
        <w:t>).</w:t>
      </w:r>
    </w:p>
    <w:p w14:paraId="5F5448AB" w14:textId="07AC8537" w:rsidR="00156B3B" w:rsidRDefault="00156B3B" w:rsidP="00156B3B">
      <w:pPr>
        <w:pStyle w:val="TableTitle"/>
      </w:pPr>
      <w:bookmarkStart w:id="98" w:name="_Ref132881465"/>
      <w:r>
        <w:lastRenderedPageBreak/>
        <w:t xml:space="preserve">Table </w:t>
      </w:r>
      <w:r w:rsidR="00B24F8E">
        <w:fldChar w:fldCharType="begin"/>
      </w:r>
      <w:r w:rsidR="00B24F8E">
        <w:instrText xml:space="preserve"> SEQ Table \* ARABIC </w:instrText>
      </w:r>
      <w:r w:rsidR="00B24F8E">
        <w:fldChar w:fldCharType="separate"/>
      </w:r>
      <w:r w:rsidR="001D123C">
        <w:rPr>
          <w:noProof/>
        </w:rPr>
        <w:t>36</w:t>
      </w:r>
      <w:r w:rsidR="00B24F8E">
        <w:rPr>
          <w:noProof/>
        </w:rPr>
        <w:fldChar w:fldCharType="end"/>
      </w:r>
      <w:bookmarkEnd w:id="98"/>
      <w:r>
        <w:t>:</w:t>
      </w:r>
      <w:r w:rsidR="00B845F4">
        <w:t xml:space="preserve"> </w:t>
      </w:r>
      <w:r w:rsidR="00A922AE">
        <w:t xml:space="preserve">Study 303 </w:t>
      </w:r>
      <w:r w:rsidR="00B845F4">
        <w:t xml:space="preserve">Timing of deaths (based on death date) relative to first dose of study assigned treatment by treatment group and </w:t>
      </w:r>
      <w:r w:rsidR="00B845F4" w:rsidRPr="009B7B27">
        <w:t>investigator assigned anti-CMV treatment</w:t>
      </w:r>
      <w:r w:rsidR="00B845F4">
        <w:t xml:space="preserve"> type (safety set)</w:t>
      </w:r>
    </w:p>
    <w:p w14:paraId="3BF49A74" w14:textId="13A07AD8" w:rsidR="00265045" w:rsidRDefault="00265045" w:rsidP="00156B3B">
      <w:r>
        <w:rPr>
          <w:noProof/>
          <w:lang w:val="en-GB" w:eastAsia="en-GB"/>
        </w:rPr>
        <w:drawing>
          <wp:inline distT="0" distB="0" distL="0" distR="0" wp14:anchorId="2A284FB3" wp14:editId="2ABA86C3">
            <wp:extent cx="4252430" cy="2216506"/>
            <wp:effectExtent l="0" t="0" r="0" b="0"/>
            <wp:docPr id="29" name="Picture 29" descr="Timing of deaths in Study 303 (based on death date) relative to first dose of study assigned treatment by treatment group and investigator assigned anti-CMV treatment type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iming of deaths in Study 303 (based on death date) relative to first dose of study assigned treatment by treatment group and investigator assigned anti-CMV treatment type (safety set)"/>
                    <pic:cNvPicPr>
                      <a:picLocks noChangeAspect="1" noChangeArrowheads="1"/>
                    </pic:cNvPicPr>
                  </pic:nvPicPr>
                  <pic:blipFill rotWithShape="1">
                    <a:blip r:embed="rId54">
                      <a:extLst>
                        <a:ext uri="{28A0092B-C50C-407E-A947-70E740481C1C}">
                          <a14:useLocalDpi xmlns:a14="http://schemas.microsoft.com/office/drawing/2010/main" val="0"/>
                        </a:ext>
                      </a:extLst>
                    </a:blip>
                    <a:srcRect t="10537" b="13447"/>
                    <a:stretch/>
                  </pic:blipFill>
                  <pic:spPr bwMode="auto">
                    <a:xfrm>
                      <a:off x="0" y="0"/>
                      <a:ext cx="4252595" cy="2216592"/>
                    </a:xfrm>
                    <a:prstGeom prst="rect">
                      <a:avLst/>
                    </a:prstGeom>
                    <a:noFill/>
                    <a:ln>
                      <a:noFill/>
                    </a:ln>
                    <a:extLst>
                      <a:ext uri="{53640926-AAD7-44D8-BBD7-CCE9431645EC}">
                        <a14:shadowObscured xmlns:a14="http://schemas.microsoft.com/office/drawing/2010/main"/>
                      </a:ext>
                    </a:extLst>
                  </pic:spPr>
                </pic:pic>
              </a:graphicData>
            </a:graphic>
          </wp:inline>
        </w:drawing>
      </w:r>
    </w:p>
    <w:p w14:paraId="0E956FC9" w14:textId="2B111E9D" w:rsidR="00B845F4" w:rsidRDefault="00B845F4" w:rsidP="00B845F4">
      <w:pPr>
        <w:pStyle w:val="TableDescription"/>
      </w:pPr>
      <w:r>
        <w:t>CMV = cytomegalovirus; IAT = investigator assigned anti-CMV treatment</w:t>
      </w:r>
    </w:p>
    <w:p w14:paraId="4AD027A1" w14:textId="2F896335" w:rsidR="00B845F4" w:rsidRDefault="00B845F4" w:rsidP="00B845F4">
      <w:pPr>
        <w:pStyle w:val="TableDescription"/>
      </w:pPr>
      <w:r>
        <w:t>The calculation of death days was (death date – date of first dose of study assigned treatment + 1)</w:t>
      </w:r>
    </w:p>
    <w:p w14:paraId="44AFBB80" w14:textId="27BFE8B5" w:rsidR="00B845F4" w:rsidRDefault="00B845F4" w:rsidP="00B845F4">
      <w:pPr>
        <w:pStyle w:val="TableDescription"/>
      </w:pPr>
      <w:r w:rsidRPr="00C53A1C">
        <w:rPr>
          <w:vertAlign w:val="superscript"/>
        </w:rPr>
        <w:t>a</w:t>
      </w:r>
      <w:r>
        <w:t xml:space="preserve"> No death </w:t>
      </w:r>
      <w:proofErr w:type="gramStart"/>
      <w:r>
        <w:t>were</w:t>
      </w:r>
      <w:proofErr w:type="gramEnd"/>
      <w:r>
        <w:t xml:space="preserve"> reported for subjects who received cidofovir or ˃ 1 </w:t>
      </w:r>
      <w:r w:rsidRPr="009B7B27">
        <w:t>investigator assigned anti-CMV treatment</w:t>
      </w:r>
      <w:r>
        <w:t>.</w:t>
      </w:r>
    </w:p>
    <w:p w14:paraId="31D6365F" w14:textId="6DCB0536" w:rsidR="00265045" w:rsidRDefault="00265045" w:rsidP="00265045">
      <w:r>
        <w:t xml:space="preserve">The observed median time to death was 55 days (range 3, 182) in </w:t>
      </w:r>
      <w:proofErr w:type="spellStart"/>
      <w:r>
        <w:t>maribavir</w:t>
      </w:r>
      <w:proofErr w:type="spellEnd"/>
      <w:r>
        <w:t xml:space="preserve"> group compared to 73 days (range 13 to 186) in IAT group</w:t>
      </w:r>
      <w:r w:rsidR="00B845F4">
        <w:t xml:space="preserve"> (</w:t>
      </w:r>
      <w:r w:rsidR="00B845F4">
        <w:fldChar w:fldCharType="begin"/>
      </w:r>
      <w:r w:rsidR="00B845F4">
        <w:instrText xml:space="preserve"> REF _Ref132881786 \h </w:instrText>
      </w:r>
      <w:r w:rsidR="00B845F4">
        <w:fldChar w:fldCharType="separate"/>
      </w:r>
      <w:r w:rsidR="001D123C">
        <w:t xml:space="preserve">Table </w:t>
      </w:r>
      <w:r w:rsidR="001D123C">
        <w:rPr>
          <w:noProof/>
        </w:rPr>
        <w:t>37</w:t>
      </w:r>
      <w:r w:rsidR="00B845F4">
        <w:fldChar w:fldCharType="end"/>
      </w:r>
      <w:r w:rsidR="00B845F4">
        <w:t>).</w:t>
      </w:r>
    </w:p>
    <w:p w14:paraId="23A98810" w14:textId="13589D79" w:rsidR="00156B3B" w:rsidRDefault="00156B3B" w:rsidP="002D7C7A">
      <w:pPr>
        <w:pStyle w:val="TableTitle"/>
      </w:pPr>
      <w:bookmarkStart w:id="99" w:name="_Ref132881786"/>
      <w:r>
        <w:t xml:space="preserve">Table </w:t>
      </w:r>
      <w:r w:rsidR="00B24F8E">
        <w:fldChar w:fldCharType="begin"/>
      </w:r>
      <w:r w:rsidR="00B24F8E">
        <w:instrText xml:space="preserve"> SEQ Table \* ARABIC </w:instrText>
      </w:r>
      <w:r w:rsidR="00B24F8E">
        <w:fldChar w:fldCharType="separate"/>
      </w:r>
      <w:r w:rsidR="001D123C">
        <w:rPr>
          <w:noProof/>
        </w:rPr>
        <w:t>37</w:t>
      </w:r>
      <w:r w:rsidR="00B24F8E">
        <w:rPr>
          <w:noProof/>
        </w:rPr>
        <w:fldChar w:fldCharType="end"/>
      </w:r>
      <w:bookmarkEnd w:id="99"/>
      <w:r w:rsidR="00B845F4">
        <w:rPr>
          <w:noProof/>
        </w:rPr>
        <w:t>:</w:t>
      </w:r>
      <w:r w:rsidR="00A922AE">
        <w:rPr>
          <w:noProof/>
        </w:rPr>
        <w:t xml:space="preserve"> Study 303</w:t>
      </w:r>
      <w:r w:rsidR="00B845F4">
        <w:rPr>
          <w:noProof/>
        </w:rPr>
        <w:t xml:space="preserve"> Cumulative probability of all cause mortality by treatment group (randomised set)</w:t>
      </w:r>
    </w:p>
    <w:p w14:paraId="01F0B960" w14:textId="16AF4446" w:rsidR="00265045" w:rsidRDefault="00265045" w:rsidP="00640F92">
      <w:r>
        <w:rPr>
          <w:noProof/>
          <w:lang w:val="en-GB" w:eastAsia="en-GB"/>
        </w:rPr>
        <w:drawing>
          <wp:inline distT="0" distB="0" distL="0" distR="0" wp14:anchorId="67865D2B" wp14:editId="1DAB8EA1">
            <wp:extent cx="4191609" cy="3087370"/>
            <wp:effectExtent l="0" t="0" r="0" b="0"/>
            <wp:docPr id="28" name="Picture 28" descr="Cumulative probability of all cause mortality by treatment group (randomis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mulative probability of all cause mortality by treatment group (randomised set)"/>
                    <pic:cNvPicPr>
                      <a:picLocks noChangeAspect="1" noChangeArrowheads="1"/>
                    </pic:cNvPicPr>
                  </pic:nvPicPr>
                  <pic:blipFill rotWithShape="1">
                    <a:blip r:embed="rId55">
                      <a:extLst>
                        <a:ext uri="{28A0092B-C50C-407E-A947-70E740481C1C}">
                          <a14:useLocalDpi xmlns:a14="http://schemas.microsoft.com/office/drawing/2010/main" val="0"/>
                        </a:ext>
                      </a:extLst>
                    </a:blip>
                    <a:srcRect t="5803" r="3963"/>
                    <a:stretch/>
                  </pic:blipFill>
                  <pic:spPr bwMode="auto">
                    <a:xfrm>
                      <a:off x="0" y="0"/>
                      <a:ext cx="4192023" cy="3087675"/>
                    </a:xfrm>
                    <a:prstGeom prst="rect">
                      <a:avLst/>
                    </a:prstGeom>
                    <a:noFill/>
                    <a:ln>
                      <a:noFill/>
                    </a:ln>
                    <a:extLst>
                      <a:ext uri="{53640926-AAD7-44D8-BBD7-CCE9431645EC}">
                        <a14:shadowObscured xmlns:a14="http://schemas.microsoft.com/office/drawing/2010/main"/>
                      </a:ext>
                    </a:extLst>
                  </pic:spPr>
                </pic:pic>
              </a:graphicData>
            </a:graphic>
          </wp:inline>
        </w:drawing>
      </w:r>
    </w:p>
    <w:p w14:paraId="0B0449B5" w14:textId="284CF065" w:rsidR="00265045" w:rsidRDefault="00265045" w:rsidP="00265045">
      <w:r>
        <w:t xml:space="preserve">The hazard ratio for treatment with </w:t>
      </w:r>
      <w:proofErr w:type="spellStart"/>
      <w:r>
        <w:t>maribavir</w:t>
      </w:r>
      <w:proofErr w:type="spellEnd"/>
      <w:r>
        <w:t xml:space="preserve"> v</w:t>
      </w:r>
      <w:r w:rsidR="00B845F4">
        <w:t>ersus</w:t>
      </w:r>
      <w:r>
        <w:t xml:space="preserve"> </w:t>
      </w:r>
      <w:r w:rsidR="00B845F4" w:rsidRPr="00B845F4">
        <w:t>investigator assigned anti-CMV treatment</w:t>
      </w:r>
      <w:r>
        <w:t xml:space="preserve"> was 1.14 (95%</w:t>
      </w:r>
      <w:r w:rsidR="00A922AE">
        <w:t xml:space="preserve"> </w:t>
      </w:r>
      <w:r>
        <w:t>CI: 0.549, 2.357).</w:t>
      </w:r>
    </w:p>
    <w:p w14:paraId="3E8C5037" w14:textId="22167E02" w:rsidR="00265045" w:rsidRDefault="00265045" w:rsidP="00265045">
      <w:r>
        <w:t xml:space="preserve">For reference, the reported mortality in the placebo-controlled Phase III </w:t>
      </w:r>
      <w:r w:rsidR="00B845F4">
        <w:t>S</w:t>
      </w:r>
      <w:r>
        <w:t>tudy 300 CMV prevention trial (</w:t>
      </w:r>
      <w:proofErr w:type="spellStart"/>
      <w:r>
        <w:t>maribavir</w:t>
      </w:r>
      <w:proofErr w:type="spellEnd"/>
      <w:r>
        <w:t xml:space="preserve"> 100</w:t>
      </w:r>
      <w:r w:rsidR="00B845F4">
        <w:t xml:space="preserve"> </w:t>
      </w:r>
      <w:r>
        <w:t xml:space="preserve">mg </w:t>
      </w:r>
      <w:r w:rsidR="00C75DFC">
        <w:t>twice daily</w:t>
      </w:r>
      <w:r>
        <w:t xml:space="preserve">) </w:t>
      </w:r>
      <w:r w:rsidR="00B845F4">
        <w:t>(</w:t>
      </w:r>
      <w:r w:rsidR="00B845F4">
        <w:fldChar w:fldCharType="begin"/>
      </w:r>
      <w:r w:rsidR="00B845F4">
        <w:instrText xml:space="preserve"> REF _Ref132881861 \h </w:instrText>
      </w:r>
      <w:r w:rsidR="00B845F4">
        <w:fldChar w:fldCharType="separate"/>
      </w:r>
      <w:r w:rsidR="001D123C">
        <w:t xml:space="preserve">Table </w:t>
      </w:r>
      <w:r w:rsidR="001D123C">
        <w:rPr>
          <w:noProof/>
        </w:rPr>
        <w:t>38</w:t>
      </w:r>
      <w:r w:rsidR="00B845F4">
        <w:fldChar w:fldCharType="end"/>
      </w:r>
      <w:r w:rsidR="00B845F4">
        <w:t>).</w:t>
      </w:r>
    </w:p>
    <w:p w14:paraId="739AC032" w14:textId="18499C05" w:rsidR="002D7C7A" w:rsidRDefault="002D7C7A" w:rsidP="002D7C7A">
      <w:pPr>
        <w:pStyle w:val="TableTitle"/>
      </w:pPr>
      <w:bookmarkStart w:id="100" w:name="_Ref132881861"/>
      <w:r>
        <w:lastRenderedPageBreak/>
        <w:t xml:space="preserve">Table </w:t>
      </w:r>
      <w:r w:rsidR="00B24F8E">
        <w:fldChar w:fldCharType="begin"/>
      </w:r>
      <w:r w:rsidR="00B24F8E">
        <w:instrText xml:space="preserve"> SEQ Table \* ARABIC </w:instrText>
      </w:r>
      <w:r w:rsidR="00B24F8E">
        <w:fldChar w:fldCharType="separate"/>
      </w:r>
      <w:r w:rsidR="001D123C">
        <w:rPr>
          <w:noProof/>
        </w:rPr>
        <w:t>38</w:t>
      </w:r>
      <w:r w:rsidR="00B24F8E">
        <w:rPr>
          <w:noProof/>
        </w:rPr>
        <w:fldChar w:fldCharType="end"/>
      </w:r>
      <w:bookmarkEnd w:id="100"/>
      <w:r>
        <w:t>:</w:t>
      </w:r>
      <w:r w:rsidR="00B845F4">
        <w:t xml:space="preserve"> </w:t>
      </w:r>
      <w:r w:rsidR="00A922AE">
        <w:t xml:space="preserve">Study 303 </w:t>
      </w:r>
      <w:r w:rsidR="00B845F4">
        <w:t>Incidence of death during 100 day, 6 month and 12 month post-transplant assessment periods (intent to treat</w:t>
      </w:r>
      <w:r w:rsidR="00871680">
        <w:t xml:space="preserve"> set population)</w:t>
      </w:r>
    </w:p>
    <w:p w14:paraId="27EE25F0" w14:textId="08C5EB0F" w:rsidR="00265045" w:rsidRDefault="00265045" w:rsidP="00640F92">
      <w:r>
        <w:rPr>
          <w:noProof/>
          <w:lang w:val="en-GB" w:eastAsia="en-GB"/>
        </w:rPr>
        <w:drawing>
          <wp:inline distT="0" distB="0" distL="0" distR="0" wp14:anchorId="28B11DFA" wp14:editId="7F387330">
            <wp:extent cx="5233901" cy="1331366"/>
            <wp:effectExtent l="0" t="0" r="5080" b="2540"/>
            <wp:docPr id="27" name="Picture 27" descr="Incidence of death during 100 day, 6 month and 12 month post-transplant assessment periods (intent to treat se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ncidence of death during 100 day, 6 month and 12 month post-transplant assessment periods (intent to treat set population)"/>
                    <pic:cNvPicPr>
                      <a:picLocks noChangeAspect="1" noChangeArrowheads="1"/>
                    </pic:cNvPicPr>
                  </pic:nvPicPr>
                  <pic:blipFill rotWithShape="1">
                    <a:blip r:embed="rId56">
                      <a:extLst>
                        <a:ext uri="{28A0092B-C50C-407E-A947-70E740481C1C}">
                          <a14:useLocalDpi xmlns:a14="http://schemas.microsoft.com/office/drawing/2010/main" val="0"/>
                        </a:ext>
                      </a:extLst>
                    </a:blip>
                    <a:srcRect l="962" t="26527" r="1283"/>
                    <a:stretch/>
                  </pic:blipFill>
                  <pic:spPr bwMode="auto">
                    <a:xfrm>
                      <a:off x="0" y="0"/>
                      <a:ext cx="5257256" cy="1337307"/>
                    </a:xfrm>
                    <a:prstGeom prst="rect">
                      <a:avLst/>
                    </a:prstGeom>
                    <a:noFill/>
                    <a:ln>
                      <a:noFill/>
                    </a:ln>
                    <a:extLst>
                      <a:ext uri="{53640926-AAD7-44D8-BBD7-CCE9431645EC}">
                        <a14:shadowObscured xmlns:a14="http://schemas.microsoft.com/office/drawing/2010/main"/>
                      </a:ext>
                    </a:extLst>
                  </pic:spPr>
                </pic:pic>
              </a:graphicData>
            </a:graphic>
          </wp:inline>
        </w:drawing>
      </w:r>
    </w:p>
    <w:p w14:paraId="76323C2E" w14:textId="3CB5164D" w:rsidR="00265045" w:rsidRDefault="00265045" w:rsidP="00265045">
      <w:bookmarkStart w:id="101" w:name="5.2_Supportive_Safety_Findings"/>
      <w:bookmarkStart w:id="102" w:name="_bookmark35"/>
      <w:bookmarkEnd w:id="101"/>
      <w:bookmarkEnd w:id="102"/>
      <w:r w:rsidRPr="00453FD6">
        <w:t xml:space="preserve">Safety data from the two Phase </w:t>
      </w:r>
      <w:r w:rsidR="00871680">
        <w:t>II</w:t>
      </w:r>
      <w:r w:rsidRPr="00453FD6">
        <w:t xml:space="preserve"> </w:t>
      </w:r>
      <w:r>
        <w:t>treatment indication studies</w:t>
      </w:r>
      <w:r w:rsidRPr="00453FD6">
        <w:t xml:space="preserve"> </w:t>
      </w:r>
      <w:r>
        <w:t>were</w:t>
      </w:r>
      <w:r w:rsidRPr="00453FD6">
        <w:t xml:space="preserve"> consistent with</w:t>
      </w:r>
      <w:r>
        <w:t xml:space="preserve"> the </w:t>
      </w:r>
      <w:r w:rsidR="00871680">
        <w:t>treatment emergent adverse event</w:t>
      </w:r>
      <w:r w:rsidRPr="00453FD6">
        <w:t xml:space="preserve"> </w:t>
      </w:r>
      <w:r>
        <w:t>profile seen in</w:t>
      </w:r>
      <w:r w:rsidRPr="00453FD6">
        <w:t xml:space="preserve"> </w:t>
      </w:r>
      <w:r w:rsidR="00871680">
        <w:t>S</w:t>
      </w:r>
      <w:r w:rsidRPr="00453FD6">
        <w:t>tudy 303</w:t>
      </w:r>
      <w:r>
        <w:t>, with some dose effect with the</w:t>
      </w:r>
      <w:r w:rsidRPr="00453FD6">
        <w:t xml:space="preserve"> higher doses</w:t>
      </w:r>
      <w:r>
        <w:t>.</w:t>
      </w:r>
    </w:p>
    <w:p w14:paraId="2858B006" w14:textId="77777777" w:rsidR="00C22214" w:rsidRDefault="00C22214" w:rsidP="00C22214">
      <w:pPr>
        <w:pStyle w:val="Heading3"/>
        <w:rPr>
          <w:lang w:eastAsia="en-AU"/>
        </w:rPr>
      </w:pPr>
      <w:bookmarkStart w:id="103" w:name="_Toc103679298"/>
      <w:bookmarkStart w:id="104" w:name="_Toc135918986"/>
      <w:r>
        <w:rPr>
          <w:lang w:eastAsia="en-AU"/>
        </w:rPr>
        <w:t>Risk management plan</w:t>
      </w:r>
      <w:bookmarkEnd w:id="47"/>
      <w:bookmarkEnd w:id="103"/>
      <w:bookmarkEnd w:id="104"/>
    </w:p>
    <w:p w14:paraId="2E687B48" w14:textId="37837949" w:rsidR="00C75DFC" w:rsidRDefault="00C75DFC" w:rsidP="00C22214">
      <w:pPr>
        <w:rPr>
          <w:szCs w:val="22"/>
        </w:rPr>
      </w:pPr>
      <w:bookmarkStart w:id="105" w:name="_Toc247691531"/>
      <w:bookmarkStart w:id="106" w:name="_Toc314842515"/>
      <w:r>
        <w:rPr>
          <w:szCs w:val="22"/>
        </w:rPr>
        <w:t>The sponsor</w:t>
      </w:r>
      <w:r w:rsidRPr="00C75DFC">
        <w:rPr>
          <w:szCs w:val="22"/>
        </w:rPr>
        <w:t xml:space="preserve"> has submitted EU-</w:t>
      </w:r>
      <w:r>
        <w:rPr>
          <w:szCs w:val="22"/>
        </w:rPr>
        <w:t>risk management plan (</w:t>
      </w:r>
      <w:r w:rsidRPr="00C75DFC">
        <w:rPr>
          <w:szCs w:val="22"/>
        </w:rPr>
        <w:t>RMP</w:t>
      </w:r>
      <w:r>
        <w:rPr>
          <w:szCs w:val="22"/>
        </w:rPr>
        <w:t>)</w:t>
      </w:r>
      <w:r w:rsidRPr="00C75DFC">
        <w:rPr>
          <w:szCs w:val="22"/>
        </w:rPr>
        <w:t xml:space="preserve"> version 0.1 (date 12 April 2021; </w:t>
      </w:r>
      <w:r>
        <w:rPr>
          <w:szCs w:val="22"/>
        </w:rPr>
        <w:t>data lock point (</w:t>
      </w:r>
      <w:r w:rsidRPr="00C75DFC">
        <w:rPr>
          <w:szCs w:val="22"/>
        </w:rPr>
        <w:t>DLP</w:t>
      </w:r>
      <w:r>
        <w:rPr>
          <w:szCs w:val="22"/>
        </w:rPr>
        <w:t>)</w:t>
      </w:r>
      <w:r w:rsidRPr="00C75DFC">
        <w:rPr>
          <w:szCs w:val="22"/>
        </w:rPr>
        <w:t xml:space="preserve"> 17 December 2020) and </w:t>
      </w:r>
      <w:r>
        <w:rPr>
          <w:szCs w:val="22"/>
        </w:rPr>
        <w:t>Australia specific annex (</w:t>
      </w:r>
      <w:r w:rsidRPr="00C75DFC">
        <w:rPr>
          <w:szCs w:val="22"/>
        </w:rPr>
        <w:t>ASA</w:t>
      </w:r>
      <w:r>
        <w:rPr>
          <w:szCs w:val="22"/>
        </w:rPr>
        <w:t>)</w:t>
      </w:r>
      <w:r w:rsidRPr="00C75DFC">
        <w:rPr>
          <w:szCs w:val="22"/>
        </w:rPr>
        <w:t xml:space="preserve"> version 1.0 (date 1</w:t>
      </w:r>
      <w:r w:rsidR="00A922AE">
        <w:rPr>
          <w:szCs w:val="22"/>
        </w:rPr>
        <w:t> </w:t>
      </w:r>
      <w:r w:rsidRPr="00C75DFC">
        <w:rPr>
          <w:szCs w:val="22"/>
        </w:rPr>
        <w:t>December 2021) in support of this application.</w:t>
      </w:r>
    </w:p>
    <w:p w14:paraId="39F3CD1D" w14:textId="55C9A498" w:rsidR="0072003B" w:rsidRPr="00BD5DBD" w:rsidRDefault="00C22214" w:rsidP="00C22214">
      <w:pPr>
        <w:rPr>
          <w:szCs w:val="22"/>
        </w:rPr>
      </w:pPr>
      <w:r w:rsidRPr="00BD5DBD">
        <w:rPr>
          <w:szCs w:val="22"/>
        </w:rPr>
        <w:t>The summary of safety concerns and their associated risk monitoring and mitigation strategies are summarised in</w:t>
      </w:r>
      <w:r w:rsidR="003B149C">
        <w:rPr>
          <w:szCs w:val="22"/>
        </w:rPr>
        <w:t xml:space="preserve"> </w:t>
      </w:r>
      <w:r w:rsidR="003B149C" w:rsidRPr="003B149C">
        <w:rPr>
          <w:szCs w:val="22"/>
        </w:rPr>
        <w:fldChar w:fldCharType="begin"/>
      </w:r>
      <w:r w:rsidR="003B149C" w:rsidRPr="003B149C">
        <w:rPr>
          <w:szCs w:val="22"/>
        </w:rPr>
        <w:instrText xml:space="preserve"> REF _Ref97629131 \h </w:instrText>
      </w:r>
      <w:r w:rsidR="003B149C">
        <w:rPr>
          <w:szCs w:val="22"/>
        </w:rPr>
        <w:instrText xml:space="preserve"> \* MERGEFORMAT </w:instrText>
      </w:r>
      <w:r w:rsidR="003B149C" w:rsidRPr="003B149C">
        <w:rPr>
          <w:szCs w:val="22"/>
        </w:rPr>
      </w:r>
      <w:r w:rsidR="003B149C" w:rsidRPr="003B149C">
        <w:rPr>
          <w:szCs w:val="22"/>
        </w:rPr>
        <w:fldChar w:fldCharType="separate"/>
      </w:r>
      <w:r w:rsidR="001D123C" w:rsidRPr="001D123C">
        <w:rPr>
          <w:szCs w:val="22"/>
        </w:rPr>
        <w:t xml:space="preserve">Table </w:t>
      </w:r>
      <w:r w:rsidR="001D123C" w:rsidRPr="001D123C">
        <w:rPr>
          <w:noProof/>
          <w:szCs w:val="22"/>
        </w:rPr>
        <w:t>39</w:t>
      </w:r>
      <w:r w:rsidR="003B149C" w:rsidRPr="003B149C">
        <w:rPr>
          <w:szCs w:val="22"/>
        </w:rPr>
        <w:fldChar w:fldCharType="end"/>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life</w:t>
      </w:r>
      <w:r w:rsidR="00871680">
        <w:rPr>
          <w:szCs w:val="22"/>
        </w:rPr>
        <w:t xml:space="preserve"> </w:t>
      </w:r>
      <w:r w:rsidR="0072003B" w:rsidRPr="00BD5DBD">
        <w:rPr>
          <w:szCs w:val="22"/>
        </w:rPr>
        <w:t>cycle, during both the pre-approval and post-approval phases.</w:t>
      </w:r>
    </w:p>
    <w:p w14:paraId="56B51A93" w14:textId="0D067DF5" w:rsidR="006A277A" w:rsidRDefault="00C22214" w:rsidP="00C22214">
      <w:pPr>
        <w:pStyle w:val="TableTitle"/>
      </w:pPr>
      <w:bookmarkStart w:id="107" w:name="_Ref97629131"/>
      <w:r>
        <w:t xml:space="preserve">Table </w:t>
      </w:r>
      <w:r w:rsidR="00B24F8E">
        <w:fldChar w:fldCharType="begin"/>
      </w:r>
      <w:r w:rsidR="00B24F8E">
        <w:instrText xml:space="preserve"> SEQ Table \* ARABIC </w:instrText>
      </w:r>
      <w:r w:rsidR="00B24F8E">
        <w:fldChar w:fldCharType="separate"/>
      </w:r>
      <w:r w:rsidR="001D123C">
        <w:rPr>
          <w:noProof/>
        </w:rPr>
        <w:t>39</w:t>
      </w:r>
      <w:r w:rsidR="00B24F8E">
        <w:rPr>
          <w:noProof/>
        </w:rPr>
        <w:fldChar w:fldCharType="end"/>
      </w:r>
      <w:bookmarkEnd w:id="107"/>
      <w:r>
        <w:t>: Summary of safety concerns</w:t>
      </w:r>
      <w:r w:rsidR="006351D9">
        <w:t xml:space="preserve"> </w:t>
      </w:r>
    </w:p>
    <w:tbl>
      <w:tblPr>
        <w:tblStyle w:val="TableTGAblue"/>
        <w:tblW w:w="5000" w:type="pct"/>
        <w:tblLook w:val="04A0" w:firstRow="1" w:lastRow="0" w:firstColumn="1" w:lastColumn="0" w:noHBand="0" w:noVBand="1"/>
      </w:tblPr>
      <w:tblGrid>
        <w:gridCol w:w="1497"/>
        <w:gridCol w:w="2514"/>
        <w:gridCol w:w="1162"/>
        <w:gridCol w:w="1362"/>
        <w:gridCol w:w="1162"/>
        <w:gridCol w:w="1363"/>
      </w:tblGrid>
      <w:tr w:rsidR="00C75DFC" w:rsidRPr="00BF52F4" w14:paraId="28B76582" w14:textId="77777777" w:rsidTr="00C75DFC">
        <w:trPr>
          <w:cnfStyle w:val="100000000000" w:firstRow="1" w:lastRow="0" w:firstColumn="0" w:lastColumn="0" w:oddVBand="0" w:evenVBand="0" w:oddHBand="0" w:evenHBand="0" w:firstRowFirstColumn="0" w:firstRowLastColumn="0" w:lastRowFirstColumn="0" w:lastRowLastColumn="0"/>
          <w:trHeight w:val="392"/>
        </w:trPr>
        <w:tc>
          <w:tcPr>
            <w:tcW w:w="2214" w:type="pct"/>
            <w:gridSpan w:val="2"/>
            <w:vMerge w:val="restart"/>
            <w:tcBorders>
              <w:top w:val="single" w:sz="4" w:space="0" w:color="auto"/>
              <w:left w:val="single" w:sz="4" w:space="0" w:color="auto"/>
              <w:bottom w:val="single" w:sz="4" w:space="0" w:color="auto"/>
              <w:right w:val="single" w:sz="4" w:space="0" w:color="auto"/>
            </w:tcBorders>
          </w:tcPr>
          <w:p w14:paraId="189DB630" w14:textId="77777777" w:rsidR="00C75DFC" w:rsidRPr="00BF52F4" w:rsidRDefault="00C75DFC" w:rsidP="00DA0466">
            <w:pPr>
              <w:pStyle w:val="Tabletext0"/>
              <w:rPr>
                <w:b w:val="0"/>
                <w:kern w:val="0"/>
              </w:rPr>
            </w:pPr>
            <w:bookmarkStart w:id="108" w:name="_Toc103679299"/>
            <w:r w:rsidRPr="00BF52F4">
              <w:rPr>
                <w:kern w:val="0"/>
              </w:rPr>
              <w:t>Summary of safety concerns</w:t>
            </w:r>
          </w:p>
        </w:tc>
        <w:tc>
          <w:tcPr>
            <w:tcW w:w="1393" w:type="pct"/>
            <w:gridSpan w:val="2"/>
            <w:tcBorders>
              <w:top w:val="single" w:sz="4" w:space="0" w:color="auto"/>
              <w:left w:val="single" w:sz="4" w:space="0" w:color="auto"/>
              <w:bottom w:val="single" w:sz="4" w:space="0" w:color="auto"/>
              <w:right w:val="single" w:sz="4" w:space="0" w:color="auto"/>
            </w:tcBorders>
          </w:tcPr>
          <w:p w14:paraId="75631019" w14:textId="77777777" w:rsidR="00C75DFC" w:rsidRPr="00BF52F4" w:rsidRDefault="00C75DFC" w:rsidP="00DA0466">
            <w:pPr>
              <w:pStyle w:val="Tabletext0"/>
              <w:rPr>
                <w:b w:val="0"/>
                <w:kern w:val="0"/>
                <w:sz w:val="18"/>
              </w:rPr>
            </w:pPr>
            <w:r w:rsidRPr="00BF52F4">
              <w:rPr>
                <w:kern w:val="0"/>
                <w:sz w:val="18"/>
              </w:rPr>
              <w:t>Pharmacovigilance</w:t>
            </w:r>
          </w:p>
        </w:tc>
        <w:tc>
          <w:tcPr>
            <w:tcW w:w="1393" w:type="pct"/>
            <w:gridSpan w:val="2"/>
            <w:tcBorders>
              <w:top w:val="single" w:sz="4" w:space="0" w:color="auto"/>
              <w:left w:val="single" w:sz="4" w:space="0" w:color="auto"/>
              <w:bottom w:val="single" w:sz="4" w:space="0" w:color="auto"/>
              <w:right w:val="single" w:sz="4" w:space="0" w:color="auto"/>
            </w:tcBorders>
          </w:tcPr>
          <w:p w14:paraId="746D85EA" w14:textId="77777777" w:rsidR="00C75DFC" w:rsidRPr="00BF52F4" w:rsidRDefault="00C75DFC" w:rsidP="00DA0466">
            <w:pPr>
              <w:pStyle w:val="Tabletext0"/>
              <w:rPr>
                <w:b w:val="0"/>
                <w:kern w:val="0"/>
                <w:sz w:val="18"/>
              </w:rPr>
            </w:pPr>
            <w:r w:rsidRPr="00BF52F4">
              <w:rPr>
                <w:kern w:val="0"/>
                <w:sz w:val="18"/>
              </w:rPr>
              <w:t>Risk Minimisation</w:t>
            </w:r>
          </w:p>
        </w:tc>
      </w:tr>
      <w:tr w:rsidR="00C75DFC" w:rsidRPr="00BF52F4" w14:paraId="11D3331E" w14:textId="77777777" w:rsidTr="00C75DFC">
        <w:trPr>
          <w:trHeight w:val="411"/>
        </w:trPr>
        <w:tc>
          <w:tcPr>
            <w:tcW w:w="2214" w:type="pct"/>
            <w:gridSpan w:val="2"/>
            <w:vMerge/>
            <w:tcBorders>
              <w:top w:val="single" w:sz="4" w:space="0" w:color="auto"/>
              <w:left w:val="single" w:sz="4" w:space="0" w:color="auto"/>
              <w:bottom w:val="single" w:sz="4" w:space="0" w:color="auto"/>
              <w:right w:val="single" w:sz="4" w:space="0" w:color="auto"/>
            </w:tcBorders>
          </w:tcPr>
          <w:p w14:paraId="1EBDFDAD" w14:textId="77777777" w:rsidR="00C75DFC" w:rsidRPr="00BF52F4" w:rsidRDefault="00C75DFC" w:rsidP="00DA0466">
            <w:pPr>
              <w:pStyle w:val="Tabletext0"/>
              <w:rPr>
                <w:b/>
                <w:kern w:val="0"/>
              </w:rPr>
            </w:pPr>
          </w:p>
        </w:tc>
        <w:tc>
          <w:tcPr>
            <w:tcW w:w="641" w:type="pct"/>
            <w:tcBorders>
              <w:top w:val="single" w:sz="4" w:space="0" w:color="auto"/>
              <w:left w:val="single" w:sz="4" w:space="0" w:color="auto"/>
              <w:bottom w:val="single" w:sz="4" w:space="0" w:color="auto"/>
              <w:right w:val="single" w:sz="4" w:space="0" w:color="auto"/>
            </w:tcBorders>
            <w:shd w:val="clear" w:color="auto" w:fill="006DA7"/>
          </w:tcPr>
          <w:p w14:paraId="79B99A54" w14:textId="77777777" w:rsidR="00C75DFC" w:rsidRPr="00C75DFC" w:rsidRDefault="00C75DFC" w:rsidP="00DA0466">
            <w:pPr>
              <w:pStyle w:val="Tabletext0"/>
              <w:rPr>
                <w:color w:val="FFFFFF" w:themeColor="background1"/>
                <w:kern w:val="0"/>
                <w:sz w:val="18"/>
              </w:rPr>
            </w:pPr>
            <w:r w:rsidRPr="00C75DFC">
              <w:rPr>
                <w:color w:val="FFFFFF" w:themeColor="background1"/>
                <w:kern w:val="0"/>
                <w:sz w:val="18"/>
              </w:rPr>
              <w:t>Routine</w:t>
            </w:r>
          </w:p>
        </w:tc>
        <w:tc>
          <w:tcPr>
            <w:tcW w:w="752" w:type="pct"/>
            <w:tcBorders>
              <w:top w:val="single" w:sz="4" w:space="0" w:color="auto"/>
              <w:left w:val="single" w:sz="4" w:space="0" w:color="auto"/>
              <w:bottom w:val="single" w:sz="4" w:space="0" w:color="auto"/>
              <w:right w:val="single" w:sz="4" w:space="0" w:color="auto"/>
            </w:tcBorders>
            <w:shd w:val="clear" w:color="auto" w:fill="006DA7"/>
          </w:tcPr>
          <w:p w14:paraId="60628977" w14:textId="77777777" w:rsidR="00C75DFC" w:rsidRPr="00C75DFC" w:rsidRDefault="00C75DFC" w:rsidP="00DA0466">
            <w:pPr>
              <w:pStyle w:val="Tabletext0"/>
              <w:rPr>
                <w:color w:val="FFFFFF" w:themeColor="background1"/>
                <w:kern w:val="0"/>
                <w:sz w:val="18"/>
              </w:rPr>
            </w:pPr>
            <w:r w:rsidRPr="00C75DFC">
              <w:rPr>
                <w:color w:val="FFFFFF" w:themeColor="background1"/>
                <w:kern w:val="0"/>
                <w:sz w:val="18"/>
              </w:rPr>
              <w:t>Additional</w:t>
            </w:r>
          </w:p>
        </w:tc>
        <w:tc>
          <w:tcPr>
            <w:tcW w:w="641" w:type="pct"/>
            <w:tcBorders>
              <w:top w:val="single" w:sz="4" w:space="0" w:color="auto"/>
              <w:left w:val="single" w:sz="4" w:space="0" w:color="auto"/>
              <w:bottom w:val="single" w:sz="4" w:space="0" w:color="auto"/>
              <w:right w:val="single" w:sz="4" w:space="0" w:color="auto"/>
            </w:tcBorders>
            <w:shd w:val="clear" w:color="auto" w:fill="006DA7"/>
          </w:tcPr>
          <w:p w14:paraId="3F408B4C" w14:textId="77777777" w:rsidR="00C75DFC" w:rsidRPr="00C75DFC" w:rsidRDefault="00C75DFC" w:rsidP="00DA0466">
            <w:pPr>
              <w:pStyle w:val="Tabletext0"/>
              <w:rPr>
                <w:color w:val="FFFFFF" w:themeColor="background1"/>
                <w:kern w:val="0"/>
                <w:sz w:val="18"/>
              </w:rPr>
            </w:pPr>
            <w:r w:rsidRPr="00C75DFC">
              <w:rPr>
                <w:color w:val="FFFFFF" w:themeColor="background1"/>
                <w:kern w:val="0"/>
                <w:sz w:val="18"/>
              </w:rPr>
              <w:t>Routine</w:t>
            </w:r>
          </w:p>
        </w:tc>
        <w:tc>
          <w:tcPr>
            <w:tcW w:w="752" w:type="pct"/>
            <w:tcBorders>
              <w:top w:val="single" w:sz="4" w:space="0" w:color="auto"/>
              <w:left w:val="single" w:sz="4" w:space="0" w:color="auto"/>
              <w:bottom w:val="single" w:sz="4" w:space="0" w:color="auto"/>
              <w:right w:val="single" w:sz="4" w:space="0" w:color="auto"/>
            </w:tcBorders>
            <w:shd w:val="clear" w:color="auto" w:fill="006DA7"/>
          </w:tcPr>
          <w:p w14:paraId="2A2CC01F" w14:textId="77777777" w:rsidR="00C75DFC" w:rsidRPr="00C75DFC" w:rsidRDefault="00C75DFC" w:rsidP="00DA0466">
            <w:pPr>
              <w:pStyle w:val="Tabletext0"/>
              <w:rPr>
                <w:color w:val="FFFFFF" w:themeColor="background1"/>
                <w:kern w:val="0"/>
                <w:sz w:val="18"/>
              </w:rPr>
            </w:pPr>
            <w:r w:rsidRPr="00C75DFC">
              <w:rPr>
                <w:color w:val="FFFFFF" w:themeColor="background1"/>
                <w:kern w:val="0"/>
                <w:sz w:val="18"/>
              </w:rPr>
              <w:t>Additional</w:t>
            </w:r>
          </w:p>
        </w:tc>
      </w:tr>
      <w:tr w:rsidR="00C75DFC" w:rsidRPr="00BF52F4" w14:paraId="57DE746A" w14:textId="77777777" w:rsidTr="00C75DFC">
        <w:trPr>
          <w:trHeight w:val="137"/>
        </w:trPr>
        <w:tc>
          <w:tcPr>
            <w:tcW w:w="826" w:type="pct"/>
            <w:tcBorders>
              <w:top w:val="single" w:sz="4" w:space="0" w:color="auto"/>
            </w:tcBorders>
          </w:tcPr>
          <w:p w14:paraId="6E5CAECF" w14:textId="77777777" w:rsidR="00C75DFC" w:rsidRPr="00BF52F4" w:rsidRDefault="00C75DFC" w:rsidP="00C75DFC">
            <w:pPr>
              <w:pStyle w:val="Tabletext0"/>
              <w:ind w:left="0"/>
              <w:rPr>
                <w:b/>
                <w:kern w:val="0"/>
              </w:rPr>
            </w:pPr>
            <w:r w:rsidRPr="00BF52F4">
              <w:rPr>
                <w:b/>
                <w:kern w:val="0"/>
              </w:rPr>
              <w:t>Important identified risks</w:t>
            </w:r>
          </w:p>
        </w:tc>
        <w:tc>
          <w:tcPr>
            <w:tcW w:w="1388" w:type="pct"/>
            <w:tcBorders>
              <w:top w:val="single" w:sz="4" w:space="0" w:color="auto"/>
            </w:tcBorders>
          </w:tcPr>
          <w:p w14:paraId="74AB1BC7" w14:textId="77777777" w:rsidR="00C75DFC" w:rsidRPr="00BF52F4" w:rsidRDefault="00C75DFC" w:rsidP="00DA0466">
            <w:pPr>
              <w:pStyle w:val="Tabletext0"/>
              <w:rPr>
                <w:kern w:val="0"/>
              </w:rPr>
            </w:pPr>
            <w:r w:rsidRPr="00BE58B0">
              <w:rPr>
                <w:kern w:val="0"/>
              </w:rPr>
              <w:t>Immunosuppressant drug level increased</w:t>
            </w:r>
          </w:p>
        </w:tc>
        <w:tc>
          <w:tcPr>
            <w:tcW w:w="641" w:type="pct"/>
            <w:tcBorders>
              <w:top w:val="single" w:sz="4" w:space="0" w:color="auto"/>
            </w:tcBorders>
          </w:tcPr>
          <w:p w14:paraId="6355A6BD" w14:textId="77777777" w:rsidR="00C75DFC" w:rsidRPr="000C7033" w:rsidRDefault="00C75DFC" w:rsidP="00DA0466">
            <w:pPr>
              <w:pStyle w:val="Tabletext0"/>
              <w:jc w:val="center"/>
              <w:rPr>
                <w:kern w:val="0"/>
              </w:rPr>
            </w:pPr>
            <w:r w:rsidRPr="000C7033">
              <w:rPr>
                <w:rFonts w:eastAsia="Cambria"/>
                <w:kern w:val="0"/>
              </w:rPr>
              <w:sym w:font="Wingdings" w:char="F0FC"/>
            </w:r>
          </w:p>
        </w:tc>
        <w:tc>
          <w:tcPr>
            <w:tcW w:w="752" w:type="pct"/>
            <w:tcBorders>
              <w:top w:val="single" w:sz="4" w:space="0" w:color="auto"/>
            </w:tcBorders>
          </w:tcPr>
          <w:p w14:paraId="67EA8DD4" w14:textId="77777777" w:rsidR="00C75DFC" w:rsidRPr="000C7033" w:rsidRDefault="00C75DFC" w:rsidP="00DA0466">
            <w:pPr>
              <w:pStyle w:val="Tabletext0"/>
              <w:jc w:val="center"/>
              <w:rPr>
                <w:kern w:val="0"/>
              </w:rPr>
            </w:pPr>
            <w:r w:rsidRPr="000C7033">
              <w:rPr>
                <w:kern w:val="0"/>
              </w:rPr>
              <w:t>–</w:t>
            </w:r>
          </w:p>
        </w:tc>
        <w:tc>
          <w:tcPr>
            <w:tcW w:w="641" w:type="pct"/>
            <w:tcBorders>
              <w:top w:val="single" w:sz="4" w:space="0" w:color="auto"/>
            </w:tcBorders>
          </w:tcPr>
          <w:p w14:paraId="2C4FF0CF" w14:textId="77777777" w:rsidR="00C75DFC" w:rsidRPr="000C7033" w:rsidRDefault="00C75DFC" w:rsidP="00DA0466">
            <w:pPr>
              <w:pStyle w:val="Tabletext0"/>
              <w:jc w:val="center"/>
              <w:rPr>
                <w:kern w:val="0"/>
              </w:rPr>
            </w:pPr>
            <w:r w:rsidRPr="000C7033">
              <w:rPr>
                <w:rFonts w:eastAsia="Cambria"/>
                <w:kern w:val="0"/>
              </w:rPr>
              <w:sym w:font="Wingdings" w:char="F0FC"/>
            </w:r>
          </w:p>
        </w:tc>
        <w:tc>
          <w:tcPr>
            <w:tcW w:w="752" w:type="pct"/>
            <w:tcBorders>
              <w:top w:val="single" w:sz="4" w:space="0" w:color="auto"/>
            </w:tcBorders>
          </w:tcPr>
          <w:p w14:paraId="11D5F32B" w14:textId="77777777" w:rsidR="00C75DFC" w:rsidRPr="000C7033" w:rsidRDefault="00C75DFC" w:rsidP="00DA0466">
            <w:pPr>
              <w:pStyle w:val="Tabletext0"/>
              <w:jc w:val="center"/>
              <w:rPr>
                <w:kern w:val="0"/>
              </w:rPr>
            </w:pPr>
            <w:r w:rsidRPr="000C7033">
              <w:rPr>
                <w:kern w:val="0"/>
              </w:rPr>
              <w:t>–</w:t>
            </w:r>
          </w:p>
        </w:tc>
      </w:tr>
      <w:tr w:rsidR="00C75DFC" w:rsidRPr="00BF52F4" w14:paraId="4F230D20" w14:textId="77777777" w:rsidTr="00C75DFC">
        <w:trPr>
          <w:trHeight w:val="159"/>
        </w:trPr>
        <w:tc>
          <w:tcPr>
            <w:tcW w:w="826" w:type="pct"/>
          </w:tcPr>
          <w:p w14:paraId="0C24DE67" w14:textId="77777777" w:rsidR="00C75DFC" w:rsidRPr="00BF52F4" w:rsidRDefault="00C75DFC" w:rsidP="00C75DFC">
            <w:pPr>
              <w:pStyle w:val="Tabletext0"/>
              <w:ind w:left="0"/>
              <w:rPr>
                <w:b/>
                <w:kern w:val="0"/>
              </w:rPr>
            </w:pPr>
            <w:r w:rsidRPr="00BF52F4">
              <w:rPr>
                <w:b/>
                <w:kern w:val="0"/>
              </w:rPr>
              <w:t>Important potential risks</w:t>
            </w:r>
          </w:p>
        </w:tc>
        <w:tc>
          <w:tcPr>
            <w:tcW w:w="1388" w:type="pct"/>
          </w:tcPr>
          <w:p w14:paraId="7D74CB5D" w14:textId="77777777" w:rsidR="00C75DFC" w:rsidRPr="00BF52F4" w:rsidRDefault="00C75DFC" w:rsidP="00DA0466">
            <w:pPr>
              <w:pStyle w:val="Tabletext0"/>
              <w:rPr>
                <w:kern w:val="0"/>
              </w:rPr>
            </w:pPr>
            <w:r>
              <w:rPr>
                <w:kern w:val="0"/>
              </w:rPr>
              <w:t>None</w:t>
            </w:r>
          </w:p>
        </w:tc>
        <w:tc>
          <w:tcPr>
            <w:tcW w:w="641" w:type="pct"/>
          </w:tcPr>
          <w:p w14:paraId="04AAA699" w14:textId="77777777" w:rsidR="00C75DFC" w:rsidRPr="000C7033" w:rsidRDefault="00C75DFC" w:rsidP="00DA0466">
            <w:pPr>
              <w:pStyle w:val="Tabletext0"/>
              <w:jc w:val="center"/>
              <w:rPr>
                <w:kern w:val="0"/>
              </w:rPr>
            </w:pPr>
            <w:r w:rsidRPr="000C7033">
              <w:rPr>
                <w:kern w:val="0"/>
              </w:rPr>
              <w:t>–</w:t>
            </w:r>
          </w:p>
        </w:tc>
        <w:tc>
          <w:tcPr>
            <w:tcW w:w="752" w:type="pct"/>
          </w:tcPr>
          <w:p w14:paraId="21C60025" w14:textId="77777777" w:rsidR="00C75DFC" w:rsidRPr="000C7033" w:rsidRDefault="00C75DFC" w:rsidP="00DA0466">
            <w:pPr>
              <w:pStyle w:val="Tabletext0"/>
              <w:jc w:val="center"/>
              <w:rPr>
                <w:kern w:val="0"/>
              </w:rPr>
            </w:pPr>
            <w:r w:rsidRPr="000C7033">
              <w:rPr>
                <w:kern w:val="0"/>
              </w:rPr>
              <w:t>–</w:t>
            </w:r>
          </w:p>
        </w:tc>
        <w:tc>
          <w:tcPr>
            <w:tcW w:w="641" w:type="pct"/>
          </w:tcPr>
          <w:p w14:paraId="440046A3" w14:textId="77777777" w:rsidR="00C75DFC" w:rsidRPr="000C7033" w:rsidRDefault="00C75DFC" w:rsidP="00DA0466">
            <w:pPr>
              <w:pStyle w:val="Tabletext0"/>
              <w:jc w:val="center"/>
              <w:rPr>
                <w:kern w:val="0"/>
              </w:rPr>
            </w:pPr>
            <w:r w:rsidRPr="000C7033">
              <w:rPr>
                <w:kern w:val="0"/>
              </w:rPr>
              <w:t>–</w:t>
            </w:r>
          </w:p>
        </w:tc>
        <w:tc>
          <w:tcPr>
            <w:tcW w:w="752" w:type="pct"/>
          </w:tcPr>
          <w:p w14:paraId="59A2A1B9" w14:textId="77777777" w:rsidR="00C75DFC" w:rsidRPr="000C7033" w:rsidRDefault="00C75DFC" w:rsidP="00DA0466">
            <w:pPr>
              <w:pStyle w:val="Tabletext0"/>
              <w:jc w:val="center"/>
              <w:rPr>
                <w:kern w:val="0"/>
              </w:rPr>
            </w:pPr>
            <w:r w:rsidRPr="000C7033">
              <w:rPr>
                <w:kern w:val="0"/>
              </w:rPr>
              <w:t>–</w:t>
            </w:r>
          </w:p>
        </w:tc>
      </w:tr>
      <w:tr w:rsidR="00C75DFC" w:rsidRPr="00BF52F4" w14:paraId="2C63BA43" w14:textId="77777777" w:rsidTr="00C75DFC">
        <w:trPr>
          <w:trHeight w:val="178"/>
        </w:trPr>
        <w:tc>
          <w:tcPr>
            <w:tcW w:w="826" w:type="pct"/>
            <w:vMerge w:val="restart"/>
          </w:tcPr>
          <w:p w14:paraId="0EBB5314" w14:textId="77777777" w:rsidR="00C75DFC" w:rsidRPr="00BF52F4" w:rsidRDefault="00C75DFC" w:rsidP="00C75DFC">
            <w:pPr>
              <w:pStyle w:val="Tabletext0"/>
              <w:ind w:left="0"/>
              <w:rPr>
                <w:b/>
                <w:kern w:val="0"/>
              </w:rPr>
            </w:pPr>
            <w:r w:rsidRPr="00BF52F4">
              <w:rPr>
                <w:b/>
                <w:kern w:val="0"/>
              </w:rPr>
              <w:t>Missing information</w:t>
            </w:r>
          </w:p>
        </w:tc>
        <w:tc>
          <w:tcPr>
            <w:tcW w:w="1388" w:type="pct"/>
          </w:tcPr>
          <w:p w14:paraId="436EE08F" w14:textId="77777777" w:rsidR="00C75DFC" w:rsidRPr="00BE58B0" w:rsidRDefault="00C75DFC" w:rsidP="00DA0466">
            <w:pPr>
              <w:pStyle w:val="Tabletext0"/>
              <w:rPr>
                <w:kern w:val="0"/>
              </w:rPr>
            </w:pPr>
            <w:r w:rsidRPr="00BE58B0">
              <w:rPr>
                <w:kern w:val="0"/>
              </w:rPr>
              <w:t>Use in pregnant or lactating women</w:t>
            </w:r>
          </w:p>
        </w:tc>
        <w:tc>
          <w:tcPr>
            <w:tcW w:w="641" w:type="pct"/>
          </w:tcPr>
          <w:p w14:paraId="0FA9B3EE" w14:textId="77777777" w:rsidR="00C75DFC" w:rsidRPr="000C7033" w:rsidRDefault="00C75DFC" w:rsidP="00DA0466">
            <w:pPr>
              <w:pStyle w:val="Tabletext0"/>
              <w:jc w:val="center"/>
              <w:rPr>
                <w:kern w:val="0"/>
              </w:rPr>
            </w:pPr>
            <w:r w:rsidRPr="000C7033">
              <w:rPr>
                <w:rFonts w:eastAsia="Cambria"/>
                <w:kern w:val="0"/>
              </w:rPr>
              <w:sym w:font="Wingdings" w:char="F0FC"/>
            </w:r>
          </w:p>
        </w:tc>
        <w:tc>
          <w:tcPr>
            <w:tcW w:w="752" w:type="pct"/>
          </w:tcPr>
          <w:p w14:paraId="7C686D1A" w14:textId="77777777" w:rsidR="00C75DFC" w:rsidRPr="000C7033" w:rsidRDefault="00C75DFC" w:rsidP="00DA0466">
            <w:pPr>
              <w:pStyle w:val="Tabletext0"/>
              <w:jc w:val="center"/>
              <w:rPr>
                <w:kern w:val="0"/>
              </w:rPr>
            </w:pPr>
            <w:r w:rsidRPr="000C7033">
              <w:rPr>
                <w:kern w:val="0"/>
              </w:rPr>
              <w:t>–</w:t>
            </w:r>
          </w:p>
        </w:tc>
        <w:tc>
          <w:tcPr>
            <w:tcW w:w="641" w:type="pct"/>
          </w:tcPr>
          <w:p w14:paraId="4D2E6EC3" w14:textId="77777777" w:rsidR="00C75DFC" w:rsidRPr="000C7033" w:rsidRDefault="00C75DFC" w:rsidP="00DA0466">
            <w:pPr>
              <w:pStyle w:val="Tabletext0"/>
              <w:jc w:val="center"/>
              <w:rPr>
                <w:kern w:val="0"/>
              </w:rPr>
            </w:pPr>
            <w:r w:rsidRPr="000C7033">
              <w:rPr>
                <w:rFonts w:eastAsia="Cambria"/>
                <w:kern w:val="0"/>
              </w:rPr>
              <w:sym w:font="Wingdings" w:char="F0FC"/>
            </w:r>
          </w:p>
        </w:tc>
        <w:tc>
          <w:tcPr>
            <w:tcW w:w="752" w:type="pct"/>
          </w:tcPr>
          <w:p w14:paraId="095C1379" w14:textId="77777777" w:rsidR="00C75DFC" w:rsidRPr="000C7033" w:rsidRDefault="00C75DFC" w:rsidP="00DA0466">
            <w:pPr>
              <w:pStyle w:val="Tabletext0"/>
              <w:jc w:val="center"/>
              <w:rPr>
                <w:kern w:val="0"/>
              </w:rPr>
            </w:pPr>
            <w:r w:rsidRPr="000C7033">
              <w:rPr>
                <w:kern w:val="0"/>
              </w:rPr>
              <w:t>–</w:t>
            </w:r>
          </w:p>
        </w:tc>
      </w:tr>
      <w:tr w:rsidR="00C75DFC" w:rsidRPr="00BF52F4" w14:paraId="43012C9D" w14:textId="77777777" w:rsidTr="00C75DFC">
        <w:trPr>
          <w:trHeight w:val="103"/>
        </w:trPr>
        <w:tc>
          <w:tcPr>
            <w:tcW w:w="826" w:type="pct"/>
            <w:vMerge/>
          </w:tcPr>
          <w:p w14:paraId="08ED63C0" w14:textId="77777777" w:rsidR="00C75DFC" w:rsidRPr="00BF52F4" w:rsidRDefault="00C75DFC" w:rsidP="00DA0466">
            <w:pPr>
              <w:pStyle w:val="Tabletext0"/>
              <w:rPr>
                <w:kern w:val="0"/>
              </w:rPr>
            </w:pPr>
          </w:p>
        </w:tc>
        <w:tc>
          <w:tcPr>
            <w:tcW w:w="1388" w:type="pct"/>
          </w:tcPr>
          <w:p w14:paraId="16187433" w14:textId="77777777" w:rsidR="00C75DFC" w:rsidRPr="00BE58B0" w:rsidRDefault="00C75DFC" w:rsidP="00DA0466">
            <w:pPr>
              <w:pStyle w:val="Tabletext0"/>
              <w:rPr>
                <w:kern w:val="0"/>
              </w:rPr>
            </w:pPr>
            <w:r w:rsidRPr="00BE58B0">
              <w:rPr>
                <w:kern w:val="0"/>
              </w:rPr>
              <w:t>Use in patients with severe hepatic impairment</w:t>
            </w:r>
          </w:p>
        </w:tc>
        <w:tc>
          <w:tcPr>
            <w:tcW w:w="641" w:type="pct"/>
          </w:tcPr>
          <w:p w14:paraId="432E8BE3" w14:textId="77777777" w:rsidR="00C75DFC" w:rsidRPr="000C7033" w:rsidRDefault="00C75DFC" w:rsidP="00DA0466">
            <w:pPr>
              <w:pStyle w:val="Tabletext0"/>
              <w:jc w:val="center"/>
              <w:rPr>
                <w:kern w:val="0"/>
              </w:rPr>
            </w:pPr>
            <w:r w:rsidRPr="000C7033">
              <w:rPr>
                <w:rFonts w:eastAsia="Cambria"/>
                <w:kern w:val="0"/>
              </w:rPr>
              <w:sym w:font="Wingdings" w:char="F0FC"/>
            </w:r>
          </w:p>
        </w:tc>
        <w:tc>
          <w:tcPr>
            <w:tcW w:w="752" w:type="pct"/>
          </w:tcPr>
          <w:p w14:paraId="6BB9689E" w14:textId="77777777" w:rsidR="00C75DFC" w:rsidRPr="000C7033" w:rsidRDefault="00C75DFC" w:rsidP="00DA0466">
            <w:pPr>
              <w:pStyle w:val="Tabletext0"/>
              <w:jc w:val="center"/>
              <w:rPr>
                <w:kern w:val="0"/>
              </w:rPr>
            </w:pPr>
            <w:r w:rsidRPr="000C7033">
              <w:rPr>
                <w:kern w:val="0"/>
              </w:rPr>
              <w:t>–</w:t>
            </w:r>
          </w:p>
        </w:tc>
        <w:tc>
          <w:tcPr>
            <w:tcW w:w="641" w:type="pct"/>
          </w:tcPr>
          <w:p w14:paraId="42EF577B" w14:textId="77777777" w:rsidR="00C75DFC" w:rsidRPr="000C7033" w:rsidRDefault="00C75DFC" w:rsidP="00DA0466">
            <w:pPr>
              <w:pStyle w:val="Tabletext0"/>
              <w:jc w:val="center"/>
              <w:rPr>
                <w:kern w:val="0"/>
              </w:rPr>
            </w:pPr>
            <w:r w:rsidRPr="000C7033">
              <w:rPr>
                <w:rFonts w:eastAsia="Cambria"/>
                <w:kern w:val="0"/>
              </w:rPr>
              <w:sym w:font="Wingdings" w:char="F0FC"/>
            </w:r>
          </w:p>
        </w:tc>
        <w:tc>
          <w:tcPr>
            <w:tcW w:w="752" w:type="pct"/>
          </w:tcPr>
          <w:p w14:paraId="72FBDAAE" w14:textId="77777777" w:rsidR="00C75DFC" w:rsidRPr="000C7033" w:rsidRDefault="00C75DFC" w:rsidP="00DA0466">
            <w:pPr>
              <w:pStyle w:val="Tabletext0"/>
              <w:jc w:val="center"/>
              <w:rPr>
                <w:kern w:val="0"/>
              </w:rPr>
            </w:pPr>
            <w:r w:rsidRPr="000C7033">
              <w:rPr>
                <w:kern w:val="0"/>
              </w:rPr>
              <w:t>–</w:t>
            </w:r>
          </w:p>
        </w:tc>
      </w:tr>
      <w:tr w:rsidR="00C75DFC" w:rsidRPr="00BF52F4" w14:paraId="5F31FF8D" w14:textId="77777777" w:rsidTr="00C75DFC">
        <w:trPr>
          <w:trHeight w:val="140"/>
        </w:trPr>
        <w:tc>
          <w:tcPr>
            <w:tcW w:w="826" w:type="pct"/>
            <w:vMerge/>
          </w:tcPr>
          <w:p w14:paraId="1F194FFD" w14:textId="77777777" w:rsidR="00C75DFC" w:rsidRPr="00BF52F4" w:rsidRDefault="00C75DFC" w:rsidP="00DA0466">
            <w:pPr>
              <w:pStyle w:val="Tabletext0"/>
              <w:rPr>
                <w:kern w:val="0"/>
              </w:rPr>
            </w:pPr>
          </w:p>
        </w:tc>
        <w:tc>
          <w:tcPr>
            <w:tcW w:w="1388" w:type="pct"/>
          </w:tcPr>
          <w:p w14:paraId="291E654B" w14:textId="77777777" w:rsidR="00C75DFC" w:rsidRPr="00BF52F4" w:rsidRDefault="00C75DFC" w:rsidP="00DA0466">
            <w:pPr>
              <w:pStyle w:val="Tabletext0"/>
              <w:rPr>
                <w:kern w:val="0"/>
              </w:rPr>
            </w:pPr>
            <w:r w:rsidRPr="00BE58B0">
              <w:rPr>
                <w:bCs/>
                <w:snapToGrid/>
              </w:rPr>
              <w:t>Use in patients with end stage renal disease (ESRD) including peritoneal dialysis or haemodialysis</w:t>
            </w:r>
          </w:p>
        </w:tc>
        <w:tc>
          <w:tcPr>
            <w:tcW w:w="641" w:type="pct"/>
          </w:tcPr>
          <w:p w14:paraId="0E20B38F" w14:textId="77777777" w:rsidR="00C75DFC" w:rsidRPr="000C7033" w:rsidRDefault="00C75DFC" w:rsidP="00DA0466">
            <w:pPr>
              <w:pStyle w:val="Tabletext0"/>
              <w:jc w:val="center"/>
              <w:rPr>
                <w:kern w:val="0"/>
              </w:rPr>
            </w:pPr>
            <w:r w:rsidRPr="000C7033">
              <w:rPr>
                <w:rFonts w:eastAsia="Cambria"/>
                <w:kern w:val="0"/>
              </w:rPr>
              <w:sym w:font="Wingdings" w:char="F0FC"/>
            </w:r>
          </w:p>
        </w:tc>
        <w:tc>
          <w:tcPr>
            <w:tcW w:w="752" w:type="pct"/>
          </w:tcPr>
          <w:p w14:paraId="1795291A" w14:textId="77777777" w:rsidR="00C75DFC" w:rsidRPr="000C7033" w:rsidRDefault="00C75DFC" w:rsidP="00DA0466">
            <w:pPr>
              <w:pStyle w:val="Tabletext0"/>
              <w:jc w:val="center"/>
              <w:rPr>
                <w:kern w:val="0"/>
              </w:rPr>
            </w:pPr>
            <w:r w:rsidRPr="000C7033">
              <w:rPr>
                <w:kern w:val="0"/>
              </w:rPr>
              <w:t>–</w:t>
            </w:r>
          </w:p>
        </w:tc>
        <w:tc>
          <w:tcPr>
            <w:tcW w:w="641" w:type="pct"/>
          </w:tcPr>
          <w:p w14:paraId="50568E1B" w14:textId="77777777" w:rsidR="00C75DFC" w:rsidRPr="000C7033" w:rsidRDefault="00C75DFC" w:rsidP="00DA0466">
            <w:pPr>
              <w:pStyle w:val="Tabletext0"/>
              <w:jc w:val="center"/>
              <w:rPr>
                <w:kern w:val="0"/>
              </w:rPr>
            </w:pPr>
            <w:r w:rsidRPr="000C7033">
              <w:rPr>
                <w:rFonts w:eastAsia="Cambria"/>
                <w:kern w:val="0"/>
              </w:rPr>
              <w:sym w:font="Wingdings" w:char="F0FC"/>
            </w:r>
          </w:p>
        </w:tc>
        <w:tc>
          <w:tcPr>
            <w:tcW w:w="752" w:type="pct"/>
          </w:tcPr>
          <w:p w14:paraId="23967C79" w14:textId="77777777" w:rsidR="00C75DFC" w:rsidRPr="000C7033" w:rsidRDefault="00C75DFC" w:rsidP="00DA0466">
            <w:pPr>
              <w:pStyle w:val="Tabletext0"/>
              <w:jc w:val="center"/>
              <w:rPr>
                <w:kern w:val="0"/>
              </w:rPr>
            </w:pPr>
            <w:r w:rsidRPr="000C7033">
              <w:rPr>
                <w:kern w:val="0"/>
              </w:rPr>
              <w:t>–</w:t>
            </w:r>
          </w:p>
        </w:tc>
      </w:tr>
    </w:tbl>
    <w:p w14:paraId="5EFBB804" w14:textId="09E637B2" w:rsidR="00C75DFC" w:rsidRDefault="00C75DFC" w:rsidP="00B80BA6">
      <w:pPr>
        <w:spacing w:before="120"/>
      </w:pPr>
      <w:r>
        <w:t>The summary of safety concerns is acceptable from an RMP perspective.</w:t>
      </w:r>
    </w:p>
    <w:p w14:paraId="7FA29455" w14:textId="231C0D8A" w:rsidR="00C75DFC" w:rsidRDefault="00C75DFC" w:rsidP="00C75DFC">
      <w:r>
        <w:t>Only routine pharmacovigilance and routine risk minimisation measures are proposed. Routine risk management measures are acceptable to address the risks associated with this product.</w:t>
      </w:r>
    </w:p>
    <w:p w14:paraId="44F22CCF" w14:textId="77777777" w:rsidR="00915295" w:rsidRDefault="00C75DFC" w:rsidP="00C75DFC">
      <w:r w:rsidRPr="00A922AE">
        <w:t xml:space="preserve">There are no outstanding RMP matters. </w:t>
      </w:r>
      <w:r w:rsidR="00915295">
        <w:t xml:space="preserve">The </w:t>
      </w:r>
      <w:r w:rsidRPr="00A922AE">
        <w:t xml:space="preserve">RMP conditions of registration have been provided. </w:t>
      </w:r>
      <w:proofErr w:type="spellStart"/>
      <w:r w:rsidRPr="00A922AE">
        <w:t>Maribavir</w:t>
      </w:r>
      <w:proofErr w:type="spellEnd"/>
      <w:r w:rsidRPr="00A922AE">
        <w:t xml:space="preserve"> is a new chemical entity and thus meets the inclusion criteria for the Black Triangle Scheme.</w:t>
      </w:r>
    </w:p>
    <w:p w14:paraId="1D4C903A" w14:textId="4E4897D8" w:rsidR="00C75DFC" w:rsidRDefault="00C75DFC" w:rsidP="00C75DFC">
      <w:r w:rsidRPr="00A922AE">
        <w:lastRenderedPageBreak/>
        <w:t xml:space="preserve">The </w:t>
      </w:r>
      <w:r w:rsidR="00915295">
        <w:t xml:space="preserve">TGA’s evaluation of the </w:t>
      </w:r>
      <w:r w:rsidRPr="00A922AE">
        <w:t>RMP note</w:t>
      </w:r>
      <w:r w:rsidR="00BC038F">
        <w:t>d</w:t>
      </w:r>
      <w:r w:rsidRPr="00A922AE">
        <w:t xml:space="preserve"> that the US FDA’s prescribing information includes the following advice:</w:t>
      </w:r>
      <w:r w:rsidR="00A922AE" w:rsidRPr="00464A1F">
        <w:rPr>
          <w:vertAlign w:val="superscript"/>
        </w:rPr>
        <w:fldChar w:fldCharType="begin"/>
      </w:r>
      <w:r w:rsidR="00A922AE" w:rsidRPr="00A922AE">
        <w:rPr>
          <w:vertAlign w:val="superscript"/>
        </w:rPr>
        <w:instrText xml:space="preserve"> NOTEREF _Ref135823441 \h  \* MERGEFORMAT </w:instrText>
      </w:r>
      <w:r w:rsidR="00A922AE" w:rsidRPr="00464A1F">
        <w:rPr>
          <w:vertAlign w:val="superscript"/>
        </w:rPr>
      </w:r>
      <w:r w:rsidR="00A922AE" w:rsidRPr="00464A1F">
        <w:rPr>
          <w:vertAlign w:val="superscript"/>
        </w:rPr>
        <w:fldChar w:fldCharType="separate"/>
      </w:r>
      <w:r w:rsidR="001D123C">
        <w:rPr>
          <w:vertAlign w:val="superscript"/>
        </w:rPr>
        <w:t>3</w:t>
      </w:r>
      <w:r w:rsidR="00A922AE" w:rsidRPr="00464A1F">
        <w:rPr>
          <w:vertAlign w:val="superscript"/>
        </w:rPr>
        <w:fldChar w:fldCharType="end"/>
      </w:r>
    </w:p>
    <w:p w14:paraId="1D45CA0E" w14:textId="42E64058" w:rsidR="00C75DFC" w:rsidRDefault="00C75DFC" w:rsidP="00C75DFC">
      <w:pPr>
        <w:ind w:left="720"/>
      </w:pPr>
      <w:r>
        <w:t xml:space="preserve">‘Virologic failure can occur during and after treatment with </w:t>
      </w:r>
      <w:proofErr w:type="spellStart"/>
      <w:r>
        <w:t>L</w:t>
      </w:r>
      <w:r w:rsidR="000D0804">
        <w:t>ivtencity</w:t>
      </w:r>
      <w:proofErr w:type="spellEnd"/>
      <w:r>
        <w:t xml:space="preserve">. Monitor CMV DNA levels and check for resistance if patient does not respond to treatment. Some </w:t>
      </w:r>
      <w:proofErr w:type="spellStart"/>
      <w:r>
        <w:t>maribavir</w:t>
      </w:r>
      <w:proofErr w:type="spellEnd"/>
      <w:r>
        <w:t xml:space="preserve"> pUL97 resistance-associated substitutions confer cross-resistance to ganciclovir and valganciclovir.’</w:t>
      </w:r>
    </w:p>
    <w:p w14:paraId="19652B6B" w14:textId="456DDCEA" w:rsidR="00C75DFC" w:rsidRDefault="00C75DFC" w:rsidP="00C75DFC">
      <w:r>
        <w:t xml:space="preserve">Furthermore, </w:t>
      </w:r>
      <w:r w:rsidR="00BC038F">
        <w:t xml:space="preserve">a </w:t>
      </w:r>
      <w:r w:rsidR="000D0804">
        <w:t>r</w:t>
      </w:r>
      <w:r>
        <w:t xml:space="preserve">isk </w:t>
      </w:r>
      <w:r w:rsidR="000D0804">
        <w:t>a</w:t>
      </w:r>
      <w:r>
        <w:t xml:space="preserve">ssessment and </w:t>
      </w:r>
      <w:r w:rsidR="000D0804">
        <w:t>r</w:t>
      </w:r>
      <w:r>
        <w:t xml:space="preserve">isk </w:t>
      </w:r>
      <w:r w:rsidR="000D0804">
        <w:t>m</w:t>
      </w:r>
      <w:r>
        <w:t xml:space="preserve">itigation </w:t>
      </w:r>
      <w:r w:rsidR="000D0804">
        <w:t>r</w:t>
      </w:r>
      <w:r>
        <w:t xml:space="preserve">eview for </w:t>
      </w:r>
      <w:proofErr w:type="spellStart"/>
      <w:r>
        <w:t>maribavir</w:t>
      </w:r>
      <w:proofErr w:type="spellEnd"/>
      <w:r>
        <w:t xml:space="preserve"> published by the US</w:t>
      </w:r>
      <w:r w:rsidR="00BC038F">
        <w:t> </w:t>
      </w:r>
      <w:r>
        <w:t>FDA states:</w:t>
      </w:r>
      <w:r w:rsidR="00BC038F">
        <w:rPr>
          <w:rStyle w:val="FootnoteReference"/>
        </w:rPr>
        <w:footnoteReference w:id="10"/>
      </w:r>
    </w:p>
    <w:p w14:paraId="593F616A" w14:textId="2D505A2B" w:rsidR="00C75DFC" w:rsidRDefault="00C75DFC" w:rsidP="00C75DFC">
      <w:pPr>
        <w:ind w:left="720"/>
      </w:pPr>
      <w:r>
        <w:t xml:space="preserve">‘Virologic failure can occur during and after treatment with </w:t>
      </w:r>
      <w:proofErr w:type="spellStart"/>
      <w:r>
        <w:t>maribavir</w:t>
      </w:r>
      <w:proofErr w:type="spellEnd"/>
      <w:r>
        <w:t>. Failure occurs more frequently during treatment than during the post-treatment period. Relapse following treatment usually occurs within 4-8 weeks after treatment discontinuation.’</w:t>
      </w:r>
    </w:p>
    <w:p w14:paraId="06402FD1" w14:textId="22C0D786" w:rsidR="00C75DFC" w:rsidRDefault="00C75DFC" w:rsidP="00C75DFC">
      <w:r>
        <w:t xml:space="preserve">The Australian PI does not provide advice on conducting any tests to monitor resistance. This is recommended for inclusion in the Australian PI </w:t>
      </w:r>
      <w:proofErr w:type="gramStart"/>
      <w:r w:rsidR="00BC038F">
        <w:t>as a result of</w:t>
      </w:r>
      <w:proofErr w:type="gramEnd"/>
      <w:r w:rsidR="00BC038F">
        <w:t xml:space="preserve"> the TGA’s evaluation of the proposed RMP.</w:t>
      </w:r>
    </w:p>
    <w:p w14:paraId="74A4F87F" w14:textId="06C2F0F5" w:rsidR="00C22214" w:rsidRDefault="00C22214" w:rsidP="00C22214">
      <w:pPr>
        <w:pStyle w:val="Heading3"/>
      </w:pPr>
      <w:bookmarkStart w:id="109" w:name="_Toc135918987"/>
      <w:r>
        <w:t>Risk-benefit analysis</w:t>
      </w:r>
      <w:bookmarkEnd w:id="105"/>
      <w:bookmarkEnd w:id="106"/>
      <w:bookmarkEnd w:id="108"/>
      <w:bookmarkEnd w:id="109"/>
    </w:p>
    <w:p w14:paraId="20717102" w14:textId="3CD6166D" w:rsidR="00C22214" w:rsidRDefault="00C22214" w:rsidP="00C75DFC">
      <w:pPr>
        <w:pStyle w:val="Heading4"/>
      </w:pPr>
      <w:bookmarkStart w:id="110" w:name="_Toc98931932"/>
      <w:bookmarkStart w:id="111" w:name="_Toc135918988"/>
      <w:r>
        <w:t>Delegate’s considerations</w:t>
      </w:r>
      <w:bookmarkEnd w:id="110"/>
      <w:bookmarkEnd w:id="111"/>
    </w:p>
    <w:p w14:paraId="75961841" w14:textId="67B1767B" w:rsidR="00C75DFC" w:rsidRDefault="00C75DFC" w:rsidP="00C75DFC">
      <w:proofErr w:type="spellStart"/>
      <w:r>
        <w:t>Maribavir</w:t>
      </w:r>
      <w:proofErr w:type="spellEnd"/>
      <w:r>
        <w:t xml:space="preserve"> is orally available and a novel, anti-CMV agent. It has moderate to high oral bioavailability with linear pharmacokinetics (no first pass effect expected; moderate food effect) and is subject to various drug interactions by virtue of its metabolism by the hepatic oxidative enzyme system (mainly CYP3A4 but also</w:t>
      </w:r>
      <w:r w:rsidR="00BC038F">
        <w:t xml:space="preserve"> </w:t>
      </w:r>
      <w:r>
        <w:t>CYP1A2).</w:t>
      </w:r>
      <w:r w:rsidR="00915295" w:rsidRPr="00C53A1C">
        <w:rPr>
          <w:vertAlign w:val="superscript"/>
        </w:rPr>
        <w:fldChar w:fldCharType="begin"/>
      </w:r>
      <w:r w:rsidR="00915295" w:rsidRPr="00C53A1C">
        <w:rPr>
          <w:vertAlign w:val="superscript"/>
        </w:rPr>
        <w:instrText xml:space="preserve"> NOTEREF _Ref135823631 \h </w:instrText>
      </w:r>
      <w:r w:rsidR="00915295">
        <w:rPr>
          <w:vertAlign w:val="superscript"/>
        </w:rPr>
        <w:instrText xml:space="preserve"> \* MERGEFORMAT </w:instrText>
      </w:r>
      <w:r w:rsidR="00915295" w:rsidRPr="00C53A1C">
        <w:rPr>
          <w:vertAlign w:val="superscript"/>
        </w:rPr>
      </w:r>
      <w:r w:rsidR="00915295" w:rsidRPr="00C53A1C">
        <w:rPr>
          <w:vertAlign w:val="superscript"/>
        </w:rPr>
        <w:fldChar w:fldCharType="separate"/>
      </w:r>
      <w:r w:rsidR="001D123C">
        <w:rPr>
          <w:vertAlign w:val="superscript"/>
        </w:rPr>
        <w:t>6</w:t>
      </w:r>
      <w:r w:rsidR="00915295" w:rsidRPr="00C53A1C">
        <w:rPr>
          <w:vertAlign w:val="superscript"/>
        </w:rPr>
        <w:fldChar w:fldCharType="end"/>
      </w:r>
    </w:p>
    <w:p w14:paraId="1A2D76DE" w14:textId="5768E551" w:rsidR="00C75DFC" w:rsidRDefault="00C75DFC" w:rsidP="00C75DFC">
      <w:r w:rsidRPr="00453FD6">
        <w:t xml:space="preserve">The pivotal Phase </w:t>
      </w:r>
      <w:r>
        <w:t>III</w:t>
      </w:r>
      <w:r w:rsidRPr="00453FD6">
        <w:t xml:space="preserve"> </w:t>
      </w:r>
      <w:r w:rsidR="00534E84">
        <w:t>S</w:t>
      </w:r>
      <w:r w:rsidRPr="00453FD6">
        <w:t xml:space="preserve">tudy 303 </w:t>
      </w:r>
      <w:r>
        <w:t>examined</w:t>
      </w:r>
      <w:r w:rsidRPr="00453FD6">
        <w:t xml:space="preserve"> the efficacy of </w:t>
      </w:r>
      <w:proofErr w:type="spellStart"/>
      <w:r w:rsidRPr="00453FD6">
        <w:t>maribavir</w:t>
      </w:r>
      <w:proofErr w:type="spellEnd"/>
      <w:r w:rsidRPr="00453FD6">
        <w:t xml:space="preserve"> in the treatment of adult patients with post-transplant CMV infection that was resistant or refractory to prior therapy.</w:t>
      </w:r>
      <w:r w:rsidR="00915295" w:rsidRPr="00C53A1C">
        <w:rPr>
          <w:vertAlign w:val="superscript"/>
        </w:rPr>
        <w:fldChar w:fldCharType="begin"/>
      </w:r>
      <w:r w:rsidR="00915295" w:rsidRPr="00C53A1C">
        <w:rPr>
          <w:vertAlign w:val="superscript"/>
        </w:rPr>
        <w:instrText xml:space="preserve"> NOTEREF _Ref135827397 \h </w:instrText>
      </w:r>
      <w:r w:rsidR="00915295">
        <w:rPr>
          <w:vertAlign w:val="superscript"/>
        </w:rPr>
        <w:instrText xml:space="preserve"> \* MERGEFORMAT </w:instrText>
      </w:r>
      <w:r w:rsidR="00915295" w:rsidRPr="00C53A1C">
        <w:rPr>
          <w:vertAlign w:val="superscript"/>
        </w:rPr>
      </w:r>
      <w:r w:rsidR="00915295" w:rsidRPr="00C53A1C">
        <w:rPr>
          <w:vertAlign w:val="superscript"/>
        </w:rPr>
        <w:fldChar w:fldCharType="separate"/>
      </w:r>
      <w:r w:rsidR="001D123C">
        <w:rPr>
          <w:vertAlign w:val="superscript"/>
        </w:rPr>
        <w:t>8</w:t>
      </w:r>
      <w:r w:rsidR="00915295" w:rsidRPr="00C53A1C">
        <w:rPr>
          <w:vertAlign w:val="superscript"/>
        </w:rPr>
        <w:fldChar w:fldCharType="end"/>
      </w:r>
      <w:r w:rsidR="00915295" w:rsidRPr="00C53A1C">
        <w:rPr>
          <w:vertAlign w:val="superscript"/>
        </w:rPr>
        <w:t>,</w:t>
      </w:r>
      <w:r w:rsidR="00915295" w:rsidRPr="00C53A1C">
        <w:rPr>
          <w:vertAlign w:val="superscript"/>
        </w:rPr>
        <w:fldChar w:fldCharType="begin"/>
      </w:r>
      <w:r w:rsidR="00915295" w:rsidRPr="00C53A1C">
        <w:rPr>
          <w:vertAlign w:val="superscript"/>
        </w:rPr>
        <w:instrText xml:space="preserve"> NOTEREF _Ref135827400 \h </w:instrText>
      </w:r>
      <w:r w:rsidR="00915295">
        <w:rPr>
          <w:vertAlign w:val="superscript"/>
        </w:rPr>
        <w:instrText xml:space="preserve"> \* MERGEFORMAT </w:instrText>
      </w:r>
      <w:r w:rsidR="00915295" w:rsidRPr="00C53A1C">
        <w:rPr>
          <w:vertAlign w:val="superscript"/>
        </w:rPr>
      </w:r>
      <w:r w:rsidR="00915295" w:rsidRPr="00C53A1C">
        <w:rPr>
          <w:vertAlign w:val="superscript"/>
        </w:rPr>
        <w:fldChar w:fldCharType="separate"/>
      </w:r>
      <w:r w:rsidR="001D123C">
        <w:rPr>
          <w:vertAlign w:val="superscript"/>
        </w:rPr>
        <w:t>9</w:t>
      </w:r>
      <w:r w:rsidR="00915295" w:rsidRPr="00C53A1C">
        <w:rPr>
          <w:vertAlign w:val="superscript"/>
        </w:rPr>
        <w:fldChar w:fldCharType="end"/>
      </w:r>
    </w:p>
    <w:p w14:paraId="5D35E2DC" w14:textId="36AA19EB" w:rsidR="00C75DFC" w:rsidRDefault="00C75DFC" w:rsidP="00C75DFC">
      <w:proofErr w:type="spellStart"/>
      <w:r>
        <w:t>Maribavir</w:t>
      </w:r>
      <w:proofErr w:type="spellEnd"/>
      <w:r w:rsidRPr="00453FD6">
        <w:t xml:space="preserve"> 400 mg </w:t>
      </w:r>
      <w:r>
        <w:t>twice daily</w:t>
      </w:r>
      <w:r w:rsidRPr="00453FD6">
        <w:t xml:space="preserve"> dose </w:t>
      </w:r>
      <w:r>
        <w:t>was the selected dose,</w:t>
      </w:r>
      <w:r w:rsidRPr="00453FD6">
        <w:t xml:space="preserve"> as higher doses </w:t>
      </w:r>
      <w:r>
        <w:t>(800 mg twice daily and 1200 mg twice daily) showed no</w:t>
      </w:r>
      <w:r w:rsidRPr="00453FD6">
        <w:t xml:space="preserve"> efficacy </w:t>
      </w:r>
      <w:r>
        <w:t xml:space="preserve">advantage </w:t>
      </w:r>
      <w:r w:rsidRPr="00453FD6">
        <w:t>in</w:t>
      </w:r>
      <w:r>
        <w:t xml:space="preserve"> P</w:t>
      </w:r>
      <w:r w:rsidRPr="00453FD6">
        <w:t xml:space="preserve">hase </w:t>
      </w:r>
      <w:r>
        <w:t>II</w:t>
      </w:r>
      <w:r w:rsidRPr="00453FD6">
        <w:t xml:space="preserve"> studies</w:t>
      </w:r>
      <w:r>
        <w:t xml:space="preserve"> with flat efficacy response </w:t>
      </w:r>
      <w:r w:rsidR="00534E84">
        <w:t>curve but</w:t>
      </w:r>
      <w:r>
        <w:t xml:space="preserve"> were </w:t>
      </w:r>
      <w:r w:rsidRPr="00453FD6">
        <w:t>associated with a higher incidence of elevated immunosuppress</w:t>
      </w:r>
      <w:r>
        <w:t>ant</w:t>
      </w:r>
      <w:r w:rsidRPr="00453FD6">
        <w:t xml:space="preserve"> drug levels</w:t>
      </w:r>
      <w:r>
        <w:t xml:space="preserve"> that were being administered concomitantly in this patient population</w:t>
      </w:r>
      <w:r w:rsidRPr="00453FD6">
        <w:t>.</w:t>
      </w:r>
    </w:p>
    <w:p w14:paraId="774D054F" w14:textId="3AEDAF01" w:rsidR="00C75DFC" w:rsidRDefault="00C75DFC" w:rsidP="00C75DFC">
      <w:r>
        <w:t>The efficacy outcome in the pivotal Study 303 was plasma CMV DNA clearance after 8 weeks of treatment. This is a validated surrogate outcome for predicting CMV disease progression and consequently mortality.</w:t>
      </w:r>
    </w:p>
    <w:p w14:paraId="60D19D69" w14:textId="77777777" w:rsidR="00C75DFC" w:rsidRDefault="00C75DFC" w:rsidP="00C75DFC">
      <w:r>
        <w:t xml:space="preserve">The result (treatment difference of 32.8% with 95%CI of 22.8%, 42.74% compared to current anti-CMV therapies) was statistically and clinically significant and supported the use of </w:t>
      </w:r>
      <w:proofErr w:type="spellStart"/>
      <w:r>
        <w:t>maribavir</w:t>
      </w:r>
      <w:proofErr w:type="spellEnd"/>
      <w:r>
        <w:t xml:space="preserve"> in this refractory/resistant patient population.</w:t>
      </w:r>
    </w:p>
    <w:p w14:paraId="6490ACC5" w14:textId="391BBEC5" w:rsidR="00C75DFC" w:rsidRDefault="00C75DFC" w:rsidP="00C75DFC">
      <w:r>
        <w:t xml:space="preserve">However, this efficacious viral clearance did not translate into any mortality advantage. Based on the current data, all-cause mortality was not different in </w:t>
      </w:r>
      <w:proofErr w:type="spellStart"/>
      <w:proofErr w:type="gramStart"/>
      <w:r>
        <w:t>maribavir</w:t>
      </w:r>
      <w:proofErr w:type="spellEnd"/>
      <w:proofErr w:type="gramEnd"/>
      <w:r>
        <w:t xml:space="preserve"> and the </w:t>
      </w:r>
      <w:r w:rsidR="00534E84" w:rsidRPr="009B7B27">
        <w:t>investigator assigned anti-CMV treatment</w:t>
      </w:r>
      <w:r>
        <w:t>s groups.</w:t>
      </w:r>
    </w:p>
    <w:p w14:paraId="1D40E36D" w14:textId="77777777" w:rsidR="00C75DFC" w:rsidRDefault="00C75DFC" w:rsidP="00C75DFC">
      <w:r>
        <w:t>However, more data will be of interest to confirm and rule out any adverse trend. It also suggests that any potential beneficial patient survival outcomes may be hard to achieve in unselected clinical practice outside the context of close monitoring in clinical trials.</w:t>
      </w:r>
    </w:p>
    <w:p w14:paraId="5D61889D" w14:textId="4FB3FCC5" w:rsidR="00C75DFC" w:rsidRDefault="00C75DFC" w:rsidP="00C75DFC">
      <w:proofErr w:type="spellStart"/>
      <w:r w:rsidRPr="00453FD6">
        <w:lastRenderedPageBreak/>
        <w:t>Maribavir</w:t>
      </w:r>
      <w:proofErr w:type="spellEnd"/>
      <w:r w:rsidRPr="00453FD6">
        <w:t xml:space="preserve"> 400 mg </w:t>
      </w:r>
      <w:r>
        <w:t>twice daily</w:t>
      </w:r>
      <w:r w:rsidRPr="00453FD6">
        <w:t xml:space="preserve"> had an overall favourable safety profile than </w:t>
      </w:r>
      <w:r w:rsidR="00534E84" w:rsidRPr="009B7B27">
        <w:t>investigator assigned anti-CMV treatment</w:t>
      </w:r>
      <w:r>
        <w:t>s.</w:t>
      </w:r>
    </w:p>
    <w:p w14:paraId="01C2DBD6" w14:textId="46918443" w:rsidR="00C75DFC" w:rsidRDefault="00C75DFC" w:rsidP="00C75DFC">
      <w:r>
        <w:t>Dysgeusia (disturbance</w:t>
      </w:r>
      <w:r w:rsidR="00915295">
        <w:t xml:space="preserve"> in taste</w:t>
      </w:r>
      <w:r>
        <w:t xml:space="preserve">) is pathognomonic of </w:t>
      </w:r>
      <w:proofErr w:type="spellStart"/>
      <w:r>
        <w:t>maribavir</w:t>
      </w:r>
      <w:proofErr w:type="spellEnd"/>
      <w:r>
        <w:t xml:space="preserve"> treatment. As expected from studies in the clinical development program of </w:t>
      </w:r>
      <w:proofErr w:type="spellStart"/>
      <w:r>
        <w:t>maribavir</w:t>
      </w:r>
      <w:proofErr w:type="spellEnd"/>
      <w:r>
        <w:t xml:space="preserve">, the pivotal </w:t>
      </w:r>
      <w:r w:rsidR="00534E84">
        <w:t>S</w:t>
      </w:r>
      <w:r w:rsidRPr="00453FD6">
        <w:t xml:space="preserve">tudy 303 </w:t>
      </w:r>
      <w:r>
        <w:t>showed</w:t>
      </w:r>
      <w:r w:rsidRPr="00453FD6">
        <w:t xml:space="preserve"> that </w:t>
      </w:r>
      <w:proofErr w:type="spellStart"/>
      <w:r w:rsidRPr="00453FD6">
        <w:t>maribavir</w:t>
      </w:r>
      <w:proofErr w:type="spellEnd"/>
      <w:r w:rsidRPr="00453FD6">
        <w:t xml:space="preserve"> </w:t>
      </w:r>
      <w:r>
        <w:t>was advantageous with respect to</w:t>
      </w:r>
      <w:r w:rsidRPr="00453FD6">
        <w:t xml:space="preserve"> the </w:t>
      </w:r>
      <w:r w:rsidR="00534E84">
        <w:t>two</w:t>
      </w:r>
      <w:r w:rsidRPr="00453FD6">
        <w:t xml:space="preserve"> </w:t>
      </w:r>
      <w:r>
        <w:t xml:space="preserve">main </w:t>
      </w:r>
      <w:r w:rsidRPr="00453FD6">
        <w:t>treatment limiting toxicities</w:t>
      </w:r>
      <w:r>
        <w:t xml:space="preserve"> </w:t>
      </w:r>
      <w:r w:rsidRPr="00453FD6">
        <w:t xml:space="preserve">with </w:t>
      </w:r>
      <w:r>
        <w:t xml:space="preserve">the current anti-CMV drugs that is bone marrow </w:t>
      </w:r>
      <w:r w:rsidRPr="00453FD6">
        <w:t>suppression</w:t>
      </w:r>
      <w:r>
        <w:t xml:space="preserve"> </w:t>
      </w:r>
      <w:r w:rsidRPr="00453FD6">
        <w:t>with</w:t>
      </w:r>
      <w:r>
        <w:t xml:space="preserve"> </w:t>
      </w:r>
      <w:r w:rsidRPr="00453FD6">
        <w:t>ganciclovir/valganciclovir</w:t>
      </w:r>
      <w:r>
        <w:t xml:space="preserve"> and </w:t>
      </w:r>
      <w:r w:rsidRPr="00453FD6">
        <w:t xml:space="preserve">renal toxicity with </w:t>
      </w:r>
      <w:proofErr w:type="spellStart"/>
      <w:r w:rsidRPr="00453FD6">
        <w:t>foscarnet</w:t>
      </w:r>
      <w:proofErr w:type="spellEnd"/>
      <w:r>
        <w:t xml:space="preserve"> and cidofovir.</w:t>
      </w:r>
    </w:p>
    <w:p w14:paraId="2B784A54" w14:textId="77777777" w:rsidR="00C75DFC" w:rsidRDefault="00C75DFC" w:rsidP="00C75DFC">
      <w:r>
        <w:t xml:space="preserve">Despite benefit on </w:t>
      </w:r>
      <w:proofErr w:type="gramStart"/>
      <w:r>
        <w:t>these adverse outcome</w:t>
      </w:r>
      <w:proofErr w:type="gramEnd"/>
      <w:r>
        <w:t xml:space="preserve">, the observed lack of advantage on mortality was a disappointing finding. Appropriate use in severely renal impaired patients and close plasma drug monitoring of concomitant immunosuppressant agents may be important factors in optimal use of </w:t>
      </w:r>
      <w:proofErr w:type="spellStart"/>
      <w:r>
        <w:t>maribavir</w:t>
      </w:r>
      <w:proofErr w:type="spellEnd"/>
      <w:r>
        <w:t>.</w:t>
      </w:r>
    </w:p>
    <w:p w14:paraId="40C84B17" w14:textId="67931CF2" w:rsidR="00C75DFC" w:rsidRDefault="00C75DFC" w:rsidP="00C75DFC">
      <w:r>
        <w:t>Viral r</w:t>
      </w:r>
      <w:r w:rsidRPr="00453FD6">
        <w:t>esistance analys</w:t>
      </w:r>
      <w:r>
        <w:t>e</w:t>
      </w:r>
      <w:r w:rsidRPr="00453FD6">
        <w:t xml:space="preserve">s </w:t>
      </w:r>
      <w:r>
        <w:t xml:space="preserve">from the </w:t>
      </w:r>
      <w:r w:rsidR="00534E84">
        <w:t>S</w:t>
      </w:r>
      <w:r>
        <w:t>tudy 303 indicate</w:t>
      </w:r>
      <w:r w:rsidRPr="00453FD6">
        <w:t xml:space="preserve"> that</w:t>
      </w:r>
      <w:r>
        <w:t xml:space="preserve"> </w:t>
      </w:r>
      <w:r w:rsidRPr="00453FD6">
        <w:t xml:space="preserve">development of genotypic resistance to </w:t>
      </w:r>
      <w:proofErr w:type="spellStart"/>
      <w:r w:rsidRPr="00453FD6">
        <w:t>maribavir</w:t>
      </w:r>
      <w:proofErr w:type="spellEnd"/>
      <w:r w:rsidRPr="00453FD6">
        <w:t xml:space="preserve"> is common</w:t>
      </w:r>
      <w:r>
        <w:t>, develops rapidly and is associated with loss of efficacy.</w:t>
      </w:r>
    </w:p>
    <w:p w14:paraId="5EF58247" w14:textId="233C8D7F" w:rsidR="00C75DFC" w:rsidRDefault="00C75DFC" w:rsidP="00C75DFC">
      <w:proofErr w:type="spellStart"/>
      <w:r>
        <w:t>M</w:t>
      </w:r>
      <w:r w:rsidRPr="0098540E">
        <w:t>aribavir</w:t>
      </w:r>
      <w:proofErr w:type="spellEnd"/>
      <w:r w:rsidRPr="0098540E">
        <w:t xml:space="preserve"> pUL97 resistance-associated substitutions </w:t>
      </w:r>
      <w:r>
        <w:t xml:space="preserve">also </w:t>
      </w:r>
      <w:r w:rsidRPr="0098540E">
        <w:t xml:space="preserve">confer cross-resistance to </w:t>
      </w:r>
      <w:r w:rsidR="00534E84" w:rsidRPr="009B7B27">
        <w:t>investigator assigned anti-CMV treatment</w:t>
      </w:r>
      <w:r>
        <w:t xml:space="preserve"> (</w:t>
      </w:r>
      <w:r w:rsidRPr="0098540E">
        <w:t>ganciclovir</w:t>
      </w:r>
      <w:r>
        <w:t>/</w:t>
      </w:r>
      <w:r w:rsidRPr="0098540E">
        <w:t>valganciclovir</w:t>
      </w:r>
      <w:r>
        <w:t>)</w:t>
      </w:r>
      <w:r w:rsidRPr="0098540E">
        <w:t>.</w:t>
      </w:r>
    </w:p>
    <w:p w14:paraId="0B93BE3B" w14:textId="409478F8" w:rsidR="00C75DFC" w:rsidRDefault="00C75DFC" w:rsidP="00C75DFC">
      <w:r>
        <w:t xml:space="preserve">A total of 28 out of 217 (12.9%) </w:t>
      </w:r>
      <w:proofErr w:type="spellStart"/>
      <w:r>
        <w:t>maribavir</w:t>
      </w:r>
      <w:proofErr w:type="spellEnd"/>
      <w:r>
        <w:t xml:space="preserve"> treated patients and 5 out of 103 (4.9%) </w:t>
      </w:r>
      <w:proofErr w:type="gramStart"/>
      <w:r w:rsidR="00F53C23" w:rsidRPr="009B7B27">
        <w:t>investigator</w:t>
      </w:r>
      <w:proofErr w:type="gramEnd"/>
      <w:r w:rsidR="00F53C23" w:rsidRPr="009B7B27">
        <w:t xml:space="preserve"> assigned anti-CMV treatment</w:t>
      </w:r>
      <w:r w:rsidR="00915295">
        <w:t>-</w:t>
      </w:r>
      <w:r>
        <w:t xml:space="preserve">treated patients in </w:t>
      </w:r>
      <w:r w:rsidR="00915295">
        <w:t xml:space="preserve">the combined </w:t>
      </w:r>
      <w:r w:rsidR="00F53C23">
        <w:t>PRS</w:t>
      </w:r>
      <w:r w:rsidR="00915295">
        <w:t xml:space="preserve"> and </w:t>
      </w:r>
      <w:r>
        <w:t>non</w:t>
      </w:r>
      <w:r w:rsidR="00F53C23">
        <w:t>-PRS</w:t>
      </w:r>
      <w:r>
        <w:t xml:space="preserve"> population set</w:t>
      </w:r>
      <w:r w:rsidR="00915295">
        <w:t>s</w:t>
      </w:r>
      <w:r w:rsidR="00EB3C5C">
        <w:t>;</w:t>
      </w:r>
      <w:r>
        <w:rPr>
          <w:rStyle w:val="FootnoteReference"/>
        </w:rPr>
        <w:footnoteReference w:id="11"/>
      </w:r>
      <w:r>
        <w:t xml:space="preserve"> developed treatment</w:t>
      </w:r>
      <w:r w:rsidR="00915295">
        <w:t>-</w:t>
      </w:r>
      <w:r>
        <w:t xml:space="preserve">emergent </w:t>
      </w:r>
      <w:r w:rsidR="00915295">
        <w:t>r</w:t>
      </w:r>
      <w:r w:rsidR="00915295" w:rsidRPr="00915295">
        <w:t>esistance-associated amino acid substitutions</w:t>
      </w:r>
      <w:r>
        <w:t xml:space="preserve"> to </w:t>
      </w:r>
      <w:r w:rsidR="00EB3C5C" w:rsidRPr="009B7B27">
        <w:t>investigator assigned anti-CMV treatment</w:t>
      </w:r>
      <w:r>
        <w:t>.</w:t>
      </w:r>
    </w:p>
    <w:p w14:paraId="3DF58825" w14:textId="2CA50CC8" w:rsidR="00C75DFC" w:rsidRDefault="00C75DFC" w:rsidP="00C75DFC">
      <w:r>
        <w:t xml:space="preserve">A total of 42 out of 214 (19.6%) </w:t>
      </w:r>
      <w:proofErr w:type="spellStart"/>
      <w:r>
        <w:t>maribavir</w:t>
      </w:r>
      <w:proofErr w:type="spellEnd"/>
      <w:r>
        <w:t xml:space="preserve"> treated patients and 0 out of 100 (0%) </w:t>
      </w:r>
      <w:proofErr w:type="gramStart"/>
      <w:r w:rsidR="00EB3C5C" w:rsidRPr="009B7B27">
        <w:t>investigator</w:t>
      </w:r>
      <w:proofErr w:type="gramEnd"/>
      <w:r w:rsidR="00EB3C5C" w:rsidRPr="009B7B27">
        <w:t xml:space="preserve"> assigned anti-CMV treatment</w:t>
      </w:r>
      <w:r w:rsidR="00915295">
        <w:t>-</w:t>
      </w:r>
      <w:r>
        <w:t xml:space="preserve">treated patients in </w:t>
      </w:r>
      <w:r w:rsidR="00915295">
        <w:t xml:space="preserve">the combined </w:t>
      </w:r>
      <w:r>
        <w:t>MRS</w:t>
      </w:r>
      <w:r w:rsidR="00915295">
        <w:t xml:space="preserve"> and </w:t>
      </w:r>
      <w:r>
        <w:t>non</w:t>
      </w:r>
      <w:r w:rsidR="00915295">
        <w:t>-</w:t>
      </w:r>
      <w:r>
        <w:t>MRS population set</w:t>
      </w:r>
      <w:r w:rsidR="00915295">
        <w:t>s</w:t>
      </w:r>
      <w:r w:rsidR="00EB3C5C">
        <w:t>;</w:t>
      </w:r>
      <w:r>
        <w:rPr>
          <w:rStyle w:val="FootnoteReference"/>
        </w:rPr>
        <w:footnoteReference w:id="12"/>
      </w:r>
      <w:r>
        <w:t xml:space="preserve"> developed treatment emergent </w:t>
      </w:r>
      <w:r w:rsidR="00915295">
        <w:t>r</w:t>
      </w:r>
      <w:r w:rsidR="00915295" w:rsidRPr="00915295">
        <w:t>esistance-associated amino acid substitutions</w:t>
      </w:r>
      <w:r w:rsidR="00915295">
        <w:t xml:space="preserve"> </w:t>
      </w:r>
      <w:r>
        <w:t xml:space="preserve">to </w:t>
      </w:r>
      <w:proofErr w:type="spellStart"/>
      <w:r>
        <w:t>maribavir</w:t>
      </w:r>
      <w:proofErr w:type="spellEnd"/>
      <w:r>
        <w:t>.</w:t>
      </w:r>
    </w:p>
    <w:p w14:paraId="0F74BB73" w14:textId="52E82487" w:rsidR="00C75DFC" w:rsidRDefault="00C75DFC" w:rsidP="00C75DFC">
      <w:r>
        <w:t xml:space="preserve">The data support 400 mg twice daily </w:t>
      </w:r>
      <w:proofErr w:type="spellStart"/>
      <w:r>
        <w:t>maribavir</w:t>
      </w:r>
      <w:proofErr w:type="spellEnd"/>
      <w:r>
        <w:t xml:space="preserve"> dosing for 8 weeks in the treatment of refractory or resistant CMV infection in post-transplant adult patients. No experience in patients under 18</w:t>
      </w:r>
      <w:r w:rsidR="00915295">
        <w:t> </w:t>
      </w:r>
      <w:r>
        <w:t>years of age is currently available from the completed clinical trials.</w:t>
      </w:r>
    </w:p>
    <w:p w14:paraId="126CDE3A" w14:textId="2ECE4103" w:rsidR="00C75DFC" w:rsidRPr="00C75DFC" w:rsidRDefault="00C75DFC" w:rsidP="00C75DFC">
      <w:r>
        <w:t>Apart from the clinical data, the 400 mg twice daily dosing, 8 weeks fixed duration of treatment and use in adult patients are also supported and considered more suitable in view of the findings in repeat</w:t>
      </w:r>
      <w:r w:rsidR="00915295">
        <w:t>-</w:t>
      </w:r>
      <w:r>
        <w:t>dose toxicology studies and subclinical exposures reported in the nonclinical dossier.</w:t>
      </w:r>
    </w:p>
    <w:p w14:paraId="3916F296" w14:textId="77777777" w:rsidR="00C22214" w:rsidRDefault="00C22214" w:rsidP="00C22214">
      <w:pPr>
        <w:pStyle w:val="Heading4"/>
      </w:pPr>
      <w:bookmarkStart w:id="112" w:name="_Toc98931933"/>
      <w:bookmarkStart w:id="113" w:name="_Toc135918989"/>
      <w:r w:rsidRPr="00D23139">
        <w:t>Proposed action</w:t>
      </w:r>
      <w:bookmarkEnd w:id="112"/>
      <w:bookmarkEnd w:id="113"/>
    </w:p>
    <w:p w14:paraId="3770D510" w14:textId="1972FB52" w:rsidR="00C75DFC" w:rsidRDefault="00C75DFC" w:rsidP="00C75DFC">
      <w:r>
        <w:t xml:space="preserve">Pending advice from the Advisory Committee on Medicines (ACM), the Delegate proposes to approve </w:t>
      </w:r>
      <w:proofErr w:type="spellStart"/>
      <w:r>
        <w:t>maribavir</w:t>
      </w:r>
      <w:proofErr w:type="spellEnd"/>
      <w:r>
        <w:t xml:space="preserve"> for the following indication:</w:t>
      </w:r>
    </w:p>
    <w:p w14:paraId="7EAA946F" w14:textId="763B31C8" w:rsidR="00C75DFC" w:rsidRPr="00C75DFC" w:rsidRDefault="00C75DFC" w:rsidP="00C75DFC">
      <w:pPr>
        <w:ind w:left="720"/>
        <w:rPr>
          <w:i/>
          <w:iCs/>
        </w:rPr>
      </w:pPr>
      <w:r w:rsidRPr="00C75DFC">
        <w:rPr>
          <w:i/>
          <w:iCs/>
        </w:rPr>
        <w:t>Treatment of adults with post-transplant cytomegalovirus (CMV) infection and disease resistant or refractory to one or more prior therapies.</w:t>
      </w:r>
    </w:p>
    <w:p w14:paraId="3E2E873D" w14:textId="6910B11C" w:rsidR="00C75DFC" w:rsidRPr="00C75DFC" w:rsidRDefault="00915295" w:rsidP="00C75DFC">
      <w:r>
        <w:t xml:space="preserve">Use of </w:t>
      </w:r>
      <w:proofErr w:type="spellStart"/>
      <w:r>
        <w:t>m</w:t>
      </w:r>
      <w:r w:rsidR="00C75DFC">
        <w:t>aribavir</w:t>
      </w:r>
      <w:proofErr w:type="spellEnd"/>
      <w:r w:rsidR="00C75DFC">
        <w:t xml:space="preserve"> 400</w:t>
      </w:r>
      <w:r>
        <w:t xml:space="preserve"> </w:t>
      </w:r>
      <w:r w:rsidR="00C75DFC">
        <w:t xml:space="preserve">mg twice daily </w:t>
      </w:r>
      <w:r>
        <w:t xml:space="preserve">taken </w:t>
      </w:r>
      <w:r w:rsidR="00C75DFC">
        <w:t xml:space="preserve">orally for 8 weeks is supported based on the pivotal </w:t>
      </w:r>
      <w:r>
        <w:t>S</w:t>
      </w:r>
      <w:r w:rsidR="00C75DFC">
        <w:t>tudy 303.</w:t>
      </w:r>
    </w:p>
    <w:p w14:paraId="318CFABC" w14:textId="77777777" w:rsidR="00C22214" w:rsidRPr="00F73346" w:rsidRDefault="00C22214" w:rsidP="00C22214">
      <w:pPr>
        <w:pStyle w:val="Heading4"/>
      </w:pPr>
      <w:bookmarkStart w:id="114" w:name="_Toc98931936"/>
      <w:bookmarkStart w:id="115" w:name="_Toc135918990"/>
      <w:bookmarkStart w:id="116" w:name="_Toc247691532"/>
      <w:bookmarkStart w:id="117" w:name="_Toc314842516"/>
      <w:r w:rsidRPr="00F73346">
        <w:lastRenderedPageBreak/>
        <w:t>Advisory Committee considerations</w:t>
      </w:r>
      <w:bookmarkEnd w:id="114"/>
      <w:bookmarkEnd w:id="115"/>
    </w:p>
    <w:p w14:paraId="087BB9CB" w14:textId="37AAA9B7" w:rsidR="00C22214" w:rsidRPr="00BD5DBD" w:rsidRDefault="00C22214" w:rsidP="00C22214">
      <w:pPr>
        <w:rPr>
          <w:bCs/>
          <w:szCs w:val="22"/>
        </w:rPr>
      </w:pPr>
      <w:r w:rsidRPr="00BD5DBD">
        <w:rPr>
          <w:bCs/>
          <w:szCs w:val="22"/>
        </w:rPr>
        <w:t xml:space="preserve">The </w:t>
      </w:r>
      <w:hyperlink r:id="rId57"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0D935CC4" w14:textId="77777777" w:rsidR="00C22214" w:rsidRPr="00F73346" w:rsidRDefault="00C22214" w:rsidP="00C22214">
      <w:pPr>
        <w:pStyle w:val="Heading5"/>
      </w:pPr>
      <w:r w:rsidRPr="00F73346">
        <w:t>Specific advice to the Delegate</w:t>
      </w:r>
    </w:p>
    <w:p w14:paraId="0FE5EB96" w14:textId="77777777" w:rsidR="00987828" w:rsidRDefault="00987828" w:rsidP="00987828">
      <w:r>
        <w:t>The ACM advised the following in response to the Delegate’s specific request for advice:</w:t>
      </w:r>
    </w:p>
    <w:p w14:paraId="1BF0324E" w14:textId="4067794E" w:rsidR="00915295" w:rsidRDefault="00987828" w:rsidP="00987828">
      <w:pPr>
        <w:pStyle w:val="Numberbullet0"/>
        <w:numPr>
          <w:ilvl w:val="0"/>
          <w:numId w:val="10"/>
        </w:numPr>
        <w:spacing w:after="120"/>
        <w:ind w:left="425" w:hanging="425"/>
        <w:rPr>
          <w:b/>
          <w:i/>
        </w:rPr>
      </w:pPr>
      <w:r w:rsidRPr="00C25119">
        <w:rPr>
          <w:b/>
          <w:i/>
        </w:rPr>
        <w:t xml:space="preserve">The Delegate proposes to approve </w:t>
      </w:r>
      <w:proofErr w:type="spellStart"/>
      <w:r w:rsidRPr="00C25119">
        <w:rPr>
          <w:b/>
          <w:i/>
        </w:rPr>
        <w:t>maribavir</w:t>
      </w:r>
      <w:proofErr w:type="spellEnd"/>
      <w:r w:rsidRPr="00C25119">
        <w:rPr>
          <w:b/>
          <w:i/>
        </w:rPr>
        <w:t xml:space="preserve"> 400 mg </w:t>
      </w:r>
      <w:r w:rsidR="00EB3C5C">
        <w:rPr>
          <w:b/>
          <w:i/>
        </w:rPr>
        <w:t>twice daily</w:t>
      </w:r>
      <w:r w:rsidRPr="00C25119">
        <w:rPr>
          <w:b/>
          <w:i/>
        </w:rPr>
        <w:t xml:space="preserve"> dosing for fixed</w:t>
      </w:r>
      <w:r w:rsidR="00915295">
        <w:rPr>
          <w:b/>
          <w:i/>
        </w:rPr>
        <w:t xml:space="preserve"> period of</w:t>
      </w:r>
      <w:r w:rsidRPr="00C25119">
        <w:rPr>
          <w:b/>
          <w:i/>
        </w:rPr>
        <w:t xml:space="preserve"> 8</w:t>
      </w:r>
      <w:r w:rsidR="00915295">
        <w:rPr>
          <w:b/>
          <w:i/>
        </w:rPr>
        <w:t> </w:t>
      </w:r>
      <w:r w:rsidRPr="00C25119">
        <w:rPr>
          <w:b/>
          <w:i/>
        </w:rPr>
        <w:t xml:space="preserve">weeks based on the pivotal Phase </w:t>
      </w:r>
      <w:r w:rsidR="00F53C23">
        <w:rPr>
          <w:b/>
          <w:i/>
        </w:rPr>
        <w:t>III</w:t>
      </w:r>
      <w:r w:rsidRPr="00C25119">
        <w:rPr>
          <w:b/>
          <w:i/>
        </w:rPr>
        <w:t xml:space="preserve"> </w:t>
      </w:r>
      <w:r w:rsidR="00F53C23">
        <w:rPr>
          <w:b/>
          <w:i/>
        </w:rPr>
        <w:t>S</w:t>
      </w:r>
      <w:r w:rsidRPr="00C25119">
        <w:rPr>
          <w:b/>
          <w:i/>
        </w:rPr>
        <w:t>tudy 303.</w:t>
      </w:r>
    </w:p>
    <w:p w14:paraId="4292B5B1" w14:textId="5479EE1B" w:rsidR="00915295" w:rsidRDefault="00987828" w:rsidP="006B33E8">
      <w:pPr>
        <w:pStyle w:val="Numberbullet0"/>
        <w:numPr>
          <w:ilvl w:val="0"/>
          <w:numId w:val="0"/>
        </w:numPr>
        <w:spacing w:after="120"/>
        <w:ind w:left="425"/>
        <w:rPr>
          <w:b/>
          <w:i/>
        </w:rPr>
      </w:pPr>
      <w:r w:rsidRPr="00C25119">
        <w:rPr>
          <w:b/>
          <w:i/>
        </w:rPr>
        <w:t xml:space="preserve">The ACM is requested </w:t>
      </w:r>
      <w:r w:rsidR="00915295">
        <w:rPr>
          <w:b/>
          <w:i/>
        </w:rPr>
        <w:t>to advise</w:t>
      </w:r>
      <w:r w:rsidR="00915295" w:rsidRPr="00C25119">
        <w:rPr>
          <w:b/>
          <w:i/>
        </w:rPr>
        <w:t xml:space="preserve"> </w:t>
      </w:r>
      <w:r w:rsidRPr="00C25119">
        <w:rPr>
          <w:b/>
          <w:i/>
        </w:rPr>
        <w:t>on</w:t>
      </w:r>
      <w:r w:rsidR="00915295">
        <w:rPr>
          <w:b/>
          <w:i/>
        </w:rPr>
        <w:t>:</w:t>
      </w:r>
    </w:p>
    <w:p w14:paraId="7971D691" w14:textId="5C2EC72F" w:rsidR="00915295" w:rsidRPr="006B33E8" w:rsidRDefault="00987828" w:rsidP="006B33E8">
      <w:pPr>
        <w:pStyle w:val="ListBullet2"/>
        <w:rPr>
          <w:b/>
          <w:i/>
        </w:rPr>
      </w:pPr>
      <w:r w:rsidRPr="006B33E8">
        <w:rPr>
          <w:b/>
          <w:i/>
        </w:rPr>
        <w:t>whether this is optimum</w:t>
      </w:r>
      <w:r w:rsidR="00915295" w:rsidRPr="006B33E8">
        <w:rPr>
          <w:b/>
          <w:i/>
        </w:rPr>
        <w:t>;</w:t>
      </w:r>
      <w:r w:rsidRPr="006B33E8">
        <w:rPr>
          <w:b/>
          <w:i/>
        </w:rPr>
        <w:t xml:space="preserve"> or</w:t>
      </w:r>
    </w:p>
    <w:p w14:paraId="6B2804AA" w14:textId="48BBAC1C" w:rsidR="00915295" w:rsidRDefault="00987828" w:rsidP="006B33E8">
      <w:pPr>
        <w:pStyle w:val="ListBullet2"/>
        <w:rPr>
          <w:b/>
          <w:i/>
        </w:rPr>
      </w:pPr>
      <w:r w:rsidRPr="006B33E8">
        <w:rPr>
          <w:b/>
          <w:i/>
        </w:rPr>
        <w:t xml:space="preserve">reference to </w:t>
      </w:r>
      <w:r w:rsidR="00915295" w:rsidRPr="006B33E8">
        <w:rPr>
          <w:b/>
          <w:i/>
        </w:rPr>
        <w:t xml:space="preserve">the </w:t>
      </w:r>
      <w:r w:rsidRPr="006B33E8">
        <w:rPr>
          <w:b/>
          <w:i/>
        </w:rPr>
        <w:t xml:space="preserve">longer clinical trial experience in Phase </w:t>
      </w:r>
      <w:r w:rsidR="00F53C23" w:rsidRPr="006B33E8">
        <w:rPr>
          <w:b/>
          <w:i/>
        </w:rPr>
        <w:t>II</w:t>
      </w:r>
      <w:r w:rsidRPr="006B33E8">
        <w:rPr>
          <w:b/>
          <w:i/>
        </w:rPr>
        <w:t xml:space="preserve"> studies</w:t>
      </w:r>
      <w:r w:rsidR="00915295">
        <w:rPr>
          <w:b/>
          <w:i/>
        </w:rPr>
        <w:t xml:space="preserve">; </w:t>
      </w:r>
      <w:r w:rsidRPr="006B33E8">
        <w:rPr>
          <w:b/>
          <w:i/>
        </w:rPr>
        <w:t>or</w:t>
      </w:r>
    </w:p>
    <w:p w14:paraId="028B8255" w14:textId="75962A2C" w:rsidR="00987828" w:rsidRPr="006B33E8" w:rsidRDefault="00987828" w:rsidP="006B33E8">
      <w:pPr>
        <w:pStyle w:val="ListBullet2"/>
        <w:rPr>
          <w:b/>
          <w:i/>
        </w:rPr>
      </w:pPr>
      <w:r w:rsidRPr="006B33E8">
        <w:rPr>
          <w:b/>
          <w:i/>
        </w:rPr>
        <w:t>open ended approval of 400</w:t>
      </w:r>
      <w:r w:rsidR="00915295" w:rsidRPr="006B33E8">
        <w:rPr>
          <w:b/>
          <w:i/>
        </w:rPr>
        <w:t xml:space="preserve"> </w:t>
      </w:r>
      <w:r w:rsidRPr="006B33E8">
        <w:rPr>
          <w:b/>
          <w:i/>
        </w:rPr>
        <w:t xml:space="preserve">mg </w:t>
      </w:r>
      <w:r w:rsidR="00F53C23" w:rsidRPr="006B33E8">
        <w:rPr>
          <w:b/>
          <w:i/>
        </w:rPr>
        <w:t xml:space="preserve">twice daily </w:t>
      </w:r>
      <w:r w:rsidRPr="006B33E8">
        <w:rPr>
          <w:b/>
          <w:i/>
        </w:rPr>
        <w:t>without specifying duration of treatment will be more appropriate</w:t>
      </w:r>
      <w:r w:rsidR="00915295">
        <w:rPr>
          <w:b/>
          <w:i/>
        </w:rPr>
        <w:t>?</w:t>
      </w:r>
    </w:p>
    <w:p w14:paraId="3D13AA21" w14:textId="77777777" w:rsidR="00987828" w:rsidRPr="000B2C74" w:rsidRDefault="00987828" w:rsidP="00987828">
      <w:r>
        <w:t>The ACM advised that a</w:t>
      </w:r>
      <w:r w:rsidRPr="000B2C74">
        <w:t xml:space="preserve"> specific duration </w:t>
      </w:r>
      <w:r>
        <w:t>of therapy was not appropriate, given:</w:t>
      </w:r>
    </w:p>
    <w:p w14:paraId="3672971F" w14:textId="77777777" w:rsidR="00987828" w:rsidRPr="00915295" w:rsidRDefault="00987828" w:rsidP="006B33E8">
      <w:pPr>
        <w:pStyle w:val="ListBullet"/>
      </w:pPr>
      <w:proofErr w:type="spellStart"/>
      <w:r w:rsidRPr="00915295">
        <w:t>maribavir</w:t>
      </w:r>
      <w:proofErr w:type="spellEnd"/>
      <w:r w:rsidRPr="00915295">
        <w:t xml:space="preserve"> will almost exclusively be prescribed by specialists</w:t>
      </w:r>
    </w:p>
    <w:p w14:paraId="651C56A7" w14:textId="77777777" w:rsidR="00987828" w:rsidRPr="00915295" w:rsidRDefault="00987828" w:rsidP="006B33E8">
      <w:pPr>
        <w:pStyle w:val="ListBullet"/>
      </w:pPr>
      <w:r w:rsidRPr="00915295">
        <w:t>clinical guidelines are likely to be influential in recommending duration given complexity of patient management</w:t>
      </w:r>
    </w:p>
    <w:p w14:paraId="0B352F12" w14:textId="07F47701" w:rsidR="00987828" w:rsidRPr="00915295" w:rsidRDefault="00987828" w:rsidP="006B33E8">
      <w:pPr>
        <w:pStyle w:val="ListBullet"/>
      </w:pPr>
      <w:r w:rsidRPr="00915295">
        <w:t xml:space="preserve">experience with other agents suggests severely immunocompromised people can need longer duration; this evidence might emerge over time for </w:t>
      </w:r>
      <w:proofErr w:type="spellStart"/>
      <w:r w:rsidRPr="00915295">
        <w:t>maribavir</w:t>
      </w:r>
      <w:proofErr w:type="spellEnd"/>
      <w:r w:rsidRPr="00915295">
        <w:t xml:space="preserve">. An </w:t>
      </w:r>
      <w:r w:rsidR="00F53C23" w:rsidRPr="00915295">
        <w:t>eight</w:t>
      </w:r>
      <w:r w:rsidRPr="00915295">
        <w:t xml:space="preserve"> week course is unlikely to permanently control CMV in many/most of the target group.</w:t>
      </w:r>
    </w:p>
    <w:p w14:paraId="125B7652" w14:textId="77777777" w:rsidR="00987828" w:rsidRPr="00915295" w:rsidRDefault="00987828" w:rsidP="006B33E8">
      <w:pPr>
        <w:pStyle w:val="ListBullet"/>
      </w:pPr>
      <w:r w:rsidRPr="00915295">
        <w:t>safety considerations with longer therapy can be mitigated by other monitoring recommendations.</w:t>
      </w:r>
    </w:p>
    <w:p w14:paraId="59D6E4C8" w14:textId="77777777" w:rsidR="00987828" w:rsidRPr="000B2C74" w:rsidRDefault="00987828" w:rsidP="00987828">
      <w:r>
        <w:t>The ACM supported the dosage information in the draft PI that ‘treatment duration may need to be individualised based on the clinical characteristics of each patient’.</w:t>
      </w:r>
    </w:p>
    <w:p w14:paraId="000D2FA5" w14:textId="5EBF7FCA" w:rsidR="00915295" w:rsidRDefault="00987828" w:rsidP="00987828">
      <w:pPr>
        <w:pStyle w:val="Numberbullet0"/>
        <w:spacing w:after="120"/>
        <w:ind w:left="425" w:hanging="425"/>
        <w:rPr>
          <w:b/>
          <w:i/>
        </w:rPr>
      </w:pPr>
      <w:r w:rsidRPr="00C25119">
        <w:rPr>
          <w:b/>
          <w:i/>
        </w:rPr>
        <w:t xml:space="preserve">The inclusion criteria for the Phase </w:t>
      </w:r>
      <w:r w:rsidR="00F53C23">
        <w:rPr>
          <w:b/>
          <w:i/>
        </w:rPr>
        <w:t>III</w:t>
      </w:r>
      <w:r w:rsidRPr="00C25119">
        <w:rPr>
          <w:b/>
          <w:i/>
        </w:rPr>
        <w:t xml:space="preserve"> </w:t>
      </w:r>
      <w:r w:rsidR="00F53C23">
        <w:rPr>
          <w:b/>
          <w:i/>
        </w:rPr>
        <w:t>S</w:t>
      </w:r>
      <w:r w:rsidRPr="00C25119">
        <w:rPr>
          <w:b/>
          <w:i/>
        </w:rPr>
        <w:t>tudy 303 allowed entry of patients 12 years of age and above (weighing at least 35 kg)</w:t>
      </w:r>
      <w:r w:rsidR="00915295">
        <w:rPr>
          <w:b/>
          <w:i/>
        </w:rPr>
        <w:t>; h</w:t>
      </w:r>
      <w:r w:rsidRPr="00C25119">
        <w:rPr>
          <w:b/>
          <w:i/>
        </w:rPr>
        <w:t>owever, none of the patients in the clinical trials were under 18 years of age.</w:t>
      </w:r>
    </w:p>
    <w:p w14:paraId="039E7064" w14:textId="73964165" w:rsidR="00E06CA9" w:rsidRDefault="00987828" w:rsidP="006B33E8">
      <w:pPr>
        <w:pStyle w:val="Numberbullet0"/>
        <w:numPr>
          <w:ilvl w:val="0"/>
          <w:numId w:val="0"/>
        </w:numPr>
        <w:spacing w:after="120"/>
        <w:ind w:left="425"/>
        <w:rPr>
          <w:b/>
          <w:i/>
        </w:rPr>
      </w:pPr>
      <w:r w:rsidRPr="00C25119">
        <w:rPr>
          <w:b/>
          <w:i/>
        </w:rPr>
        <w:t xml:space="preserve">A population PK analysis has indicated that dosage regimen of 400 mg </w:t>
      </w:r>
      <w:r w:rsidR="00F53C23">
        <w:rPr>
          <w:b/>
          <w:i/>
        </w:rPr>
        <w:t>twice daily</w:t>
      </w:r>
      <w:r w:rsidRPr="00C25119">
        <w:rPr>
          <w:b/>
          <w:i/>
        </w:rPr>
        <w:t xml:space="preserve"> in adolescents is likely to produce systemic exposures comparable to exposures in adults.</w:t>
      </w:r>
    </w:p>
    <w:p w14:paraId="1E192CB7" w14:textId="4E3313E8" w:rsidR="00E06CA9" w:rsidRDefault="00987828" w:rsidP="006B33E8">
      <w:pPr>
        <w:pStyle w:val="Numberbullet0"/>
        <w:numPr>
          <w:ilvl w:val="0"/>
          <w:numId w:val="0"/>
        </w:numPr>
        <w:spacing w:after="120"/>
        <w:ind w:left="425"/>
        <w:rPr>
          <w:b/>
          <w:i/>
        </w:rPr>
      </w:pPr>
      <w:r w:rsidRPr="00C25119">
        <w:rPr>
          <w:b/>
          <w:i/>
        </w:rPr>
        <w:t xml:space="preserve">The sponsor has requested approval in adults only and </w:t>
      </w:r>
      <w:r w:rsidR="00E06CA9">
        <w:rPr>
          <w:b/>
          <w:i/>
        </w:rPr>
        <w:t>the conclusions of the TGA’s clinical evaluation</w:t>
      </w:r>
      <w:r w:rsidRPr="00C25119">
        <w:rPr>
          <w:b/>
          <w:i/>
        </w:rPr>
        <w:t xml:space="preserve"> and the </w:t>
      </w:r>
      <w:r w:rsidR="00C53744">
        <w:rPr>
          <w:b/>
          <w:i/>
        </w:rPr>
        <w:t>Delegate</w:t>
      </w:r>
      <w:r w:rsidRPr="00C25119">
        <w:rPr>
          <w:b/>
          <w:i/>
        </w:rPr>
        <w:t xml:space="preserve"> agree with this approach.</w:t>
      </w:r>
    </w:p>
    <w:p w14:paraId="2413A0F4" w14:textId="53A27710" w:rsidR="00987828" w:rsidRDefault="00987828" w:rsidP="006B33E8">
      <w:pPr>
        <w:pStyle w:val="Numberbullet0"/>
        <w:numPr>
          <w:ilvl w:val="0"/>
          <w:numId w:val="0"/>
        </w:numPr>
        <w:spacing w:after="120"/>
        <w:ind w:left="425"/>
        <w:rPr>
          <w:b/>
          <w:i/>
        </w:rPr>
      </w:pPr>
      <w:r w:rsidRPr="00C25119">
        <w:rPr>
          <w:b/>
          <w:i/>
        </w:rPr>
        <w:t xml:space="preserve">The ACM is requested </w:t>
      </w:r>
      <w:r w:rsidR="00E06CA9">
        <w:rPr>
          <w:b/>
          <w:i/>
        </w:rPr>
        <w:t xml:space="preserve">to </w:t>
      </w:r>
      <w:r w:rsidRPr="00C25119">
        <w:rPr>
          <w:b/>
          <w:i/>
        </w:rPr>
        <w:t>advi</w:t>
      </w:r>
      <w:r w:rsidR="00E06CA9">
        <w:rPr>
          <w:b/>
          <w:i/>
        </w:rPr>
        <w:t>s</w:t>
      </w:r>
      <w:r w:rsidRPr="00C25119">
        <w:rPr>
          <w:b/>
          <w:i/>
        </w:rPr>
        <w:t>e whether this is suitable given the orphan drug status of the drug.</w:t>
      </w:r>
    </w:p>
    <w:p w14:paraId="20127162" w14:textId="77777777" w:rsidR="00987828" w:rsidRPr="000B2C74" w:rsidRDefault="00987828" w:rsidP="00987828">
      <w:r w:rsidRPr="004C3570">
        <w:t>The AC</w:t>
      </w:r>
      <w:r>
        <w:t>M</w:t>
      </w:r>
      <w:r w:rsidRPr="004C3570">
        <w:t xml:space="preserve"> advised that a</w:t>
      </w:r>
      <w:r w:rsidRPr="000B2C74">
        <w:t>pproval for adults is a reasonable approach prioritising safety</w:t>
      </w:r>
      <w:r w:rsidRPr="004C3570">
        <w:t>,</w:t>
      </w:r>
      <w:r w:rsidRPr="000B2C74">
        <w:t xml:space="preserve"> given the </w:t>
      </w:r>
      <w:r w:rsidRPr="004C3570">
        <w:t xml:space="preserve">clinical </w:t>
      </w:r>
      <w:r w:rsidRPr="000B2C74">
        <w:t>data available at this time</w:t>
      </w:r>
      <w:r w:rsidRPr="004C3570">
        <w:t xml:space="preserve"> is confined to adults</w:t>
      </w:r>
      <w:r w:rsidRPr="000B2C74">
        <w:t>.</w:t>
      </w:r>
    </w:p>
    <w:p w14:paraId="7E946DAD" w14:textId="77777777" w:rsidR="00987828" w:rsidRDefault="00987828" w:rsidP="00987828">
      <w:r w:rsidRPr="000B2C74">
        <w:t>Real-world post</w:t>
      </w:r>
      <w:r w:rsidRPr="004C3570">
        <w:t>-market</w:t>
      </w:r>
      <w:r w:rsidRPr="000B2C74">
        <w:t xml:space="preserve"> information </w:t>
      </w:r>
      <w:r w:rsidRPr="004C3570">
        <w:t xml:space="preserve">in due course </w:t>
      </w:r>
      <w:r w:rsidRPr="000B2C74">
        <w:t>might support use in adolescents aged 12</w:t>
      </w:r>
      <w:r>
        <w:t xml:space="preserve"> to </w:t>
      </w:r>
      <w:r w:rsidRPr="000B2C74">
        <w:t xml:space="preserve">18 years </w:t>
      </w:r>
      <w:r>
        <w:t>of age</w:t>
      </w:r>
      <w:r w:rsidRPr="004C3570">
        <w:t xml:space="preserve">. The </w:t>
      </w:r>
      <w:r w:rsidRPr="000B2C74">
        <w:t xml:space="preserve">sponsor should be encouraged to collect </w:t>
      </w:r>
      <w:r>
        <w:t>such</w:t>
      </w:r>
      <w:r w:rsidRPr="000B2C74">
        <w:t xml:space="preserve"> data</w:t>
      </w:r>
      <w:r w:rsidRPr="004C3570">
        <w:t xml:space="preserve">, </w:t>
      </w:r>
      <w:r w:rsidRPr="000B2C74">
        <w:t xml:space="preserve">given the US </w:t>
      </w:r>
      <w:r w:rsidRPr="004C3570">
        <w:t>approval</w:t>
      </w:r>
      <w:r w:rsidRPr="000B2C74">
        <w:t xml:space="preserve"> permits use </w:t>
      </w:r>
      <w:r w:rsidRPr="004C3570">
        <w:t>in individuals 12 years and older.</w:t>
      </w:r>
    </w:p>
    <w:p w14:paraId="1F408514" w14:textId="77777777" w:rsidR="00987828" w:rsidRPr="00372847" w:rsidRDefault="00987828" w:rsidP="00987828">
      <w:r>
        <w:lastRenderedPageBreak/>
        <w:t>O</w:t>
      </w:r>
      <w:r w:rsidRPr="00C25119">
        <w:t xml:space="preserve">rphan drug status </w:t>
      </w:r>
      <w:r>
        <w:t>is a separate regulatory matter for the TGA</w:t>
      </w:r>
      <w:r w:rsidRPr="00372847">
        <w:t>.</w:t>
      </w:r>
      <w:r w:rsidRPr="00372847">
        <w:rPr>
          <w:rStyle w:val="FootnoteReference"/>
          <w:b/>
        </w:rPr>
        <w:footnoteReference w:id="13"/>
      </w:r>
    </w:p>
    <w:p w14:paraId="7AD98C4D" w14:textId="187C311D" w:rsidR="00E06CA9" w:rsidRDefault="00987828" w:rsidP="00987828">
      <w:pPr>
        <w:pStyle w:val="Numberbullet0"/>
        <w:spacing w:after="120"/>
        <w:ind w:left="425" w:hanging="425"/>
        <w:rPr>
          <w:b/>
          <w:i/>
        </w:rPr>
      </w:pPr>
      <w:r w:rsidRPr="00C25119">
        <w:rPr>
          <w:b/>
          <w:i/>
        </w:rPr>
        <w:t>The recommended indication is</w:t>
      </w:r>
      <w:r w:rsidR="00E06CA9">
        <w:rPr>
          <w:b/>
          <w:i/>
        </w:rPr>
        <w:t>:</w:t>
      </w:r>
    </w:p>
    <w:p w14:paraId="7830867B" w14:textId="1ABE9002" w:rsidR="00E06CA9" w:rsidRPr="006B33E8" w:rsidRDefault="00987828" w:rsidP="006B33E8">
      <w:pPr>
        <w:ind w:left="1296"/>
        <w:rPr>
          <w:i/>
        </w:rPr>
      </w:pPr>
      <w:r w:rsidRPr="006B33E8">
        <w:rPr>
          <w:i/>
        </w:rPr>
        <w:t>‘</w:t>
      </w:r>
      <w:proofErr w:type="gramStart"/>
      <w:r w:rsidRPr="006B33E8">
        <w:rPr>
          <w:i/>
        </w:rPr>
        <w:t>treatment</w:t>
      </w:r>
      <w:proofErr w:type="gramEnd"/>
      <w:r w:rsidRPr="006B33E8">
        <w:rPr>
          <w:i/>
        </w:rPr>
        <w:t xml:space="preserve"> of adults with post-transplant cytomegalovirus (CMV) infection and disease resistant or refractory to one or more prior therapies’</w:t>
      </w:r>
      <w:r w:rsidR="00E06CA9" w:rsidRPr="006B33E8">
        <w:rPr>
          <w:i/>
        </w:rPr>
        <w:t>.</w:t>
      </w:r>
    </w:p>
    <w:p w14:paraId="4CF56847" w14:textId="435262A7" w:rsidR="00E06CA9" w:rsidRDefault="00E06CA9" w:rsidP="006B33E8">
      <w:pPr>
        <w:pStyle w:val="Numberbullet0"/>
        <w:numPr>
          <w:ilvl w:val="0"/>
          <w:numId w:val="0"/>
        </w:numPr>
        <w:spacing w:after="120"/>
        <w:ind w:left="425"/>
        <w:rPr>
          <w:b/>
          <w:i/>
        </w:rPr>
      </w:pPr>
      <w:r>
        <w:rPr>
          <w:b/>
          <w:i/>
        </w:rPr>
        <w:t>N</w:t>
      </w:r>
      <w:r w:rsidR="00987828" w:rsidRPr="00C25119">
        <w:rPr>
          <w:b/>
          <w:i/>
        </w:rPr>
        <w:t xml:space="preserve">ecessary advisory statements have been included in the </w:t>
      </w:r>
      <w:r>
        <w:rPr>
          <w:b/>
          <w:i/>
        </w:rPr>
        <w:t>draft Product Information</w:t>
      </w:r>
      <w:r w:rsidR="00987828" w:rsidRPr="00C25119">
        <w:rPr>
          <w:b/>
          <w:i/>
        </w:rPr>
        <w:t>.</w:t>
      </w:r>
    </w:p>
    <w:p w14:paraId="4A7EAAEB" w14:textId="6CF7E4DE" w:rsidR="00987828" w:rsidRPr="006B33E8" w:rsidRDefault="00987828" w:rsidP="006B33E8">
      <w:pPr>
        <w:pStyle w:val="Numberbullet0"/>
        <w:numPr>
          <w:ilvl w:val="0"/>
          <w:numId w:val="0"/>
        </w:numPr>
        <w:spacing w:after="120"/>
        <w:ind w:left="425"/>
        <w:rPr>
          <w:b/>
          <w:i/>
        </w:rPr>
      </w:pPr>
      <w:r w:rsidRPr="00813B47">
        <w:rPr>
          <w:b/>
          <w:i/>
        </w:rPr>
        <w:t xml:space="preserve">The ACM is requested </w:t>
      </w:r>
      <w:r w:rsidR="00813B47" w:rsidRPr="00813B47">
        <w:rPr>
          <w:b/>
          <w:i/>
        </w:rPr>
        <w:t xml:space="preserve">to advise </w:t>
      </w:r>
      <w:r w:rsidRPr="00813B47">
        <w:rPr>
          <w:b/>
          <w:i/>
        </w:rPr>
        <w:t>whether these are adequate particularly with respect to</w:t>
      </w:r>
      <w:r w:rsidR="00813B47" w:rsidRPr="00813B47">
        <w:rPr>
          <w:b/>
          <w:i/>
        </w:rPr>
        <w:t xml:space="preserve"> </w:t>
      </w:r>
      <w:r w:rsidR="00E06CA9" w:rsidRPr="006B33E8">
        <w:rPr>
          <w:b/>
          <w:i/>
        </w:rPr>
        <w:t>d</w:t>
      </w:r>
      <w:r w:rsidRPr="006B33E8">
        <w:rPr>
          <w:b/>
          <w:i/>
        </w:rPr>
        <w:t>rug interactions</w:t>
      </w:r>
      <w:r w:rsidR="00E06CA9" w:rsidRPr="006B33E8">
        <w:rPr>
          <w:b/>
          <w:i/>
        </w:rPr>
        <w:t>;</w:t>
      </w:r>
      <w:r w:rsidR="00813B47" w:rsidRPr="006B33E8">
        <w:rPr>
          <w:b/>
          <w:i/>
        </w:rPr>
        <w:t xml:space="preserve"> the </w:t>
      </w:r>
      <w:r w:rsidR="00E06CA9" w:rsidRPr="006B33E8">
        <w:rPr>
          <w:b/>
          <w:i/>
        </w:rPr>
        <w:t>r</w:t>
      </w:r>
      <w:r w:rsidRPr="006B33E8">
        <w:rPr>
          <w:b/>
          <w:i/>
        </w:rPr>
        <w:t>isk of resistance development</w:t>
      </w:r>
      <w:r w:rsidR="00E06CA9" w:rsidRPr="006B33E8">
        <w:rPr>
          <w:b/>
          <w:i/>
        </w:rPr>
        <w:t xml:space="preserve">; </w:t>
      </w:r>
      <w:proofErr w:type="gramStart"/>
      <w:r w:rsidR="00E06CA9" w:rsidRPr="006B33E8">
        <w:rPr>
          <w:b/>
          <w:i/>
        </w:rPr>
        <w:t>and</w:t>
      </w:r>
      <w:r w:rsidR="00813B47" w:rsidRPr="006B33E8">
        <w:rPr>
          <w:b/>
          <w:i/>
        </w:rPr>
        <w:t>,</w:t>
      </w:r>
      <w:proofErr w:type="gramEnd"/>
      <w:r w:rsidR="00813B47" w:rsidRPr="006B33E8">
        <w:rPr>
          <w:b/>
          <w:i/>
        </w:rPr>
        <w:t xml:space="preserve"> </w:t>
      </w:r>
      <w:r w:rsidR="00E06CA9" w:rsidRPr="006B33E8">
        <w:rPr>
          <w:b/>
          <w:i/>
        </w:rPr>
        <w:t>u</w:t>
      </w:r>
      <w:r w:rsidRPr="006B33E8">
        <w:rPr>
          <w:b/>
          <w:i/>
        </w:rPr>
        <w:t>se in severe renal impairment</w:t>
      </w:r>
      <w:r w:rsidR="00813B47" w:rsidRPr="006B33E8">
        <w:rPr>
          <w:b/>
          <w:i/>
        </w:rPr>
        <w:t>.</w:t>
      </w:r>
    </w:p>
    <w:p w14:paraId="786FE3FE" w14:textId="77777777" w:rsidR="00987828" w:rsidRDefault="00987828" w:rsidP="00987828">
      <w:r>
        <w:t>The ACM advised that the special warnings and precautions included in the draft PI are adequate. The medicine will be prescribed in specialist settings, including with advice from specialist pharmacists.</w:t>
      </w:r>
    </w:p>
    <w:p w14:paraId="778A7351" w14:textId="7D14009C" w:rsidR="00987828" w:rsidRPr="00C2561F" w:rsidRDefault="00987828" w:rsidP="00987828">
      <w:r w:rsidRPr="00C2561F">
        <w:t>The most serious drug interaction</w:t>
      </w:r>
      <w:r>
        <w:t xml:space="preserve"> is likely to be</w:t>
      </w:r>
      <w:r w:rsidRPr="00C2561F">
        <w:t xml:space="preserve"> antagonism of ganciclovir</w:t>
      </w:r>
      <w:r w:rsidR="00813B47">
        <w:t xml:space="preserve"> (and/or it’s prodrug, valganciclovir)</w:t>
      </w:r>
      <w:r>
        <w:t>,</w:t>
      </w:r>
      <w:r w:rsidRPr="00D41D0B">
        <w:t xml:space="preserve"> if </w:t>
      </w:r>
      <w:r w:rsidRPr="00C2561F">
        <w:t xml:space="preserve">clinicians </w:t>
      </w:r>
      <w:r w:rsidRPr="00D41D0B">
        <w:t xml:space="preserve">were to use </w:t>
      </w:r>
      <w:r w:rsidRPr="00C2561F">
        <w:t>combination therapy in difficult cases.</w:t>
      </w:r>
    </w:p>
    <w:p w14:paraId="1576E7EF" w14:textId="77777777" w:rsidR="00987828" w:rsidRPr="00D41D0B" w:rsidRDefault="00987828" w:rsidP="00987828">
      <w:r w:rsidRPr="00C2561F">
        <w:t xml:space="preserve">Development of resistance will be a significant issue with any new antiviral </w:t>
      </w:r>
      <w:r w:rsidRPr="00D41D0B">
        <w:t xml:space="preserve">agent </w:t>
      </w:r>
      <w:r w:rsidRPr="00C2561F">
        <w:t>that is used for extended periods in this patient population, especially where viral latency prevents eradication.</w:t>
      </w:r>
      <w:r w:rsidRPr="00D41D0B">
        <w:t xml:space="preserve"> Resistance testing either before or after use of </w:t>
      </w:r>
      <w:proofErr w:type="spellStart"/>
      <w:r w:rsidRPr="00D41D0B">
        <w:t>maribavir</w:t>
      </w:r>
      <w:proofErr w:type="spellEnd"/>
      <w:r w:rsidRPr="00D41D0B">
        <w:t xml:space="preserve"> is not necessary.</w:t>
      </w:r>
    </w:p>
    <w:p w14:paraId="0DAC78E5" w14:textId="5A9DF475" w:rsidR="00987828" w:rsidRDefault="00987828" w:rsidP="00987828">
      <w:pPr>
        <w:pStyle w:val="Numberbullet0"/>
        <w:spacing w:after="120"/>
        <w:ind w:left="425" w:hanging="425"/>
        <w:rPr>
          <w:b/>
          <w:i/>
        </w:rPr>
      </w:pPr>
      <w:r w:rsidRPr="00C25119">
        <w:rPr>
          <w:b/>
          <w:i/>
        </w:rPr>
        <w:t xml:space="preserve">The ACM is requested </w:t>
      </w:r>
      <w:r w:rsidR="00813B47">
        <w:rPr>
          <w:b/>
          <w:i/>
        </w:rPr>
        <w:t xml:space="preserve">to </w:t>
      </w:r>
      <w:r w:rsidRPr="00C25119">
        <w:rPr>
          <w:b/>
          <w:i/>
        </w:rPr>
        <w:t xml:space="preserve">comment on the significance of lack of survival benefit with </w:t>
      </w:r>
      <w:proofErr w:type="spellStart"/>
      <w:r w:rsidRPr="00C25119">
        <w:rPr>
          <w:b/>
          <w:i/>
        </w:rPr>
        <w:t>maribavir</w:t>
      </w:r>
      <w:proofErr w:type="spellEnd"/>
      <w:r w:rsidRPr="00C25119">
        <w:rPr>
          <w:b/>
          <w:i/>
        </w:rPr>
        <w:t xml:space="preserve"> treatment despite a large treatment difference (&gt;</w:t>
      </w:r>
      <w:r w:rsidR="00F53C23">
        <w:rPr>
          <w:b/>
          <w:i/>
        </w:rPr>
        <w:t xml:space="preserve"> </w:t>
      </w:r>
      <w:r w:rsidRPr="00C25119">
        <w:rPr>
          <w:b/>
          <w:i/>
        </w:rPr>
        <w:t>30%) on plasma viral clearance.</w:t>
      </w:r>
    </w:p>
    <w:p w14:paraId="2CA69E18" w14:textId="77777777" w:rsidR="00987828" w:rsidRPr="000B2C74" w:rsidRDefault="00987828" w:rsidP="00987828">
      <w:r>
        <w:t xml:space="preserve">The ACM advised that </w:t>
      </w:r>
      <w:r w:rsidRPr="00332750">
        <w:t>S</w:t>
      </w:r>
      <w:r>
        <w:t>tudy 303</w:t>
      </w:r>
      <w:r w:rsidRPr="000B2C74">
        <w:t xml:space="preserve"> was not powered to detect a survival benefit</w:t>
      </w:r>
      <w:r>
        <w:t xml:space="preserve"> (i</w:t>
      </w:r>
      <w:r w:rsidRPr="000B2C74">
        <w:t>t was powered to detect a 20</w:t>
      </w:r>
      <w:r w:rsidRPr="00332750">
        <w:t>%</w:t>
      </w:r>
      <w:r w:rsidRPr="000B2C74">
        <w:t xml:space="preserve"> differen</w:t>
      </w:r>
      <w:r w:rsidRPr="00332750">
        <w:t>ce</w:t>
      </w:r>
      <w:r w:rsidRPr="000B2C74">
        <w:t xml:space="preserve"> in viral response</w:t>
      </w:r>
      <w:r>
        <w:t>)</w:t>
      </w:r>
      <w:r w:rsidRPr="000B2C74">
        <w:t>.</w:t>
      </w:r>
    </w:p>
    <w:p w14:paraId="0F0BBB57" w14:textId="3337A11D" w:rsidR="00987828" w:rsidRDefault="00987828" w:rsidP="00987828">
      <w:r>
        <w:t>Individuals with post-transplant CMV infection and disease</w:t>
      </w:r>
      <w:r w:rsidRPr="000B2C74">
        <w:t xml:space="preserve"> ha</w:t>
      </w:r>
      <w:r>
        <w:t>ve</w:t>
      </w:r>
      <w:r w:rsidRPr="000B2C74">
        <w:t xml:space="preserve"> significant morbidity and mortality risks</w:t>
      </w:r>
      <w:r>
        <w:t xml:space="preserve"> prior to </w:t>
      </w:r>
      <w:proofErr w:type="spellStart"/>
      <w:r w:rsidRPr="000B2C74">
        <w:t>maribavir</w:t>
      </w:r>
      <w:proofErr w:type="spellEnd"/>
      <w:r w:rsidRPr="000B2C74">
        <w:t xml:space="preserve"> treatment.</w:t>
      </w:r>
      <w:r>
        <w:t xml:space="preserve"> Mortality rates are similar between </w:t>
      </w:r>
      <w:proofErr w:type="spellStart"/>
      <w:r>
        <w:t>maribavir</w:t>
      </w:r>
      <w:proofErr w:type="spellEnd"/>
      <w:r>
        <w:t xml:space="preserve"> and other antiviral medicines; and the pivotal study did not include a placebo</w:t>
      </w:r>
      <w:r w:rsidR="00F53C23">
        <w:t xml:space="preserve"> </w:t>
      </w:r>
      <w:r>
        <w:t>controlled arm for comparison.</w:t>
      </w:r>
    </w:p>
    <w:p w14:paraId="501EAA0F" w14:textId="77777777" w:rsidR="00987828" w:rsidRPr="00C25119" w:rsidRDefault="00987828" w:rsidP="00987828">
      <w:pPr>
        <w:pStyle w:val="Numberbullet0"/>
        <w:spacing w:after="120"/>
        <w:ind w:left="425" w:hanging="425"/>
        <w:rPr>
          <w:b/>
          <w:i/>
        </w:rPr>
      </w:pPr>
      <w:r w:rsidRPr="00C25119">
        <w:rPr>
          <w:b/>
          <w:i/>
        </w:rPr>
        <w:t>The ACM is also requested to provide any other advice which may be relevant to this submission.</w:t>
      </w:r>
    </w:p>
    <w:p w14:paraId="436ED6CB" w14:textId="77777777" w:rsidR="00987828" w:rsidRDefault="00987828" w:rsidP="00987828">
      <w:r>
        <w:t>The ACM supported an interpretation/clarification of the indication that ‘refractory’ includes ‘</w:t>
      </w:r>
      <w:r w:rsidRPr="00E23014">
        <w:t>intoleran</w:t>
      </w:r>
      <w:r>
        <w:t>t’</w:t>
      </w:r>
      <w:r w:rsidRPr="00E23014">
        <w:t xml:space="preserve"> (</w:t>
      </w:r>
      <w:r>
        <w:t xml:space="preserve">for example, </w:t>
      </w:r>
      <w:r w:rsidRPr="00E23014">
        <w:t xml:space="preserve">ganciclovir haematological toxicity in </w:t>
      </w:r>
      <w:r w:rsidRPr="00D704F5">
        <w:t>haematopoietic stem cell transplant</w:t>
      </w:r>
      <w:r>
        <w:t xml:space="preserve"> patients</w:t>
      </w:r>
      <w:r w:rsidRPr="00E23014">
        <w:t xml:space="preserve"> or </w:t>
      </w:r>
      <w:proofErr w:type="spellStart"/>
      <w:r w:rsidRPr="00E23014">
        <w:t>foscarnet</w:t>
      </w:r>
      <w:proofErr w:type="spellEnd"/>
      <w:r w:rsidRPr="00E23014">
        <w:t xml:space="preserve"> nephrotoxicity in renal transplant</w:t>
      </w:r>
      <w:r>
        <w:t xml:space="preserve"> patients</w:t>
      </w:r>
      <w:r w:rsidRPr="00E23014">
        <w:t>)</w:t>
      </w:r>
      <w:r>
        <w:t xml:space="preserve">. The different toxicity profile of </w:t>
      </w:r>
      <w:proofErr w:type="spellStart"/>
      <w:r>
        <w:t>maribavir</w:t>
      </w:r>
      <w:proofErr w:type="spellEnd"/>
      <w:r>
        <w:t xml:space="preserve"> is one of its benefits.</w:t>
      </w:r>
    </w:p>
    <w:p w14:paraId="61A4F207" w14:textId="03684EBF" w:rsidR="00987828" w:rsidRPr="00987828" w:rsidRDefault="00987828" w:rsidP="00987828">
      <w:pPr>
        <w:autoSpaceDE w:val="0"/>
        <w:autoSpaceDN w:val="0"/>
        <w:adjustRightInd w:val="0"/>
        <w:spacing w:after="0" w:line="240" w:lineRule="auto"/>
      </w:pPr>
      <w:r>
        <w:t xml:space="preserve">The ACM highlighted that </w:t>
      </w:r>
      <w:proofErr w:type="spellStart"/>
      <w:r>
        <w:t>maribavir</w:t>
      </w:r>
      <w:proofErr w:type="spellEnd"/>
      <w:r>
        <w:t xml:space="preserve"> poorly penetrates the blood-retinal barrier and is not expected to cross the blood-brain barrier. </w:t>
      </w:r>
      <w:r w:rsidRPr="00B857C2">
        <w:t>The</w:t>
      </w:r>
      <w:r>
        <w:t xml:space="preserve"> draft PI states that </w:t>
      </w:r>
      <w:proofErr w:type="spellStart"/>
      <w:r>
        <w:t>maribavir</w:t>
      </w:r>
      <w:proofErr w:type="spellEnd"/>
      <w:r w:rsidRPr="00B857C2">
        <w:t xml:space="preserve"> is not expected to be effective in treating</w:t>
      </w:r>
      <w:r>
        <w:t xml:space="preserve"> </w:t>
      </w:r>
      <w:r w:rsidRPr="00B857C2">
        <w:t xml:space="preserve">CMV </w:t>
      </w:r>
      <w:r w:rsidR="00813B47">
        <w:t>central nervous system</w:t>
      </w:r>
      <w:r w:rsidR="00813B47" w:rsidRPr="00B857C2">
        <w:t xml:space="preserve"> </w:t>
      </w:r>
      <w:r w:rsidRPr="00B857C2">
        <w:t>infections (</w:t>
      </w:r>
      <w:r w:rsidR="00F53C23">
        <w:t>fo</w:t>
      </w:r>
      <w:r w:rsidR="00F210FD">
        <w:t>r</w:t>
      </w:r>
      <w:r w:rsidR="00F53C23">
        <w:t xml:space="preserve"> example</w:t>
      </w:r>
      <w:r w:rsidRPr="00B857C2">
        <w:t xml:space="preserve">, </w:t>
      </w:r>
      <w:proofErr w:type="spellStart"/>
      <w:r w:rsidRPr="00B857C2">
        <w:t>meningo</w:t>
      </w:r>
      <w:proofErr w:type="spellEnd"/>
      <w:r w:rsidRPr="00B857C2">
        <w:t>-encephalitis, retinitis).</w:t>
      </w:r>
      <w:r>
        <w:t xml:space="preserve"> The ACM suggested that this should also be highlighted in the clinical trials section of the PI to support appropriate prescribing.</w:t>
      </w:r>
    </w:p>
    <w:p w14:paraId="5291EA2A" w14:textId="77777777" w:rsidR="00C22214" w:rsidRPr="00F73346" w:rsidRDefault="00C22214" w:rsidP="00C22214">
      <w:pPr>
        <w:pStyle w:val="Heading5"/>
      </w:pPr>
      <w:r w:rsidRPr="00F73346">
        <w:t>Conclusion</w:t>
      </w:r>
    </w:p>
    <w:p w14:paraId="64D83057" w14:textId="77777777" w:rsidR="00987828" w:rsidRDefault="00987828" w:rsidP="00987828">
      <w:r w:rsidRPr="007E73DB">
        <w:t xml:space="preserve">The </w:t>
      </w:r>
      <w:r w:rsidRPr="00C12AE4">
        <w:t xml:space="preserve">ACM considered this product to have an </w:t>
      </w:r>
      <w:r w:rsidRPr="001E4AEE">
        <w:t>overall positive</w:t>
      </w:r>
      <w:r w:rsidRPr="00C12AE4">
        <w:t xml:space="preserve"> benefit-risk profile</w:t>
      </w:r>
      <w:r>
        <w:t xml:space="preserve"> for the indication:</w:t>
      </w:r>
    </w:p>
    <w:p w14:paraId="5D82BEBE" w14:textId="7922A947" w:rsidR="00987828" w:rsidRPr="00987828" w:rsidRDefault="00987828" w:rsidP="00987828">
      <w:pPr>
        <w:ind w:left="720"/>
        <w:rPr>
          <w:b/>
          <w:i/>
          <w:iCs/>
        </w:rPr>
      </w:pPr>
      <w:r w:rsidRPr="00A23695">
        <w:rPr>
          <w:i/>
          <w:iCs/>
        </w:rPr>
        <w:t>Treatment of adults with post-transplant cytomegalovirus (CMV) infection and disease resistant or refractory to one or more prior therapies.</w:t>
      </w:r>
    </w:p>
    <w:p w14:paraId="307F236C" w14:textId="77777777" w:rsidR="00C22214" w:rsidRPr="002E238E" w:rsidRDefault="00C22214" w:rsidP="00C22214">
      <w:pPr>
        <w:pStyle w:val="Heading2"/>
      </w:pPr>
      <w:bookmarkStart w:id="118" w:name="_Toc103679300"/>
      <w:bookmarkStart w:id="119" w:name="_Toc135918991"/>
      <w:r>
        <w:lastRenderedPageBreak/>
        <w:t>Outcome</w:t>
      </w:r>
      <w:bookmarkEnd w:id="116"/>
      <w:bookmarkEnd w:id="117"/>
      <w:bookmarkEnd w:id="118"/>
      <w:bookmarkEnd w:id="119"/>
    </w:p>
    <w:p w14:paraId="4EF22939" w14:textId="0AA0D5D2" w:rsidR="00C22214" w:rsidRDefault="00C22214" w:rsidP="00C22214">
      <w:pPr>
        <w:spacing w:after="480"/>
        <w:rPr>
          <w:szCs w:val="22"/>
        </w:rPr>
      </w:pPr>
      <w:r w:rsidRPr="00BD5DBD">
        <w:rPr>
          <w:szCs w:val="22"/>
        </w:rPr>
        <w:t xml:space="preserve">Based on a review of quality, safety, and efficacy, the TGA approved the registration of </w:t>
      </w:r>
      <w:proofErr w:type="spellStart"/>
      <w:r w:rsidR="00987828">
        <w:rPr>
          <w:szCs w:val="22"/>
        </w:rPr>
        <w:t>Livtencity</w:t>
      </w:r>
      <w:proofErr w:type="spellEnd"/>
      <w:r w:rsidR="00987828" w:rsidRPr="00BD5DBD">
        <w:rPr>
          <w:szCs w:val="22"/>
        </w:rPr>
        <w:t xml:space="preserve"> (</w:t>
      </w:r>
      <w:proofErr w:type="spellStart"/>
      <w:r w:rsidR="00987828">
        <w:t>maribavir</w:t>
      </w:r>
      <w:proofErr w:type="spellEnd"/>
      <w:r w:rsidR="00987828" w:rsidRPr="00BD5DBD">
        <w:rPr>
          <w:szCs w:val="22"/>
        </w:rPr>
        <w:t xml:space="preserve">) </w:t>
      </w:r>
      <w:r w:rsidR="00987828">
        <w:rPr>
          <w:szCs w:val="22"/>
        </w:rPr>
        <w:t>200 mg</w:t>
      </w:r>
      <w:r w:rsidR="00987828" w:rsidRPr="00BD5DBD">
        <w:rPr>
          <w:szCs w:val="22"/>
        </w:rPr>
        <w:t xml:space="preserve">, </w:t>
      </w:r>
      <w:r w:rsidR="00987828">
        <w:rPr>
          <w:szCs w:val="22"/>
        </w:rPr>
        <w:t>film coated tablet</w:t>
      </w:r>
      <w:r w:rsidR="00987828" w:rsidRPr="00BD5DBD">
        <w:rPr>
          <w:szCs w:val="22"/>
        </w:rPr>
        <w:t xml:space="preserve">, </w:t>
      </w:r>
      <w:r w:rsidR="00987828">
        <w:rPr>
          <w:szCs w:val="22"/>
        </w:rPr>
        <w:t>bottle</w:t>
      </w:r>
      <w:r w:rsidRPr="00BD5DBD">
        <w:rPr>
          <w:szCs w:val="22"/>
        </w:rPr>
        <w:t>, indicated for</w:t>
      </w:r>
      <w:r w:rsidR="00987828">
        <w:rPr>
          <w:szCs w:val="22"/>
        </w:rPr>
        <w:t>:</w:t>
      </w:r>
    </w:p>
    <w:p w14:paraId="573798D4" w14:textId="6B6D386C" w:rsidR="00987828" w:rsidRPr="00987828" w:rsidRDefault="00987828" w:rsidP="00987828">
      <w:pPr>
        <w:spacing w:after="480"/>
        <w:ind w:left="720"/>
        <w:rPr>
          <w:i/>
          <w:iCs/>
          <w:szCs w:val="22"/>
        </w:rPr>
      </w:pPr>
      <w:r w:rsidRPr="00987828">
        <w:rPr>
          <w:i/>
          <w:iCs/>
          <w:szCs w:val="22"/>
        </w:rPr>
        <w:t>Treatment of adults with post-transplant cytomegalovirus (CMV) infection and disease resistant, refractory or intolerant to one or more prior therapies (see 4.3 C</w:t>
      </w:r>
      <w:r>
        <w:rPr>
          <w:i/>
          <w:iCs/>
          <w:szCs w:val="22"/>
        </w:rPr>
        <w:t xml:space="preserve">ontraindications </w:t>
      </w:r>
      <w:r w:rsidRPr="00987828">
        <w:rPr>
          <w:i/>
          <w:iCs/>
          <w:szCs w:val="22"/>
        </w:rPr>
        <w:t>and, 4.4 S</w:t>
      </w:r>
      <w:r>
        <w:rPr>
          <w:i/>
          <w:iCs/>
          <w:szCs w:val="22"/>
        </w:rPr>
        <w:t>pecial warnings and precautions for use</w:t>
      </w:r>
      <w:r w:rsidRPr="00987828">
        <w:rPr>
          <w:i/>
          <w:iCs/>
          <w:szCs w:val="22"/>
        </w:rPr>
        <w:t>).</w:t>
      </w:r>
    </w:p>
    <w:p w14:paraId="451DC3FC" w14:textId="77777777" w:rsidR="00C22214" w:rsidRDefault="00C22214" w:rsidP="00C22214">
      <w:pPr>
        <w:pStyle w:val="Heading2"/>
      </w:pPr>
      <w:bookmarkStart w:id="120" w:name="_Toc103679303"/>
      <w:bookmarkStart w:id="121" w:name="_Toc135918992"/>
      <w:r>
        <w:t>Attachment 1. Product Information</w:t>
      </w:r>
      <w:bookmarkEnd w:id="120"/>
      <w:bookmarkEnd w:id="121"/>
    </w:p>
    <w:p w14:paraId="21F47164" w14:textId="293DA8C6" w:rsidR="00C22214" w:rsidRPr="00BD5DBD" w:rsidRDefault="00C22214" w:rsidP="00C22214">
      <w:pPr>
        <w:rPr>
          <w:szCs w:val="22"/>
        </w:rPr>
      </w:pPr>
      <w:r w:rsidRPr="00BD5DBD">
        <w:rPr>
          <w:szCs w:val="22"/>
        </w:rPr>
        <w:t>The PI for</w:t>
      </w:r>
      <w:r w:rsidR="00987828">
        <w:rPr>
          <w:szCs w:val="22"/>
        </w:rPr>
        <w:t xml:space="preserve"> </w:t>
      </w:r>
      <w:proofErr w:type="spellStart"/>
      <w:r w:rsidR="00987828">
        <w:rPr>
          <w:szCs w:val="22"/>
        </w:rPr>
        <w:t>Livtencity</w:t>
      </w:r>
      <w:proofErr w:type="spellEnd"/>
      <w:r w:rsidR="00987828">
        <w:rPr>
          <w:szCs w:val="22"/>
        </w:rPr>
        <w:t xml:space="preserve"> </w:t>
      </w:r>
      <w:r w:rsidRPr="00BD5DBD">
        <w:rPr>
          <w:szCs w:val="22"/>
        </w:rPr>
        <w:t xml:space="preserve">approved with the submission which is described in this AusPAR is at Attachment 1. For the most recent PI, please refer to the TGA </w:t>
      </w:r>
      <w:hyperlink r:id="rId58" w:history="1">
        <w:r w:rsidRPr="00BD5DBD">
          <w:rPr>
            <w:rStyle w:val="Hyperlink"/>
            <w:szCs w:val="22"/>
          </w:rPr>
          <w:t>PI/CMI search facility.</w:t>
        </w:r>
      </w:hyperlink>
      <w:r w:rsidRPr="00BD5DBD">
        <w:rPr>
          <w:szCs w:val="22"/>
        </w:rPr>
        <w:t xml:space="preserve"> </w:t>
      </w:r>
    </w:p>
    <w:p w14:paraId="40740B65" w14:textId="77777777" w:rsidR="00C22214" w:rsidRPr="008B4DA3" w:rsidRDefault="00C22214" w:rsidP="00C22214">
      <w:pPr>
        <w:autoSpaceDE w:val="0"/>
        <w:autoSpaceDN w:val="0"/>
        <w:adjustRightInd w:val="0"/>
        <w:spacing w:after="0"/>
      </w:pPr>
      <w:r w:rsidRPr="00C80137">
        <w:rPr>
          <w:b/>
        </w:rPr>
        <w:br w:type="page"/>
      </w:r>
    </w:p>
    <w:p w14:paraId="53357BF3" w14:textId="276457B5" w:rsidR="00C22214" w:rsidRDefault="00C22214" w:rsidP="00C22214">
      <w:pPr>
        <w:rPr>
          <w:lang w:eastAsia="ja-JP"/>
        </w:rPr>
        <w:sectPr w:rsidR="00C22214" w:rsidSect="007452E8">
          <w:headerReference w:type="default" r:id="rId59"/>
          <w:footerReference w:type="default" r:id="rId60"/>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3"/>
          <w:bookmarkEnd w:id="4"/>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7A9E07C8" w:rsidR="00F02AEC" w:rsidRDefault="00F02AEC">
            <w:pPr>
              <w:pStyle w:val="Address"/>
              <w:jc w:val="center"/>
              <w:rPr>
                <w:sz w:val="22"/>
                <w:szCs w:val="22"/>
              </w:rPr>
            </w:pPr>
            <w:r w:rsidRPr="00215D48">
              <w:t xml:space="preserve">Email: </w:t>
            </w:r>
            <w:hyperlink r:id="rId61"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B9D8463" w:rsidR="00F02AEC" w:rsidRPr="00215D48" w:rsidRDefault="00124E8E">
            <w:pPr>
              <w:pStyle w:val="Address"/>
              <w:jc w:val="center"/>
              <w:rPr>
                <w:rStyle w:val="Hyperlink"/>
                <w:b/>
                <w:color w:val="auto"/>
                <w:sz w:val="22"/>
              </w:rPr>
            </w:pPr>
            <w:hyperlink r:id="rId62"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63"/>
      <w:footerReference w:type="first" r:id="rId64"/>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A0798" w14:textId="77777777" w:rsidR="00B24F8E" w:rsidRDefault="00B24F8E" w:rsidP="00F02AEC">
      <w:pPr>
        <w:spacing w:after="0" w:line="240" w:lineRule="auto"/>
      </w:pPr>
      <w:r>
        <w:separator/>
      </w:r>
    </w:p>
  </w:endnote>
  <w:endnote w:type="continuationSeparator" w:id="0">
    <w:p w14:paraId="139FE8DB" w14:textId="77777777" w:rsidR="00B24F8E" w:rsidRDefault="00B24F8E"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BC038F" w:rsidRPr="00257138" w14:paraId="162D69C2" w14:textId="77777777" w:rsidTr="007452E8">
      <w:trPr>
        <w:trHeight w:val="423"/>
      </w:trPr>
      <w:tc>
        <w:tcPr>
          <w:tcW w:w="4360" w:type="dxa"/>
          <w:tcBorders>
            <w:top w:val="single" w:sz="4" w:space="0" w:color="auto"/>
          </w:tcBorders>
        </w:tcPr>
        <w:p w14:paraId="32E1B782" w14:textId="77777777" w:rsidR="00BC038F" w:rsidRDefault="00BC038F" w:rsidP="007452E8">
          <w:pPr>
            <w:pStyle w:val="Footer"/>
          </w:pPr>
        </w:p>
        <w:p w14:paraId="1849C07C" w14:textId="77777777" w:rsidR="00BC038F" w:rsidRPr="00257138" w:rsidRDefault="00BC038F"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BC038F" w:rsidRDefault="00BC038F" w:rsidP="007452E8">
              <w:pPr>
                <w:pStyle w:val="Footer"/>
                <w:jc w:val="right"/>
              </w:pPr>
            </w:p>
            <w:p w14:paraId="5EDE6DF6" w14:textId="77777777" w:rsidR="00BC038F" w:rsidRPr="00257138" w:rsidRDefault="00BC038F"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B24F8E">
                <w:fldChar w:fldCharType="begin"/>
              </w:r>
              <w:r w:rsidR="00B24F8E">
                <w:instrText xml:space="preserve"> NUMPAGES  </w:instrText>
              </w:r>
              <w:r w:rsidR="00B24F8E">
                <w:fldChar w:fldCharType="separate"/>
              </w:r>
              <w:r>
                <w:rPr>
                  <w:noProof/>
                </w:rPr>
                <w:t>2</w:t>
              </w:r>
              <w:r w:rsidR="00B24F8E">
                <w:rPr>
                  <w:noProof/>
                </w:rPr>
                <w:fldChar w:fldCharType="end"/>
              </w:r>
            </w:p>
          </w:sdtContent>
        </w:sdt>
      </w:tc>
    </w:tr>
    <w:tr w:rsidR="00BC038F" w:rsidRPr="00257138" w14:paraId="280F09C8" w14:textId="77777777" w:rsidTr="007452E8">
      <w:trPr>
        <w:trHeight w:val="263"/>
      </w:trPr>
      <w:tc>
        <w:tcPr>
          <w:tcW w:w="4360" w:type="dxa"/>
        </w:tcPr>
        <w:p w14:paraId="673F06D3" w14:textId="77777777" w:rsidR="00BC038F" w:rsidRPr="00257138" w:rsidRDefault="00BC038F" w:rsidP="007452E8">
          <w:pPr>
            <w:pStyle w:val="Footer"/>
          </w:pPr>
          <w:r w:rsidRPr="00257138">
            <w:t xml:space="preserve">V1.0 </w:t>
          </w:r>
          <w:r>
            <w:t>Month</w:t>
          </w:r>
          <w:r w:rsidRPr="00257138">
            <w:t xml:space="preserve"> 201</w:t>
          </w:r>
          <w:r>
            <w:t>2</w:t>
          </w:r>
        </w:p>
      </w:tc>
      <w:tc>
        <w:tcPr>
          <w:tcW w:w="4360" w:type="dxa"/>
        </w:tcPr>
        <w:p w14:paraId="77F5B433" w14:textId="77777777" w:rsidR="00BC038F" w:rsidRPr="00257138" w:rsidRDefault="00BC038F" w:rsidP="007452E8">
          <w:pPr>
            <w:pStyle w:val="Footer"/>
            <w:jc w:val="right"/>
          </w:pPr>
        </w:p>
      </w:tc>
    </w:tr>
  </w:tbl>
  <w:p w14:paraId="63F6FDDE" w14:textId="77777777" w:rsidR="00BC038F" w:rsidRPr="00826007" w:rsidRDefault="00BC038F"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BC038F" w:rsidRDefault="00BC038F"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BC038F" w:rsidRPr="004A3084" w14:paraId="6266BC33" w14:textId="77777777" w:rsidTr="007452E8">
      <w:trPr>
        <w:trHeight w:val="423"/>
      </w:trPr>
      <w:tc>
        <w:tcPr>
          <w:tcW w:w="7338" w:type="dxa"/>
          <w:tcBorders>
            <w:top w:val="single" w:sz="4" w:space="0" w:color="auto"/>
          </w:tcBorders>
        </w:tcPr>
        <w:p w14:paraId="3C421323" w14:textId="2F482D93" w:rsidR="00BC038F" w:rsidRPr="004A3084" w:rsidRDefault="00BC038F" w:rsidP="007452E8">
          <w:pPr>
            <w:pStyle w:val="Footer"/>
          </w:pPr>
          <w:proofErr w:type="spellStart"/>
          <w:r w:rsidRPr="00487162">
            <w:t>AusPA</w:t>
          </w:r>
          <w:r>
            <w:t>R</w:t>
          </w:r>
          <w:proofErr w:type="spellEnd"/>
          <w:r>
            <w:t xml:space="preserve"> - </w:t>
          </w:r>
          <w:proofErr w:type="spellStart"/>
          <w:r>
            <w:t>Livtencity</w:t>
          </w:r>
          <w:proofErr w:type="spellEnd"/>
          <w:r>
            <w:t xml:space="preserve"> -</w:t>
          </w:r>
          <w:r w:rsidRPr="00460036">
            <w:t xml:space="preserve"> </w:t>
          </w:r>
          <w:proofErr w:type="spellStart"/>
          <w:r>
            <w:t>maribavir</w:t>
          </w:r>
          <w:proofErr w:type="spellEnd"/>
          <w:r w:rsidRPr="00460036">
            <w:t xml:space="preserve"> </w:t>
          </w:r>
          <w:r>
            <w:t>– Takeda Pharmaceuticals Australia Pty Ltd - PM-2021</w:t>
          </w:r>
          <w:r w:rsidRPr="00487162">
            <w:t>-</w:t>
          </w:r>
          <w:r>
            <w:t>05396</w:t>
          </w:r>
          <w:r w:rsidRPr="00487162">
            <w:t>-</w:t>
          </w:r>
          <w:r>
            <w:t>1</w:t>
          </w:r>
          <w:r w:rsidRPr="00487162">
            <w:t>-</w:t>
          </w:r>
          <w:r>
            <w:t>2</w:t>
          </w:r>
          <w:r>
            <w:br/>
          </w:r>
          <w:r w:rsidR="00464A1F">
            <w:t>Final 25 May</w:t>
          </w:r>
          <w:r>
            <w:t xml:space="preserve"> 2023</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10007EE8" w:rsidR="00BC038F" w:rsidRPr="004A3084" w:rsidRDefault="00BC038F" w:rsidP="007452E8">
              <w:pPr>
                <w:pStyle w:val="Footer"/>
                <w:jc w:val="right"/>
              </w:pPr>
              <w:r w:rsidRPr="004A3084">
                <w:t xml:space="preserve">Page </w:t>
              </w:r>
              <w:r>
                <w:fldChar w:fldCharType="begin"/>
              </w:r>
              <w:r>
                <w:instrText xml:space="preserve"> PAGE </w:instrText>
              </w:r>
              <w:r>
                <w:fldChar w:fldCharType="separate"/>
              </w:r>
              <w:r w:rsidR="00866EF4">
                <w:rPr>
                  <w:noProof/>
                </w:rPr>
                <w:t>5</w:t>
              </w:r>
              <w:r>
                <w:rPr>
                  <w:noProof/>
                </w:rPr>
                <w:fldChar w:fldCharType="end"/>
              </w:r>
              <w:r w:rsidRPr="004A3084">
                <w:t xml:space="preserve"> of </w:t>
              </w:r>
              <w:r w:rsidR="00B24F8E">
                <w:fldChar w:fldCharType="begin"/>
              </w:r>
              <w:r w:rsidR="00B24F8E">
                <w:instrText xml:space="preserve"> NUMPAGES  </w:instrText>
              </w:r>
              <w:r w:rsidR="00B24F8E">
                <w:fldChar w:fldCharType="separate"/>
              </w:r>
              <w:r w:rsidR="00866EF4">
                <w:rPr>
                  <w:noProof/>
                </w:rPr>
                <w:t>8</w:t>
              </w:r>
              <w:r w:rsidR="00B24F8E">
                <w:rPr>
                  <w:noProof/>
                </w:rPr>
                <w:fldChar w:fldCharType="end"/>
              </w:r>
            </w:p>
          </w:sdtContent>
        </w:sdt>
      </w:tc>
    </w:tr>
  </w:tbl>
  <w:p w14:paraId="1A4EDE60" w14:textId="77777777" w:rsidR="00BC038F" w:rsidRPr="00826007" w:rsidRDefault="00BC038F"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BC038F" w:rsidRPr="008E3C43" w:rsidRDefault="00BC038F"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4940E" w14:textId="77777777" w:rsidR="00B24F8E" w:rsidRDefault="00B24F8E" w:rsidP="00F02AEC">
      <w:pPr>
        <w:spacing w:after="0" w:line="240" w:lineRule="auto"/>
      </w:pPr>
      <w:r>
        <w:separator/>
      </w:r>
    </w:p>
  </w:footnote>
  <w:footnote w:type="continuationSeparator" w:id="0">
    <w:p w14:paraId="6E5A92DD" w14:textId="77777777" w:rsidR="00B24F8E" w:rsidRDefault="00B24F8E" w:rsidP="00F02AEC">
      <w:pPr>
        <w:spacing w:after="0" w:line="240" w:lineRule="auto"/>
      </w:pPr>
      <w:r>
        <w:continuationSeparator/>
      </w:r>
    </w:p>
  </w:footnote>
  <w:footnote w:id="1">
    <w:p w14:paraId="68402A9B" w14:textId="60286C39" w:rsidR="00BC038F" w:rsidRPr="00A93DC6" w:rsidRDefault="00BC038F">
      <w:pPr>
        <w:pStyle w:val="FootnoteText"/>
        <w:rPr>
          <w:lang w:val="en-GB"/>
        </w:rPr>
      </w:pPr>
      <w:r>
        <w:rPr>
          <w:rStyle w:val="FootnoteReference"/>
        </w:rPr>
        <w:footnoteRef/>
      </w:r>
      <w:r>
        <w:t xml:space="preserve"> This is the original indication proposed by the sponsor</w:t>
      </w:r>
      <w:r>
        <w:rPr>
          <w:lang w:val="en-GB"/>
        </w:rPr>
        <w:t xml:space="preserve"> when the TGA commenced the evaluation of this submission. It </w:t>
      </w:r>
      <w:r w:rsidRPr="007452E8">
        <w:rPr>
          <w:lang w:val="en-GB"/>
        </w:rPr>
        <w:t xml:space="preserve">may </w:t>
      </w:r>
      <w:r>
        <w:rPr>
          <w:lang w:val="en-GB"/>
        </w:rPr>
        <w:t>differ</w:t>
      </w:r>
      <w:r w:rsidRPr="007452E8">
        <w:rPr>
          <w:lang w:val="en-GB"/>
        </w:rPr>
        <w:t xml:space="preserve"> to the final indication approved by th</w:t>
      </w:r>
      <w:r>
        <w:rPr>
          <w:lang w:val="en-GB"/>
        </w:rPr>
        <w:t>e TGA and registered on the Australian Register of Therapeutic Goods.</w:t>
      </w:r>
    </w:p>
  </w:footnote>
  <w:footnote w:id="2">
    <w:p w14:paraId="022B24E8" w14:textId="717FB4E3" w:rsidR="00BC038F" w:rsidRPr="00464A1F" w:rsidRDefault="00BC038F">
      <w:pPr>
        <w:pStyle w:val="FootnoteText"/>
        <w:rPr>
          <w:lang w:val="en-GB"/>
        </w:rPr>
      </w:pPr>
      <w:r>
        <w:rPr>
          <w:rStyle w:val="FootnoteReference"/>
        </w:rPr>
        <w:footnoteRef/>
      </w:r>
      <w:r>
        <w:t xml:space="preserve"> </w:t>
      </w:r>
      <w:proofErr w:type="spellStart"/>
      <w:r w:rsidRPr="0056445E">
        <w:t>Boppana</w:t>
      </w:r>
      <w:proofErr w:type="spellEnd"/>
      <w:r w:rsidRPr="0056445E">
        <w:t xml:space="preserve"> SB, Fowler KB. Persistence in the population: epidemiology and </w:t>
      </w:r>
      <w:proofErr w:type="spellStart"/>
      <w:r w:rsidRPr="0056445E">
        <w:t>transmisson</w:t>
      </w:r>
      <w:proofErr w:type="spellEnd"/>
      <w:r w:rsidRPr="0056445E">
        <w:t xml:space="preserve">. In: Arvin A, </w:t>
      </w:r>
      <w:proofErr w:type="spellStart"/>
      <w:r w:rsidRPr="0056445E">
        <w:t>Campadelli</w:t>
      </w:r>
      <w:proofErr w:type="spellEnd"/>
      <w:r w:rsidRPr="0056445E">
        <w:t xml:space="preserve">-Fiume G, </w:t>
      </w:r>
      <w:proofErr w:type="spellStart"/>
      <w:r w:rsidRPr="0056445E">
        <w:t>Mocarski</w:t>
      </w:r>
      <w:proofErr w:type="spellEnd"/>
      <w:r w:rsidRPr="0056445E">
        <w:t xml:space="preserve"> E, et al., editors. </w:t>
      </w:r>
      <w:r w:rsidRPr="00464A1F">
        <w:rPr>
          <w:i/>
        </w:rPr>
        <w:t xml:space="preserve">Human Herpesviruses: Biology, Therapy, and </w:t>
      </w:r>
      <w:proofErr w:type="spellStart"/>
      <w:r w:rsidRPr="00464A1F">
        <w:rPr>
          <w:i/>
        </w:rPr>
        <w:t>Immunoprophylaxis</w:t>
      </w:r>
      <w:proofErr w:type="spellEnd"/>
      <w:r w:rsidRPr="0056445E">
        <w:t>. Cambridge: Cambridge University Press; 2007. Chapter 44.</w:t>
      </w:r>
    </w:p>
  </w:footnote>
  <w:footnote w:id="3">
    <w:p w14:paraId="220901A8" w14:textId="016B039F" w:rsidR="00BC038F" w:rsidRPr="00464A1F" w:rsidRDefault="00BC038F">
      <w:pPr>
        <w:pStyle w:val="FootnoteText"/>
        <w:rPr>
          <w:lang w:val="en-GB"/>
        </w:rPr>
      </w:pPr>
      <w:r>
        <w:rPr>
          <w:rStyle w:val="FootnoteReference"/>
        </w:rPr>
        <w:footnoteRef/>
      </w:r>
      <w:r>
        <w:t xml:space="preserve"> Takeda Pharmaceuticals U.S.A., Inc</w:t>
      </w:r>
      <w:r w:rsidRPr="005C3892">
        <w:t xml:space="preserve">. </w:t>
      </w:r>
      <w:proofErr w:type="spellStart"/>
      <w:r>
        <w:t>Livtencity</w:t>
      </w:r>
      <w:proofErr w:type="spellEnd"/>
      <w:r>
        <w:t xml:space="preserve"> </w:t>
      </w:r>
      <w:r w:rsidRPr="005C3892">
        <w:t>(</w:t>
      </w:r>
      <w:proofErr w:type="spellStart"/>
      <w:r>
        <w:t>maribavir</w:t>
      </w:r>
      <w:proofErr w:type="spellEnd"/>
      <w:r w:rsidRPr="005C3892">
        <w:t>) [package insert]. U.S. Food and Drug Administration website.</w:t>
      </w:r>
      <w:r>
        <w:t xml:space="preserve"> </w:t>
      </w:r>
      <w:hyperlink r:id="rId1" w:history="1">
        <w:r w:rsidRPr="005B34BD">
          <w:rPr>
            <w:rStyle w:val="Hyperlink"/>
          </w:rPr>
          <w:t>https://www.accessdata.fda.gov/drugsatfda_docs/label/2021/215596lbl.pdf</w:t>
        </w:r>
      </w:hyperlink>
      <w:r>
        <w:t xml:space="preserve"> November 2021</w:t>
      </w:r>
      <w:r w:rsidRPr="005C3892">
        <w:t>. Accessed</w:t>
      </w:r>
      <w:r>
        <w:t>:</w:t>
      </w:r>
      <w:r w:rsidRPr="005C3892">
        <w:t xml:space="preserve"> </w:t>
      </w:r>
      <w:r>
        <w:t>8 May 2023</w:t>
      </w:r>
      <w:r w:rsidRPr="005C3892">
        <w:t>.</w:t>
      </w:r>
    </w:p>
  </w:footnote>
  <w:footnote w:id="4">
    <w:p w14:paraId="5FAA2D2E" w14:textId="093B2FAB" w:rsidR="00BC038F" w:rsidRDefault="00BC038F">
      <w:pPr>
        <w:pStyle w:val="FootnoteText"/>
      </w:pPr>
      <w:r>
        <w:rPr>
          <w:rStyle w:val="FootnoteReference"/>
        </w:rPr>
        <w:footnoteRef/>
      </w:r>
      <w:r>
        <w:t xml:space="preserve"> </w:t>
      </w:r>
      <w:r w:rsidRPr="00C53A1C">
        <w:rPr>
          <w:b/>
        </w:rPr>
        <w:t>Pregnancy category D</w:t>
      </w:r>
      <w:r>
        <w:t xml:space="preserve">: </w:t>
      </w:r>
      <w:r w:rsidRPr="00BD5360">
        <w:t xml:space="preserve">Drugs which have caused, are suspected to have caused or may be expected to cause, an increased incidence of human </w:t>
      </w:r>
      <w:proofErr w:type="spellStart"/>
      <w:r w:rsidRPr="00BD5360">
        <w:t>fetal</w:t>
      </w:r>
      <w:proofErr w:type="spellEnd"/>
      <w:r w:rsidRPr="00BD5360">
        <w:t xml:space="preserve"> malformations or irreversible damage. These drugs may also have adverse pharmacological effects. Accompanying texts should be consulted for further details.</w:t>
      </w:r>
    </w:p>
  </w:footnote>
  <w:footnote w:id="5">
    <w:p w14:paraId="5EC02CCD" w14:textId="05B11112" w:rsidR="00BC038F" w:rsidRDefault="00BC038F">
      <w:pPr>
        <w:pStyle w:val="FootnoteText"/>
      </w:pPr>
      <w:r>
        <w:rPr>
          <w:rStyle w:val="FootnoteReference"/>
        </w:rPr>
        <w:footnoteRef/>
      </w:r>
      <w:r>
        <w:t xml:space="preserve"> </w:t>
      </w:r>
      <w:r w:rsidRPr="00C53A1C">
        <w:rPr>
          <w:b/>
        </w:rPr>
        <w:t>Pregnancy category C</w:t>
      </w:r>
      <w:r>
        <w:t xml:space="preserve">: </w:t>
      </w:r>
      <w:r w:rsidRPr="00BD5360">
        <w:t xml:space="preserve">Drugs which, owing to their pharmacological effects, have </w:t>
      </w:r>
      <w:proofErr w:type="gramStart"/>
      <w:r w:rsidRPr="00BD5360">
        <w:t>caused</w:t>
      </w:r>
      <w:proofErr w:type="gramEnd"/>
      <w:r w:rsidRPr="00BD5360">
        <w:t xml:space="preserve"> or may be suspected of causing, harmful effects on the human </w:t>
      </w:r>
      <w:proofErr w:type="spellStart"/>
      <w:r w:rsidRPr="00BD5360">
        <w:t>fetus</w:t>
      </w:r>
      <w:proofErr w:type="spellEnd"/>
      <w:r w:rsidRPr="00BD5360">
        <w:t xml:space="preserve"> or neonate without causing malformations. These effects may be reversible. Accompanying texts should be consulted for further details</w:t>
      </w:r>
      <w:r>
        <w:t>.</w:t>
      </w:r>
    </w:p>
  </w:footnote>
  <w:footnote w:id="6">
    <w:p w14:paraId="4D748AF1" w14:textId="351D40CC" w:rsidR="00BC038F" w:rsidRDefault="00BC038F" w:rsidP="004E3AD8">
      <w:pPr>
        <w:pStyle w:val="FootnoteText"/>
      </w:pPr>
      <w:r>
        <w:rPr>
          <w:rStyle w:val="FootnoteReference"/>
        </w:rPr>
        <w:footnoteRef/>
      </w:r>
      <w:r>
        <w:t xml:space="preserve"> </w:t>
      </w:r>
      <w:r w:rsidRPr="00C53A1C">
        <w:rPr>
          <w:b/>
        </w:rPr>
        <w:t>Cytochrome P450</w:t>
      </w:r>
      <w:r>
        <w:t xml:space="preserve"> (</w:t>
      </w:r>
      <w:r w:rsidRPr="00C53A1C">
        <w:rPr>
          <w:b/>
        </w:rPr>
        <w:t>CYP</w:t>
      </w:r>
      <w:r>
        <w:t xml:space="preserve">) enzymes are the major enzymes involved in drug metabolism, accounting for large part of the total metabolism. Most drugs undergo deactivation by CYPs, either directly or by facilitated excretion from the body. Also, many substances are bioactivated by CYPs to form their active compounds. Many drugs may increase or decrease the activity of various CYP isozymes either by inducing the biosynthesis of an isozyme (enzyme induction) or by directly inhibiting the activity of the CYP (enzyme inhibition). This is a major source of adverse drug </w:t>
      </w:r>
      <w:proofErr w:type="gramStart"/>
      <w:r>
        <w:t>interactions, since</w:t>
      </w:r>
      <w:proofErr w:type="gramEnd"/>
      <w:r>
        <w:t xml:space="preserve"> changes in CYP enzyme activity may affect the metabolism and clearance of various drugs. Such drug interactions are especially important to </w:t>
      </w:r>
      <w:proofErr w:type="gramStart"/>
      <w:r>
        <w:t>take into account</w:t>
      </w:r>
      <w:proofErr w:type="gramEnd"/>
      <w:r>
        <w:t xml:space="preserve"> when using drugs of vital importance to the patient, drugs with important side-effects and drugs with small therapeutic windows, but any drug may be subject to an altered plasma concentration due to altered drug metabolism.</w:t>
      </w:r>
    </w:p>
  </w:footnote>
  <w:footnote w:id="7">
    <w:p w14:paraId="360DC791" w14:textId="43FCD628" w:rsidR="00BC038F" w:rsidRPr="00C53A1C" w:rsidRDefault="00BC038F">
      <w:pPr>
        <w:pStyle w:val="FootnoteText"/>
        <w:rPr>
          <w:lang w:val="en-GB"/>
        </w:rPr>
      </w:pPr>
      <w:r>
        <w:rPr>
          <w:rStyle w:val="FootnoteReference"/>
        </w:rPr>
        <w:footnoteRef/>
      </w:r>
      <w:r>
        <w:t xml:space="preserve"> The </w:t>
      </w:r>
      <w:r w:rsidRPr="00C53A1C">
        <w:rPr>
          <w:b/>
        </w:rPr>
        <w:t xml:space="preserve">QT interval </w:t>
      </w:r>
      <w:r>
        <w:t>is the time from the start of the QRS wave complex to the end of the corresponding T wave. It approximates to the time taken for ventricular depolarisation and repolarisation</w:t>
      </w:r>
      <w:proofErr w:type="gramStart"/>
      <w:r>
        <w:t>, that is to say, the</w:t>
      </w:r>
      <w:proofErr w:type="gramEnd"/>
      <w:r>
        <w:t xml:space="preserve"> period of ventricular systole from ventricular isovolumetric contraction to isovolumetric relaxation.</w:t>
      </w:r>
    </w:p>
  </w:footnote>
  <w:footnote w:id="8">
    <w:p w14:paraId="67314C40" w14:textId="6CAC0150" w:rsidR="00BC038F" w:rsidRPr="00C53A1C" w:rsidRDefault="00BC038F">
      <w:pPr>
        <w:pStyle w:val="FootnoteText"/>
        <w:rPr>
          <w:lang w:val="en-GB"/>
        </w:rPr>
      </w:pPr>
      <w:r>
        <w:rPr>
          <w:rStyle w:val="FootnoteReference"/>
        </w:rPr>
        <w:footnoteRef/>
      </w:r>
      <w:r>
        <w:t xml:space="preserve"> Study </w:t>
      </w:r>
      <w:r w:rsidRPr="00230EF3">
        <w:t>SHP620</w:t>
      </w:r>
      <w:r>
        <w:t xml:space="preserve">-303: </w:t>
      </w:r>
      <w:r w:rsidRPr="00230EF3">
        <w:t xml:space="preserve">A Phase 3, </w:t>
      </w:r>
      <w:proofErr w:type="spellStart"/>
      <w:r w:rsidRPr="00230EF3">
        <w:t>Multicenter</w:t>
      </w:r>
      <w:proofErr w:type="spellEnd"/>
      <w:r w:rsidRPr="00230EF3">
        <w:t xml:space="preserve">, Randomized, Open-label, Active-controlled Study to Assess the Efficacy and Safety of </w:t>
      </w:r>
      <w:proofErr w:type="spellStart"/>
      <w:r w:rsidRPr="00230EF3">
        <w:t>Maribavir</w:t>
      </w:r>
      <w:proofErr w:type="spellEnd"/>
      <w:r w:rsidRPr="00230EF3">
        <w:t xml:space="preserve"> Treatment Compared to Investigator-assigned Treatment in Transplant Recipients </w:t>
      </w:r>
      <w:proofErr w:type="gramStart"/>
      <w:r w:rsidRPr="00230EF3">
        <w:t>With</w:t>
      </w:r>
      <w:proofErr w:type="gramEnd"/>
      <w:r w:rsidRPr="00230EF3">
        <w:t xml:space="preserve"> Cytomegalovirus (CMV) Infections That Are Refractory or Resistant to Treatment With Ganciclovir, Valganciclovir, </w:t>
      </w:r>
      <w:proofErr w:type="spellStart"/>
      <w:r w:rsidRPr="00230EF3">
        <w:t>Foscarnet</w:t>
      </w:r>
      <w:proofErr w:type="spellEnd"/>
      <w:r w:rsidRPr="00230EF3">
        <w:t>, or Cidofovir</w:t>
      </w:r>
      <w:r>
        <w:t xml:space="preserve">. </w:t>
      </w:r>
      <w:r w:rsidRPr="00230EF3">
        <w:t>ClinicalTrials.gov Identifier: NCT02931539</w:t>
      </w:r>
    </w:p>
  </w:footnote>
  <w:footnote w:id="9">
    <w:p w14:paraId="51BD7D31" w14:textId="191B2BDF" w:rsidR="00BC038F" w:rsidRPr="00C53A1C" w:rsidRDefault="00BC038F">
      <w:pPr>
        <w:pStyle w:val="FootnoteText"/>
        <w:rPr>
          <w:lang w:val="en-GB"/>
        </w:rPr>
      </w:pPr>
      <w:r>
        <w:rPr>
          <w:rStyle w:val="FootnoteReference"/>
        </w:rPr>
        <w:footnoteRef/>
      </w:r>
      <w:r>
        <w:t xml:space="preserve"> </w:t>
      </w:r>
      <w:r w:rsidRPr="00230EF3">
        <w:t xml:space="preserve">Avery RK, Alain S, Alexander BD, et al. </w:t>
      </w:r>
      <w:proofErr w:type="spellStart"/>
      <w:r w:rsidRPr="00230EF3">
        <w:t>Maribavir</w:t>
      </w:r>
      <w:proofErr w:type="spellEnd"/>
      <w:r w:rsidRPr="00230EF3">
        <w:t xml:space="preserve"> for Refractory Cytomegalovirus Infections </w:t>
      </w:r>
      <w:proofErr w:type="gramStart"/>
      <w:r w:rsidRPr="00230EF3">
        <w:t>With</w:t>
      </w:r>
      <w:proofErr w:type="gramEnd"/>
      <w:r w:rsidRPr="00230EF3">
        <w:t xml:space="preserve"> or Without Resistance Post-Transplant: Results From a Phase 3 Randomized Clinical Trial [published correction appears in Clin Infect Dis. 2023 Feb 8;76(3):560]. </w:t>
      </w:r>
      <w:r w:rsidRPr="00C53A1C">
        <w:rPr>
          <w:i/>
        </w:rPr>
        <w:t>Clin Infect Dis</w:t>
      </w:r>
      <w:r w:rsidRPr="00230EF3">
        <w:t>. 2022;75(4):690-701.</w:t>
      </w:r>
    </w:p>
  </w:footnote>
  <w:footnote w:id="10">
    <w:p w14:paraId="62FFDA02" w14:textId="07E426F8" w:rsidR="00BC038F" w:rsidRPr="00BC038F" w:rsidRDefault="00BC038F" w:rsidP="00BC038F">
      <w:pPr>
        <w:pStyle w:val="FootnoteText"/>
      </w:pPr>
      <w:r>
        <w:rPr>
          <w:rStyle w:val="FootnoteReference"/>
        </w:rPr>
        <w:footnoteRef/>
      </w:r>
      <w:r>
        <w:t xml:space="preserve"> US FDA: Risk assessment and risk mitigation review(s); Application number: 215596Orig1s000. </w:t>
      </w:r>
      <w:proofErr w:type="spellStart"/>
      <w:r>
        <w:t>Center</w:t>
      </w:r>
      <w:proofErr w:type="spellEnd"/>
      <w:r>
        <w:t xml:space="preserve"> For Drug Evaluation </w:t>
      </w:r>
      <w:proofErr w:type="gramStart"/>
      <w:r>
        <w:t>And</w:t>
      </w:r>
      <w:proofErr w:type="gramEnd"/>
      <w:r>
        <w:t xml:space="preserve"> Research. Available from the US</w:t>
      </w:r>
      <w:r w:rsidRPr="005C3892">
        <w:t xml:space="preserve"> </w:t>
      </w:r>
      <w:r>
        <w:t xml:space="preserve">FDA website: </w:t>
      </w:r>
      <w:hyperlink r:id="rId2" w:history="1">
        <w:r w:rsidRPr="005B34BD">
          <w:rPr>
            <w:rStyle w:val="Hyperlink"/>
          </w:rPr>
          <w:t>https://www.accessdata.fda.gov/drugsatfda_docs/nda/2021/215596Orig1s000RiskR.pdf</w:t>
        </w:r>
      </w:hyperlink>
      <w:r>
        <w:br/>
        <w:t>Published: November 2021</w:t>
      </w:r>
      <w:r w:rsidRPr="005C3892">
        <w:t>. Accessed</w:t>
      </w:r>
      <w:r>
        <w:t>:</w:t>
      </w:r>
      <w:r w:rsidRPr="005C3892">
        <w:t xml:space="preserve"> </w:t>
      </w:r>
      <w:r>
        <w:t>8 May 2023</w:t>
      </w:r>
    </w:p>
  </w:footnote>
  <w:footnote w:id="11">
    <w:p w14:paraId="3F59706D" w14:textId="475C29FF" w:rsidR="00BC038F" w:rsidRDefault="00BC038F" w:rsidP="00C75DFC">
      <w:pPr>
        <w:pStyle w:val="FootnoteText"/>
      </w:pPr>
      <w:r>
        <w:rPr>
          <w:rStyle w:val="FootnoteReference"/>
        </w:rPr>
        <w:footnoteRef/>
      </w:r>
      <w:r>
        <w:t xml:space="preserve"> </w:t>
      </w:r>
      <w:r w:rsidRPr="00B803C1">
        <w:t xml:space="preserve">Primary Resistance Set (PRS) was defined as all subjects with at least one known resistance-associated amino acid substitution to </w:t>
      </w:r>
      <w:r w:rsidRPr="009B7B27">
        <w:t>investigator assigned anti-CMV treatment</w:t>
      </w:r>
      <w:r w:rsidRPr="00B803C1">
        <w:t xml:space="preserve"> in pUL97 and/or pUL54 at </w:t>
      </w:r>
      <w:r>
        <w:t>B</w:t>
      </w:r>
      <w:r w:rsidRPr="00B803C1">
        <w:t xml:space="preserve">aseline. Subjects without baseline </w:t>
      </w:r>
      <w:r w:rsidRPr="009B7B27">
        <w:t>investigator assigned anti-CMV treatment</w:t>
      </w:r>
      <w:r w:rsidRPr="00B803C1">
        <w:t xml:space="preserve"> resistance-associated amino acid substitutions were designated non-PRS.</w:t>
      </w:r>
    </w:p>
  </w:footnote>
  <w:footnote w:id="12">
    <w:p w14:paraId="653AEDBF" w14:textId="4B106E87" w:rsidR="00BC038F" w:rsidRDefault="00BC038F" w:rsidP="00C75DFC">
      <w:pPr>
        <w:pStyle w:val="FootnoteText"/>
      </w:pPr>
      <w:r>
        <w:rPr>
          <w:rStyle w:val="FootnoteReference"/>
        </w:rPr>
        <w:footnoteRef/>
      </w:r>
      <w:r>
        <w:t xml:space="preserve"> </w:t>
      </w:r>
      <w:proofErr w:type="spellStart"/>
      <w:r w:rsidRPr="006A12E9">
        <w:t>Maribavir</w:t>
      </w:r>
      <w:proofErr w:type="spellEnd"/>
      <w:r w:rsidRPr="006A12E9">
        <w:t xml:space="preserve"> Resistance Set (MRS) was defined as all subjects with at least one known </w:t>
      </w:r>
      <w:r w:rsidRPr="00B803C1">
        <w:t>resistance-associated amino acid substitution</w:t>
      </w:r>
      <w:r w:rsidRPr="006A12E9">
        <w:t xml:space="preserve"> to </w:t>
      </w:r>
      <w:proofErr w:type="spellStart"/>
      <w:r w:rsidRPr="006A12E9">
        <w:t>maribavir</w:t>
      </w:r>
      <w:proofErr w:type="spellEnd"/>
      <w:r w:rsidRPr="006A12E9">
        <w:t xml:space="preserve"> in pUL97 and/or pUL27 at </w:t>
      </w:r>
      <w:r>
        <w:t>B</w:t>
      </w:r>
      <w:r w:rsidRPr="006A12E9">
        <w:t xml:space="preserve">aseline. Subjects without baseline </w:t>
      </w:r>
      <w:proofErr w:type="spellStart"/>
      <w:r w:rsidRPr="006A12E9">
        <w:t>maribavir</w:t>
      </w:r>
      <w:proofErr w:type="spellEnd"/>
      <w:r>
        <w:t xml:space="preserve"> </w:t>
      </w:r>
      <w:r w:rsidRPr="00B803C1">
        <w:t>resistance-associated amino acid</w:t>
      </w:r>
      <w:r w:rsidRPr="006A12E9">
        <w:t>s are designated non-MRS.</w:t>
      </w:r>
    </w:p>
  </w:footnote>
  <w:footnote w:id="13">
    <w:p w14:paraId="32C487E1" w14:textId="2193AB63" w:rsidR="00BC038F" w:rsidRPr="00DC612E" w:rsidRDefault="00BC038F">
      <w:pPr>
        <w:pStyle w:val="FootnoteText"/>
        <w:rPr>
          <w:szCs w:val="18"/>
        </w:rPr>
      </w:pPr>
      <w:r w:rsidRPr="00DC612E">
        <w:rPr>
          <w:rStyle w:val="FootnoteReference"/>
          <w:szCs w:val="18"/>
        </w:rPr>
        <w:footnoteRef/>
      </w:r>
      <w:r w:rsidRPr="00DC612E">
        <w:rPr>
          <w:szCs w:val="18"/>
        </w:rPr>
        <w:t xml:space="preserve"> </w:t>
      </w:r>
      <w:r w:rsidR="00E06CA9">
        <w:rPr>
          <w:szCs w:val="18"/>
        </w:rPr>
        <w:t xml:space="preserve">Information is available on </w:t>
      </w:r>
      <w:hyperlink r:id="rId3" w:history="1">
        <w:r w:rsidR="00E06CA9" w:rsidRPr="00E06CA9">
          <w:rPr>
            <w:rStyle w:val="Hyperlink"/>
            <w:szCs w:val="18"/>
          </w:rPr>
          <w:t>orphan drug designation</w:t>
        </w:r>
      </w:hyperlink>
      <w:r w:rsidR="00E06CA9">
        <w:rPr>
          <w:szCs w:val="18"/>
        </w:rPr>
        <w:t xml:space="preserve"> in Australia</w:t>
      </w:r>
      <w:r w:rsidR="00281CFF">
        <w:rPr>
          <w:szCs w:val="18"/>
        </w:rPr>
        <w:t xml:space="preserve"> through the TGA website</w:t>
      </w:r>
      <w:r w:rsidR="00E06CA9">
        <w:rPr>
          <w:szCs w:val="18"/>
        </w:rPr>
        <w:t>, including</w:t>
      </w:r>
      <w:r w:rsidR="00281CFF">
        <w:rPr>
          <w:szCs w:val="18"/>
        </w:rPr>
        <w:t xml:space="preserve"> the</w:t>
      </w:r>
      <w:r w:rsidR="00E06CA9">
        <w:rPr>
          <w:szCs w:val="18"/>
        </w:rPr>
        <w:t xml:space="preserve"> e</w:t>
      </w:r>
      <w:r w:rsidRPr="00DC612E">
        <w:rPr>
          <w:szCs w:val="18"/>
        </w:rPr>
        <w:t>ligibility</w:t>
      </w:r>
      <w:r w:rsidR="00281CFF">
        <w:rPr>
          <w:szCs w:val="18"/>
        </w:rPr>
        <w:t xml:space="preserve"> criteria</w:t>
      </w:r>
      <w:r w:rsidR="00E06CA9">
        <w:rPr>
          <w:szCs w:val="18"/>
        </w:rPr>
        <w:t xml:space="preserve"> for such status.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BC038F" w:rsidRPr="00CB0550" w:rsidRDefault="00BC038F"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BC038F" w:rsidRPr="002B29B2" w14:paraId="3E15C3BC" w14:textId="77777777" w:rsidTr="007452E8">
      <w:trPr>
        <w:trHeight w:hRule="exact" w:val="8845"/>
      </w:trPr>
      <w:tc>
        <w:tcPr>
          <w:tcW w:w="11964" w:type="dxa"/>
          <w:vAlign w:val="center"/>
        </w:tcPr>
        <w:p w14:paraId="6FDE4BFB" w14:textId="77777777" w:rsidR="00BC038F" w:rsidRPr="002B29B2" w:rsidRDefault="00124E8E" w:rsidP="007452E8">
          <w:pPr>
            <w:ind w:left="-57"/>
            <w:rPr>
              <w:noProof/>
            </w:rPr>
          </w:pPr>
          <w:sdt>
            <w:sdtPr>
              <w:rPr>
                <w:noProof/>
              </w:rPr>
              <w:id w:val="1926993388"/>
              <w:showingPlcHdr/>
              <w:picture/>
            </w:sdtPr>
            <w:sdtEndPr/>
            <w:sdtContent>
              <w:r w:rsidR="00BC038F"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BC038F" w:rsidRDefault="00BC038F"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BC038F" w:rsidRDefault="00BC038F"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BC038F" w:rsidRPr="00FE501F" w:rsidRDefault="00BC038F"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4" w15:restartNumberingAfterBreak="0">
    <w:nsid w:val="2A3734B2"/>
    <w:multiLevelType w:val="hybridMultilevel"/>
    <w:tmpl w:val="EEF03550"/>
    <w:lvl w:ilvl="0" w:tplc="8E16577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8296614"/>
    <w:multiLevelType w:val="hybridMultilevel"/>
    <w:tmpl w:val="01847F2E"/>
    <w:lvl w:ilvl="0" w:tplc="C4520FA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6"/>
  </w:num>
  <w:num w:numId="5">
    <w:abstractNumId w:val="3"/>
  </w:num>
  <w:num w:numId="6">
    <w:abstractNumId w:val="5"/>
  </w:num>
  <w:num w:numId="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4"/>
  </w:num>
  <w:num w:numId="9">
    <w:abstractNumId w:val="7"/>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22123"/>
    <w:rsid w:val="00024B59"/>
    <w:rsid w:val="00033135"/>
    <w:rsid w:val="0006256C"/>
    <w:rsid w:val="00077844"/>
    <w:rsid w:val="0008522E"/>
    <w:rsid w:val="00087C82"/>
    <w:rsid w:val="00094500"/>
    <w:rsid w:val="00094B81"/>
    <w:rsid w:val="000975AA"/>
    <w:rsid w:val="000A2BCA"/>
    <w:rsid w:val="000A7D6B"/>
    <w:rsid w:val="000D0804"/>
    <w:rsid w:val="000D1C8E"/>
    <w:rsid w:val="000D7172"/>
    <w:rsid w:val="000D7934"/>
    <w:rsid w:val="00101FB1"/>
    <w:rsid w:val="00114D91"/>
    <w:rsid w:val="001221E9"/>
    <w:rsid w:val="0012473C"/>
    <w:rsid w:val="00124E8E"/>
    <w:rsid w:val="0013132F"/>
    <w:rsid w:val="0013528C"/>
    <w:rsid w:val="00156B3B"/>
    <w:rsid w:val="00165D28"/>
    <w:rsid w:val="00175CD8"/>
    <w:rsid w:val="001B00E9"/>
    <w:rsid w:val="001C1C2E"/>
    <w:rsid w:val="001D123C"/>
    <w:rsid w:val="0020369B"/>
    <w:rsid w:val="00220DFD"/>
    <w:rsid w:val="002212DD"/>
    <w:rsid w:val="00226F39"/>
    <w:rsid w:val="00230EF3"/>
    <w:rsid w:val="00241B60"/>
    <w:rsid w:val="002505B3"/>
    <w:rsid w:val="00265045"/>
    <w:rsid w:val="0026529F"/>
    <w:rsid w:val="00281CFF"/>
    <w:rsid w:val="00286039"/>
    <w:rsid w:val="002900B2"/>
    <w:rsid w:val="002A69AD"/>
    <w:rsid w:val="002C5E29"/>
    <w:rsid w:val="002D7127"/>
    <w:rsid w:val="002D7C7A"/>
    <w:rsid w:val="003008D8"/>
    <w:rsid w:val="00303959"/>
    <w:rsid w:val="003045F5"/>
    <w:rsid w:val="00312AC3"/>
    <w:rsid w:val="00314430"/>
    <w:rsid w:val="00320612"/>
    <w:rsid w:val="00324B33"/>
    <w:rsid w:val="00334293"/>
    <w:rsid w:val="00346EC2"/>
    <w:rsid w:val="0035444D"/>
    <w:rsid w:val="00370F6B"/>
    <w:rsid w:val="00395140"/>
    <w:rsid w:val="003977E1"/>
    <w:rsid w:val="003B149C"/>
    <w:rsid w:val="003D071B"/>
    <w:rsid w:val="003D71A1"/>
    <w:rsid w:val="003E03E1"/>
    <w:rsid w:val="003E759E"/>
    <w:rsid w:val="003F5AB0"/>
    <w:rsid w:val="00401564"/>
    <w:rsid w:val="0041688F"/>
    <w:rsid w:val="0042376F"/>
    <w:rsid w:val="00423BED"/>
    <w:rsid w:val="004246B8"/>
    <w:rsid w:val="00433318"/>
    <w:rsid w:val="004451EF"/>
    <w:rsid w:val="00464A1F"/>
    <w:rsid w:val="004751C4"/>
    <w:rsid w:val="0047540D"/>
    <w:rsid w:val="00476128"/>
    <w:rsid w:val="00477C4E"/>
    <w:rsid w:val="00491A55"/>
    <w:rsid w:val="004A0E4B"/>
    <w:rsid w:val="004B3081"/>
    <w:rsid w:val="004C681A"/>
    <w:rsid w:val="004E3AD8"/>
    <w:rsid w:val="004F5E45"/>
    <w:rsid w:val="004F768F"/>
    <w:rsid w:val="00534E84"/>
    <w:rsid w:val="00535DFE"/>
    <w:rsid w:val="00536490"/>
    <w:rsid w:val="00536BA3"/>
    <w:rsid w:val="00540F47"/>
    <w:rsid w:val="00550D40"/>
    <w:rsid w:val="00562F42"/>
    <w:rsid w:val="00564174"/>
    <w:rsid w:val="0056445E"/>
    <w:rsid w:val="0056766D"/>
    <w:rsid w:val="0057482C"/>
    <w:rsid w:val="0058575E"/>
    <w:rsid w:val="0058783C"/>
    <w:rsid w:val="005911AE"/>
    <w:rsid w:val="0059313A"/>
    <w:rsid w:val="00594AED"/>
    <w:rsid w:val="005A3A11"/>
    <w:rsid w:val="005B023F"/>
    <w:rsid w:val="005C3892"/>
    <w:rsid w:val="005D2089"/>
    <w:rsid w:val="005D7514"/>
    <w:rsid w:val="005E1A7B"/>
    <w:rsid w:val="005E4939"/>
    <w:rsid w:val="006277A1"/>
    <w:rsid w:val="006351D9"/>
    <w:rsid w:val="00637130"/>
    <w:rsid w:val="00637F0E"/>
    <w:rsid w:val="00640F92"/>
    <w:rsid w:val="006423F2"/>
    <w:rsid w:val="006668E2"/>
    <w:rsid w:val="00681E40"/>
    <w:rsid w:val="00692CCD"/>
    <w:rsid w:val="006A1F0B"/>
    <w:rsid w:val="006A277A"/>
    <w:rsid w:val="006B33E8"/>
    <w:rsid w:val="006C7164"/>
    <w:rsid w:val="006D6B44"/>
    <w:rsid w:val="007072A1"/>
    <w:rsid w:val="007102E6"/>
    <w:rsid w:val="00710BC5"/>
    <w:rsid w:val="0072003B"/>
    <w:rsid w:val="00725D25"/>
    <w:rsid w:val="00726E06"/>
    <w:rsid w:val="007357B9"/>
    <w:rsid w:val="007452E8"/>
    <w:rsid w:val="00746990"/>
    <w:rsid w:val="00750D70"/>
    <w:rsid w:val="007739F6"/>
    <w:rsid w:val="007752FB"/>
    <w:rsid w:val="00791980"/>
    <w:rsid w:val="00793272"/>
    <w:rsid w:val="007B04DE"/>
    <w:rsid w:val="007B74A0"/>
    <w:rsid w:val="007C57BC"/>
    <w:rsid w:val="007D4138"/>
    <w:rsid w:val="007D63C3"/>
    <w:rsid w:val="007F0A77"/>
    <w:rsid w:val="007F50D3"/>
    <w:rsid w:val="00801C00"/>
    <w:rsid w:val="00813B47"/>
    <w:rsid w:val="008271E9"/>
    <w:rsid w:val="008329DB"/>
    <w:rsid w:val="008361C5"/>
    <w:rsid w:val="0083628F"/>
    <w:rsid w:val="00837AB9"/>
    <w:rsid w:val="00850637"/>
    <w:rsid w:val="00854D98"/>
    <w:rsid w:val="00860B29"/>
    <w:rsid w:val="00866EF4"/>
    <w:rsid w:val="00871680"/>
    <w:rsid w:val="008804CF"/>
    <w:rsid w:val="00887968"/>
    <w:rsid w:val="008964B3"/>
    <w:rsid w:val="008A38A1"/>
    <w:rsid w:val="008B0D48"/>
    <w:rsid w:val="008C114A"/>
    <w:rsid w:val="008C49C6"/>
    <w:rsid w:val="008C754C"/>
    <w:rsid w:val="008D6A54"/>
    <w:rsid w:val="0090605E"/>
    <w:rsid w:val="009108CE"/>
    <w:rsid w:val="00915295"/>
    <w:rsid w:val="00915A9F"/>
    <w:rsid w:val="00920E41"/>
    <w:rsid w:val="00930D01"/>
    <w:rsid w:val="00930D58"/>
    <w:rsid w:val="00932EF5"/>
    <w:rsid w:val="00957596"/>
    <w:rsid w:val="00966EF1"/>
    <w:rsid w:val="00971267"/>
    <w:rsid w:val="0098350E"/>
    <w:rsid w:val="00987828"/>
    <w:rsid w:val="00996FA5"/>
    <w:rsid w:val="009B7B27"/>
    <w:rsid w:val="009D7C95"/>
    <w:rsid w:val="009E6F8C"/>
    <w:rsid w:val="00A01C56"/>
    <w:rsid w:val="00A10974"/>
    <w:rsid w:val="00A15BC4"/>
    <w:rsid w:val="00A27FB1"/>
    <w:rsid w:val="00A358E7"/>
    <w:rsid w:val="00A3774D"/>
    <w:rsid w:val="00A44259"/>
    <w:rsid w:val="00A51A2D"/>
    <w:rsid w:val="00A63D9B"/>
    <w:rsid w:val="00A64D81"/>
    <w:rsid w:val="00A840F8"/>
    <w:rsid w:val="00A922AE"/>
    <w:rsid w:val="00A93DC6"/>
    <w:rsid w:val="00A9519A"/>
    <w:rsid w:val="00AB7CBF"/>
    <w:rsid w:val="00AE1947"/>
    <w:rsid w:val="00AE2DFA"/>
    <w:rsid w:val="00AE7AEF"/>
    <w:rsid w:val="00AF078C"/>
    <w:rsid w:val="00B24F8E"/>
    <w:rsid w:val="00B34D2A"/>
    <w:rsid w:val="00B46BC0"/>
    <w:rsid w:val="00B47CCA"/>
    <w:rsid w:val="00B51F82"/>
    <w:rsid w:val="00B55681"/>
    <w:rsid w:val="00B617FB"/>
    <w:rsid w:val="00B67D9D"/>
    <w:rsid w:val="00B80BA6"/>
    <w:rsid w:val="00B845F4"/>
    <w:rsid w:val="00B95C92"/>
    <w:rsid w:val="00B967FF"/>
    <w:rsid w:val="00BA7F7D"/>
    <w:rsid w:val="00BC038F"/>
    <w:rsid w:val="00BD07DF"/>
    <w:rsid w:val="00BD0BAF"/>
    <w:rsid w:val="00BD5360"/>
    <w:rsid w:val="00BD5DBD"/>
    <w:rsid w:val="00BE6ACF"/>
    <w:rsid w:val="00BF4638"/>
    <w:rsid w:val="00C07551"/>
    <w:rsid w:val="00C22214"/>
    <w:rsid w:val="00C3280B"/>
    <w:rsid w:val="00C407AB"/>
    <w:rsid w:val="00C40A4B"/>
    <w:rsid w:val="00C42868"/>
    <w:rsid w:val="00C45A7F"/>
    <w:rsid w:val="00C519C1"/>
    <w:rsid w:val="00C53744"/>
    <w:rsid w:val="00C53A1C"/>
    <w:rsid w:val="00C53A60"/>
    <w:rsid w:val="00C570FF"/>
    <w:rsid w:val="00C6574E"/>
    <w:rsid w:val="00C75DFC"/>
    <w:rsid w:val="00C816C6"/>
    <w:rsid w:val="00CB0550"/>
    <w:rsid w:val="00CC2E64"/>
    <w:rsid w:val="00CD5B93"/>
    <w:rsid w:val="00D011E5"/>
    <w:rsid w:val="00D01DDB"/>
    <w:rsid w:val="00D03391"/>
    <w:rsid w:val="00D03DF2"/>
    <w:rsid w:val="00D078BE"/>
    <w:rsid w:val="00D13F8A"/>
    <w:rsid w:val="00D62877"/>
    <w:rsid w:val="00D63760"/>
    <w:rsid w:val="00D64A48"/>
    <w:rsid w:val="00D7562C"/>
    <w:rsid w:val="00D918D5"/>
    <w:rsid w:val="00D94C8E"/>
    <w:rsid w:val="00D97793"/>
    <w:rsid w:val="00DA0466"/>
    <w:rsid w:val="00DB192C"/>
    <w:rsid w:val="00DB1CF3"/>
    <w:rsid w:val="00DB4467"/>
    <w:rsid w:val="00DD56E2"/>
    <w:rsid w:val="00DF3B1C"/>
    <w:rsid w:val="00DF5BFE"/>
    <w:rsid w:val="00E06CA9"/>
    <w:rsid w:val="00E2403A"/>
    <w:rsid w:val="00E47E0C"/>
    <w:rsid w:val="00E51813"/>
    <w:rsid w:val="00E53D3F"/>
    <w:rsid w:val="00E5579B"/>
    <w:rsid w:val="00E55AD5"/>
    <w:rsid w:val="00E62AE7"/>
    <w:rsid w:val="00E70F60"/>
    <w:rsid w:val="00E71EEC"/>
    <w:rsid w:val="00E97EA6"/>
    <w:rsid w:val="00EA73C9"/>
    <w:rsid w:val="00EB2136"/>
    <w:rsid w:val="00EB3C5C"/>
    <w:rsid w:val="00EF51EA"/>
    <w:rsid w:val="00F02AEC"/>
    <w:rsid w:val="00F157FC"/>
    <w:rsid w:val="00F210FD"/>
    <w:rsid w:val="00F27609"/>
    <w:rsid w:val="00F30AF3"/>
    <w:rsid w:val="00F53C23"/>
    <w:rsid w:val="00F65591"/>
    <w:rsid w:val="00F657B4"/>
    <w:rsid w:val="00F8145F"/>
    <w:rsid w:val="00F82F90"/>
    <w:rsid w:val="00F82FF4"/>
    <w:rsid w:val="00F865A7"/>
    <w:rsid w:val="00FA0754"/>
    <w:rsid w:val="00FA1BC9"/>
    <w:rsid w:val="00FA49C3"/>
    <w:rsid w:val="00FA7878"/>
    <w:rsid w:val="00FB236E"/>
    <w:rsid w:val="00FB329C"/>
    <w:rsid w:val="00FC621C"/>
    <w:rsid w:val="00FC6F56"/>
    <w:rsid w:val="00FD7B03"/>
    <w:rsid w:val="00FE08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FA7878"/>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customStyle="1" w:styleId="UnresolvedMention1">
    <w:name w:val="Unresolved Mention1"/>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character" w:customStyle="1" w:styleId="Heading7Char">
    <w:name w:val="Heading 7 Char"/>
    <w:basedOn w:val="DefaultParagraphFont"/>
    <w:link w:val="Heading7"/>
    <w:uiPriority w:val="9"/>
    <w:rsid w:val="00FA7878"/>
    <w:rPr>
      <w:rFonts w:asciiTheme="majorHAnsi" w:eastAsiaTheme="majorEastAsia" w:hAnsiTheme="majorHAnsi" w:cstheme="majorBidi"/>
      <w:i/>
      <w:iCs/>
      <w:color w:val="1F3763" w:themeColor="accent1" w:themeShade="7F"/>
      <w:sz w:val="22"/>
    </w:rPr>
  </w:style>
  <w:style w:type="paragraph" w:customStyle="1" w:styleId="Tabletext0">
    <w:name w:val="Table text"/>
    <w:basedOn w:val="Normal"/>
    <w:link w:val="TabletextChar"/>
    <w:qFormat/>
    <w:rsid w:val="00C75DFC"/>
    <w:pPr>
      <w:spacing w:before="20" w:after="20" w:line="252" w:lineRule="auto"/>
    </w:pPr>
    <w:rPr>
      <w:rFonts w:eastAsia="Times New Roman" w:cs="Times New Roman"/>
      <w:snapToGrid w:val="0"/>
      <w:kern w:val="16"/>
      <w:sz w:val="20"/>
      <w:szCs w:val="24"/>
    </w:rPr>
  </w:style>
  <w:style w:type="character" w:customStyle="1" w:styleId="TabletextChar">
    <w:name w:val="Table text Char"/>
    <w:basedOn w:val="DefaultParagraphFont"/>
    <w:link w:val="Tabletext0"/>
    <w:rsid w:val="00C75DFC"/>
    <w:rPr>
      <w:rFonts w:ascii="Cambria" w:eastAsia="Times New Roman" w:hAnsi="Cambria" w:cs="Times New Roman"/>
      <w:snapToGrid w:val="0"/>
      <w:kern w:val="16"/>
      <w:szCs w:val="24"/>
    </w:rPr>
  </w:style>
  <w:style w:type="paragraph" w:customStyle="1" w:styleId="Default">
    <w:name w:val="Default"/>
    <w:rsid w:val="00F65591"/>
    <w:pPr>
      <w:autoSpaceDE w:val="0"/>
      <w:autoSpaceDN w:val="0"/>
      <w:adjustRightInd w:val="0"/>
      <w:spacing w:after="0" w:line="240" w:lineRule="auto"/>
    </w:pPr>
    <w:rPr>
      <w:rFonts w:ascii="Cambria" w:hAnsi="Cambria" w:cs="Cambria"/>
      <w:color w:val="000000"/>
      <w:sz w:val="24"/>
      <w:szCs w:val="24"/>
      <w:lang w:val="en-US"/>
    </w:rPr>
  </w:style>
  <w:style w:type="paragraph" w:styleId="ListParagraph">
    <w:name w:val="List Paragraph"/>
    <w:basedOn w:val="Normal"/>
    <w:uiPriority w:val="34"/>
    <w:qFormat/>
    <w:rsid w:val="00E06C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354232">
      <w:bodyDiv w:val="1"/>
      <w:marLeft w:val="0"/>
      <w:marRight w:val="0"/>
      <w:marTop w:val="0"/>
      <w:marBottom w:val="0"/>
      <w:divBdr>
        <w:top w:val="none" w:sz="0" w:space="0" w:color="auto"/>
        <w:left w:val="none" w:sz="0" w:space="0" w:color="auto"/>
        <w:bottom w:val="none" w:sz="0" w:space="0" w:color="auto"/>
        <w:right w:val="none" w:sz="0" w:space="0" w:color="auto"/>
      </w:divBdr>
    </w:div>
    <w:div w:id="475805587">
      <w:bodyDiv w:val="1"/>
      <w:marLeft w:val="0"/>
      <w:marRight w:val="0"/>
      <w:marTop w:val="0"/>
      <w:marBottom w:val="0"/>
      <w:divBdr>
        <w:top w:val="none" w:sz="0" w:space="0" w:color="auto"/>
        <w:left w:val="none" w:sz="0" w:space="0" w:color="auto"/>
        <w:bottom w:val="none" w:sz="0" w:space="0" w:color="auto"/>
        <w:right w:val="none" w:sz="0" w:space="0" w:color="auto"/>
      </w:divBdr>
    </w:div>
    <w:div w:id="594482137">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41018625">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919629509">
      <w:bodyDiv w:val="1"/>
      <w:marLeft w:val="0"/>
      <w:marRight w:val="0"/>
      <w:marTop w:val="0"/>
      <w:marBottom w:val="0"/>
      <w:divBdr>
        <w:top w:val="none" w:sz="0" w:space="0" w:color="auto"/>
        <w:left w:val="none" w:sz="0" w:space="0" w:color="auto"/>
        <w:bottom w:val="none" w:sz="0" w:space="0" w:color="auto"/>
        <w:right w:val="none" w:sz="0" w:space="0" w:color="auto"/>
      </w:divBdr>
    </w:div>
    <w:div w:id="2020350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publication/orphan-drug-designation" TargetMode="External"/><Relationship Id="rId26" Type="http://schemas.openxmlformats.org/officeDocument/2006/relationships/image" Target="media/image8.jpeg"/><Relationship Id="rId39" Type="http://schemas.openxmlformats.org/officeDocument/2006/relationships/image" Target="media/image21.png"/><Relationship Id="rId21" Type="http://schemas.openxmlformats.org/officeDocument/2006/relationships/hyperlink" Target="https://www.tga.gov.au/products/australian-register-therapeutic-goods-artg/consumer-medicines-information-cmi"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tga.gov.au/products/australian-register-therapeutic-goods-artg/product-information-one" TargetMode="External"/><Relationship Id="rId29" Type="http://schemas.openxmlformats.org/officeDocument/2006/relationships/image" Target="media/image11.jpe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hyperlink" Target="https://www.tga.gov.au/picmi-search-facility"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openxmlformats.org/officeDocument/2006/relationships/hyperlink" Target="https://www.tga.gov.au/resources/publication/publications/priority-registration-process" TargetMode="External"/><Relationship Id="rId28" Type="http://schemas.openxmlformats.org/officeDocument/2006/relationships/image" Target="media/image10.jpe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yperlink" Target="https://www.tga.gov.au/committee/advisory-committee-medicines-acm" TargetMode="External"/><Relationship Id="rId61" Type="http://schemas.openxmlformats.org/officeDocument/2006/relationships/hyperlink" Target="mailto:info@tga.gov.au" TargetMode="External"/><Relationship Id="rId10" Type="http://schemas.openxmlformats.org/officeDocument/2006/relationships/header" Target="header2.xml"/><Relationship Id="rId19" Type="http://schemas.openxmlformats.org/officeDocument/2006/relationships/hyperlink" Target="https://www.tga.gov.au/products/australian-register-therapeutic-goods-artg/product-information-one"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footer" Target="footer3.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hyperlink" Target="https://www.tga.gov.au/picmi-search-facility"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footer" Target="footer4.xml"/><Relationship Id="rId8" Type="http://schemas.openxmlformats.org/officeDocument/2006/relationships/header" Target="header1.xm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https://www.tga.gov.au" TargetMode="External"/><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jpeg"/><Relationship Id="rId59"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tga.gov.au/publication/orphan-drug-designation" TargetMode="External"/><Relationship Id="rId2" Type="http://schemas.openxmlformats.org/officeDocument/2006/relationships/hyperlink" Target="https://www.accessdata.fda.gov/drugsatfda_docs/nda/2021/215596Orig1s000RiskR.pdf" TargetMode="External"/><Relationship Id="rId1" Type="http://schemas.openxmlformats.org/officeDocument/2006/relationships/hyperlink" Target="https://www.accessdata.fda.gov/drugsatfda_docs/label/2021/215596lbl.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82479-9C2C-468A-81EA-804A7F335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510</TotalTime>
  <Pages>43</Pages>
  <Words>11110</Words>
  <Characters>63332</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74294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Livtencity</dc:title>
  <dc:subject>Prescription medicine regulation</dc:subject>
  <dc:creator>Therapeutic Goods Administration</dc:creator>
  <cp:keywords/>
  <dc:description/>
  <cp:lastModifiedBy>PITKIN, Brendan</cp:lastModifiedBy>
  <cp:revision>9</cp:revision>
  <dcterms:created xsi:type="dcterms:W3CDTF">2023-05-24T00:59:00Z</dcterms:created>
  <dcterms:modified xsi:type="dcterms:W3CDTF">2023-06-06T00:56:00Z</dcterms:modified>
</cp:coreProperties>
</file>