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8126" w14:textId="77777777" w:rsidR="00375DF3" w:rsidRPr="00375DF3" w:rsidRDefault="00375DF3" w:rsidP="006018AE">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4723194F" wp14:editId="288EBC53">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844F6" w14:textId="77777777" w:rsidR="00CA71E4" w:rsidRPr="00BE2A26" w:rsidRDefault="00CA71E4"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723194F"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08C844F6" w14:textId="77777777" w:rsidR="00CA71E4" w:rsidRPr="00BE2A26" w:rsidRDefault="00CA71E4"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E34719">
          <w:rPr>
            <w:rStyle w:val="Hyperlink"/>
            <w:rFonts w:ascii="Times New Roman" w:hAnsi="Times New Roman" w:cs="Times New Roman"/>
            <w:sz w:val="24"/>
            <w:szCs w:val="24"/>
          </w:rPr>
          <w:t>www.tga.gov.au/reporting-problems</w:t>
        </w:r>
      </w:hyperlink>
      <w:r w:rsidRPr="00FD41F3">
        <w:rPr>
          <w:rFonts w:asciiTheme="majorHAnsi" w:hAnsiTheme="majorHAnsi"/>
        </w:rPr>
        <w:t>.</w:t>
      </w:r>
    </w:p>
    <w:p w14:paraId="2C8F8FA7" w14:textId="0C64639A" w:rsidR="004843F1" w:rsidRPr="001415DB" w:rsidRDefault="006018AE" w:rsidP="00861AD1">
      <w:pPr>
        <w:pStyle w:val="Heading1"/>
        <w:numPr>
          <w:ilvl w:val="0"/>
          <w:numId w:val="0"/>
        </w:numPr>
        <w:spacing w:after="240"/>
        <w:jc w:val="center"/>
        <w:rPr>
          <w:rFonts w:ascii="Times New Roman" w:eastAsia="SimSun" w:hAnsi="Times New Roman" w:cs="Times New Roman"/>
        </w:rPr>
      </w:pPr>
      <w:r w:rsidRPr="001415DB">
        <w:rPr>
          <w:rFonts w:ascii="Times New Roman" w:eastAsia="SimSun" w:hAnsi="Times New Roman" w:cs="Times New Roman"/>
        </w:rPr>
        <w:t>Australian P</w:t>
      </w:r>
      <w:r w:rsidR="0021200F" w:rsidRPr="001415DB">
        <w:rPr>
          <w:rFonts w:ascii="Times New Roman" w:eastAsia="SimSun" w:hAnsi="Times New Roman" w:cs="Times New Roman"/>
        </w:rPr>
        <w:t xml:space="preserve">roduct </w:t>
      </w:r>
      <w:r w:rsidRPr="001415DB">
        <w:rPr>
          <w:rFonts w:ascii="Times New Roman" w:eastAsia="SimSun" w:hAnsi="Times New Roman" w:cs="Times New Roman"/>
        </w:rPr>
        <w:t>I</w:t>
      </w:r>
      <w:r w:rsidR="0021200F" w:rsidRPr="001415DB">
        <w:rPr>
          <w:rFonts w:ascii="Times New Roman" w:eastAsia="SimSun" w:hAnsi="Times New Roman" w:cs="Times New Roman"/>
        </w:rPr>
        <w:t>nformation</w:t>
      </w:r>
    </w:p>
    <w:p w14:paraId="63B881E5" w14:textId="23A7859C" w:rsidR="006018AE" w:rsidRPr="001415DB" w:rsidRDefault="005D3F4C" w:rsidP="00861AD1">
      <w:pPr>
        <w:pStyle w:val="Heading1"/>
        <w:numPr>
          <w:ilvl w:val="0"/>
          <w:numId w:val="0"/>
        </w:numPr>
        <w:spacing w:before="240" w:after="240"/>
        <w:jc w:val="center"/>
        <w:rPr>
          <w:rFonts w:ascii="Times New Roman" w:eastAsia="SimSun" w:hAnsi="Times New Roman" w:cs="Times New Roman"/>
        </w:rPr>
      </w:pPr>
      <w:r w:rsidRPr="001415DB">
        <w:rPr>
          <w:rFonts w:ascii="Times New Roman" w:eastAsia="SimSun" w:hAnsi="Times New Roman" w:cs="Times New Roman"/>
        </w:rPr>
        <w:t>LIVTENCITY</w:t>
      </w:r>
      <w:r>
        <w:rPr>
          <w:rFonts w:ascii="Times New Roman" w:eastAsia="SimSun" w:hAnsi="Times New Roman" w:cs="Times New Roman"/>
          <w:vertAlign w:val="superscript"/>
        </w:rPr>
        <w:t>®</w:t>
      </w:r>
      <w:r w:rsidRPr="001415DB">
        <w:rPr>
          <w:rFonts w:ascii="Times New Roman" w:eastAsia="SimSun" w:hAnsi="Times New Roman" w:cs="Times New Roman"/>
        </w:rPr>
        <w:t xml:space="preserve"> </w:t>
      </w:r>
      <w:r w:rsidR="006018AE" w:rsidRPr="001415DB">
        <w:rPr>
          <w:rFonts w:ascii="Times New Roman" w:eastAsia="SimSun" w:hAnsi="Times New Roman" w:cs="Times New Roman"/>
        </w:rPr>
        <w:t>(</w:t>
      </w:r>
      <w:r w:rsidR="00FC47FB" w:rsidRPr="001415DB">
        <w:rPr>
          <w:rFonts w:ascii="Times New Roman" w:eastAsia="SimSun" w:hAnsi="Times New Roman" w:cs="Times New Roman"/>
          <w:caps w:val="0"/>
        </w:rPr>
        <w:t>maribavir</w:t>
      </w:r>
      <w:r w:rsidR="006018AE" w:rsidRPr="001415DB">
        <w:rPr>
          <w:rFonts w:ascii="Times New Roman" w:eastAsia="SimSun" w:hAnsi="Times New Roman" w:cs="Times New Roman"/>
        </w:rPr>
        <w:t>)</w:t>
      </w:r>
      <w:r w:rsidR="00A64655" w:rsidRPr="001415DB">
        <w:rPr>
          <w:rFonts w:ascii="Times New Roman" w:eastAsia="SimSun" w:hAnsi="Times New Roman" w:cs="Times New Roman"/>
        </w:rPr>
        <w:t xml:space="preserve"> </w:t>
      </w:r>
      <w:r w:rsidR="00FC47FB" w:rsidRPr="001415DB">
        <w:rPr>
          <w:rFonts w:ascii="Times New Roman" w:eastAsia="SimSun" w:hAnsi="Times New Roman" w:cs="Times New Roman"/>
          <w:caps w:val="0"/>
        </w:rPr>
        <w:t>Tablets</w:t>
      </w:r>
    </w:p>
    <w:p w14:paraId="385C0808" w14:textId="101474FC" w:rsidR="001A3992" w:rsidRPr="001415DB" w:rsidRDefault="001A3992" w:rsidP="007A088D">
      <w:pPr>
        <w:pStyle w:val="Heading1"/>
        <w:spacing w:after="120"/>
        <w:rPr>
          <w:rFonts w:ascii="Times New Roman" w:hAnsi="Times New Roman" w:cs="Times New Roman"/>
        </w:rPr>
      </w:pPr>
      <w:r w:rsidRPr="001415DB">
        <w:rPr>
          <w:rFonts w:ascii="Times New Roman" w:hAnsi="Times New Roman" w:cs="Times New Roman"/>
        </w:rPr>
        <w:t>Name of the medicine</w:t>
      </w:r>
    </w:p>
    <w:p w14:paraId="7BD8A19D" w14:textId="5508965B" w:rsidR="00C249A5" w:rsidRPr="001415DB" w:rsidRDefault="00250F01" w:rsidP="00C249A5">
      <w:pPr>
        <w:rPr>
          <w:rFonts w:ascii="Times New Roman" w:hAnsi="Times New Roman" w:cs="Times New Roman"/>
          <w:sz w:val="24"/>
          <w:szCs w:val="24"/>
        </w:rPr>
      </w:pPr>
      <w:r w:rsidRPr="001415DB">
        <w:rPr>
          <w:rFonts w:ascii="Times New Roman" w:hAnsi="Times New Roman" w:cs="Times New Roman"/>
          <w:sz w:val="24"/>
          <w:szCs w:val="24"/>
        </w:rPr>
        <w:t>Maribavir</w:t>
      </w:r>
    </w:p>
    <w:p w14:paraId="3DACEC94" w14:textId="77777777" w:rsidR="001A3992" w:rsidRPr="001415DB" w:rsidRDefault="001A3992" w:rsidP="007A088D">
      <w:pPr>
        <w:pStyle w:val="Heading1"/>
        <w:spacing w:after="120"/>
        <w:rPr>
          <w:rFonts w:ascii="Times New Roman" w:hAnsi="Times New Roman" w:cs="Times New Roman"/>
        </w:rPr>
      </w:pPr>
      <w:r w:rsidRPr="001415DB">
        <w:rPr>
          <w:rFonts w:ascii="Times New Roman" w:hAnsi="Times New Roman" w:cs="Times New Roman"/>
        </w:rPr>
        <w:t>Qualitative and quantitative composition</w:t>
      </w:r>
    </w:p>
    <w:p w14:paraId="2A0DE144" w14:textId="5D80C8A5" w:rsidR="0003691B" w:rsidRPr="001415DB" w:rsidRDefault="00ED4C4C" w:rsidP="005B2812">
      <w:pPr>
        <w:rPr>
          <w:rFonts w:ascii="Times New Roman" w:hAnsi="Times New Roman" w:cs="Times New Roman"/>
          <w:sz w:val="24"/>
          <w:szCs w:val="24"/>
        </w:rPr>
      </w:pPr>
      <w:r w:rsidRPr="001415DB">
        <w:rPr>
          <w:rFonts w:ascii="Times New Roman" w:hAnsi="Times New Roman" w:cs="Times New Roman"/>
          <w:sz w:val="24"/>
          <w:szCs w:val="24"/>
        </w:rPr>
        <w:t xml:space="preserve">LIVTENCITY is available in </w:t>
      </w:r>
      <w:r w:rsidR="00B9723A" w:rsidRPr="001415DB">
        <w:rPr>
          <w:rFonts w:ascii="Times New Roman" w:hAnsi="Times New Roman" w:cs="Times New Roman"/>
          <w:sz w:val="24"/>
          <w:szCs w:val="24"/>
        </w:rPr>
        <w:t xml:space="preserve">200 mg </w:t>
      </w:r>
      <w:r w:rsidRPr="001415DB">
        <w:rPr>
          <w:rFonts w:ascii="Times New Roman" w:hAnsi="Times New Roman" w:cs="Times New Roman"/>
          <w:sz w:val="24"/>
          <w:szCs w:val="24"/>
        </w:rPr>
        <w:t xml:space="preserve">immediate-release </w:t>
      </w:r>
      <w:r w:rsidR="001C55F8" w:rsidRPr="001415DB">
        <w:rPr>
          <w:rFonts w:ascii="Times New Roman" w:hAnsi="Times New Roman" w:cs="Times New Roman"/>
          <w:sz w:val="24"/>
          <w:szCs w:val="24"/>
        </w:rPr>
        <w:t xml:space="preserve">tablets and is intended for oral administration.  Each film-coated tablet contains </w:t>
      </w:r>
      <w:r w:rsidR="003934B4" w:rsidRPr="001415DB">
        <w:rPr>
          <w:rFonts w:ascii="Times New Roman" w:hAnsi="Times New Roman" w:cs="Times New Roman"/>
          <w:sz w:val="24"/>
          <w:szCs w:val="24"/>
        </w:rPr>
        <w:t xml:space="preserve">200 mg </w:t>
      </w:r>
      <w:r w:rsidR="00B9723A" w:rsidRPr="001415DB">
        <w:rPr>
          <w:rFonts w:ascii="Times New Roman" w:hAnsi="Times New Roman" w:cs="Times New Roman"/>
          <w:sz w:val="24"/>
          <w:szCs w:val="24"/>
        </w:rPr>
        <w:t>of maribavir</w:t>
      </w:r>
      <w:r w:rsidR="003934B4" w:rsidRPr="001415DB">
        <w:rPr>
          <w:rFonts w:ascii="Times New Roman" w:hAnsi="Times New Roman" w:cs="Times New Roman"/>
          <w:sz w:val="24"/>
          <w:szCs w:val="24"/>
        </w:rPr>
        <w:t>, a potent, selective, antiviral drug belonging to the benzimidazole ribosides class.</w:t>
      </w:r>
    </w:p>
    <w:p w14:paraId="2DFCC328" w14:textId="0E499EA1" w:rsidR="005B2812" w:rsidRPr="001415DB" w:rsidRDefault="005B2812" w:rsidP="005B2812">
      <w:pPr>
        <w:rPr>
          <w:rFonts w:ascii="Times New Roman" w:hAnsi="Times New Roman" w:cs="Times New Roman"/>
          <w:sz w:val="24"/>
          <w:szCs w:val="24"/>
        </w:rPr>
      </w:pPr>
      <w:r w:rsidRPr="001415DB">
        <w:rPr>
          <w:rFonts w:ascii="Times New Roman" w:hAnsi="Times New Roman" w:cs="Times New Roman"/>
          <w:sz w:val="24"/>
          <w:szCs w:val="24"/>
        </w:rPr>
        <w:t xml:space="preserve">For the full list of excipients, see </w:t>
      </w:r>
      <w:r w:rsidR="00673D4B" w:rsidRPr="001415DB">
        <w:rPr>
          <w:rFonts w:ascii="Times New Roman" w:hAnsi="Times New Roman" w:cs="Times New Roman"/>
          <w:sz w:val="24"/>
          <w:szCs w:val="24"/>
        </w:rPr>
        <w:t>s</w:t>
      </w:r>
      <w:r w:rsidR="00354E0A" w:rsidRPr="001415DB">
        <w:rPr>
          <w:rFonts w:ascii="Times New Roman" w:hAnsi="Times New Roman" w:cs="Times New Roman"/>
          <w:sz w:val="24"/>
          <w:szCs w:val="24"/>
        </w:rPr>
        <w:t>ection 6.1</w:t>
      </w:r>
      <w:r w:rsidR="009F1746" w:rsidRPr="001415DB">
        <w:rPr>
          <w:rFonts w:ascii="Times New Roman" w:hAnsi="Times New Roman" w:cs="Times New Roman"/>
          <w:sz w:val="24"/>
          <w:szCs w:val="24"/>
        </w:rPr>
        <w:t xml:space="preserve"> List of excipients</w:t>
      </w:r>
      <w:r w:rsidRPr="001415DB">
        <w:rPr>
          <w:rFonts w:ascii="Times New Roman" w:hAnsi="Times New Roman" w:cs="Times New Roman"/>
          <w:sz w:val="24"/>
          <w:szCs w:val="24"/>
        </w:rPr>
        <w:t>.</w:t>
      </w:r>
    </w:p>
    <w:p w14:paraId="54D7A3C1" w14:textId="10F76F5D" w:rsidR="001A3992" w:rsidRPr="001415DB" w:rsidRDefault="001A3992" w:rsidP="007A088D">
      <w:pPr>
        <w:pStyle w:val="Heading1"/>
        <w:spacing w:after="120"/>
        <w:rPr>
          <w:rFonts w:ascii="Times New Roman" w:hAnsi="Times New Roman" w:cs="Times New Roman"/>
        </w:rPr>
      </w:pPr>
      <w:r w:rsidRPr="001415DB">
        <w:rPr>
          <w:rFonts w:ascii="Times New Roman" w:hAnsi="Times New Roman" w:cs="Times New Roman"/>
        </w:rPr>
        <w:t>Pharmaceutical form</w:t>
      </w:r>
    </w:p>
    <w:p w14:paraId="7F77FE59" w14:textId="2E9AC78F" w:rsidR="00253406" w:rsidRPr="001415DB" w:rsidRDefault="00253406" w:rsidP="00253406">
      <w:pPr>
        <w:rPr>
          <w:rFonts w:ascii="Times New Roman" w:hAnsi="Times New Roman" w:cs="Times New Roman"/>
          <w:sz w:val="24"/>
          <w:szCs w:val="24"/>
        </w:rPr>
      </w:pPr>
      <w:r w:rsidRPr="001415DB">
        <w:rPr>
          <w:rFonts w:ascii="Times New Roman" w:hAnsi="Times New Roman" w:cs="Times New Roman"/>
          <w:sz w:val="24"/>
          <w:szCs w:val="24"/>
        </w:rPr>
        <w:t>Film-coated tablet</w:t>
      </w:r>
      <w:r w:rsidR="00F50BAF" w:rsidRPr="001415DB">
        <w:rPr>
          <w:rFonts w:ascii="Times New Roman" w:hAnsi="Times New Roman" w:cs="Times New Roman"/>
          <w:sz w:val="24"/>
          <w:szCs w:val="24"/>
        </w:rPr>
        <w:t>s.</w:t>
      </w:r>
    </w:p>
    <w:p w14:paraId="422A7C26" w14:textId="010A74C1" w:rsidR="001F7BD7" w:rsidRPr="00B952ED" w:rsidRDefault="000A0057" w:rsidP="001415DB">
      <w:pPr>
        <w:spacing w:after="0"/>
        <w:rPr>
          <w:rFonts w:ascii="Times New Roman" w:hAnsi="Times New Roman" w:cs="Times New Roman"/>
          <w:b/>
          <w:bCs/>
          <w:sz w:val="24"/>
          <w:szCs w:val="24"/>
        </w:rPr>
      </w:pPr>
      <w:r w:rsidRPr="001415DB">
        <w:rPr>
          <w:rFonts w:ascii="Times New Roman" w:hAnsi="Times New Roman" w:cs="Times New Roman"/>
          <w:b/>
          <w:bCs/>
          <w:sz w:val="24"/>
          <w:szCs w:val="24"/>
        </w:rPr>
        <w:t>Appe</w:t>
      </w:r>
      <w:r w:rsidRPr="00B952ED">
        <w:rPr>
          <w:rFonts w:ascii="Times New Roman" w:hAnsi="Times New Roman" w:cs="Times New Roman"/>
          <w:b/>
          <w:bCs/>
          <w:sz w:val="24"/>
          <w:szCs w:val="24"/>
        </w:rPr>
        <w:t>arance</w:t>
      </w:r>
    </w:p>
    <w:p w14:paraId="092DC4A4" w14:textId="4C1ED912" w:rsidR="000A0057" w:rsidRPr="00B952ED" w:rsidRDefault="000F4F65" w:rsidP="00253406">
      <w:pPr>
        <w:rPr>
          <w:rFonts w:ascii="Times New Roman" w:hAnsi="Times New Roman" w:cs="Times New Roman"/>
          <w:sz w:val="24"/>
          <w:szCs w:val="24"/>
        </w:rPr>
      </w:pPr>
      <w:r w:rsidRPr="00B952ED">
        <w:rPr>
          <w:rFonts w:ascii="Times New Roman" w:hAnsi="Times New Roman" w:cs="Times New Roman"/>
          <w:sz w:val="24"/>
          <w:szCs w:val="24"/>
        </w:rPr>
        <w:t xml:space="preserve">Blue, film-coated, oval-shaped, convex tablet </w:t>
      </w:r>
      <w:r w:rsidR="006A4C42" w:rsidRPr="00B952ED">
        <w:rPr>
          <w:rFonts w:ascii="Times New Roman" w:hAnsi="Times New Roman" w:cs="Times New Roman"/>
          <w:sz w:val="24"/>
          <w:szCs w:val="24"/>
        </w:rPr>
        <w:t xml:space="preserve">that is de-bossed with ‘SHP’ on one side and ‘620’ on the other side.  </w:t>
      </w:r>
    </w:p>
    <w:p w14:paraId="6FB2153A" w14:textId="77777777" w:rsidR="001A3992" w:rsidRPr="00B952ED" w:rsidRDefault="001A3992" w:rsidP="007A088D">
      <w:pPr>
        <w:pStyle w:val="Heading1"/>
        <w:spacing w:after="120"/>
        <w:rPr>
          <w:rFonts w:ascii="Times New Roman" w:hAnsi="Times New Roman" w:cs="Times New Roman"/>
        </w:rPr>
      </w:pPr>
      <w:r w:rsidRPr="00B952ED">
        <w:rPr>
          <w:rFonts w:ascii="Times New Roman" w:hAnsi="Times New Roman" w:cs="Times New Roman"/>
        </w:rPr>
        <w:t>Clinical particulars</w:t>
      </w:r>
    </w:p>
    <w:p w14:paraId="1DE5446A" w14:textId="02E69245" w:rsidR="001A3992" w:rsidRPr="00B952ED" w:rsidRDefault="001A3992" w:rsidP="001A3992">
      <w:pPr>
        <w:pStyle w:val="Heading2"/>
        <w:spacing w:before="0" w:after="120"/>
        <w:rPr>
          <w:rFonts w:ascii="Times New Roman" w:hAnsi="Times New Roman" w:cs="Times New Roman"/>
        </w:rPr>
      </w:pPr>
      <w:r w:rsidRPr="00B952ED">
        <w:rPr>
          <w:rFonts w:ascii="Times New Roman" w:hAnsi="Times New Roman" w:cs="Times New Roman"/>
        </w:rPr>
        <w:t xml:space="preserve">Therapeutic indications </w:t>
      </w:r>
    </w:p>
    <w:p w14:paraId="628601F5" w14:textId="6AB47D64" w:rsidR="00F50BAF" w:rsidRPr="00B952ED" w:rsidRDefault="005B08D5" w:rsidP="00F50BAF">
      <w:pPr>
        <w:rPr>
          <w:rFonts w:ascii="Times New Roman" w:hAnsi="Times New Roman" w:cs="Times New Roman"/>
          <w:sz w:val="24"/>
          <w:szCs w:val="24"/>
        </w:rPr>
      </w:pPr>
      <w:r w:rsidRPr="00B952ED">
        <w:rPr>
          <w:rFonts w:ascii="Times New Roman" w:hAnsi="Times New Roman" w:cs="Times New Roman"/>
          <w:sz w:val="24"/>
          <w:szCs w:val="24"/>
        </w:rPr>
        <w:t>Treatment of adults with post-transplant cytomegalovirus (CMV) infection and disease resistant</w:t>
      </w:r>
      <w:r w:rsidR="00B6029D">
        <w:rPr>
          <w:rFonts w:ascii="Times New Roman" w:hAnsi="Times New Roman" w:cs="Times New Roman"/>
          <w:sz w:val="24"/>
          <w:szCs w:val="24"/>
        </w:rPr>
        <w:t>,</w:t>
      </w:r>
      <w:r w:rsidRPr="00B952ED">
        <w:rPr>
          <w:rFonts w:ascii="Times New Roman" w:hAnsi="Times New Roman" w:cs="Times New Roman"/>
          <w:sz w:val="24"/>
          <w:szCs w:val="24"/>
        </w:rPr>
        <w:t xml:space="preserve"> </w:t>
      </w:r>
      <w:r w:rsidR="002151BA" w:rsidRPr="00B952ED">
        <w:rPr>
          <w:rFonts w:ascii="Times New Roman" w:hAnsi="Times New Roman" w:cs="Times New Roman"/>
          <w:sz w:val="24"/>
          <w:szCs w:val="24"/>
        </w:rPr>
        <w:t>refractory</w:t>
      </w:r>
      <w:r w:rsidR="00B6029D">
        <w:rPr>
          <w:rFonts w:ascii="Times New Roman" w:hAnsi="Times New Roman" w:cs="Times New Roman"/>
          <w:sz w:val="24"/>
          <w:szCs w:val="24"/>
        </w:rPr>
        <w:t xml:space="preserve"> or intolerant</w:t>
      </w:r>
      <w:r w:rsidR="002151BA" w:rsidRPr="00B952ED">
        <w:rPr>
          <w:rFonts w:ascii="Times New Roman" w:hAnsi="Times New Roman" w:cs="Times New Roman"/>
          <w:sz w:val="24"/>
          <w:szCs w:val="24"/>
        </w:rPr>
        <w:t xml:space="preserve"> to one or more prior therap</w:t>
      </w:r>
      <w:r w:rsidR="003E5BC5" w:rsidRPr="00B952ED">
        <w:rPr>
          <w:rFonts w:ascii="Times New Roman" w:hAnsi="Times New Roman" w:cs="Times New Roman"/>
          <w:sz w:val="24"/>
          <w:szCs w:val="24"/>
        </w:rPr>
        <w:t>ies</w:t>
      </w:r>
      <w:r w:rsidR="009A2066">
        <w:rPr>
          <w:rFonts w:ascii="Times New Roman" w:hAnsi="Times New Roman" w:cs="Times New Roman"/>
          <w:sz w:val="24"/>
          <w:szCs w:val="24"/>
        </w:rPr>
        <w:t xml:space="preserve"> </w:t>
      </w:r>
      <w:r w:rsidR="00614BB5">
        <w:rPr>
          <w:rFonts w:ascii="Times New Roman" w:hAnsi="Times New Roman" w:cs="Times New Roman"/>
          <w:sz w:val="24"/>
          <w:szCs w:val="24"/>
        </w:rPr>
        <w:t xml:space="preserve">(see 4.3 </w:t>
      </w:r>
      <w:r w:rsidR="00614BB5">
        <w:rPr>
          <w:rFonts w:ascii="Times New Roman" w:hAnsi="Times New Roman" w:cs="Times New Roman"/>
          <w:smallCaps/>
          <w:sz w:val="24"/>
          <w:szCs w:val="24"/>
        </w:rPr>
        <w:t>Contraindications</w:t>
      </w:r>
      <w:r w:rsidR="00614BB5">
        <w:rPr>
          <w:rFonts w:ascii="Times New Roman" w:hAnsi="Times New Roman" w:cs="Times New Roman"/>
          <w:sz w:val="24"/>
          <w:szCs w:val="24"/>
        </w:rPr>
        <w:t xml:space="preserve"> and, </w:t>
      </w:r>
      <w:r w:rsidR="00614BB5">
        <w:rPr>
          <w:rFonts w:ascii="Times New Roman" w:hAnsi="Times New Roman" w:cs="Times New Roman"/>
          <w:smallCaps/>
          <w:sz w:val="24"/>
          <w:szCs w:val="24"/>
        </w:rPr>
        <w:t>4.4 Special warnings and precautions for use</w:t>
      </w:r>
      <w:r w:rsidR="00614BB5" w:rsidRPr="006F1D66">
        <w:rPr>
          <w:rFonts w:ascii="Times New Roman" w:hAnsi="Times New Roman" w:cs="Times New Roman"/>
          <w:sz w:val="24"/>
          <w:szCs w:val="24"/>
        </w:rPr>
        <w:t>)</w:t>
      </w:r>
      <w:r w:rsidR="002151BA" w:rsidRPr="00B952ED">
        <w:rPr>
          <w:rFonts w:ascii="Times New Roman" w:hAnsi="Times New Roman" w:cs="Times New Roman"/>
          <w:sz w:val="24"/>
          <w:szCs w:val="24"/>
        </w:rPr>
        <w:t>.</w:t>
      </w:r>
    </w:p>
    <w:p w14:paraId="6B29D555" w14:textId="77777777" w:rsidR="00975CEC" w:rsidRPr="00B952ED" w:rsidRDefault="001A3992" w:rsidP="001A3992">
      <w:pPr>
        <w:pStyle w:val="Heading2"/>
        <w:spacing w:before="0" w:after="120"/>
        <w:rPr>
          <w:rFonts w:ascii="Times New Roman" w:hAnsi="Times New Roman" w:cs="Times New Roman"/>
        </w:rPr>
      </w:pPr>
      <w:r w:rsidRPr="00B952ED">
        <w:rPr>
          <w:rFonts w:ascii="Times New Roman" w:hAnsi="Times New Roman" w:cs="Times New Roman"/>
        </w:rPr>
        <w:t>Dose and method of administration</w:t>
      </w:r>
    </w:p>
    <w:p w14:paraId="7F7E512C" w14:textId="7365D9AD" w:rsidR="001A3992" w:rsidRPr="00B952ED" w:rsidRDefault="007F77F3" w:rsidP="001415DB">
      <w:pPr>
        <w:spacing w:after="0"/>
        <w:rPr>
          <w:rFonts w:ascii="Times New Roman" w:hAnsi="Times New Roman" w:cs="Times New Roman"/>
          <w:b/>
          <w:bCs/>
          <w:sz w:val="24"/>
          <w:szCs w:val="24"/>
        </w:rPr>
      </w:pPr>
      <w:r w:rsidRPr="00B952ED">
        <w:rPr>
          <w:rFonts w:ascii="Times New Roman" w:hAnsi="Times New Roman" w:cs="Times New Roman"/>
          <w:b/>
          <w:bCs/>
          <w:sz w:val="24"/>
          <w:szCs w:val="24"/>
        </w:rPr>
        <w:t>Recommended d</w:t>
      </w:r>
      <w:r w:rsidR="00975CEC" w:rsidRPr="00B952ED">
        <w:rPr>
          <w:rFonts w:ascii="Times New Roman" w:hAnsi="Times New Roman" w:cs="Times New Roman"/>
          <w:b/>
          <w:bCs/>
          <w:sz w:val="24"/>
          <w:szCs w:val="24"/>
        </w:rPr>
        <w:t>os</w:t>
      </w:r>
      <w:r w:rsidR="00806279" w:rsidRPr="00B952ED">
        <w:rPr>
          <w:rFonts w:ascii="Times New Roman" w:hAnsi="Times New Roman" w:cs="Times New Roman"/>
          <w:b/>
          <w:bCs/>
          <w:sz w:val="24"/>
          <w:szCs w:val="24"/>
        </w:rPr>
        <w:t>age</w:t>
      </w:r>
    </w:p>
    <w:p w14:paraId="5070E022" w14:textId="13828100" w:rsidR="00C45C52" w:rsidRPr="00B9314B" w:rsidRDefault="005B51B3" w:rsidP="00C45C52">
      <w:pPr>
        <w:rPr>
          <w:rFonts w:ascii="Times New Roman" w:hAnsi="Times New Roman" w:cs="Times New Roman"/>
          <w:sz w:val="24"/>
          <w:szCs w:val="24"/>
        </w:rPr>
      </w:pPr>
      <w:r w:rsidRPr="006F1D66">
        <w:rPr>
          <w:rFonts w:ascii="Times New Roman" w:hAnsi="Times New Roman" w:cs="Times New Roman"/>
          <w:sz w:val="24"/>
          <w:szCs w:val="24"/>
        </w:rPr>
        <w:t>The recommended dose of LIVTENCITY is 400 mg (two 200 mg tablets) twice daily</w:t>
      </w:r>
      <w:r w:rsidR="00583233" w:rsidRPr="006F1D66">
        <w:rPr>
          <w:rFonts w:ascii="Times New Roman" w:hAnsi="Times New Roman" w:cs="Times New Roman"/>
          <w:sz w:val="24"/>
          <w:szCs w:val="24"/>
        </w:rPr>
        <w:t xml:space="preserve"> resulting in a daily dose of 800 mg.</w:t>
      </w:r>
      <w:r w:rsidR="00D47342">
        <w:rPr>
          <w:rFonts w:ascii="Times New Roman" w:hAnsi="Times New Roman" w:cs="Times New Roman"/>
          <w:sz w:val="24"/>
          <w:szCs w:val="24"/>
        </w:rPr>
        <w:t xml:space="preserve">  </w:t>
      </w:r>
      <w:r w:rsidR="00C45C52" w:rsidRPr="00B9314B">
        <w:rPr>
          <w:rFonts w:ascii="Times New Roman" w:hAnsi="Times New Roman" w:cs="Times New Roman"/>
          <w:sz w:val="24"/>
          <w:szCs w:val="24"/>
        </w:rPr>
        <w:t>Treatment duration may need to be individualised based on the clinical characteristics of each patient</w:t>
      </w:r>
      <w:r w:rsidR="00C45C52">
        <w:rPr>
          <w:rFonts w:ascii="Times New Roman" w:hAnsi="Times New Roman" w:cs="Times New Roman"/>
          <w:sz w:val="24"/>
          <w:szCs w:val="24"/>
        </w:rPr>
        <w:t>.</w:t>
      </w:r>
    </w:p>
    <w:p w14:paraId="5295B8E0" w14:textId="4339F0D2" w:rsidR="002F0DE0" w:rsidRPr="00B952ED" w:rsidRDefault="00660810" w:rsidP="00140C9B">
      <w:pPr>
        <w:rPr>
          <w:rFonts w:ascii="Times New Roman" w:hAnsi="Times New Roman" w:cs="Times New Roman"/>
          <w:b/>
          <w:bCs/>
          <w:sz w:val="24"/>
          <w:szCs w:val="24"/>
        </w:rPr>
      </w:pPr>
      <w:r w:rsidRPr="006F1D66">
        <w:rPr>
          <w:rFonts w:ascii="Times New Roman" w:hAnsi="Times New Roman" w:cs="Times New Roman"/>
          <w:sz w:val="24"/>
          <w:szCs w:val="24"/>
        </w:rPr>
        <w:lastRenderedPageBreak/>
        <w:t xml:space="preserve">In </w:t>
      </w:r>
      <w:r w:rsidR="00A12149">
        <w:rPr>
          <w:rFonts w:ascii="Times New Roman" w:hAnsi="Times New Roman" w:cs="Times New Roman"/>
          <w:sz w:val="24"/>
          <w:szCs w:val="24"/>
        </w:rPr>
        <w:t xml:space="preserve">the pivotal efficacy </w:t>
      </w:r>
      <w:r w:rsidRPr="006F1D66">
        <w:rPr>
          <w:rFonts w:ascii="Times New Roman" w:hAnsi="Times New Roman" w:cs="Times New Roman"/>
          <w:sz w:val="24"/>
          <w:szCs w:val="24"/>
        </w:rPr>
        <w:t xml:space="preserve">Study 303, </w:t>
      </w:r>
      <w:r w:rsidR="00797D3A">
        <w:rPr>
          <w:rFonts w:ascii="Times New Roman" w:hAnsi="Times New Roman" w:cs="Times New Roman"/>
          <w:sz w:val="24"/>
          <w:szCs w:val="24"/>
        </w:rPr>
        <w:t xml:space="preserve">400 mg </w:t>
      </w:r>
      <w:r w:rsidRPr="006F1D66">
        <w:rPr>
          <w:rFonts w:ascii="Times New Roman" w:hAnsi="Times New Roman" w:cs="Times New Roman"/>
          <w:sz w:val="24"/>
          <w:szCs w:val="24"/>
        </w:rPr>
        <w:t xml:space="preserve">twice daily </w:t>
      </w:r>
      <w:r w:rsidR="001C5AE1">
        <w:rPr>
          <w:rFonts w:ascii="Times New Roman" w:hAnsi="Times New Roman" w:cs="Times New Roman"/>
          <w:sz w:val="24"/>
          <w:szCs w:val="24"/>
        </w:rPr>
        <w:t xml:space="preserve">dose </w:t>
      </w:r>
      <w:r w:rsidR="003C7805" w:rsidRPr="006F1D66">
        <w:rPr>
          <w:rFonts w:ascii="Times New Roman" w:hAnsi="Times New Roman" w:cs="Times New Roman"/>
          <w:sz w:val="24"/>
          <w:szCs w:val="24"/>
        </w:rPr>
        <w:t>of LIVTENCITY was administered for 8 weeks</w:t>
      </w:r>
      <w:r w:rsidR="00C4294A" w:rsidRPr="006F1D66">
        <w:rPr>
          <w:rFonts w:ascii="Times New Roman" w:hAnsi="Times New Roman" w:cs="Times New Roman"/>
          <w:sz w:val="24"/>
          <w:szCs w:val="24"/>
        </w:rPr>
        <w:t xml:space="preserve"> </w:t>
      </w:r>
      <w:r w:rsidR="0059372A" w:rsidRPr="006F1D66">
        <w:rPr>
          <w:rFonts w:ascii="Times New Roman" w:hAnsi="Times New Roman" w:cs="Times New Roman"/>
          <w:sz w:val="24"/>
          <w:szCs w:val="24"/>
        </w:rPr>
        <w:t xml:space="preserve">(see </w:t>
      </w:r>
      <w:r w:rsidR="0059372A" w:rsidRPr="006F1D66">
        <w:rPr>
          <w:rFonts w:ascii="Times New Roman" w:hAnsi="Times New Roman" w:cs="Times New Roman"/>
          <w:smallCaps/>
          <w:sz w:val="24"/>
          <w:szCs w:val="24"/>
        </w:rPr>
        <w:t>5.1</w:t>
      </w:r>
      <w:r w:rsidR="000A5541" w:rsidRPr="006F1D66">
        <w:rPr>
          <w:rFonts w:ascii="Times New Roman" w:hAnsi="Times New Roman" w:cs="Times New Roman"/>
          <w:smallCaps/>
          <w:sz w:val="24"/>
          <w:szCs w:val="24"/>
        </w:rPr>
        <w:t xml:space="preserve"> Pharmacodynamic Properties</w:t>
      </w:r>
      <w:r w:rsidR="00E327A8">
        <w:rPr>
          <w:rFonts w:ascii="Times New Roman" w:hAnsi="Times New Roman" w:cs="Times New Roman"/>
          <w:smallCaps/>
          <w:sz w:val="24"/>
          <w:szCs w:val="24"/>
        </w:rPr>
        <w:t>/</w:t>
      </w:r>
      <w:r w:rsidR="009A600B">
        <w:rPr>
          <w:rFonts w:ascii="Times New Roman" w:hAnsi="Times New Roman" w:cs="Times New Roman"/>
          <w:smallCaps/>
          <w:sz w:val="24"/>
          <w:szCs w:val="24"/>
        </w:rPr>
        <w:t>Clinical trials</w:t>
      </w:r>
      <w:r w:rsidR="0059372A" w:rsidRPr="006F1D66">
        <w:rPr>
          <w:rFonts w:ascii="Times New Roman" w:hAnsi="Times New Roman" w:cs="Times New Roman"/>
          <w:sz w:val="24"/>
          <w:szCs w:val="24"/>
        </w:rPr>
        <w:t>)</w:t>
      </w:r>
      <w:r w:rsidR="003C7805" w:rsidRPr="006F1D66">
        <w:rPr>
          <w:rFonts w:ascii="Times New Roman" w:hAnsi="Times New Roman" w:cs="Times New Roman"/>
          <w:sz w:val="24"/>
          <w:szCs w:val="24"/>
        </w:rPr>
        <w:t xml:space="preserve">.  </w:t>
      </w:r>
    </w:p>
    <w:p w14:paraId="7742CBF3" w14:textId="498CE4DE" w:rsidR="00140C9B" w:rsidRPr="00B952ED" w:rsidRDefault="00140C9B" w:rsidP="00140C9B">
      <w:pPr>
        <w:rPr>
          <w:rFonts w:ascii="Times New Roman" w:hAnsi="Times New Roman" w:cs="Times New Roman"/>
          <w:b/>
          <w:bCs/>
          <w:sz w:val="24"/>
          <w:szCs w:val="24"/>
        </w:rPr>
      </w:pPr>
      <w:r w:rsidRPr="00B952ED">
        <w:rPr>
          <w:rFonts w:ascii="Times New Roman" w:hAnsi="Times New Roman" w:cs="Times New Roman"/>
          <w:b/>
          <w:bCs/>
          <w:sz w:val="24"/>
          <w:szCs w:val="24"/>
        </w:rPr>
        <w:t xml:space="preserve">Special </w:t>
      </w:r>
      <w:r w:rsidR="00772DA0">
        <w:rPr>
          <w:rFonts w:ascii="Times New Roman" w:hAnsi="Times New Roman" w:cs="Times New Roman"/>
          <w:b/>
          <w:bCs/>
          <w:sz w:val="24"/>
          <w:szCs w:val="24"/>
        </w:rPr>
        <w:t>p</w:t>
      </w:r>
      <w:r w:rsidRPr="00B952ED">
        <w:rPr>
          <w:rFonts w:ascii="Times New Roman" w:hAnsi="Times New Roman" w:cs="Times New Roman"/>
          <w:b/>
          <w:bCs/>
          <w:sz w:val="24"/>
          <w:szCs w:val="24"/>
        </w:rPr>
        <w:t xml:space="preserve">atient </w:t>
      </w:r>
      <w:r w:rsidR="00772DA0">
        <w:rPr>
          <w:rFonts w:ascii="Times New Roman" w:hAnsi="Times New Roman" w:cs="Times New Roman"/>
          <w:b/>
          <w:bCs/>
          <w:sz w:val="24"/>
          <w:szCs w:val="24"/>
        </w:rPr>
        <w:t>p</w:t>
      </w:r>
      <w:r w:rsidRPr="00B952ED">
        <w:rPr>
          <w:rFonts w:ascii="Times New Roman" w:hAnsi="Times New Roman" w:cs="Times New Roman"/>
          <w:b/>
          <w:bCs/>
          <w:sz w:val="24"/>
          <w:szCs w:val="24"/>
        </w:rPr>
        <w:t>opulations</w:t>
      </w:r>
    </w:p>
    <w:p w14:paraId="0DE566DD" w14:textId="235AA137" w:rsidR="00140C9B" w:rsidRPr="00B952ED" w:rsidRDefault="00140C9B" w:rsidP="002C40D5">
      <w:pPr>
        <w:keepNext/>
        <w:spacing w:after="0"/>
        <w:rPr>
          <w:rFonts w:ascii="Times New Roman" w:hAnsi="Times New Roman" w:cs="Times New Roman"/>
          <w:sz w:val="24"/>
          <w:szCs w:val="24"/>
          <w:u w:val="single"/>
        </w:rPr>
      </w:pPr>
      <w:r w:rsidRPr="00B952ED">
        <w:rPr>
          <w:rFonts w:ascii="Times New Roman" w:hAnsi="Times New Roman" w:cs="Times New Roman"/>
          <w:sz w:val="24"/>
          <w:szCs w:val="24"/>
          <w:u w:val="single"/>
        </w:rPr>
        <w:t xml:space="preserve">Elderly </w:t>
      </w:r>
      <w:r w:rsidR="00AD77A9" w:rsidRPr="00B952ED">
        <w:rPr>
          <w:rFonts w:ascii="Times New Roman" w:hAnsi="Times New Roman" w:cs="Times New Roman"/>
          <w:sz w:val="24"/>
          <w:szCs w:val="24"/>
          <w:u w:val="single"/>
        </w:rPr>
        <w:t>p</w:t>
      </w:r>
      <w:r w:rsidRPr="00B952ED">
        <w:rPr>
          <w:rFonts w:ascii="Times New Roman" w:hAnsi="Times New Roman" w:cs="Times New Roman"/>
          <w:sz w:val="24"/>
          <w:szCs w:val="24"/>
          <w:u w:val="single"/>
        </w:rPr>
        <w:t>atients</w:t>
      </w:r>
    </w:p>
    <w:p w14:paraId="34A7E4DB" w14:textId="77777777" w:rsidR="00140C9B" w:rsidRPr="00B952ED" w:rsidRDefault="00140C9B" w:rsidP="002C40D5">
      <w:pPr>
        <w:keepNext/>
        <w:rPr>
          <w:rFonts w:ascii="Times New Roman" w:hAnsi="Times New Roman" w:cs="Times New Roman"/>
          <w:sz w:val="24"/>
          <w:szCs w:val="24"/>
        </w:rPr>
      </w:pPr>
      <w:r w:rsidRPr="00B952ED">
        <w:rPr>
          <w:rFonts w:ascii="Times New Roman" w:hAnsi="Times New Roman" w:cs="Times New Roman"/>
          <w:sz w:val="24"/>
          <w:szCs w:val="24"/>
        </w:rPr>
        <w:t>No dose adjustment is required for patient over 65 years of age.</w:t>
      </w:r>
    </w:p>
    <w:p w14:paraId="280384B8" w14:textId="76D9731C" w:rsidR="00140C9B" w:rsidRPr="00B952ED" w:rsidRDefault="00BF40C5" w:rsidP="002C40D5">
      <w:pPr>
        <w:keepNext/>
        <w:spacing w:after="0"/>
        <w:rPr>
          <w:rFonts w:ascii="Times New Roman" w:hAnsi="Times New Roman" w:cs="Times New Roman"/>
          <w:sz w:val="24"/>
          <w:szCs w:val="24"/>
        </w:rPr>
      </w:pPr>
      <w:r w:rsidRPr="00B952ED">
        <w:rPr>
          <w:rFonts w:ascii="Times New Roman" w:hAnsi="Times New Roman" w:cs="Times New Roman"/>
          <w:sz w:val="24"/>
          <w:szCs w:val="24"/>
          <w:u w:val="single"/>
        </w:rPr>
        <w:t>Paediatric</w:t>
      </w:r>
      <w:r w:rsidR="00140C9B" w:rsidRPr="00B952ED">
        <w:rPr>
          <w:rFonts w:ascii="Times New Roman" w:hAnsi="Times New Roman" w:cs="Times New Roman"/>
          <w:sz w:val="24"/>
          <w:szCs w:val="24"/>
          <w:u w:val="single"/>
        </w:rPr>
        <w:t xml:space="preserve"> </w:t>
      </w:r>
      <w:r w:rsidR="00AD77A9" w:rsidRPr="00B952ED">
        <w:rPr>
          <w:rFonts w:ascii="Times New Roman" w:hAnsi="Times New Roman" w:cs="Times New Roman"/>
          <w:sz w:val="24"/>
          <w:szCs w:val="24"/>
          <w:u w:val="single"/>
        </w:rPr>
        <w:t>p</w:t>
      </w:r>
      <w:r w:rsidR="00140C9B" w:rsidRPr="00B952ED">
        <w:rPr>
          <w:rFonts w:ascii="Times New Roman" w:hAnsi="Times New Roman" w:cs="Times New Roman"/>
          <w:sz w:val="24"/>
          <w:szCs w:val="24"/>
          <w:u w:val="single"/>
        </w:rPr>
        <w:t>atients</w:t>
      </w:r>
    </w:p>
    <w:p w14:paraId="2A07548C" w14:textId="77777777" w:rsidR="00140C9B" w:rsidRPr="00B952ED" w:rsidRDefault="00140C9B" w:rsidP="002C40D5">
      <w:pPr>
        <w:keepNext/>
        <w:rPr>
          <w:rFonts w:ascii="Times New Roman" w:hAnsi="Times New Roman" w:cs="Times New Roman"/>
          <w:sz w:val="24"/>
          <w:szCs w:val="24"/>
        </w:rPr>
      </w:pPr>
      <w:r w:rsidRPr="00B952ED">
        <w:rPr>
          <w:rFonts w:ascii="Times New Roman" w:hAnsi="Times New Roman" w:cs="Times New Roman"/>
          <w:sz w:val="24"/>
          <w:szCs w:val="24"/>
        </w:rPr>
        <w:t>The safety and efficacy of LIVTENCITY in patients below 18 years of age have not been established.</w:t>
      </w:r>
    </w:p>
    <w:p w14:paraId="76434032" w14:textId="41DF95E6" w:rsidR="00140C9B" w:rsidRPr="00B952ED" w:rsidRDefault="00140C9B" w:rsidP="002C40D5">
      <w:pPr>
        <w:keepNext/>
        <w:spacing w:after="0"/>
        <w:rPr>
          <w:rFonts w:ascii="Times New Roman" w:hAnsi="Times New Roman" w:cs="Times New Roman"/>
          <w:sz w:val="24"/>
          <w:szCs w:val="24"/>
          <w:u w:val="single"/>
        </w:rPr>
      </w:pPr>
      <w:r w:rsidRPr="00B952ED">
        <w:rPr>
          <w:rFonts w:ascii="Times New Roman" w:hAnsi="Times New Roman" w:cs="Times New Roman"/>
          <w:sz w:val="24"/>
          <w:szCs w:val="24"/>
          <w:u w:val="single"/>
        </w:rPr>
        <w:t xml:space="preserve">Renal </w:t>
      </w:r>
      <w:r w:rsidR="00AD77A9" w:rsidRPr="00B952ED">
        <w:rPr>
          <w:rFonts w:ascii="Times New Roman" w:hAnsi="Times New Roman" w:cs="Times New Roman"/>
          <w:sz w:val="24"/>
          <w:szCs w:val="24"/>
          <w:u w:val="single"/>
        </w:rPr>
        <w:t>impairment</w:t>
      </w:r>
    </w:p>
    <w:p w14:paraId="41AC9BA7" w14:textId="69E8F29A" w:rsidR="007A088D" w:rsidRPr="00B952ED" w:rsidRDefault="00140C9B" w:rsidP="002C40D5">
      <w:pPr>
        <w:keepNext/>
        <w:rPr>
          <w:rFonts w:ascii="Times New Roman" w:hAnsi="Times New Roman" w:cs="Times New Roman"/>
          <w:sz w:val="24"/>
          <w:szCs w:val="24"/>
        </w:rPr>
      </w:pPr>
      <w:r w:rsidRPr="00B952ED">
        <w:rPr>
          <w:rFonts w:ascii="Times New Roman" w:hAnsi="Times New Roman" w:cs="Times New Roman"/>
          <w:sz w:val="24"/>
          <w:szCs w:val="24"/>
        </w:rPr>
        <w:t xml:space="preserve">No dose adjustment of LIVTENCITY is needed for patients with mild, </w:t>
      </w:r>
      <w:r w:rsidR="001A48D4" w:rsidRPr="00B952ED">
        <w:rPr>
          <w:rFonts w:ascii="Times New Roman" w:hAnsi="Times New Roman" w:cs="Times New Roman"/>
          <w:sz w:val="24"/>
          <w:szCs w:val="24"/>
        </w:rPr>
        <w:t>moderate,</w:t>
      </w:r>
      <w:r w:rsidRPr="00B952ED">
        <w:rPr>
          <w:rFonts w:ascii="Times New Roman" w:hAnsi="Times New Roman" w:cs="Times New Roman"/>
          <w:sz w:val="24"/>
          <w:szCs w:val="24"/>
        </w:rPr>
        <w:t xml:space="preserve"> or severe renal impairment.  </w:t>
      </w:r>
      <w:r w:rsidR="007A088D" w:rsidRPr="00B952ED">
        <w:rPr>
          <w:rFonts w:ascii="Times New Roman" w:hAnsi="Times New Roman" w:cs="Times New Roman"/>
          <w:sz w:val="24"/>
          <w:szCs w:val="24"/>
        </w:rPr>
        <w:t xml:space="preserve">Administration of LIVTENCITY in patients with end stage renal disease (ESRD), including patients on dialysis, has not been studied (see 5.2 </w:t>
      </w:r>
      <w:r w:rsidR="007A088D" w:rsidRPr="00B952ED">
        <w:rPr>
          <w:rFonts w:ascii="Times New Roman" w:hAnsi="Times New Roman" w:cs="Times New Roman"/>
          <w:smallCaps/>
          <w:sz w:val="24"/>
          <w:szCs w:val="24"/>
        </w:rPr>
        <w:t>Pharmacokinetic Properties</w:t>
      </w:r>
      <w:r w:rsidR="007A088D" w:rsidRPr="00B952ED">
        <w:rPr>
          <w:rFonts w:ascii="Times New Roman" w:hAnsi="Times New Roman" w:cs="Times New Roman"/>
          <w:sz w:val="24"/>
          <w:szCs w:val="24"/>
        </w:rPr>
        <w:t>)</w:t>
      </w:r>
      <w:r w:rsidR="00DD76B2">
        <w:rPr>
          <w:rFonts w:ascii="Times New Roman" w:hAnsi="Times New Roman" w:cs="Times New Roman"/>
          <w:sz w:val="24"/>
          <w:szCs w:val="24"/>
        </w:rPr>
        <w:t>.</w:t>
      </w:r>
    </w:p>
    <w:p w14:paraId="39CD163F" w14:textId="65712E5C" w:rsidR="00140C9B" w:rsidRPr="00B952ED" w:rsidRDefault="00140C9B" w:rsidP="002C40D5">
      <w:pPr>
        <w:keepNext/>
        <w:spacing w:after="0"/>
        <w:rPr>
          <w:rFonts w:ascii="Times New Roman" w:hAnsi="Times New Roman" w:cs="Times New Roman"/>
          <w:sz w:val="24"/>
          <w:szCs w:val="24"/>
          <w:u w:val="single"/>
        </w:rPr>
      </w:pPr>
      <w:r w:rsidRPr="00B952ED">
        <w:rPr>
          <w:rFonts w:ascii="Times New Roman" w:hAnsi="Times New Roman" w:cs="Times New Roman"/>
          <w:sz w:val="24"/>
          <w:szCs w:val="24"/>
          <w:u w:val="single"/>
        </w:rPr>
        <w:t xml:space="preserve">Hepatic </w:t>
      </w:r>
      <w:r w:rsidR="00AD77A9" w:rsidRPr="00B952ED">
        <w:rPr>
          <w:rFonts w:ascii="Times New Roman" w:hAnsi="Times New Roman" w:cs="Times New Roman"/>
          <w:sz w:val="24"/>
          <w:szCs w:val="24"/>
          <w:u w:val="single"/>
        </w:rPr>
        <w:t>impairment</w:t>
      </w:r>
    </w:p>
    <w:p w14:paraId="0BDB3CAA" w14:textId="3A9BC4F6" w:rsidR="00140C9B" w:rsidRPr="00B952ED" w:rsidRDefault="00140C9B" w:rsidP="002C40D5">
      <w:pPr>
        <w:keepNext/>
        <w:rPr>
          <w:rFonts w:ascii="Times New Roman" w:hAnsi="Times New Roman" w:cs="Times New Roman"/>
          <w:sz w:val="24"/>
          <w:szCs w:val="24"/>
        </w:rPr>
      </w:pPr>
      <w:r w:rsidRPr="00B952ED">
        <w:rPr>
          <w:rFonts w:ascii="Times New Roman" w:hAnsi="Times New Roman" w:cs="Times New Roman"/>
          <w:sz w:val="24"/>
          <w:szCs w:val="24"/>
        </w:rPr>
        <w:t>No dose adjustment of LIVTENCITY is needed for patients with mild (Child-Pugh Class AA) or moderate hepatic impairment (Child-Pugh Class B)</w:t>
      </w:r>
      <w:r w:rsidR="007A088D" w:rsidRPr="00B952ED">
        <w:rPr>
          <w:rFonts w:ascii="Times New Roman" w:hAnsi="Times New Roman" w:cs="Times New Roman"/>
          <w:sz w:val="24"/>
          <w:szCs w:val="24"/>
        </w:rPr>
        <w:t>.  Administration of LIVTENCITY in patients with severe hepatic impairment (Child-Pugh Class C)</w:t>
      </w:r>
      <w:r w:rsidRPr="00B952ED">
        <w:rPr>
          <w:rFonts w:ascii="Times New Roman" w:hAnsi="Times New Roman" w:cs="Times New Roman"/>
          <w:sz w:val="24"/>
          <w:szCs w:val="24"/>
        </w:rPr>
        <w:t xml:space="preserve"> has not been studied (see 5.2 </w:t>
      </w:r>
      <w:r w:rsidRPr="00B952ED">
        <w:rPr>
          <w:rFonts w:ascii="Times New Roman" w:hAnsi="Times New Roman" w:cs="Times New Roman"/>
          <w:smallCaps/>
          <w:sz w:val="24"/>
          <w:szCs w:val="24"/>
        </w:rPr>
        <w:t>Pharmacokinetic Properties</w:t>
      </w:r>
      <w:r w:rsidRPr="00B952ED">
        <w:rPr>
          <w:rFonts w:ascii="Times New Roman" w:hAnsi="Times New Roman" w:cs="Times New Roman"/>
          <w:sz w:val="24"/>
          <w:szCs w:val="24"/>
        </w:rPr>
        <w:t>).</w:t>
      </w:r>
    </w:p>
    <w:p w14:paraId="77AA65BC" w14:textId="77777777" w:rsidR="00A35403" w:rsidRDefault="00DC494A" w:rsidP="00DC494A">
      <w:pPr>
        <w:rPr>
          <w:rFonts w:ascii="Times New Roman" w:hAnsi="Times New Roman" w:cs="Times New Roman"/>
          <w:b/>
          <w:bCs/>
          <w:sz w:val="24"/>
          <w:szCs w:val="24"/>
        </w:rPr>
      </w:pPr>
      <w:r w:rsidRPr="00B952ED">
        <w:rPr>
          <w:rFonts w:ascii="Times New Roman" w:hAnsi="Times New Roman" w:cs="Times New Roman"/>
          <w:b/>
          <w:bCs/>
          <w:sz w:val="24"/>
          <w:szCs w:val="24"/>
        </w:rPr>
        <w:t>Method of administration</w:t>
      </w:r>
    </w:p>
    <w:p w14:paraId="30B3B6AA" w14:textId="39FB459D" w:rsidR="00DC494A" w:rsidRDefault="00DC494A" w:rsidP="00DC494A">
      <w:pPr>
        <w:rPr>
          <w:rFonts w:ascii="Times New Roman" w:hAnsi="Times New Roman" w:cs="Times New Roman"/>
          <w:sz w:val="24"/>
          <w:szCs w:val="24"/>
        </w:rPr>
      </w:pPr>
      <w:r w:rsidRPr="00B952ED">
        <w:rPr>
          <w:rFonts w:ascii="Times New Roman" w:hAnsi="Times New Roman" w:cs="Times New Roman"/>
          <w:sz w:val="24"/>
          <w:szCs w:val="24"/>
        </w:rPr>
        <w:t>LIVTENCITY is intended for oral use only and can be taken with or without food.  The immediate-release tablet can be taken as whole</w:t>
      </w:r>
      <w:r w:rsidR="00BF5223">
        <w:rPr>
          <w:rFonts w:ascii="Times New Roman" w:hAnsi="Times New Roman" w:cs="Times New Roman"/>
          <w:sz w:val="24"/>
          <w:szCs w:val="24"/>
        </w:rPr>
        <w:t xml:space="preserve">, </w:t>
      </w:r>
      <w:r w:rsidR="000904C4">
        <w:rPr>
          <w:rFonts w:ascii="Times New Roman" w:hAnsi="Times New Roman" w:cs="Times New Roman"/>
          <w:sz w:val="24"/>
          <w:szCs w:val="24"/>
        </w:rPr>
        <w:t>dispersed,</w:t>
      </w:r>
      <w:r w:rsidR="00BF5223">
        <w:rPr>
          <w:rFonts w:ascii="Times New Roman" w:hAnsi="Times New Roman" w:cs="Times New Roman"/>
          <w:sz w:val="24"/>
          <w:szCs w:val="24"/>
        </w:rPr>
        <w:t xml:space="preserve"> or</w:t>
      </w:r>
      <w:r w:rsidRPr="00B952ED">
        <w:rPr>
          <w:rFonts w:ascii="Times New Roman" w:hAnsi="Times New Roman" w:cs="Times New Roman"/>
          <w:sz w:val="24"/>
          <w:szCs w:val="24"/>
        </w:rPr>
        <w:t xml:space="preserve"> crushed tablet</w:t>
      </w:r>
      <w:r w:rsidR="00BF5223">
        <w:rPr>
          <w:rFonts w:ascii="Times New Roman" w:hAnsi="Times New Roman" w:cs="Times New Roman"/>
          <w:sz w:val="24"/>
          <w:szCs w:val="24"/>
        </w:rPr>
        <w:t>s by mouth, or as dispersed</w:t>
      </w:r>
      <w:r w:rsidRPr="00B952ED">
        <w:rPr>
          <w:rFonts w:ascii="Times New Roman" w:hAnsi="Times New Roman" w:cs="Times New Roman"/>
          <w:sz w:val="24"/>
          <w:szCs w:val="24"/>
        </w:rPr>
        <w:t xml:space="preserve"> tablet</w:t>
      </w:r>
      <w:r w:rsidR="00BF5223">
        <w:rPr>
          <w:rFonts w:ascii="Times New Roman" w:hAnsi="Times New Roman" w:cs="Times New Roman"/>
          <w:sz w:val="24"/>
          <w:szCs w:val="24"/>
        </w:rPr>
        <w:t>s</w:t>
      </w:r>
      <w:r w:rsidRPr="00B952ED">
        <w:rPr>
          <w:rFonts w:ascii="Times New Roman" w:hAnsi="Times New Roman" w:cs="Times New Roman"/>
          <w:sz w:val="24"/>
          <w:szCs w:val="24"/>
        </w:rPr>
        <w:t xml:space="preserve"> through </w:t>
      </w:r>
      <w:r w:rsidR="008C4E30">
        <w:rPr>
          <w:rFonts w:ascii="Times New Roman" w:hAnsi="Times New Roman" w:cs="Times New Roman"/>
          <w:sz w:val="24"/>
          <w:szCs w:val="24"/>
        </w:rPr>
        <w:t xml:space="preserve">a polyvinyl chloride (PVC) or polyurethane </w:t>
      </w:r>
      <w:r w:rsidRPr="00B952ED">
        <w:rPr>
          <w:rFonts w:ascii="Times New Roman" w:hAnsi="Times New Roman" w:cs="Times New Roman"/>
          <w:sz w:val="24"/>
          <w:szCs w:val="24"/>
        </w:rPr>
        <w:t>nasogastric or orogastric tube</w:t>
      </w:r>
      <w:r w:rsidR="00BF5223">
        <w:rPr>
          <w:rFonts w:ascii="Times New Roman" w:hAnsi="Times New Roman" w:cs="Times New Roman"/>
          <w:sz w:val="24"/>
          <w:szCs w:val="24"/>
        </w:rPr>
        <w:t xml:space="preserve"> (French size 10 or larger).  The suspension may be prepared ahead of time and stored at room temperature for up to 8 hours</w:t>
      </w:r>
      <w:r w:rsidRPr="00B952ED">
        <w:rPr>
          <w:rFonts w:ascii="Times New Roman" w:hAnsi="Times New Roman" w:cs="Times New Roman"/>
          <w:sz w:val="24"/>
          <w:szCs w:val="24"/>
        </w:rPr>
        <w:t>.</w:t>
      </w:r>
    </w:p>
    <w:p w14:paraId="0F182318" w14:textId="62FDDE4A" w:rsidR="00BF5223" w:rsidRPr="000B7818" w:rsidRDefault="00BF5223" w:rsidP="000B7818">
      <w:pPr>
        <w:keepNext/>
        <w:spacing w:after="0"/>
        <w:rPr>
          <w:rFonts w:ascii="Times New Roman" w:hAnsi="Times New Roman" w:cs="Times New Roman"/>
          <w:sz w:val="24"/>
          <w:szCs w:val="24"/>
          <w:u w:val="single"/>
        </w:rPr>
      </w:pPr>
      <w:r w:rsidRPr="000B7818">
        <w:rPr>
          <w:rFonts w:ascii="Times New Roman" w:hAnsi="Times New Roman" w:cs="Times New Roman"/>
          <w:sz w:val="24"/>
          <w:szCs w:val="24"/>
          <w:u w:val="single"/>
        </w:rPr>
        <w:t>Administration of Dispersed Tablets by Mouth</w:t>
      </w:r>
      <w:r w:rsidR="00BC6019" w:rsidRPr="000B7818">
        <w:rPr>
          <w:rFonts w:ascii="Times New Roman" w:hAnsi="Times New Roman" w:cs="Times New Roman"/>
          <w:sz w:val="24"/>
          <w:szCs w:val="24"/>
          <w:u w:val="single"/>
        </w:rPr>
        <w:t>:</w:t>
      </w:r>
    </w:p>
    <w:p w14:paraId="1261D448" w14:textId="0B8C40F7" w:rsidR="00350A8F" w:rsidRDefault="00350A8F" w:rsidP="00350A8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Place two tablets into a suitable container and add 30 mL of drinking water (other liquids have not been tested) to make a suspension</w:t>
      </w:r>
    </w:p>
    <w:p w14:paraId="1EA4ECB8" w14:textId="1E5EE8A3" w:rsidR="00350A8F" w:rsidRDefault="00350A8F" w:rsidP="00350A8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Swirl the container gently to keep the particles from settling and administer the suspension before it settles.</w:t>
      </w:r>
    </w:p>
    <w:p w14:paraId="0071A50A" w14:textId="697CDD74" w:rsidR="00350A8F" w:rsidRDefault="00350A8F" w:rsidP="00350A8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Rinse the container with 15 mL of drinking water and administer the rinsed waster.</w:t>
      </w:r>
    </w:p>
    <w:p w14:paraId="76489529" w14:textId="4EC3AA89" w:rsidR="00350A8F" w:rsidRDefault="00350A8F" w:rsidP="00350A8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Repeat Step 3. Visually confirm that no particles are left in the container. If particles remain, repeat Step 3.</w:t>
      </w:r>
    </w:p>
    <w:p w14:paraId="43722ED9" w14:textId="3E6A27CD" w:rsidR="005E3ECD" w:rsidRPr="005E3ECD" w:rsidRDefault="005E3ECD" w:rsidP="005E3ECD">
      <w:pPr>
        <w:ind w:left="360"/>
        <w:rPr>
          <w:rFonts w:ascii="Times New Roman" w:hAnsi="Times New Roman" w:cs="Times New Roman"/>
          <w:sz w:val="24"/>
          <w:szCs w:val="24"/>
        </w:rPr>
      </w:pPr>
      <w:r>
        <w:rPr>
          <w:rFonts w:ascii="Times New Roman" w:hAnsi="Times New Roman" w:cs="Times New Roman"/>
          <w:sz w:val="24"/>
          <w:szCs w:val="24"/>
        </w:rPr>
        <w:t>For recommended doses of 800</w:t>
      </w:r>
      <w:r w:rsidR="004F6051">
        <w:rPr>
          <w:rFonts w:ascii="Times New Roman" w:hAnsi="Times New Roman" w:cs="Times New Roman"/>
          <w:sz w:val="24"/>
          <w:szCs w:val="24"/>
        </w:rPr>
        <w:t xml:space="preserve"> mg, use 60 mL and for 1200 mg, use 90 mL of drinking water to disperse</w:t>
      </w:r>
      <w:r w:rsidR="000713C0">
        <w:rPr>
          <w:rFonts w:ascii="Times New Roman" w:hAnsi="Times New Roman" w:cs="Times New Roman"/>
          <w:sz w:val="24"/>
          <w:szCs w:val="24"/>
        </w:rPr>
        <w:t>.  Follow Steps 2-4</w:t>
      </w:r>
      <w:r w:rsidR="000C468A">
        <w:rPr>
          <w:rFonts w:ascii="Times New Roman" w:hAnsi="Times New Roman" w:cs="Times New Roman"/>
          <w:sz w:val="24"/>
          <w:szCs w:val="24"/>
        </w:rPr>
        <w:t xml:space="preserve"> as above.</w:t>
      </w:r>
    </w:p>
    <w:p w14:paraId="1BAB681B" w14:textId="40459958" w:rsidR="00350A8F" w:rsidRPr="000B7818" w:rsidRDefault="00350A8F" w:rsidP="000B7818">
      <w:pPr>
        <w:keepNext/>
        <w:spacing w:after="0"/>
        <w:rPr>
          <w:rFonts w:ascii="Times New Roman" w:hAnsi="Times New Roman" w:cs="Times New Roman"/>
          <w:sz w:val="24"/>
          <w:szCs w:val="24"/>
          <w:u w:val="single"/>
        </w:rPr>
      </w:pPr>
      <w:r w:rsidRPr="000B7818">
        <w:rPr>
          <w:rFonts w:ascii="Times New Roman" w:hAnsi="Times New Roman" w:cs="Times New Roman"/>
          <w:sz w:val="24"/>
          <w:szCs w:val="24"/>
          <w:u w:val="single"/>
        </w:rPr>
        <w:lastRenderedPageBreak/>
        <w:t>Administration of Crushed Tablets by Mouth</w:t>
      </w:r>
      <w:r w:rsidR="00BC6019" w:rsidRPr="000B7818">
        <w:rPr>
          <w:rFonts w:ascii="Times New Roman" w:hAnsi="Times New Roman" w:cs="Times New Roman"/>
          <w:sz w:val="24"/>
          <w:szCs w:val="24"/>
          <w:u w:val="single"/>
        </w:rPr>
        <w:t>:</w:t>
      </w:r>
    </w:p>
    <w:p w14:paraId="08AE641D" w14:textId="0D50C645" w:rsidR="00350A8F" w:rsidRDefault="00350A8F" w:rsidP="00350A8F">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Place two tablets into a suitable container and crush into fine particles.  Add 30 mL of drinking water (other liquids have not been tested)</w:t>
      </w:r>
    </w:p>
    <w:p w14:paraId="6ED2F8EA" w14:textId="3AFE8F7A" w:rsidR="00350A8F" w:rsidRDefault="00350A8F" w:rsidP="00350A8F">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Stir the container gently to keep the particles from settling and administer the suspension before it settles.  </w:t>
      </w:r>
    </w:p>
    <w:p w14:paraId="4BAAD333" w14:textId="41833166" w:rsidR="00350A8F" w:rsidRDefault="00350A8F" w:rsidP="00350A8F">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Rinse the container with 15 mL of drinking water and administer the rinsed water</w:t>
      </w:r>
    </w:p>
    <w:p w14:paraId="610AF31D" w14:textId="6AF04242" w:rsidR="00350A8F" w:rsidRDefault="00350A8F" w:rsidP="00350A8F">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Repeat Step 3. Visually confirm that no particles are left in the container.  If particles remain, repeat Step 3. </w:t>
      </w:r>
    </w:p>
    <w:p w14:paraId="4DF3B3F0" w14:textId="77777777" w:rsidR="0075790A" w:rsidRPr="0075790A" w:rsidRDefault="0075790A" w:rsidP="0075790A">
      <w:pPr>
        <w:ind w:left="360"/>
        <w:rPr>
          <w:rFonts w:ascii="Times New Roman" w:hAnsi="Times New Roman" w:cs="Times New Roman"/>
          <w:sz w:val="24"/>
          <w:szCs w:val="24"/>
        </w:rPr>
      </w:pPr>
      <w:r w:rsidRPr="0075790A">
        <w:rPr>
          <w:rFonts w:ascii="Times New Roman" w:hAnsi="Times New Roman" w:cs="Times New Roman"/>
          <w:sz w:val="24"/>
          <w:szCs w:val="24"/>
        </w:rPr>
        <w:t>For recommended doses of 800 mg, use 60 mL and for 1200 mg, use 90 mL of drinking water to disperse.  Follow Steps 2-4 as above.</w:t>
      </w:r>
    </w:p>
    <w:p w14:paraId="065E3D64" w14:textId="419995CE" w:rsidR="00350A8F" w:rsidRPr="000B7818" w:rsidRDefault="00862891" w:rsidP="000B7818">
      <w:pPr>
        <w:keepNext/>
        <w:spacing w:after="0"/>
        <w:rPr>
          <w:rFonts w:ascii="Times New Roman" w:hAnsi="Times New Roman" w:cs="Times New Roman"/>
          <w:sz w:val="24"/>
          <w:szCs w:val="24"/>
          <w:u w:val="single"/>
        </w:rPr>
      </w:pPr>
      <w:r w:rsidRPr="000B7818">
        <w:rPr>
          <w:rFonts w:ascii="Times New Roman" w:hAnsi="Times New Roman" w:cs="Times New Roman"/>
          <w:sz w:val="24"/>
          <w:szCs w:val="24"/>
          <w:u w:val="single"/>
        </w:rPr>
        <w:t xml:space="preserve">Administration of Dispersed Tablets </w:t>
      </w:r>
      <w:r w:rsidR="00333B78">
        <w:rPr>
          <w:rFonts w:ascii="Times New Roman" w:hAnsi="Times New Roman" w:cs="Times New Roman"/>
          <w:sz w:val="24"/>
          <w:szCs w:val="24"/>
          <w:u w:val="single"/>
        </w:rPr>
        <w:t>t</w:t>
      </w:r>
      <w:r w:rsidR="00333B78" w:rsidRPr="000B7818">
        <w:rPr>
          <w:rFonts w:ascii="Times New Roman" w:hAnsi="Times New Roman" w:cs="Times New Roman"/>
          <w:sz w:val="24"/>
          <w:szCs w:val="24"/>
          <w:u w:val="single"/>
        </w:rPr>
        <w:t xml:space="preserve">hrough </w:t>
      </w:r>
      <w:r w:rsidRPr="000B7818">
        <w:rPr>
          <w:rFonts w:ascii="Times New Roman" w:hAnsi="Times New Roman" w:cs="Times New Roman"/>
          <w:sz w:val="24"/>
          <w:szCs w:val="24"/>
          <w:u w:val="single"/>
        </w:rPr>
        <w:t xml:space="preserve">a Nasogastric (NG) or Orogastric (OG) </w:t>
      </w:r>
      <w:r w:rsidR="003E73C2">
        <w:rPr>
          <w:rFonts w:ascii="Times New Roman" w:hAnsi="Times New Roman" w:cs="Times New Roman"/>
          <w:sz w:val="24"/>
          <w:szCs w:val="24"/>
          <w:u w:val="single"/>
        </w:rPr>
        <w:t>T</w:t>
      </w:r>
      <w:r w:rsidRPr="000B7818">
        <w:rPr>
          <w:rFonts w:ascii="Times New Roman" w:hAnsi="Times New Roman" w:cs="Times New Roman"/>
          <w:sz w:val="24"/>
          <w:szCs w:val="24"/>
          <w:u w:val="single"/>
        </w:rPr>
        <w:t>ube</w:t>
      </w:r>
      <w:r w:rsidR="000B7818">
        <w:rPr>
          <w:rFonts w:ascii="Times New Roman" w:hAnsi="Times New Roman" w:cs="Times New Roman"/>
          <w:sz w:val="24"/>
          <w:szCs w:val="24"/>
          <w:u w:val="single"/>
        </w:rPr>
        <w:t>:</w:t>
      </w:r>
    </w:p>
    <w:p w14:paraId="64D97B43" w14:textId="2A09FBDC" w:rsidR="00862891" w:rsidRDefault="00862891" w:rsidP="0086289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Remove the plunger out of a 50- or 60-mL syringe.  Add two tablets into the syringe body and place the plunger back in the syringe.</w:t>
      </w:r>
    </w:p>
    <w:p w14:paraId="4371E11D" w14:textId="6FC20F19" w:rsidR="00862891" w:rsidRDefault="00862891" w:rsidP="0086289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Withdraw 30 mL of drinking water (other liquids have not been tested) into the syringe and hold the syringe with the tip pointing upward.  Pull the plunger further to a higher volume position to have some air space in the syringe.  Shake the syringe well (careful not to spill the contents) for about 30 to 45 seconds or until the tablets are completed dispersed. </w:t>
      </w:r>
    </w:p>
    <w:p w14:paraId="02CA22EE" w14:textId="1318FE9D" w:rsidR="00862891" w:rsidRDefault="00862891" w:rsidP="0086289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Once the tablets are completely dispersed in the syringe, attach the syringe to the NG or OG tube and administer the dispersion before it settles.</w:t>
      </w:r>
    </w:p>
    <w:p w14:paraId="667BE6E4" w14:textId="05A10FAD" w:rsidR="00862891" w:rsidRDefault="00862891" w:rsidP="00862891">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Withdraw 15 mL of water using the same syringe and flush through the same NG or OG tu</w:t>
      </w:r>
      <w:r w:rsidR="009E1D89">
        <w:rPr>
          <w:rFonts w:ascii="Times New Roman" w:hAnsi="Times New Roman" w:cs="Times New Roman"/>
          <w:sz w:val="24"/>
          <w:szCs w:val="24"/>
        </w:rPr>
        <w:t>be</w:t>
      </w:r>
      <w:r>
        <w:rPr>
          <w:rFonts w:ascii="Times New Roman" w:hAnsi="Times New Roman" w:cs="Times New Roman"/>
          <w:sz w:val="24"/>
          <w:szCs w:val="24"/>
        </w:rPr>
        <w:t>.</w:t>
      </w:r>
    </w:p>
    <w:p w14:paraId="09C295D2" w14:textId="1F783D91" w:rsidR="00862891" w:rsidRDefault="00862891" w:rsidP="009E1D89">
      <w:pPr>
        <w:pStyle w:val="ListParagraph"/>
        <w:numPr>
          <w:ilvl w:val="0"/>
          <w:numId w:val="23"/>
        </w:numPr>
        <w:rPr>
          <w:rFonts w:ascii="Times New Roman" w:hAnsi="Times New Roman" w:cs="Times New Roman"/>
          <w:sz w:val="24"/>
          <w:szCs w:val="24"/>
        </w:rPr>
      </w:pPr>
      <w:r w:rsidRPr="009E1D89">
        <w:rPr>
          <w:rFonts w:ascii="Times New Roman" w:hAnsi="Times New Roman" w:cs="Times New Roman"/>
          <w:sz w:val="24"/>
          <w:szCs w:val="24"/>
        </w:rPr>
        <w:t xml:space="preserve">Repeat Step 4 and make sure no particles are left in the syringe by visual inspection.  If particle remain, repeat Step 4. </w:t>
      </w:r>
    </w:p>
    <w:p w14:paraId="62DEABFB" w14:textId="48C93003" w:rsidR="008238DC" w:rsidRPr="0085189D" w:rsidRDefault="008238DC" w:rsidP="0085189D">
      <w:pPr>
        <w:ind w:left="360"/>
        <w:rPr>
          <w:rFonts w:ascii="Times New Roman" w:hAnsi="Times New Roman" w:cs="Times New Roman"/>
          <w:sz w:val="24"/>
          <w:szCs w:val="24"/>
        </w:rPr>
      </w:pPr>
      <w:r w:rsidRPr="0085189D">
        <w:rPr>
          <w:rFonts w:ascii="Times New Roman" w:hAnsi="Times New Roman" w:cs="Times New Roman"/>
          <w:sz w:val="24"/>
          <w:szCs w:val="24"/>
        </w:rPr>
        <w:t>For recommended doses of 800 mg and 1200 mg</w:t>
      </w:r>
      <w:r w:rsidR="00166DCF" w:rsidRPr="0085189D">
        <w:rPr>
          <w:rFonts w:ascii="Times New Roman" w:hAnsi="Times New Roman" w:cs="Times New Roman"/>
          <w:sz w:val="24"/>
          <w:szCs w:val="24"/>
        </w:rPr>
        <w:t xml:space="preserve">, repeat Steps 1-5 </w:t>
      </w:r>
      <w:r w:rsidR="00497FE3" w:rsidRPr="0085189D">
        <w:rPr>
          <w:rFonts w:ascii="Times New Roman" w:hAnsi="Times New Roman" w:cs="Times New Roman"/>
          <w:sz w:val="24"/>
          <w:szCs w:val="24"/>
        </w:rPr>
        <w:t xml:space="preserve">two or three times accordingly.  The same syringe, NG or OG </w:t>
      </w:r>
      <w:r w:rsidR="0085189D" w:rsidRPr="0085189D">
        <w:rPr>
          <w:rFonts w:ascii="Times New Roman" w:hAnsi="Times New Roman" w:cs="Times New Roman"/>
          <w:sz w:val="24"/>
          <w:szCs w:val="24"/>
        </w:rPr>
        <w:t>tube can be used.</w:t>
      </w:r>
    </w:p>
    <w:p w14:paraId="2BFD0DCE" w14:textId="08237B1A" w:rsidR="001A3992" w:rsidRPr="00B952ED" w:rsidRDefault="001A3992" w:rsidP="001A3992">
      <w:pPr>
        <w:pStyle w:val="Heading2"/>
        <w:spacing w:before="0" w:after="120"/>
        <w:rPr>
          <w:rFonts w:ascii="Times New Roman" w:hAnsi="Times New Roman" w:cs="Times New Roman"/>
        </w:rPr>
      </w:pPr>
      <w:r w:rsidRPr="00B952ED">
        <w:rPr>
          <w:rFonts w:ascii="Times New Roman" w:hAnsi="Times New Roman" w:cs="Times New Roman"/>
        </w:rPr>
        <w:t>Contraindications</w:t>
      </w:r>
    </w:p>
    <w:p w14:paraId="6B2697DB" w14:textId="206D2803" w:rsidR="00140C9B" w:rsidRPr="00B952ED" w:rsidRDefault="00140C9B" w:rsidP="00914FB7">
      <w:pPr>
        <w:rPr>
          <w:rFonts w:ascii="Times New Roman" w:hAnsi="Times New Roman" w:cs="Times New Roman"/>
          <w:sz w:val="24"/>
          <w:szCs w:val="24"/>
        </w:rPr>
      </w:pPr>
      <w:r w:rsidRPr="00B952ED">
        <w:rPr>
          <w:rFonts w:ascii="Times New Roman" w:hAnsi="Times New Roman" w:cs="Times New Roman"/>
          <w:sz w:val="24"/>
          <w:szCs w:val="24"/>
        </w:rPr>
        <w:t>LIVTENCITY is contraindicated in individuals with known hy</w:t>
      </w:r>
      <w:r w:rsidR="00B8246E" w:rsidRPr="00B952ED">
        <w:rPr>
          <w:rFonts w:ascii="Times New Roman" w:hAnsi="Times New Roman" w:cs="Times New Roman"/>
          <w:sz w:val="24"/>
          <w:szCs w:val="24"/>
        </w:rPr>
        <w:t>persensitivity to</w:t>
      </w:r>
      <w:r w:rsidR="00BF40C5" w:rsidRPr="00B952ED">
        <w:rPr>
          <w:rFonts w:ascii="Times New Roman" w:hAnsi="Times New Roman" w:cs="Times New Roman"/>
          <w:sz w:val="24"/>
          <w:szCs w:val="24"/>
        </w:rPr>
        <w:t xml:space="preserve"> maribavir </w:t>
      </w:r>
      <w:r w:rsidR="00B8246E" w:rsidRPr="00B952ED">
        <w:rPr>
          <w:rFonts w:ascii="Times New Roman" w:hAnsi="Times New Roman" w:cs="Times New Roman"/>
          <w:sz w:val="24"/>
          <w:szCs w:val="24"/>
        </w:rPr>
        <w:t xml:space="preserve">or any </w:t>
      </w:r>
      <w:r w:rsidR="00BF40C5" w:rsidRPr="00B952ED">
        <w:rPr>
          <w:rFonts w:ascii="Times New Roman" w:hAnsi="Times New Roman" w:cs="Times New Roman"/>
          <w:sz w:val="24"/>
          <w:szCs w:val="24"/>
        </w:rPr>
        <w:t>components of the formulation (see e</w:t>
      </w:r>
      <w:r w:rsidR="00B8246E" w:rsidRPr="00B952ED">
        <w:rPr>
          <w:rFonts w:ascii="Times New Roman" w:hAnsi="Times New Roman" w:cs="Times New Roman"/>
          <w:sz w:val="24"/>
          <w:szCs w:val="24"/>
        </w:rPr>
        <w:t>xcipients listed in section 6.1</w:t>
      </w:r>
      <w:r w:rsidR="00BF40C5" w:rsidRPr="00B952ED">
        <w:rPr>
          <w:rFonts w:ascii="Times New Roman" w:hAnsi="Times New Roman" w:cs="Times New Roman"/>
          <w:sz w:val="24"/>
          <w:szCs w:val="24"/>
        </w:rPr>
        <w:t>)</w:t>
      </w:r>
      <w:r w:rsidR="00B8246E" w:rsidRPr="00B952ED">
        <w:rPr>
          <w:rFonts w:ascii="Times New Roman" w:hAnsi="Times New Roman" w:cs="Times New Roman"/>
          <w:sz w:val="24"/>
          <w:szCs w:val="24"/>
        </w:rPr>
        <w:t xml:space="preserve">.  </w:t>
      </w:r>
    </w:p>
    <w:p w14:paraId="0CC54762" w14:textId="16A4C38C" w:rsidR="00140C9B" w:rsidRPr="00B952ED" w:rsidRDefault="00B8246E" w:rsidP="00914FB7">
      <w:pPr>
        <w:rPr>
          <w:rFonts w:ascii="Times New Roman" w:hAnsi="Times New Roman" w:cs="Times New Roman"/>
          <w:sz w:val="24"/>
          <w:szCs w:val="24"/>
        </w:rPr>
      </w:pPr>
      <w:r w:rsidRPr="00B952ED">
        <w:rPr>
          <w:rFonts w:ascii="Times New Roman" w:hAnsi="Times New Roman" w:cs="Times New Roman"/>
          <w:sz w:val="24"/>
          <w:szCs w:val="24"/>
        </w:rPr>
        <w:t xml:space="preserve">Co-administration of LIVTENCITY with ganciclovir </w:t>
      </w:r>
      <w:r w:rsidR="002E525B" w:rsidRPr="00B952ED">
        <w:rPr>
          <w:rFonts w:ascii="Times New Roman" w:hAnsi="Times New Roman" w:cs="Times New Roman"/>
          <w:sz w:val="24"/>
          <w:szCs w:val="24"/>
        </w:rPr>
        <w:t>or valganciclovir</w:t>
      </w:r>
      <w:r w:rsidR="00BF40C5" w:rsidRPr="00B952ED">
        <w:rPr>
          <w:rFonts w:ascii="Times New Roman" w:hAnsi="Times New Roman" w:cs="Times New Roman"/>
          <w:sz w:val="24"/>
          <w:szCs w:val="24"/>
        </w:rPr>
        <w:t xml:space="preserve"> is contraindicated.</w:t>
      </w:r>
      <w:r w:rsidR="00AD0777" w:rsidRPr="00B952ED">
        <w:rPr>
          <w:rFonts w:ascii="Times New Roman" w:hAnsi="Times New Roman" w:cs="Times New Roman"/>
          <w:sz w:val="24"/>
          <w:szCs w:val="24"/>
        </w:rPr>
        <w:t xml:space="preserve">  </w:t>
      </w:r>
    </w:p>
    <w:p w14:paraId="54364E10" w14:textId="351D69CC" w:rsidR="00914FB7" w:rsidRPr="00B952ED" w:rsidRDefault="00AD0777" w:rsidP="00914FB7">
      <w:pPr>
        <w:rPr>
          <w:rFonts w:ascii="Times New Roman" w:hAnsi="Times New Roman" w:cs="Times New Roman"/>
          <w:sz w:val="24"/>
          <w:szCs w:val="24"/>
        </w:rPr>
      </w:pPr>
      <w:r w:rsidRPr="00B952ED">
        <w:rPr>
          <w:rFonts w:ascii="Times New Roman" w:hAnsi="Times New Roman" w:cs="Times New Roman"/>
          <w:sz w:val="24"/>
          <w:szCs w:val="24"/>
        </w:rPr>
        <w:t xml:space="preserve">LIVTENCITY may </w:t>
      </w:r>
      <w:r w:rsidR="00347F0D" w:rsidRPr="00B952ED">
        <w:rPr>
          <w:rFonts w:ascii="Times New Roman" w:hAnsi="Times New Roman" w:cs="Times New Roman"/>
          <w:sz w:val="24"/>
          <w:szCs w:val="24"/>
        </w:rPr>
        <w:t xml:space="preserve">antagonise </w:t>
      </w:r>
      <w:r w:rsidR="003D54AC" w:rsidRPr="00B952ED">
        <w:rPr>
          <w:rFonts w:ascii="Times New Roman" w:hAnsi="Times New Roman" w:cs="Times New Roman"/>
          <w:sz w:val="24"/>
          <w:szCs w:val="24"/>
        </w:rPr>
        <w:t>the antiviral effect of ganciclovir and valganciclovir by inhibiting human CMV UL97 serine/thre</w:t>
      </w:r>
      <w:r w:rsidR="00EC34FE" w:rsidRPr="00B952ED">
        <w:rPr>
          <w:rFonts w:ascii="Times New Roman" w:hAnsi="Times New Roman" w:cs="Times New Roman"/>
          <w:sz w:val="24"/>
          <w:szCs w:val="24"/>
        </w:rPr>
        <w:t xml:space="preserve">onine kinase, which is required for activation/phosphorylation of ganciclovir </w:t>
      </w:r>
      <w:r w:rsidR="006B66D0" w:rsidRPr="00B952ED">
        <w:rPr>
          <w:rFonts w:ascii="Times New Roman" w:hAnsi="Times New Roman" w:cs="Times New Roman"/>
          <w:sz w:val="24"/>
          <w:szCs w:val="24"/>
        </w:rPr>
        <w:t xml:space="preserve">and valganciclovir (see </w:t>
      </w:r>
      <w:r w:rsidR="007971D1" w:rsidRPr="00B952ED">
        <w:rPr>
          <w:rFonts w:ascii="Times New Roman" w:hAnsi="Times New Roman" w:cs="Times New Roman"/>
          <w:smallCaps/>
          <w:sz w:val="24"/>
          <w:szCs w:val="24"/>
        </w:rPr>
        <w:t>4.5 Interaction with other Medications and other Forms of Interaction</w:t>
      </w:r>
      <w:r w:rsidR="00B437E0" w:rsidRPr="00B952ED">
        <w:rPr>
          <w:rFonts w:ascii="Times New Roman" w:hAnsi="Times New Roman" w:cs="Times New Roman"/>
          <w:sz w:val="24"/>
          <w:szCs w:val="24"/>
        </w:rPr>
        <w:t xml:space="preserve"> and </w:t>
      </w:r>
      <w:r w:rsidR="00B437E0" w:rsidRPr="00B952ED">
        <w:rPr>
          <w:rFonts w:ascii="Times New Roman" w:hAnsi="Times New Roman" w:cs="Times New Roman"/>
          <w:smallCaps/>
          <w:sz w:val="24"/>
          <w:szCs w:val="24"/>
        </w:rPr>
        <w:t>5.2 Pharmacokinetic Properties</w:t>
      </w:r>
      <w:r w:rsidR="00B437E0" w:rsidRPr="00B952ED">
        <w:rPr>
          <w:rFonts w:ascii="Times New Roman" w:hAnsi="Times New Roman" w:cs="Times New Roman"/>
          <w:sz w:val="24"/>
          <w:szCs w:val="24"/>
        </w:rPr>
        <w:t>).</w:t>
      </w:r>
    </w:p>
    <w:p w14:paraId="26076563" w14:textId="77777777" w:rsidR="001A3992" w:rsidRPr="00B952ED" w:rsidRDefault="00E74A56" w:rsidP="00F72388">
      <w:pPr>
        <w:pStyle w:val="Heading2"/>
        <w:pageBreakBefore/>
        <w:spacing w:before="0" w:after="120"/>
        <w:ind w:left="578" w:hanging="578"/>
        <w:rPr>
          <w:rFonts w:ascii="Times New Roman" w:hAnsi="Times New Roman" w:cs="Times New Roman"/>
        </w:rPr>
      </w:pPr>
      <w:r w:rsidRPr="00B952ED">
        <w:rPr>
          <w:rFonts w:ascii="Times New Roman" w:hAnsi="Times New Roman" w:cs="Times New Roman"/>
        </w:rPr>
        <w:lastRenderedPageBreak/>
        <w:t>Special warnings and p</w:t>
      </w:r>
      <w:r w:rsidR="001A3992" w:rsidRPr="00B952ED">
        <w:rPr>
          <w:rFonts w:ascii="Times New Roman" w:hAnsi="Times New Roman" w:cs="Times New Roman"/>
        </w:rPr>
        <w:t xml:space="preserve">recautions </w:t>
      </w:r>
      <w:r w:rsidRPr="00B952ED">
        <w:rPr>
          <w:rFonts w:ascii="Times New Roman" w:hAnsi="Times New Roman" w:cs="Times New Roman"/>
        </w:rPr>
        <w:t>for use</w:t>
      </w:r>
    </w:p>
    <w:p w14:paraId="39E1DB7B" w14:textId="43D730CA" w:rsidR="00734579" w:rsidRDefault="0005794C" w:rsidP="00BF40C5">
      <w:pPr>
        <w:pStyle w:val="Heading3"/>
        <w:spacing w:before="0"/>
        <w:ind w:left="0"/>
        <w:rPr>
          <w:rFonts w:ascii="Times New Roman" w:hAnsi="Times New Roman" w:cs="Times New Roman"/>
          <w:b w:val="0"/>
          <w:bCs w:val="0"/>
          <w:sz w:val="24"/>
          <w:szCs w:val="24"/>
          <w:u w:val="single"/>
        </w:rPr>
      </w:pPr>
      <w:r>
        <w:rPr>
          <w:rFonts w:ascii="Times New Roman" w:hAnsi="Times New Roman" w:cs="Times New Roman"/>
          <w:b w:val="0"/>
          <w:bCs w:val="0"/>
          <w:sz w:val="24"/>
          <w:szCs w:val="24"/>
          <w:u w:val="single"/>
        </w:rPr>
        <w:t xml:space="preserve">Virologic </w:t>
      </w:r>
      <w:r w:rsidR="00C228EE">
        <w:rPr>
          <w:rFonts w:ascii="Times New Roman" w:hAnsi="Times New Roman" w:cs="Times New Roman"/>
          <w:b w:val="0"/>
          <w:bCs w:val="0"/>
          <w:sz w:val="24"/>
          <w:szCs w:val="24"/>
          <w:u w:val="single"/>
        </w:rPr>
        <w:t>F</w:t>
      </w:r>
      <w:r>
        <w:rPr>
          <w:rFonts w:ascii="Times New Roman" w:hAnsi="Times New Roman" w:cs="Times New Roman"/>
          <w:b w:val="0"/>
          <w:bCs w:val="0"/>
          <w:sz w:val="24"/>
          <w:szCs w:val="24"/>
          <w:u w:val="single"/>
        </w:rPr>
        <w:t xml:space="preserve">ailure </w:t>
      </w:r>
      <w:r w:rsidR="00C228EE">
        <w:rPr>
          <w:rFonts w:ascii="Times New Roman" w:hAnsi="Times New Roman" w:cs="Times New Roman"/>
          <w:b w:val="0"/>
          <w:bCs w:val="0"/>
          <w:sz w:val="24"/>
          <w:szCs w:val="24"/>
          <w:u w:val="single"/>
        </w:rPr>
        <w:t>D</w:t>
      </w:r>
      <w:r>
        <w:rPr>
          <w:rFonts w:ascii="Times New Roman" w:hAnsi="Times New Roman" w:cs="Times New Roman"/>
          <w:b w:val="0"/>
          <w:bCs w:val="0"/>
          <w:sz w:val="24"/>
          <w:szCs w:val="24"/>
          <w:u w:val="single"/>
        </w:rPr>
        <w:t xml:space="preserve">uring </w:t>
      </w:r>
      <w:r w:rsidR="00C228EE">
        <w:rPr>
          <w:rFonts w:ascii="Times New Roman" w:hAnsi="Times New Roman" w:cs="Times New Roman"/>
          <w:b w:val="0"/>
          <w:bCs w:val="0"/>
          <w:sz w:val="24"/>
          <w:szCs w:val="24"/>
          <w:u w:val="single"/>
        </w:rPr>
        <w:t>T</w:t>
      </w:r>
      <w:r>
        <w:rPr>
          <w:rFonts w:ascii="Times New Roman" w:hAnsi="Times New Roman" w:cs="Times New Roman"/>
          <w:b w:val="0"/>
          <w:bCs w:val="0"/>
          <w:sz w:val="24"/>
          <w:szCs w:val="24"/>
          <w:u w:val="single"/>
        </w:rPr>
        <w:t xml:space="preserve">reatment and </w:t>
      </w:r>
      <w:r w:rsidR="00C228EE">
        <w:rPr>
          <w:rFonts w:ascii="Times New Roman" w:hAnsi="Times New Roman" w:cs="Times New Roman"/>
          <w:b w:val="0"/>
          <w:bCs w:val="0"/>
          <w:sz w:val="24"/>
          <w:szCs w:val="24"/>
          <w:u w:val="single"/>
        </w:rPr>
        <w:t>R</w:t>
      </w:r>
      <w:r>
        <w:rPr>
          <w:rFonts w:ascii="Times New Roman" w:hAnsi="Times New Roman" w:cs="Times New Roman"/>
          <w:b w:val="0"/>
          <w:bCs w:val="0"/>
          <w:sz w:val="24"/>
          <w:szCs w:val="24"/>
          <w:u w:val="single"/>
        </w:rPr>
        <w:t xml:space="preserve">elapse </w:t>
      </w:r>
      <w:r w:rsidR="00C228EE">
        <w:rPr>
          <w:rFonts w:ascii="Times New Roman" w:hAnsi="Times New Roman" w:cs="Times New Roman"/>
          <w:b w:val="0"/>
          <w:bCs w:val="0"/>
          <w:sz w:val="24"/>
          <w:szCs w:val="24"/>
          <w:u w:val="single"/>
        </w:rPr>
        <w:t>P</w:t>
      </w:r>
      <w:r>
        <w:rPr>
          <w:rFonts w:ascii="Times New Roman" w:hAnsi="Times New Roman" w:cs="Times New Roman"/>
          <w:b w:val="0"/>
          <w:bCs w:val="0"/>
          <w:sz w:val="24"/>
          <w:szCs w:val="24"/>
          <w:u w:val="single"/>
        </w:rPr>
        <w:t>ost-</w:t>
      </w:r>
      <w:r w:rsidR="00C228EE">
        <w:rPr>
          <w:rFonts w:ascii="Times New Roman" w:hAnsi="Times New Roman" w:cs="Times New Roman"/>
          <w:b w:val="0"/>
          <w:bCs w:val="0"/>
          <w:sz w:val="24"/>
          <w:szCs w:val="24"/>
          <w:u w:val="single"/>
        </w:rPr>
        <w:t>T</w:t>
      </w:r>
      <w:r>
        <w:rPr>
          <w:rFonts w:ascii="Times New Roman" w:hAnsi="Times New Roman" w:cs="Times New Roman"/>
          <w:b w:val="0"/>
          <w:bCs w:val="0"/>
          <w:sz w:val="24"/>
          <w:szCs w:val="24"/>
          <w:u w:val="single"/>
        </w:rPr>
        <w:t>reatment</w:t>
      </w:r>
    </w:p>
    <w:p w14:paraId="2F1B2DE6" w14:textId="386D10EB" w:rsidR="00734579" w:rsidRDefault="003B22C6" w:rsidP="00022997">
      <w:pPr>
        <w:rPr>
          <w:rFonts w:ascii="Times New Roman" w:hAnsi="Times New Roman" w:cs="Times New Roman"/>
          <w:b/>
          <w:bCs/>
          <w:sz w:val="24"/>
          <w:szCs w:val="24"/>
          <w:u w:val="single"/>
        </w:rPr>
      </w:pPr>
      <w:r w:rsidRPr="00CB2FAB">
        <w:rPr>
          <w:rFonts w:ascii="Times New Roman" w:hAnsi="Times New Roman" w:cs="Times New Roman"/>
          <w:sz w:val="24"/>
          <w:szCs w:val="24"/>
        </w:rPr>
        <w:t>Virologic failure can occur during and after treatment with LIVTENCITY.</w:t>
      </w:r>
      <w:r w:rsidR="007C5855">
        <w:rPr>
          <w:rFonts w:ascii="Times New Roman" w:hAnsi="Times New Roman" w:cs="Times New Roman"/>
          <w:sz w:val="24"/>
          <w:szCs w:val="24"/>
        </w:rPr>
        <w:t xml:space="preserve"> Virologic relapse during the post-treatment </w:t>
      </w:r>
      <w:r w:rsidR="00551F29">
        <w:rPr>
          <w:rFonts w:ascii="Times New Roman" w:hAnsi="Times New Roman" w:cs="Times New Roman"/>
          <w:sz w:val="24"/>
          <w:szCs w:val="24"/>
        </w:rPr>
        <w:t>period usually occurred within 4-8 weeks after treatment discontinuation.</w:t>
      </w:r>
      <w:r w:rsidRPr="00CB2FAB">
        <w:rPr>
          <w:rFonts w:ascii="Times New Roman" w:hAnsi="Times New Roman" w:cs="Times New Roman"/>
          <w:sz w:val="24"/>
          <w:szCs w:val="24"/>
        </w:rPr>
        <w:t xml:space="preserve"> Monitor CMV DNA levels and check for resistance </w:t>
      </w:r>
      <w:r w:rsidR="00F44D97" w:rsidRPr="00CB2FAB">
        <w:rPr>
          <w:rFonts w:ascii="Times New Roman" w:hAnsi="Times New Roman" w:cs="Times New Roman"/>
          <w:sz w:val="24"/>
          <w:szCs w:val="24"/>
        </w:rPr>
        <w:t xml:space="preserve">if patient does not respond to treatment. Some maribavir pUL97 resistance-associated substitutions </w:t>
      </w:r>
      <w:r w:rsidR="00CB2FAB" w:rsidRPr="00CB2FAB">
        <w:rPr>
          <w:rFonts w:ascii="Times New Roman" w:hAnsi="Times New Roman" w:cs="Times New Roman"/>
          <w:sz w:val="24"/>
          <w:szCs w:val="24"/>
        </w:rPr>
        <w:t>confer cross-resistance to ganciclovir and valganciclovir.</w:t>
      </w:r>
    </w:p>
    <w:p w14:paraId="04C960BC" w14:textId="28ADD042" w:rsidR="001A3992" w:rsidRPr="00B952ED" w:rsidRDefault="002E5381" w:rsidP="00BF40C5">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Patients with CMV C</w:t>
      </w:r>
      <w:r w:rsidR="00520574" w:rsidRPr="00B952ED">
        <w:rPr>
          <w:rFonts w:ascii="Times New Roman" w:hAnsi="Times New Roman" w:cs="Times New Roman"/>
          <w:b w:val="0"/>
          <w:bCs w:val="0"/>
          <w:sz w:val="24"/>
          <w:szCs w:val="24"/>
          <w:u w:val="single"/>
        </w:rPr>
        <w:t>entral Nervous System (CNS) Infection</w:t>
      </w:r>
    </w:p>
    <w:p w14:paraId="3D1E8988" w14:textId="49857B35" w:rsidR="009B6753" w:rsidRPr="00B952ED" w:rsidRDefault="00520574" w:rsidP="009B6753">
      <w:pPr>
        <w:rPr>
          <w:rFonts w:ascii="Times New Roman" w:hAnsi="Times New Roman" w:cs="Times New Roman"/>
          <w:sz w:val="24"/>
          <w:szCs w:val="24"/>
        </w:rPr>
      </w:pPr>
      <w:r w:rsidRPr="00B952ED">
        <w:rPr>
          <w:rFonts w:ascii="Times New Roman" w:hAnsi="Times New Roman" w:cs="Times New Roman"/>
          <w:sz w:val="24"/>
          <w:szCs w:val="24"/>
        </w:rPr>
        <w:t xml:space="preserve">LIVTENCITY was not studied in patients </w:t>
      </w:r>
      <w:r w:rsidR="00222153" w:rsidRPr="00B952ED">
        <w:rPr>
          <w:rFonts w:ascii="Times New Roman" w:hAnsi="Times New Roman" w:cs="Times New Roman"/>
          <w:sz w:val="24"/>
          <w:szCs w:val="24"/>
        </w:rPr>
        <w:t>with CMV CNS infection.  LIVTENCITY is not expected to cross the blood-</w:t>
      </w:r>
      <w:r w:rsidR="004B0E88" w:rsidRPr="00B952ED">
        <w:rPr>
          <w:rFonts w:ascii="Times New Roman" w:hAnsi="Times New Roman" w:cs="Times New Roman"/>
          <w:sz w:val="24"/>
          <w:szCs w:val="24"/>
        </w:rPr>
        <w:t>brain barrier in humans, based on non-clinical data (see 5.3</w:t>
      </w:r>
      <w:r w:rsidR="00A03D77" w:rsidRPr="00B952ED">
        <w:rPr>
          <w:rFonts w:ascii="Times New Roman" w:hAnsi="Times New Roman" w:cs="Times New Roman"/>
          <w:sz w:val="24"/>
          <w:szCs w:val="24"/>
        </w:rPr>
        <w:t xml:space="preserve"> </w:t>
      </w:r>
      <w:r w:rsidR="00BF40C5" w:rsidRPr="00B952ED">
        <w:rPr>
          <w:rFonts w:ascii="Times New Roman" w:hAnsi="Times New Roman" w:cs="Times New Roman"/>
          <w:sz w:val="24"/>
          <w:szCs w:val="24"/>
        </w:rPr>
        <w:t>Pre-</w:t>
      </w:r>
      <w:r w:rsidR="00A03D77" w:rsidRPr="00B952ED">
        <w:rPr>
          <w:rFonts w:ascii="Times New Roman" w:hAnsi="Times New Roman" w:cs="Times New Roman"/>
          <w:sz w:val="24"/>
          <w:szCs w:val="24"/>
        </w:rPr>
        <w:t xml:space="preserve">Clinical Safety Data). </w:t>
      </w:r>
      <w:r w:rsidR="00A11D91" w:rsidRPr="00AC6230">
        <w:rPr>
          <w:rFonts w:ascii="Times New Roman" w:hAnsi="Times New Roman" w:cs="Times New Roman"/>
          <w:sz w:val="24"/>
          <w:szCs w:val="24"/>
        </w:rPr>
        <w:t>T</w:t>
      </w:r>
      <w:r w:rsidR="00313D5A" w:rsidRPr="00AC6230">
        <w:rPr>
          <w:rFonts w:ascii="Times New Roman" w:hAnsi="Times New Roman" w:cs="Times New Roman"/>
          <w:sz w:val="24"/>
          <w:szCs w:val="24"/>
        </w:rPr>
        <w:t xml:space="preserve">he efficacy of </w:t>
      </w:r>
      <w:r w:rsidR="00C735C1">
        <w:rPr>
          <w:rFonts w:ascii="Times New Roman" w:hAnsi="Times New Roman" w:cs="Times New Roman"/>
          <w:sz w:val="24"/>
          <w:szCs w:val="24"/>
        </w:rPr>
        <w:t>LIVTENCITY</w:t>
      </w:r>
      <w:r w:rsidR="00313D5A" w:rsidRPr="00AC6230">
        <w:rPr>
          <w:rFonts w:ascii="Times New Roman" w:hAnsi="Times New Roman" w:cs="Times New Roman"/>
          <w:sz w:val="24"/>
          <w:szCs w:val="24"/>
        </w:rPr>
        <w:t xml:space="preserve"> for the treatment of CMV retinitis has not been established</w:t>
      </w:r>
      <w:r w:rsidR="00A11D91" w:rsidRPr="00AC6230">
        <w:rPr>
          <w:rFonts w:ascii="Times New Roman" w:hAnsi="Times New Roman" w:cs="Times New Roman"/>
          <w:sz w:val="24"/>
          <w:szCs w:val="24"/>
        </w:rPr>
        <w:t>.</w:t>
      </w:r>
      <w:r w:rsidR="00313D5A" w:rsidRPr="00313D5A">
        <w:rPr>
          <w:rFonts w:ascii="Times New Roman" w:hAnsi="Times New Roman" w:cs="Times New Roman"/>
          <w:sz w:val="24"/>
          <w:szCs w:val="24"/>
        </w:rPr>
        <w:t xml:space="preserve"> </w:t>
      </w:r>
      <w:r w:rsidR="00A03D77" w:rsidRPr="00B952ED">
        <w:rPr>
          <w:rFonts w:ascii="Times New Roman" w:hAnsi="Times New Roman" w:cs="Times New Roman"/>
          <w:sz w:val="24"/>
          <w:szCs w:val="24"/>
        </w:rPr>
        <w:t xml:space="preserve">Therefore, LIVTENCITY is not expected to be effective in treating </w:t>
      </w:r>
      <w:r w:rsidR="00492FE1" w:rsidRPr="00B952ED">
        <w:rPr>
          <w:rFonts w:ascii="Times New Roman" w:hAnsi="Times New Roman" w:cs="Times New Roman"/>
          <w:sz w:val="24"/>
          <w:szCs w:val="24"/>
        </w:rPr>
        <w:t xml:space="preserve">CMV </w:t>
      </w:r>
      <w:r w:rsidR="00F1354F" w:rsidRPr="00B952ED">
        <w:rPr>
          <w:rFonts w:ascii="Times New Roman" w:hAnsi="Times New Roman" w:cs="Times New Roman"/>
          <w:sz w:val="24"/>
          <w:szCs w:val="24"/>
        </w:rPr>
        <w:t>CNS infections (</w:t>
      </w:r>
      <w:r w:rsidR="008B2870" w:rsidRPr="00B952ED">
        <w:rPr>
          <w:rFonts w:ascii="Times New Roman" w:hAnsi="Times New Roman" w:cs="Times New Roman"/>
          <w:sz w:val="24"/>
          <w:szCs w:val="24"/>
        </w:rPr>
        <w:t>e.g.</w:t>
      </w:r>
      <w:r w:rsidR="00F1354F" w:rsidRPr="00B952ED">
        <w:rPr>
          <w:rFonts w:ascii="Times New Roman" w:hAnsi="Times New Roman" w:cs="Times New Roman"/>
          <w:sz w:val="24"/>
          <w:szCs w:val="24"/>
        </w:rPr>
        <w:t xml:space="preserve">, </w:t>
      </w:r>
      <w:proofErr w:type="spellStart"/>
      <w:r w:rsidR="00F1354F" w:rsidRPr="00B952ED">
        <w:rPr>
          <w:rFonts w:ascii="Times New Roman" w:hAnsi="Times New Roman" w:cs="Times New Roman"/>
          <w:sz w:val="24"/>
          <w:szCs w:val="24"/>
        </w:rPr>
        <w:t>meningo</w:t>
      </w:r>
      <w:proofErr w:type="spellEnd"/>
      <w:r w:rsidR="00F1354F" w:rsidRPr="00B952ED">
        <w:rPr>
          <w:rFonts w:ascii="Times New Roman" w:hAnsi="Times New Roman" w:cs="Times New Roman"/>
          <w:sz w:val="24"/>
          <w:szCs w:val="24"/>
        </w:rPr>
        <w:t>-encephalitis</w:t>
      </w:r>
      <w:r w:rsidR="00A727F4">
        <w:rPr>
          <w:rFonts w:ascii="Times New Roman" w:hAnsi="Times New Roman" w:cs="Times New Roman"/>
          <w:sz w:val="24"/>
          <w:szCs w:val="24"/>
        </w:rPr>
        <w:t>, retinitis</w:t>
      </w:r>
      <w:r w:rsidR="00F1354F" w:rsidRPr="00B952ED">
        <w:rPr>
          <w:rFonts w:ascii="Times New Roman" w:hAnsi="Times New Roman" w:cs="Times New Roman"/>
          <w:sz w:val="24"/>
          <w:szCs w:val="24"/>
        </w:rPr>
        <w:t>)</w:t>
      </w:r>
      <w:r w:rsidR="00CB58FE" w:rsidRPr="00B952ED">
        <w:rPr>
          <w:rFonts w:ascii="Times New Roman" w:hAnsi="Times New Roman" w:cs="Times New Roman"/>
          <w:sz w:val="24"/>
          <w:szCs w:val="24"/>
        </w:rPr>
        <w:t>.</w:t>
      </w:r>
      <w:r w:rsidR="009B6753" w:rsidRPr="00B952ED">
        <w:rPr>
          <w:rFonts w:ascii="Times New Roman" w:hAnsi="Times New Roman" w:cs="Times New Roman"/>
          <w:sz w:val="24"/>
          <w:szCs w:val="24"/>
        </w:rPr>
        <w:t xml:space="preserve">  </w:t>
      </w:r>
      <w:r w:rsidR="00A11D91">
        <w:rPr>
          <w:rFonts w:ascii="Times New Roman" w:hAnsi="Times New Roman" w:cs="Times New Roman"/>
          <w:sz w:val="24"/>
          <w:szCs w:val="24"/>
        </w:rPr>
        <w:t xml:space="preserve"> </w:t>
      </w:r>
    </w:p>
    <w:p w14:paraId="3BEE12F2" w14:textId="77777777" w:rsidR="00BF40C5" w:rsidRPr="00B952ED" w:rsidRDefault="00BF40C5" w:rsidP="000A37CF">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Risk of adverse reactions or reduced therapeutic effect due to medicinal product interactions</w:t>
      </w:r>
    </w:p>
    <w:p w14:paraId="3759AFB2" w14:textId="77777777" w:rsidR="00BF40C5" w:rsidRPr="00B952ED" w:rsidRDefault="00BF40C5" w:rsidP="000A37CF">
      <w:pPr>
        <w:keepNext/>
        <w:rPr>
          <w:rFonts w:ascii="Times New Roman" w:hAnsi="Times New Roman" w:cs="Times New Roman"/>
          <w:sz w:val="24"/>
          <w:szCs w:val="24"/>
        </w:rPr>
      </w:pPr>
      <w:r w:rsidRPr="00B952ED">
        <w:rPr>
          <w:rFonts w:ascii="Times New Roman" w:hAnsi="Times New Roman" w:cs="Times New Roman"/>
          <w:sz w:val="24"/>
          <w:szCs w:val="24"/>
        </w:rPr>
        <w:t>The concomitant use of LIVTENCITY and certain medicinal products may result in known or potentially significant medicinal product interactions, some of which may lead to:</w:t>
      </w:r>
    </w:p>
    <w:p w14:paraId="06B61B15" w14:textId="77777777" w:rsidR="00BF40C5" w:rsidRPr="00B952ED" w:rsidRDefault="00BF40C5" w:rsidP="00BF40C5">
      <w:pPr>
        <w:pStyle w:val="ListParagraph"/>
        <w:numPr>
          <w:ilvl w:val="0"/>
          <w:numId w:val="11"/>
        </w:numPr>
        <w:rPr>
          <w:rFonts w:ascii="Times New Roman" w:hAnsi="Times New Roman" w:cs="Times New Roman"/>
          <w:sz w:val="24"/>
          <w:szCs w:val="24"/>
        </w:rPr>
      </w:pPr>
      <w:r w:rsidRPr="00B952ED">
        <w:rPr>
          <w:rFonts w:ascii="Times New Roman" w:hAnsi="Times New Roman" w:cs="Times New Roman"/>
          <w:sz w:val="24"/>
          <w:szCs w:val="24"/>
        </w:rPr>
        <w:t>Possible clinically significant adverse reactions from greater exposure of concomitant medicinal products</w:t>
      </w:r>
    </w:p>
    <w:p w14:paraId="133998D3" w14:textId="77777777" w:rsidR="00BF40C5" w:rsidRPr="00B952ED" w:rsidRDefault="00BF40C5" w:rsidP="00BF40C5">
      <w:pPr>
        <w:pStyle w:val="ListParagraph"/>
        <w:numPr>
          <w:ilvl w:val="0"/>
          <w:numId w:val="11"/>
        </w:numPr>
        <w:rPr>
          <w:rFonts w:ascii="Times New Roman" w:hAnsi="Times New Roman" w:cs="Times New Roman"/>
          <w:sz w:val="24"/>
          <w:szCs w:val="24"/>
        </w:rPr>
      </w:pPr>
      <w:r w:rsidRPr="00B952ED">
        <w:rPr>
          <w:rFonts w:ascii="Times New Roman" w:hAnsi="Times New Roman" w:cs="Times New Roman"/>
          <w:sz w:val="24"/>
          <w:szCs w:val="24"/>
        </w:rPr>
        <w:t>Reduced therapeutic effect of LIVTENCITY</w:t>
      </w:r>
    </w:p>
    <w:p w14:paraId="23A87FDD" w14:textId="77777777" w:rsidR="00BF40C5" w:rsidRPr="00B952ED" w:rsidRDefault="00BF40C5" w:rsidP="00BF40C5">
      <w:pPr>
        <w:rPr>
          <w:rFonts w:ascii="Times New Roman" w:hAnsi="Times New Roman" w:cs="Times New Roman"/>
          <w:sz w:val="24"/>
          <w:szCs w:val="24"/>
        </w:rPr>
      </w:pPr>
      <w:r w:rsidRPr="00B952ED">
        <w:rPr>
          <w:rFonts w:ascii="Times New Roman" w:hAnsi="Times New Roman" w:cs="Times New Roman"/>
          <w:sz w:val="24"/>
          <w:szCs w:val="24"/>
        </w:rPr>
        <w:t xml:space="preserve">See Table 1 for steps to prevent or manage these known or potentially significant medicinal product interactions, including dosing recommendations (see </w:t>
      </w:r>
      <w:r w:rsidRPr="00B952ED">
        <w:rPr>
          <w:rFonts w:ascii="Times New Roman" w:hAnsi="Times New Roman" w:cs="Times New Roman"/>
          <w:smallCaps/>
          <w:sz w:val="24"/>
          <w:szCs w:val="24"/>
        </w:rPr>
        <w:t>4.3 Contraindications</w:t>
      </w:r>
      <w:r w:rsidRPr="00B952ED">
        <w:rPr>
          <w:rFonts w:ascii="Times New Roman" w:hAnsi="Times New Roman" w:cs="Times New Roman"/>
          <w:sz w:val="24"/>
          <w:szCs w:val="24"/>
        </w:rPr>
        <w:t xml:space="preserve"> and </w:t>
      </w:r>
      <w:r w:rsidRPr="00B952ED">
        <w:rPr>
          <w:rFonts w:ascii="Times New Roman" w:hAnsi="Times New Roman" w:cs="Times New Roman"/>
          <w:smallCaps/>
          <w:sz w:val="24"/>
          <w:szCs w:val="24"/>
        </w:rPr>
        <w:t>4.5 Interaction with Other Medications and Other Forms of Interaction</w:t>
      </w:r>
      <w:r w:rsidRPr="00B952ED">
        <w:rPr>
          <w:rFonts w:ascii="Times New Roman" w:hAnsi="Times New Roman" w:cs="Times New Roman"/>
          <w:sz w:val="24"/>
          <w:szCs w:val="24"/>
        </w:rPr>
        <w:t>).</w:t>
      </w:r>
    </w:p>
    <w:p w14:paraId="123E1762" w14:textId="77777777" w:rsidR="00BF40C5" w:rsidRPr="00B952ED" w:rsidRDefault="00BF40C5" w:rsidP="000A37CF">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Use with immunosuppressant drugs</w:t>
      </w:r>
    </w:p>
    <w:p w14:paraId="7313B2C3" w14:textId="741D0736" w:rsidR="00BF40C5" w:rsidRPr="00B952ED" w:rsidRDefault="00BF40C5" w:rsidP="000A37CF">
      <w:pPr>
        <w:keepNext/>
        <w:rPr>
          <w:rFonts w:ascii="Times New Roman" w:hAnsi="Times New Roman" w:cs="Times New Roman"/>
          <w:sz w:val="24"/>
          <w:szCs w:val="24"/>
        </w:rPr>
      </w:pPr>
      <w:r w:rsidRPr="00B952ED">
        <w:rPr>
          <w:rFonts w:ascii="Times New Roman" w:hAnsi="Times New Roman" w:cs="Times New Roman"/>
          <w:sz w:val="24"/>
          <w:szCs w:val="24"/>
        </w:rPr>
        <w:t>LIVTENCITY has the potential to increase the drug concentrations of immunosuppressant drugs that are cytochrome P450 (CYP)3A/P-</w:t>
      </w:r>
      <w:proofErr w:type="spellStart"/>
      <w:r w:rsidRPr="00B952ED">
        <w:rPr>
          <w:rFonts w:ascii="Times New Roman" w:hAnsi="Times New Roman" w:cs="Times New Roman"/>
          <w:sz w:val="24"/>
          <w:szCs w:val="24"/>
        </w:rPr>
        <w:t>gp</w:t>
      </w:r>
      <w:proofErr w:type="spellEnd"/>
      <w:r w:rsidRPr="00B952ED">
        <w:rPr>
          <w:rFonts w:ascii="Times New Roman" w:hAnsi="Times New Roman" w:cs="Times New Roman"/>
          <w:sz w:val="24"/>
          <w:szCs w:val="24"/>
        </w:rPr>
        <w:t xml:space="preserve"> substrates with narrow therapeutic ranges (including tacrolimus, cyclosporin, sirolimus, and </w:t>
      </w:r>
      <w:proofErr w:type="spellStart"/>
      <w:r w:rsidRPr="00B952ED">
        <w:rPr>
          <w:rFonts w:ascii="Times New Roman" w:hAnsi="Times New Roman" w:cs="Times New Roman"/>
          <w:sz w:val="24"/>
          <w:szCs w:val="24"/>
        </w:rPr>
        <w:t>everolimus</w:t>
      </w:r>
      <w:proofErr w:type="spellEnd"/>
      <w:r w:rsidRPr="00B952ED">
        <w:rPr>
          <w:rFonts w:ascii="Times New Roman" w:hAnsi="Times New Roman" w:cs="Times New Roman"/>
          <w:sz w:val="24"/>
          <w:szCs w:val="24"/>
        </w:rPr>
        <w:t xml:space="preserve">).  Frequently monitor immunosuppressant drug levels throughout treatment with LIVTENCITY, especially following initiation and after discontinuation of LIVTENCITY and adjust the dose, as needed (see </w:t>
      </w:r>
      <w:r w:rsidRPr="00B952ED">
        <w:rPr>
          <w:rFonts w:ascii="Times New Roman" w:hAnsi="Times New Roman" w:cs="Times New Roman"/>
          <w:smallCaps/>
          <w:sz w:val="24"/>
          <w:szCs w:val="24"/>
        </w:rPr>
        <w:t>4.5 Interaction with Other Medications and Other Forms of Interaction</w:t>
      </w:r>
      <w:r w:rsidRPr="00B952ED">
        <w:rPr>
          <w:rFonts w:ascii="Times New Roman" w:hAnsi="Times New Roman" w:cs="Times New Roman"/>
          <w:sz w:val="24"/>
          <w:szCs w:val="24"/>
        </w:rPr>
        <w:t xml:space="preserve"> and </w:t>
      </w:r>
      <w:r w:rsidRPr="00B952ED">
        <w:rPr>
          <w:rFonts w:ascii="Times New Roman" w:hAnsi="Times New Roman" w:cs="Times New Roman"/>
          <w:smallCaps/>
          <w:sz w:val="24"/>
          <w:szCs w:val="24"/>
        </w:rPr>
        <w:t xml:space="preserve">4.8 Undesirable Effects </w:t>
      </w:r>
      <w:r w:rsidRPr="00B952ED">
        <w:rPr>
          <w:rFonts w:ascii="Times New Roman" w:hAnsi="Times New Roman" w:cs="Times New Roman"/>
          <w:sz w:val="24"/>
          <w:szCs w:val="24"/>
        </w:rPr>
        <w:t xml:space="preserve">and </w:t>
      </w:r>
      <w:r w:rsidRPr="00B952ED">
        <w:rPr>
          <w:rFonts w:ascii="Times New Roman" w:hAnsi="Times New Roman" w:cs="Times New Roman"/>
          <w:smallCaps/>
          <w:sz w:val="24"/>
          <w:szCs w:val="24"/>
        </w:rPr>
        <w:t>5.2 Clinical Pharmacokinetics</w:t>
      </w:r>
      <w:r w:rsidRPr="00B952ED">
        <w:rPr>
          <w:rFonts w:ascii="Times New Roman" w:hAnsi="Times New Roman" w:cs="Times New Roman"/>
          <w:sz w:val="24"/>
          <w:szCs w:val="24"/>
        </w:rPr>
        <w:t>).</w:t>
      </w:r>
    </w:p>
    <w:p w14:paraId="18AA8E38" w14:textId="05F64AE3" w:rsidR="003567D4" w:rsidRPr="00B952ED" w:rsidRDefault="003567D4" w:rsidP="003567D4">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Sodium content</w:t>
      </w:r>
    </w:p>
    <w:p w14:paraId="54A3A986" w14:textId="5B3CC55E" w:rsidR="003567D4" w:rsidRPr="00B952ED" w:rsidRDefault="003567D4" w:rsidP="00BF40C5">
      <w:pPr>
        <w:rPr>
          <w:rFonts w:ascii="Times New Roman" w:hAnsi="Times New Roman" w:cs="Times New Roman"/>
          <w:sz w:val="24"/>
          <w:szCs w:val="24"/>
        </w:rPr>
      </w:pPr>
      <w:r w:rsidRPr="00B952ED">
        <w:rPr>
          <w:rFonts w:ascii="Times New Roman" w:hAnsi="Times New Roman" w:cs="Times New Roman"/>
          <w:sz w:val="24"/>
          <w:szCs w:val="24"/>
        </w:rPr>
        <w:t xml:space="preserve">LIVTENCITY contains less than 1 mmol sodium (23 mg) per tablet, </w:t>
      </w:r>
      <w:r w:rsidR="00AD77A9" w:rsidRPr="00B952ED">
        <w:rPr>
          <w:rFonts w:ascii="Times New Roman" w:hAnsi="Times New Roman" w:cs="Times New Roman"/>
          <w:sz w:val="24"/>
          <w:szCs w:val="24"/>
        </w:rPr>
        <w:t>essentially</w:t>
      </w:r>
      <w:r w:rsidRPr="00B952ED">
        <w:rPr>
          <w:rFonts w:ascii="Times New Roman" w:hAnsi="Times New Roman" w:cs="Times New Roman"/>
          <w:sz w:val="24"/>
          <w:szCs w:val="24"/>
        </w:rPr>
        <w:t>, ‘sodium-free’.</w:t>
      </w:r>
    </w:p>
    <w:p w14:paraId="303ABF6C" w14:textId="66CEEA5A" w:rsidR="001A3992" w:rsidRPr="00B952ED" w:rsidRDefault="001A3992" w:rsidP="00BF40C5">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Use in the elderly</w:t>
      </w:r>
    </w:p>
    <w:p w14:paraId="6FF5D730" w14:textId="77777777" w:rsidR="002B1038" w:rsidRPr="00B952ED" w:rsidRDefault="002B1038" w:rsidP="002B1038">
      <w:pPr>
        <w:rPr>
          <w:rFonts w:ascii="Times New Roman" w:hAnsi="Times New Roman" w:cs="Times New Roman"/>
          <w:sz w:val="24"/>
          <w:szCs w:val="24"/>
        </w:rPr>
      </w:pPr>
      <w:r w:rsidRPr="00B952ED">
        <w:rPr>
          <w:rFonts w:ascii="Times New Roman" w:hAnsi="Times New Roman" w:cs="Times New Roman"/>
          <w:sz w:val="24"/>
          <w:szCs w:val="24"/>
        </w:rPr>
        <w:t>No dose adjustment is required for patient over 65 years of age.</w:t>
      </w:r>
    </w:p>
    <w:p w14:paraId="58CE6182" w14:textId="064CD70A" w:rsidR="001A3992" w:rsidRPr="00B952ED" w:rsidRDefault="001A3992" w:rsidP="00BF40C5">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lastRenderedPageBreak/>
        <w:t>Paediatric use</w:t>
      </w:r>
    </w:p>
    <w:p w14:paraId="1F460C15" w14:textId="283AE9C3" w:rsidR="002B1038" w:rsidRPr="00B952ED" w:rsidRDefault="002B1038" w:rsidP="002B1038">
      <w:pPr>
        <w:rPr>
          <w:rFonts w:ascii="Times New Roman" w:hAnsi="Times New Roman" w:cs="Times New Roman"/>
          <w:sz w:val="24"/>
          <w:szCs w:val="24"/>
        </w:rPr>
      </w:pPr>
      <w:r w:rsidRPr="00B952ED">
        <w:rPr>
          <w:rFonts w:ascii="Times New Roman" w:hAnsi="Times New Roman" w:cs="Times New Roman"/>
          <w:sz w:val="24"/>
          <w:szCs w:val="24"/>
        </w:rPr>
        <w:t>The safety and efficacy of LIVTENCITY in patients below 18 years of age have not been established.</w:t>
      </w:r>
    </w:p>
    <w:p w14:paraId="007F98D0" w14:textId="3CCE58E1" w:rsidR="001A3992" w:rsidRPr="00B952ED" w:rsidRDefault="001A3992" w:rsidP="003E5BC5">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Effects on laboratory tests</w:t>
      </w:r>
    </w:p>
    <w:p w14:paraId="43665F2A" w14:textId="5C06A8DB" w:rsidR="003077CB" w:rsidRPr="00B952ED" w:rsidRDefault="00C438C7" w:rsidP="00C438C7">
      <w:pPr>
        <w:rPr>
          <w:rFonts w:ascii="Times New Roman" w:hAnsi="Times New Roman" w:cs="Times New Roman"/>
          <w:sz w:val="24"/>
          <w:szCs w:val="24"/>
        </w:rPr>
      </w:pPr>
      <w:r w:rsidRPr="00B952ED">
        <w:rPr>
          <w:rFonts w:ascii="Times New Roman" w:hAnsi="Times New Roman" w:cs="Times New Roman"/>
          <w:sz w:val="24"/>
          <w:szCs w:val="24"/>
        </w:rPr>
        <w:t>No data available</w:t>
      </w:r>
    </w:p>
    <w:p w14:paraId="3A161C35" w14:textId="7439A175" w:rsidR="001A3992" w:rsidRPr="00B952ED" w:rsidRDefault="001A3992" w:rsidP="001A3992">
      <w:pPr>
        <w:pStyle w:val="Heading2"/>
        <w:keepNext/>
        <w:keepLines/>
        <w:spacing w:before="0" w:after="120"/>
        <w:rPr>
          <w:rFonts w:ascii="Times New Roman" w:hAnsi="Times New Roman" w:cs="Times New Roman"/>
        </w:rPr>
      </w:pPr>
      <w:r w:rsidRPr="00B952ED">
        <w:rPr>
          <w:rFonts w:ascii="Times New Roman" w:hAnsi="Times New Roman" w:cs="Times New Roman"/>
        </w:rPr>
        <w:t>Interactions with other medicines and other forms of interactions</w:t>
      </w:r>
    </w:p>
    <w:p w14:paraId="61F3F12D" w14:textId="21B3AE41" w:rsidR="00B555E5" w:rsidRPr="00B952ED" w:rsidRDefault="0039012E" w:rsidP="00F44E82">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 xml:space="preserve">Effect of other medicinal products on </w:t>
      </w:r>
      <w:r w:rsidR="008031A2">
        <w:rPr>
          <w:rFonts w:ascii="Times New Roman" w:hAnsi="Times New Roman" w:cs="Times New Roman"/>
          <w:b w:val="0"/>
          <w:bCs w:val="0"/>
          <w:sz w:val="24"/>
          <w:szCs w:val="24"/>
          <w:u w:val="single"/>
        </w:rPr>
        <w:t>maribavir</w:t>
      </w:r>
    </w:p>
    <w:p w14:paraId="4AA9A526" w14:textId="180A1EF3" w:rsidR="005A56AF" w:rsidRPr="00B952ED" w:rsidRDefault="005A56AF" w:rsidP="00C65EF7">
      <w:pPr>
        <w:rPr>
          <w:rFonts w:ascii="Times New Roman" w:hAnsi="Times New Roman" w:cs="Times New Roman"/>
          <w:sz w:val="24"/>
          <w:szCs w:val="24"/>
        </w:rPr>
      </w:pPr>
      <w:r w:rsidRPr="00B952ED">
        <w:rPr>
          <w:rFonts w:ascii="Times New Roman" w:hAnsi="Times New Roman" w:cs="Times New Roman"/>
          <w:sz w:val="24"/>
          <w:szCs w:val="24"/>
        </w:rPr>
        <w:t>Maribavir is primarily metabolised by CYP3A, and medicinal products that induce or inhibit CYP3A are expected to affect the clearance of maribavir (see</w:t>
      </w:r>
      <w:r w:rsidR="00B31A59" w:rsidRPr="00B952ED">
        <w:rPr>
          <w:rFonts w:ascii="Times New Roman" w:hAnsi="Times New Roman" w:cs="Times New Roman"/>
          <w:sz w:val="24"/>
          <w:szCs w:val="24"/>
        </w:rPr>
        <w:t xml:space="preserve"> 5.2</w:t>
      </w:r>
      <w:r w:rsidRPr="00B952ED">
        <w:rPr>
          <w:rFonts w:ascii="Times New Roman" w:hAnsi="Times New Roman" w:cs="Times New Roman"/>
          <w:sz w:val="24"/>
          <w:szCs w:val="24"/>
        </w:rPr>
        <w:t xml:space="preserve"> Pharmacokinetic Properties).</w:t>
      </w:r>
      <w:r w:rsidR="00B31A59" w:rsidRPr="00B952ED">
        <w:rPr>
          <w:rFonts w:ascii="Times New Roman" w:hAnsi="Times New Roman" w:cs="Times New Roman"/>
          <w:sz w:val="24"/>
          <w:szCs w:val="24"/>
        </w:rPr>
        <w:t xml:space="preserve">  </w:t>
      </w:r>
      <w:r w:rsidRPr="00B952ED">
        <w:rPr>
          <w:rFonts w:ascii="Times New Roman" w:hAnsi="Times New Roman" w:cs="Times New Roman"/>
          <w:sz w:val="24"/>
          <w:szCs w:val="24"/>
        </w:rPr>
        <w:t>Concomitant administration of strong CYP3A inducers, such as rifampicin, rifabutin, and St John’s wort, should be avoided, as significant decreases in maribavir plasma concentrations may occur which may result in decrease in efficacy. Alternative antimicrobial or anti</w:t>
      </w:r>
      <w:r w:rsidR="00D80B30" w:rsidRPr="00B952ED">
        <w:rPr>
          <w:rFonts w:ascii="Times New Roman" w:hAnsi="Times New Roman" w:cs="Times New Roman"/>
          <w:sz w:val="24"/>
          <w:szCs w:val="24"/>
        </w:rPr>
        <w:t>-</w:t>
      </w:r>
      <w:r w:rsidRPr="00B952ED">
        <w:rPr>
          <w:rFonts w:ascii="Times New Roman" w:hAnsi="Times New Roman" w:cs="Times New Roman"/>
          <w:sz w:val="24"/>
          <w:szCs w:val="24"/>
        </w:rPr>
        <w:t>tuberculosis therapy with a lower CYP3A induction potential should be considered (see</w:t>
      </w:r>
      <w:r w:rsidR="00B31A59" w:rsidRPr="00B952ED">
        <w:rPr>
          <w:rFonts w:ascii="Times New Roman" w:hAnsi="Times New Roman" w:cs="Times New Roman"/>
          <w:sz w:val="24"/>
          <w:szCs w:val="24"/>
        </w:rPr>
        <w:t xml:space="preserve"> </w:t>
      </w:r>
      <w:r w:rsidR="00B31A59" w:rsidRPr="00B952ED">
        <w:rPr>
          <w:rFonts w:ascii="Times New Roman" w:hAnsi="Times New Roman" w:cs="Times New Roman"/>
          <w:smallCaps/>
          <w:sz w:val="24"/>
          <w:szCs w:val="24"/>
        </w:rPr>
        <w:t>5.2</w:t>
      </w:r>
      <w:r w:rsidRPr="00B952ED">
        <w:rPr>
          <w:rFonts w:ascii="Times New Roman" w:hAnsi="Times New Roman" w:cs="Times New Roman"/>
          <w:smallCaps/>
          <w:sz w:val="24"/>
          <w:szCs w:val="24"/>
        </w:rPr>
        <w:t xml:space="preserve"> Pharmacokinetic Properties</w:t>
      </w:r>
      <w:r w:rsidRPr="00B952ED">
        <w:rPr>
          <w:rFonts w:ascii="Times New Roman" w:hAnsi="Times New Roman" w:cs="Times New Roman"/>
          <w:sz w:val="24"/>
          <w:szCs w:val="24"/>
        </w:rPr>
        <w:t xml:space="preserve">). </w:t>
      </w:r>
    </w:p>
    <w:p w14:paraId="69317AD8" w14:textId="0530B062" w:rsidR="005A56AF" w:rsidRPr="00B952ED" w:rsidRDefault="005A56AF" w:rsidP="005A56AF">
      <w:pPr>
        <w:rPr>
          <w:rFonts w:ascii="Times New Roman" w:hAnsi="Times New Roman" w:cs="Times New Roman"/>
          <w:sz w:val="24"/>
          <w:szCs w:val="24"/>
        </w:rPr>
      </w:pPr>
      <w:r w:rsidRPr="00B952ED">
        <w:rPr>
          <w:rFonts w:ascii="Times New Roman" w:hAnsi="Times New Roman" w:cs="Times New Roman"/>
          <w:sz w:val="24"/>
          <w:szCs w:val="24"/>
        </w:rPr>
        <w:t>Co</w:t>
      </w:r>
      <w:r w:rsidR="001332DB">
        <w:rPr>
          <w:rFonts w:ascii="Times New Roman" w:hAnsi="Times New Roman" w:cs="Times New Roman"/>
          <w:sz w:val="24"/>
          <w:szCs w:val="24"/>
        </w:rPr>
        <w:t>-</w:t>
      </w:r>
      <w:r w:rsidRPr="00B952ED">
        <w:rPr>
          <w:rFonts w:ascii="Times New Roman" w:hAnsi="Times New Roman" w:cs="Times New Roman"/>
          <w:sz w:val="24"/>
          <w:szCs w:val="24"/>
        </w:rPr>
        <w:t xml:space="preserve">administration with carbamazepine, phenobarbital, and phenytoin (strong or moderate CYP3A inducers) is likely to decrease maribavir concentrations, and therefore, the </w:t>
      </w:r>
      <w:r w:rsidR="008031A2" w:rsidRPr="008031A2">
        <w:rPr>
          <w:rFonts w:ascii="Times New Roman" w:hAnsi="Times New Roman" w:cs="Times New Roman"/>
          <w:sz w:val="24"/>
          <w:szCs w:val="24"/>
        </w:rPr>
        <w:t>maribavir</w:t>
      </w:r>
      <w:r w:rsidRPr="00B952ED">
        <w:rPr>
          <w:rFonts w:ascii="Times New Roman" w:hAnsi="Times New Roman" w:cs="Times New Roman"/>
          <w:sz w:val="24"/>
          <w:szCs w:val="24"/>
        </w:rPr>
        <w:t xml:space="preserve"> dose should be increased according to Table 1 (see </w:t>
      </w:r>
      <w:r w:rsidR="006D318B" w:rsidRPr="00B952ED">
        <w:rPr>
          <w:rFonts w:ascii="Times New Roman" w:hAnsi="Times New Roman" w:cs="Times New Roman"/>
          <w:smallCaps/>
          <w:sz w:val="24"/>
          <w:szCs w:val="24"/>
        </w:rPr>
        <w:t xml:space="preserve">4.2 Dose and </w:t>
      </w:r>
      <w:r w:rsidR="00DD4847" w:rsidRPr="00B952ED">
        <w:rPr>
          <w:rFonts w:ascii="Times New Roman" w:hAnsi="Times New Roman" w:cs="Times New Roman"/>
          <w:smallCaps/>
          <w:sz w:val="24"/>
          <w:szCs w:val="24"/>
        </w:rPr>
        <w:t xml:space="preserve">Method of </w:t>
      </w:r>
      <w:r w:rsidR="006D318B" w:rsidRPr="00B952ED">
        <w:rPr>
          <w:rFonts w:ascii="Times New Roman" w:hAnsi="Times New Roman" w:cs="Times New Roman"/>
          <w:smallCaps/>
          <w:sz w:val="24"/>
          <w:szCs w:val="24"/>
        </w:rPr>
        <w:t>Administration</w:t>
      </w:r>
      <w:r w:rsidR="006D318B" w:rsidRPr="00B952ED">
        <w:rPr>
          <w:rFonts w:ascii="Times New Roman" w:hAnsi="Times New Roman" w:cs="Times New Roman"/>
          <w:sz w:val="24"/>
          <w:szCs w:val="24"/>
        </w:rPr>
        <w:t xml:space="preserve"> </w:t>
      </w:r>
      <w:r w:rsidRPr="00B952ED">
        <w:rPr>
          <w:rFonts w:ascii="Times New Roman" w:hAnsi="Times New Roman" w:cs="Times New Roman"/>
          <w:sz w:val="24"/>
          <w:szCs w:val="24"/>
        </w:rPr>
        <w:t>and</w:t>
      </w:r>
      <w:r w:rsidRPr="00B952ED">
        <w:rPr>
          <w:rFonts w:ascii="Times New Roman" w:hAnsi="Times New Roman" w:cs="Times New Roman"/>
          <w:smallCaps/>
          <w:sz w:val="24"/>
          <w:szCs w:val="24"/>
        </w:rPr>
        <w:t xml:space="preserve"> </w:t>
      </w:r>
      <w:r w:rsidR="00DD4847" w:rsidRPr="00B952ED">
        <w:rPr>
          <w:rFonts w:ascii="Times New Roman" w:hAnsi="Times New Roman" w:cs="Times New Roman"/>
          <w:smallCaps/>
          <w:sz w:val="24"/>
          <w:szCs w:val="24"/>
        </w:rPr>
        <w:t xml:space="preserve">5.2 </w:t>
      </w:r>
      <w:r w:rsidRPr="00B952ED">
        <w:rPr>
          <w:rFonts w:ascii="Times New Roman" w:hAnsi="Times New Roman" w:cs="Times New Roman"/>
          <w:smallCaps/>
          <w:sz w:val="24"/>
          <w:szCs w:val="24"/>
        </w:rPr>
        <w:t>Pharmacokinetic Properties</w:t>
      </w:r>
      <w:r w:rsidRPr="00B952ED">
        <w:rPr>
          <w:rFonts w:ascii="Times New Roman" w:hAnsi="Times New Roman" w:cs="Times New Roman"/>
          <w:sz w:val="24"/>
          <w:szCs w:val="24"/>
        </w:rPr>
        <w:t>).</w:t>
      </w:r>
    </w:p>
    <w:p w14:paraId="2A429AB8" w14:textId="5BA80360" w:rsidR="005A56AF" w:rsidRPr="00B952ED" w:rsidRDefault="005A56AF" w:rsidP="005A56AF">
      <w:pPr>
        <w:rPr>
          <w:rFonts w:ascii="Times New Roman" w:hAnsi="Times New Roman" w:cs="Times New Roman"/>
          <w:sz w:val="24"/>
          <w:szCs w:val="24"/>
        </w:rPr>
      </w:pPr>
      <w:r w:rsidRPr="00B952ED">
        <w:rPr>
          <w:rFonts w:ascii="Times New Roman" w:hAnsi="Times New Roman" w:cs="Times New Roman"/>
          <w:sz w:val="24"/>
          <w:szCs w:val="24"/>
        </w:rPr>
        <w:t>Co</w:t>
      </w:r>
      <w:r w:rsidR="001332DB">
        <w:rPr>
          <w:rFonts w:ascii="Times New Roman" w:hAnsi="Times New Roman" w:cs="Times New Roman"/>
          <w:sz w:val="24"/>
          <w:szCs w:val="24"/>
        </w:rPr>
        <w:t>-</w:t>
      </w:r>
      <w:r w:rsidRPr="00B952ED">
        <w:rPr>
          <w:rFonts w:ascii="Times New Roman" w:hAnsi="Times New Roman" w:cs="Times New Roman"/>
          <w:sz w:val="24"/>
          <w:szCs w:val="24"/>
        </w:rPr>
        <w:t xml:space="preserve">administration of </w:t>
      </w:r>
      <w:r w:rsidR="008031A2">
        <w:rPr>
          <w:rFonts w:ascii="Times New Roman" w:hAnsi="Times New Roman" w:cs="Times New Roman"/>
          <w:sz w:val="24"/>
          <w:szCs w:val="24"/>
        </w:rPr>
        <w:t xml:space="preserve">maribavir </w:t>
      </w:r>
      <w:r w:rsidRPr="00B952ED">
        <w:rPr>
          <w:rFonts w:ascii="Times New Roman" w:hAnsi="Times New Roman" w:cs="Times New Roman"/>
          <w:sz w:val="24"/>
          <w:szCs w:val="24"/>
        </w:rPr>
        <w:t>with other strong or moderate CYP3A inducers has not been evaluated, but decreased maribavir concentrations are expected. If co</w:t>
      </w:r>
      <w:r w:rsidR="001332DB">
        <w:rPr>
          <w:rFonts w:ascii="Times New Roman" w:hAnsi="Times New Roman" w:cs="Times New Roman"/>
          <w:sz w:val="24"/>
          <w:szCs w:val="24"/>
        </w:rPr>
        <w:t>-</w:t>
      </w:r>
      <w:r w:rsidRPr="00B952ED">
        <w:rPr>
          <w:rFonts w:ascii="Times New Roman" w:hAnsi="Times New Roman" w:cs="Times New Roman"/>
          <w:sz w:val="24"/>
          <w:szCs w:val="24"/>
        </w:rPr>
        <w:t xml:space="preserve">administration with other strong or moderate CYP3A inducers cannot be avoided, a </w:t>
      </w:r>
      <w:r w:rsidR="00BC7FBB">
        <w:rPr>
          <w:rFonts w:ascii="Times New Roman" w:hAnsi="Times New Roman" w:cs="Times New Roman"/>
          <w:sz w:val="24"/>
          <w:szCs w:val="24"/>
        </w:rPr>
        <w:t>maribavir</w:t>
      </w:r>
      <w:r w:rsidRPr="00B952ED">
        <w:rPr>
          <w:rFonts w:ascii="Times New Roman" w:hAnsi="Times New Roman" w:cs="Times New Roman"/>
          <w:sz w:val="24"/>
          <w:szCs w:val="24"/>
        </w:rPr>
        <w:t xml:space="preserve"> dose increase up to 1200 mg twice daily should be considered </w:t>
      </w:r>
      <w:r w:rsidR="00B168F8" w:rsidRPr="00B952ED">
        <w:rPr>
          <w:rFonts w:ascii="Times New Roman" w:hAnsi="Times New Roman" w:cs="Times New Roman"/>
          <w:sz w:val="24"/>
          <w:szCs w:val="24"/>
        </w:rPr>
        <w:t xml:space="preserve">(see </w:t>
      </w:r>
      <w:r w:rsidR="00B168F8" w:rsidRPr="00B952ED">
        <w:rPr>
          <w:rFonts w:ascii="Times New Roman" w:hAnsi="Times New Roman" w:cs="Times New Roman"/>
          <w:smallCaps/>
          <w:sz w:val="24"/>
          <w:szCs w:val="24"/>
        </w:rPr>
        <w:t xml:space="preserve">4.2 Dose and Method of Administration </w:t>
      </w:r>
      <w:r w:rsidR="00B168F8" w:rsidRPr="00B952ED">
        <w:rPr>
          <w:rFonts w:ascii="Times New Roman" w:hAnsi="Times New Roman" w:cs="Times New Roman"/>
          <w:sz w:val="24"/>
          <w:szCs w:val="24"/>
        </w:rPr>
        <w:t xml:space="preserve">and </w:t>
      </w:r>
      <w:r w:rsidR="00B168F8" w:rsidRPr="00B952ED">
        <w:rPr>
          <w:rFonts w:ascii="Times New Roman" w:hAnsi="Times New Roman" w:cs="Times New Roman"/>
          <w:smallCaps/>
          <w:sz w:val="24"/>
          <w:szCs w:val="24"/>
        </w:rPr>
        <w:t>5.2 Pharmacokinetic Properties</w:t>
      </w:r>
      <w:r w:rsidR="00B168F8" w:rsidRPr="00B952ED">
        <w:rPr>
          <w:rFonts w:ascii="Times New Roman" w:hAnsi="Times New Roman" w:cs="Times New Roman"/>
          <w:sz w:val="24"/>
          <w:szCs w:val="24"/>
        </w:rPr>
        <w:t>)</w:t>
      </w:r>
      <w:r w:rsidRPr="00B952ED">
        <w:rPr>
          <w:rFonts w:ascii="Times New Roman" w:hAnsi="Times New Roman" w:cs="Times New Roman"/>
          <w:sz w:val="24"/>
          <w:szCs w:val="24"/>
        </w:rPr>
        <w:t>.</w:t>
      </w:r>
    </w:p>
    <w:p w14:paraId="5DBE0B09" w14:textId="57965031" w:rsidR="0039012E" w:rsidRPr="00B952ED" w:rsidRDefault="005A56AF" w:rsidP="005A56AF">
      <w:pPr>
        <w:rPr>
          <w:rFonts w:ascii="Times New Roman" w:hAnsi="Times New Roman" w:cs="Times New Roman"/>
          <w:sz w:val="24"/>
          <w:szCs w:val="24"/>
        </w:rPr>
      </w:pPr>
      <w:r w:rsidRPr="00B952ED">
        <w:rPr>
          <w:rFonts w:ascii="Times New Roman" w:hAnsi="Times New Roman" w:cs="Times New Roman"/>
          <w:sz w:val="24"/>
          <w:szCs w:val="24"/>
        </w:rPr>
        <w:t>Co</w:t>
      </w:r>
      <w:r w:rsidR="001332DB">
        <w:rPr>
          <w:rFonts w:ascii="Times New Roman" w:hAnsi="Times New Roman" w:cs="Times New Roman"/>
          <w:sz w:val="24"/>
          <w:szCs w:val="24"/>
        </w:rPr>
        <w:t>-</w:t>
      </w:r>
      <w:r w:rsidRPr="00B952ED">
        <w:rPr>
          <w:rFonts w:ascii="Times New Roman" w:hAnsi="Times New Roman" w:cs="Times New Roman"/>
          <w:sz w:val="24"/>
          <w:szCs w:val="24"/>
        </w:rPr>
        <w:t xml:space="preserve">administration of </w:t>
      </w:r>
      <w:r w:rsidR="00BC7FBB">
        <w:rPr>
          <w:rFonts w:ascii="Times New Roman" w:hAnsi="Times New Roman" w:cs="Times New Roman"/>
          <w:sz w:val="24"/>
          <w:szCs w:val="24"/>
        </w:rPr>
        <w:t>maribavir</w:t>
      </w:r>
      <w:r w:rsidRPr="00B952ED">
        <w:rPr>
          <w:rFonts w:ascii="Times New Roman" w:hAnsi="Times New Roman" w:cs="Times New Roman"/>
          <w:sz w:val="24"/>
          <w:szCs w:val="24"/>
        </w:rPr>
        <w:t xml:space="preserve"> and medicinal products that are inhibitors of CYP3A may result in increased plasma concentrations of maribavir (see </w:t>
      </w:r>
      <w:r w:rsidR="0034722A" w:rsidRPr="00B952ED">
        <w:rPr>
          <w:rFonts w:ascii="Times New Roman" w:hAnsi="Times New Roman" w:cs="Times New Roman"/>
          <w:smallCaps/>
          <w:sz w:val="24"/>
          <w:szCs w:val="24"/>
        </w:rPr>
        <w:t xml:space="preserve">5.2 </w:t>
      </w:r>
      <w:r w:rsidRPr="00B952ED">
        <w:rPr>
          <w:rFonts w:ascii="Times New Roman" w:hAnsi="Times New Roman" w:cs="Times New Roman"/>
          <w:smallCaps/>
          <w:sz w:val="24"/>
          <w:szCs w:val="24"/>
        </w:rPr>
        <w:t>Pharmacokinetic Properties</w:t>
      </w:r>
      <w:r w:rsidRPr="00B952ED">
        <w:rPr>
          <w:rFonts w:ascii="Times New Roman" w:hAnsi="Times New Roman" w:cs="Times New Roman"/>
          <w:sz w:val="24"/>
          <w:szCs w:val="24"/>
        </w:rPr>
        <w:t>). However, no dose adjustment is needed when maribavir is co administered with CYP3A inhibitors.</w:t>
      </w:r>
    </w:p>
    <w:p w14:paraId="378C9BB4" w14:textId="3C8F4B3B" w:rsidR="009E1F6A" w:rsidRPr="00B952ED" w:rsidRDefault="00946761" w:rsidP="00AD77A9">
      <w:pPr>
        <w:pStyle w:val="Heading3"/>
        <w:spacing w:before="0" w:after="12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 xml:space="preserve">Effect of </w:t>
      </w:r>
      <w:r w:rsidR="00BC7FBB" w:rsidRPr="00307C22">
        <w:rPr>
          <w:rFonts w:ascii="Times New Roman" w:hAnsi="Times New Roman" w:cs="Times New Roman"/>
          <w:b w:val="0"/>
          <w:bCs w:val="0"/>
          <w:sz w:val="24"/>
          <w:szCs w:val="24"/>
          <w:u w:val="single"/>
        </w:rPr>
        <w:t>maribavir</w:t>
      </w:r>
      <w:r w:rsidRPr="00B952ED">
        <w:rPr>
          <w:rFonts w:ascii="Times New Roman" w:hAnsi="Times New Roman" w:cs="Times New Roman"/>
          <w:b w:val="0"/>
          <w:bCs w:val="0"/>
          <w:sz w:val="24"/>
          <w:szCs w:val="24"/>
          <w:u w:val="single"/>
        </w:rPr>
        <w:t xml:space="preserve"> on other medicinal products</w:t>
      </w:r>
    </w:p>
    <w:p w14:paraId="0A868E41" w14:textId="76561CA4" w:rsidR="000A610E" w:rsidRPr="00B952ED" w:rsidRDefault="00F3679E" w:rsidP="000A610E">
      <w:pPr>
        <w:rPr>
          <w:rFonts w:ascii="Times New Roman" w:hAnsi="Times New Roman" w:cs="Times New Roman"/>
          <w:sz w:val="24"/>
          <w:szCs w:val="24"/>
        </w:rPr>
      </w:pPr>
      <w:r>
        <w:rPr>
          <w:rFonts w:ascii="Times New Roman" w:hAnsi="Times New Roman" w:cs="Times New Roman"/>
          <w:sz w:val="24"/>
          <w:szCs w:val="24"/>
        </w:rPr>
        <w:t>Maribavir</w:t>
      </w:r>
      <w:r w:rsidRPr="00B952ED">
        <w:rPr>
          <w:rFonts w:ascii="Times New Roman" w:hAnsi="Times New Roman" w:cs="Times New Roman"/>
          <w:sz w:val="24"/>
          <w:szCs w:val="24"/>
        </w:rPr>
        <w:t xml:space="preserve"> </w:t>
      </w:r>
      <w:r w:rsidR="000A610E" w:rsidRPr="00B952ED">
        <w:rPr>
          <w:rFonts w:ascii="Times New Roman" w:hAnsi="Times New Roman" w:cs="Times New Roman"/>
          <w:sz w:val="24"/>
          <w:szCs w:val="24"/>
        </w:rPr>
        <w:t xml:space="preserve">is contraindicated with valganciclovir/ganciclovir. </w:t>
      </w:r>
      <w:r>
        <w:rPr>
          <w:rFonts w:ascii="Times New Roman" w:hAnsi="Times New Roman" w:cs="Times New Roman"/>
          <w:sz w:val="24"/>
          <w:szCs w:val="24"/>
        </w:rPr>
        <w:t>Maribavir</w:t>
      </w:r>
      <w:r w:rsidRPr="00B952ED">
        <w:rPr>
          <w:rFonts w:ascii="Times New Roman" w:hAnsi="Times New Roman" w:cs="Times New Roman"/>
          <w:sz w:val="24"/>
          <w:szCs w:val="24"/>
        </w:rPr>
        <w:t xml:space="preserve"> </w:t>
      </w:r>
      <w:r w:rsidR="000A610E" w:rsidRPr="00B952ED">
        <w:rPr>
          <w:rFonts w:ascii="Times New Roman" w:hAnsi="Times New Roman" w:cs="Times New Roman"/>
          <w:sz w:val="24"/>
          <w:szCs w:val="24"/>
        </w:rPr>
        <w:t xml:space="preserve">may antagonize the antiviral effect of ganciclovir and valganciclovir by inhibiting human CMV UL97 serine/threonine kinase, which is required for activation/phosphorylation of ganciclovir and valganciclovir (see </w:t>
      </w:r>
      <w:r w:rsidR="000A610E" w:rsidRPr="00B952ED">
        <w:rPr>
          <w:rFonts w:ascii="Times New Roman" w:hAnsi="Times New Roman" w:cs="Times New Roman"/>
          <w:smallCaps/>
          <w:sz w:val="24"/>
          <w:szCs w:val="24"/>
        </w:rPr>
        <w:t>4.3 Contraindications</w:t>
      </w:r>
      <w:r w:rsidR="000A610E" w:rsidRPr="00B952ED">
        <w:rPr>
          <w:rFonts w:ascii="Times New Roman" w:hAnsi="Times New Roman" w:cs="Times New Roman"/>
          <w:sz w:val="24"/>
          <w:szCs w:val="24"/>
        </w:rPr>
        <w:t xml:space="preserve"> and </w:t>
      </w:r>
      <w:r w:rsidR="000A610E" w:rsidRPr="00B952ED">
        <w:rPr>
          <w:rFonts w:ascii="Times New Roman" w:hAnsi="Times New Roman" w:cs="Times New Roman"/>
          <w:smallCaps/>
          <w:sz w:val="24"/>
          <w:szCs w:val="24"/>
        </w:rPr>
        <w:t>5.1 Pharmacodynamic Properties</w:t>
      </w:r>
      <w:r w:rsidR="000A610E" w:rsidRPr="00B952ED">
        <w:rPr>
          <w:rFonts w:ascii="Times New Roman" w:hAnsi="Times New Roman" w:cs="Times New Roman"/>
          <w:sz w:val="24"/>
          <w:szCs w:val="24"/>
        </w:rPr>
        <w:t>).</w:t>
      </w:r>
    </w:p>
    <w:p w14:paraId="670C0B22" w14:textId="6095BDC1" w:rsidR="000A610E" w:rsidRPr="00B952ED" w:rsidRDefault="000A610E" w:rsidP="000A610E">
      <w:pPr>
        <w:rPr>
          <w:rFonts w:ascii="Times New Roman" w:hAnsi="Times New Roman" w:cs="Times New Roman"/>
          <w:sz w:val="24"/>
          <w:szCs w:val="24"/>
        </w:rPr>
      </w:pPr>
      <w:r w:rsidRPr="00B952ED">
        <w:rPr>
          <w:rFonts w:ascii="Times New Roman" w:hAnsi="Times New Roman" w:cs="Times New Roman"/>
          <w:sz w:val="24"/>
          <w:szCs w:val="24"/>
        </w:rPr>
        <w:t xml:space="preserve">At therapeutic concentrations, clinically significant interactions are not expected when </w:t>
      </w:r>
      <w:r w:rsidR="00AB07B7">
        <w:rPr>
          <w:rFonts w:ascii="Times New Roman" w:hAnsi="Times New Roman" w:cs="Times New Roman"/>
          <w:sz w:val="24"/>
          <w:szCs w:val="24"/>
        </w:rPr>
        <w:t>maribavir</w:t>
      </w:r>
      <w:r w:rsidRPr="00B952ED">
        <w:rPr>
          <w:rFonts w:ascii="Times New Roman" w:hAnsi="Times New Roman" w:cs="Times New Roman"/>
          <w:sz w:val="24"/>
          <w:szCs w:val="24"/>
        </w:rPr>
        <w:t xml:space="preserve"> is co-administered with substrates of CYP1A2, 2A6, 2B6, 2C8, 2C9, 2C19, 2E1, 2D6, and 3A4; UGT1A1,</w:t>
      </w:r>
      <w:r w:rsidR="00EF0627">
        <w:rPr>
          <w:rFonts w:ascii="Times New Roman" w:hAnsi="Times New Roman" w:cs="Times New Roman"/>
          <w:sz w:val="24"/>
          <w:szCs w:val="24"/>
        </w:rPr>
        <w:t xml:space="preserve"> </w:t>
      </w:r>
      <w:r w:rsidR="00CD418B">
        <w:rPr>
          <w:rFonts w:ascii="Times New Roman" w:hAnsi="Times New Roman" w:cs="Times New Roman"/>
          <w:sz w:val="24"/>
          <w:szCs w:val="24"/>
        </w:rPr>
        <w:t>1</w:t>
      </w:r>
      <w:r w:rsidR="00EF0627">
        <w:rPr>
          <w:rFonts w:ascii="Times New Roman" w:hAnsi="Times New Roman" w:cs="Times New Roman"/>
          <w:sz w:val="24"/>
          <w:szCs w:val="24"/>
        </w:rPr>
        <w:t>A3,</w:t>
      </w:r>
      <w:r w:rsidRPr="00B952ED">
        <w:rPr>
          <w:rFonts w:ascii="Times New Roman" w:hAnsi="Times New Roman" w:cs="Times New Roman"/>
          <w:sz w:val="24"/>
          <w:szCs w:val="24"/>
        </w:rPr>
        <w:t xml:space="preserve"> 1A4, 1A6, 1A9, 2B7; P</w:t>
      </w:r>
      <w:r w:rsidR="0096314E" w:rsidRPr="00B952ED">
        <w:rPr>
          <w:rFonts w:ascii="Times New Roman" w:hAnsi="Times New Roman" w:cs="Times New Roman"/>
          <w:sz w:val="24"/>
          <w:szCs w:val="24"/>
        </w:rPr>
        <w:t>-</w:t>
      </w:r>
      <w:proofErr w:type="spellStart"/>
      <w:r w:rsidRPr="00B952ED">
        <w:rPr>
          <w:rFonts w:ascii="Times New Roman" w:hAnsi="Times New Roman" w:cs="Times New Roman"/>
          <w:sz w:val="24"/>
          <w:szCs w:val="24"/>
        </w:rPr>
        <w:t>gp</w:t>
      </w:r>
      <w:proofErr w:type="spellEnd"/>
      <w:r w:rsidRPr="00B952ED">
        <w:rPr>
          <w:rFonts w:ascii="Times New Roman" w:hAnsi="Times New Roman" w:cs="Times New Roman"/>
          <w:sz w:val="24"/>
          <w:szCs w:val="24"/>
        </w:rPr>
        <w:t xml:space="preserve">; bile salt export pump (BSEP); </w:t>
      </w:r>
      <w:r w:rsidRPr="00B952ED">
        <w:rPr>
          <w:rFonts w:ascii="Times New Roman" w:hAnsi="Times New Roman" w:cs="Times New Roman"/>
          <w:sz w:val="24"/>
          <w:szCs w:val="24"/>
        </w:rPr>
        <w:lastRenderedPageBreak/>
        <w:t xml:space="preserve">multidrug and toxin extrusion protein (MATE)1/2K; organic anion transporters (OAT)1 and OAT3; organic cation transporters (OCT)1 and OCT2; organic anion transporting polypeptide (OATP)1B1 and OATP1B3 based on </w:t>
      </w:r>
      <w:r w:rsidRPr="00B952ED">
        <w:rPr>
          <w:rFonts w:ascii="Times New Roman" w:hAnsi="Times New Roman" w:cs="Times New Roman"/>
          <w:i/>
          <w:iCs/>
          <w:sz w:val="24"/>
          <w:szCs w:val="24"/>
        </w:rPr>
        <w:t>in</w:t>
      </w:r>
      <w:r w:rsidR="00E85E88" w:rsidRPr="00B952ED">
        <w:rPr>
          <w:rFonts w:ascii="Times New Roman" w:hAnsi="Times New Roman" w:cs="Times New Roman"/>
          <w:i/>
          <w:iCs/>
          <w:sz w:val="24"/>
          <w:szCs w:val="24"/>
        </w:rPr>
        <w:t xml:space="preserve"> </w:t>
      </w:r>
      <w:r w:rsidRPr="00B952ED">
        <w:rPr>
          <w:rFonts w:ascii="Times New Roman" w:hAnsi="Times New Roman" w:cs="Times New Roman"/>
          <w:i/>
          <w:iCs/>
          <w:sz w:val="24"/>
          <w:szCs w:val="24"/>
        </w:rPr>
        <w:t>vitro</w:t>
      </w:r>
      <w:r w:rsidRPr="00B952ED">
        <w:rPr>
          <w:rFonts w:ascii="Times New Roman" w:hAnsi="Times New Roman" w:cs="Times New Roman"/>
          <w:sz w:val="24"/>
          <w:szCs w:val="24"/>
        </w:rPr>
        <w:t xml:space="preserve"> and clinical drug interaction results  (see Table 1 and 5.2</w:t>
      </w:r>
      <w:r w:rsidRPr="00B952ED">
        <w:rPr>
          <w:rFonts w:ascii="Times New Roman" w:hAnsi="Times New Roman" w:cs="Times New Roman"/>
          <w:smallCaps/>
          <w:sz w:val="24"/>
          <w:szCs w:val="24"/>
        </w:rPr>
        <w:t xml:space="preserve"> Pharmacokinetic Properties</w:t>
      </w:r>
      <w:r w:rsidRPr="00B952ED">
        <w:rPr>
          <w:rFonts w:ascii="Times New Roman" w:hAnsi="Times New Roman" w:cs="Times New Roman"/>
          <w:sz w:val="24"/>
          <w:szCs w:val="24"/>
        </w:rPr>
        <w:t>) except the following medicinal products.</w:t>
      </w:r>
      <w:r w:rsidR="00AE5131" w:rsidRPr="00AE5131">
        <w:rPr>
          <w:rFonts w:ascii="Times New Roman" w:hAnsi="Times New Roman" w:cs="Times New Roman"/>
          <w:i/>
          <w:iCs/>
          <w:sz w:val="24"/>
          <w:szCs w:val="24"/>
        </w:rPr>
        <w:t xml:space="preserve"> In vitro</w:t>
      </w:r>
      <w:r w:rsidR="00AE5131" w:rsidRPr="00AE5131">
        <w:rPr>
          <w:rFonts w:ascii="Times New Roman" w:hAnsi="Times New Roman" w:cs="Times New Roman"/>
          <w:sz w:val="24"/>
          <w:szCs w:val="24"/>
        </w:rPr>
        <w:t>, Breast Cancer Resistance Protein (BCRP) indicated higher potential for drug interactions with drugs transported by this transporter at clinically relevant concentrations. The primary metabolite VP44469 was not a CYP inhibitor at clinically relevant concentrations.</w:t>
      </w:r>
    </w:p>
    <w:p w14:paraId="5414080B" w14:textId="24CE61C2" w:rsidR="000A610E" w:rsidRPr="00B952ED" w:rsidRDefault="000A610E" w:rsidP="000A610E">
      <w:pPr>
        <w:rPr>
          <w:rFonts w:ascii="Times New Roman" w:hAnsi="Times New Roman" w:cs="Times New Roman"/>
          <w:sz w:val="24"/>
          <w:szCs w:val="24"/>
        </w:rPr>
      </w:pPr>
      <w:r w:rsidRPr="00B952ED">
        <w:rPr>
          <w:rFonts w:ascii="Times New Roman" w:hAnsi="Times New Roman" w:cs="Times New Roman"/>
          <w:sz w:val="24"/>
          <w:szCs w:val="24"/>
        </w:rPr>
        <w:t>Co</w:t>
      </w:r>
      <w:r w:rsidR="001332DB">
        <w:rPr>
          <w:rFonts w:ascii="Times New Roman" w:hAnsi="Times New Roman" w:cs="Times New Roman"/>
          <w:sz w:val="24"/>
          <w:szCs w:val="24"/>
        </w:rPr>
        <w:t>-</w:t>
      </w:r>
      <w:r w:rsidRPr="00B952ED">
        <w:rPr>
          <w:rFonts w:ascii="Times New Roman" w:hAnsi="Times New Roman" w:cs="Times New Roman"/>
          <w:sz w:val="24"/>
          <w:szCs w:val="24"/>
        </w:rPr>
        <w:t xml:space="preserve">administration of </w:t>
      </w:r>
      <w:r w:rsidR="009A4D29">
        <w:rPr>
          <w:rFonts w:ascii="Times New Roman" w:hAnsi="Times New Roman" w:cs="Times New Roman"/>
          <w:sz w:val="24"/>
          <w:szCs w:val="24"/>
        </w:rPr>
        <w:t>maribavir</w:t>
      </w:r>
      <w:r w:rsidR="009A4D29" w:rsidRPr="00B952ED">
        <w:rPr>
          <w:rFonts w:ascii="Times New Roman" w:hAnsi="Times New Roman" w:cs="Times New Roman"/>
          <w:sz w:val="24"/>
          <w:szCs w:val="24"/>
        </w:rPr>
        <w:t xml:space="preserve"> </w:t>
      </w:r>
      <w:r w:rsidRPr="00B952ED">
        <w:rPr>
          <w:rFonts w:ascii="Times New Roman" w:hAnsi="Times New Roman" w:cs="Times New Roman"/>
          <w:sz w:val="24"/>
          <w:szCs w:val="24"/>
        </w:rPr>
        <w:t xml:space="preserve">increased plasma concentrations of immunosuppressants, including tacrolimus (see Table 1). When the immunosuppressants tacrolimus, cyclosporin, </w:t>
      </w:r>
      <w:proofErr w:type="spellStart"/>
      <w:r w:rsidRPr="00B952ED">
        <w:rPr>
          <w:rFonts w:ascii="Times New Roman" w:hAnsi="Times New Roman" w:cs="Times New Roman"/>
          <w:sz w:val="24"/>
          <w:szCs w:val="24"/>
        </w:rPr>
        <w:t>everolimus</w:t>
      </w:r>
      <w:proofErr w:type="spellEnd"/>
      <w:r w:rsidRPr="00B952ED">
        <w:rPr>
          <w:rFonts w:ascii="Times New Roman" w:hAnsi="Times New Roman" w:cs="Times New Roman"/>
          <w:sz w:val="24"/>
          <w:szCs w:val="24"/>
        </w:rPr>
        <w:t>, or sirolimus are co</w:t>
      </w:r>
      <w:r w:rsidR="007E0D30" w:rsidRPr="00B952ED">
        <w:rPr>
          <w:rFonts w:ascii="Times New Roman" w:hAnsi="Times New Roman" w:cs="Times New Roman"/>
          <w:sz w:val="24"/>
          <w:szCs w:val="24"/>
        </w:rPr>
        <w:t>-</w:t>
      </w:r>
      <w:r w:rsidRPr="00B952ED">
        <w:rPr>
          <w:rFonts w:ascii="Times New Roman" w:hAnsi="Times New Roman" w:cs="Times New Roman"/>
          <w:sz w:val="24"/>
          <w:szCs w:val="24"/>
        </w:rPr>
        <w:t xml:space="preserve">administered with </w:t>
      </w:r>
      <w:r w:rsidR="009A4D29">
        <w:rPr>
          <w:rFonts w:ascii="Times New Roman" w:hAnsi="Times New Roman" w:cs="Times New Roman"/>
          <w:sz w:val="24"/>
          <w:szCs w:val="24"/>
        </w:rPr>
        <w:t>maribavir</w:t>
      </w:r>
      <w:r w:rsidRPr="00B952ED">
        <w:rPr>
          <w:rFonts w:ascii="Times New Roman" w:hAnsi="Times New Roman" w:cs="Times New Roman"/>
          <w:sz w:val="24"/>
          <w:szCs w:val="24"/>
        </w:rPr>
        <w:t xml:space="preserve">, frequently monitor immunosuppressant drug levels throughout treatment with </w:t>
      </w:r>
      <w:r w:rsidR="00475938">
        <w:rPr>
          <w:rFonts w:ascii="Times New Roman" w:hAnsi="Times New Roman" w:cs="Times New Roman"/>
          <w:sz w:val="24"/>
          <w:szCs w:val="24"/>
        </w:rPr>
        <w:t>maribavir</w:t>
      </w:r>
      <w:r w:rsidRPr="00B952ED">
        <w:rPr>
          <w:rFonts w:ascii="Times New Roman" w:hAnsi="Times New Roman" w:cs="Times New Roman"/>
          <w:sz w:val="24"/>
          <w:szCs w:val="24"/>
        </w:rPr>
        <w:t xml:space="preserve">, especially following initiation and after discontinuation of </w:t>
      </w:r>
      <w:r w:rsidR="00475938">
        <w:rPr>
          <w:rFonts w:ascii="Times New Roman" w:hAnsi="Times New Roman" w:cs="Times New Roman"/>
          <w:sz w:val="24"/>
          <w:szCs w:val="24"/>
        </w:rPr>
        <w:t>maribavir</w:t>
      </w:r>
      <w:r w:rsidR="00475938" w:rsidRPr="00B952ED">
        <w:rPr>
          <w:rFonts w:ascii="Times New Roman" w:hAnsi="Times New Roman" w:cs="Times New Roman"/>
          <w:sz w:val="24"/>
          <w:szCs w:val="24"/>
        </w:rPr>
        <w:t xml:space="preserve"> </w:t>
      </w:r>
      <w:r w:rsidRPr="00B952ED">
        <w:rPr>
          <w:rFonts w:ascii="Times New Roman" w:hAnsi="Times New Roman" w:cs="Times New Roman"/>
          <w:sz w:val="24"/>
          <w:szCs w:val="24"/>
        </w:rPr>
        <w:t xml:space="preserve">and adjust dose, as needed (see </w:t>
      </w:r>
      <w:r w:rsidR="007E0D30" w:rsidRPr="00B952ED">
        <w:rPr>
          <w:rFonts w:ascii="Times New Roman" w:hAnsi="Times New Roman" w:cs="Times New Roman"/>
          <w:sz w:val="24"/>
          <w:szCs w:val="24"/>
        </w:rPr>
        <w:t xml:space="preserve">4.4 </w:t>
      </w:r>
      <w:r w:rsidRPr="00B952ED">
        <w:rPr>
          <w:rFonts w:ascii="Times New Roman" w:hAnsi="Times New Roman" w:cs="Times New Roman"/>
          <w:smallCaps/>
          <w:sz w:val="24"/>
          <w:szCs w:val="24"/>
        </w:rPr>
        <w:t>Special Warnings and Special Precautions for Use</w:t>
      </w:r>
      <w:r w:rsidRPr="00B952ED">
        <w:rPr>
          <w:rFonts w:ascii="Times New Roman" w:hAnsi="Times New Roman" w:cs="Times New Roman"/>
          <w:sz w:val="24"/>
          <w:szCs w:val="24"/>
        </w:rPr>
        <w:t xml:space="preserve"> and Table 1).</w:t>
      </w:r>
    </w:p>
    <w:p w14:paraId="3D1D74AE" w14:textId="6A0EBD77" w:rsidR="00946761" w:rsidRPr="00B952ED" w:rsidRDefault="000A610E" w:rsidP="000A610E">
      <w:pPr>
        <w:rPr>
          <w:rFonts w:ascii="Times New Roman" w:hAnsi="Times New Roman" w:cs="Times New Roman"/>
          <w:smallCaps/>
          <w:sz w:val="24"/>
          <w:szCs w:val="24"/>
        </w:rPr>
      </w:pPr>
      <w:r w:rsidRPr="00B952ED">
        <w:rPr>
          <w:rFonts w:ascii="Times New Roman" w:hAnsi="Times New Roman" w:cs="Times New Roman"/>
          <w:sz w:val="24"/>
          <w:szCs w:val="24"/>
        </w:rPr>
        <w:t>Co</w:t>
      </w:r>
      <w:r w:rsidR="001332DB">
        <w:rPr>
          <w:rFonts w:ascii="Times New Roman" w:hAnsi="Times New Roman" w:cs="Times New Roman"/>
          <w:sz w:val="24"/>
          <w:szCs w:val="24"/>
        </w:rPr>
        <w:t>-</w:t>
      </w:r>
      <w:r w:rsidRPr="00B952ED">
        <w:rPr>
          <w:rFonts w:ascii="Times New Roman" w:hAnsi="Times New Roman" w:cs="Times New Roman"/>
          <w:sz w:val="24"/>
          <w:szCs w:val="24"/>
        </w:rPr>
        <w:t xml:space="preserve">administration of </w:t>
      </w:r>
      <w:r w:rsidR="00475938">
        <w:rPr>
          <w:rFonts w:ascii="Times New Roman" w:hAnsi="Times New Roman" w:cs="Times New Roman"/>
          <w:sz w:val="24"/>
          <w:szCs w:val="24"/>
        </w:rPr>
        <w:t>maribavir</w:t>
      </w:r>
      <w:r w:rsidR="00475938" w:rsidRPr="00B952ED">
        <w:rPr>
          <w:rFonts w:ascii="Times New Roman" w:hAnsi="Times New Roman" w:cs="Times New Roman"/>
          <w:sz w:val="24"/>
          <w:szCs w:val="24"/>
        </w:rPr>
        <w:t xml:space="preserve"> </w:t>
      </w:r>
      <w:r w:rsidRPr="00B952ED">
        <w:rPr>
          <w:rFonts w:ascii="Times New Roman" w:hAnsi="Times New Roman" w:cs="Times New Roman"/>
          <w:sz w:val="24"/>
          <w:szCs w:val="24"/>
        </w:rPr>
        <w:t xml:space="preserve">with rosuvastatin, a sensitive BCRP substrate, is expected to increase rosuvastatin concentration. Rosuvastatin is associated with the occurrence of myopathy and rhabdomyolysis (see </w:t>
      </w:r>
      <w:r w:rsidR="000831D9" w:rsidRPr="00B952ED">
        <w:rPr>
          <w:rFonts w:ascii="Times New Roman" w:hAnsi="Times New Roman" w:cs="Times New Roman"/>
          <w:sz w:val="24"/>
          <w:szCs w:val="24"/>
        </w:rPr>
        <w:t xml:space="preserve">4.4 </w:t>
      </w:r>
      <w:r w:rsidRPr="00B952ED">
        <w:rPr>
          <w:rFonts w:ascii="Times New Roman" w:hAnsi="Times New Roman" w:cs="Times New Roman"/>
          <w:sz w:val="24"/>
          <w:szCs w:val="24"/>
        </w:rPr>
        <w:t>S</w:t>
      </w:r>
      <w:r w:rsidRPr="00B952ED">
        <w:rPr>
          <w:rFonts w:ascii="Times New Roman" w:hAnsi="Times New Roman" w:cs="Times New Roman"/>
          <w:smallCaps/>
          <w:sz w:val="24"/>
          <w:szCs w:val="24"/>
        </w:rPr>
        <w:t xml:space="preserve">pecial Warnings and Special Precautions for Use </w:t>
      </w:r>
      <w:r w:rsidR="00084963" w:rsidRPr="00B952ED">
        <w:rPr>
          <w:rFonts w:ascii="Times New Roman" w:hAnsi="Times New Roman" w:cs="Times New Roman"/>
          <w:sz w:val="24"/>
          <w:szCs w:val="24"/>
        </w:rPr>
        <w:t>and Table</w:t>
      </w:r>
      <w:r w:rsidR="00084963" w:rsidRPr="00B952ED">
        <w:rPr>
          <w:rFonts w:ascii="Times New Roman" w:hAnsi="Times New Roman" w:cs="Times New Roman"/>
          <w:smallCaps/>
          <w:sz w:val="24"/>
          <w:szCs w:val="24"/>
        </w:rPr>
        <w:t xml:space="preserve"> </w:t>
      </w:r>
      <w:r w:rsidRPr="00B952ED">
        <w:rPr>
          <w:rFonts w:ascii="Times New Roman" w:hAnsi="Times New Roman" w:cs="Times New Roman"/>
          <w:smallCaps/>
          <w:sz w:val="24"/>
          <w:szCs w:val="24"/>
        </w:rPr>
        <w:t>1).</w:t>
      </w:r>
    </w:p>
    <w:p w14:paraId="35891BF5" w14:textId="1A398F1D" w:rsidR="00F9558A" w:rsidRPr="00B952ED" w:rsidRDefault="00F9558A" w:rsidP="007031F3">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General Information</w:t>
      </w:r>
    </w:p>
    <w:p w14:paraId="2D340EBF" w14:textId="6E055307" w:rsidR="00B662C5" w:rsidRPr="00B952ED" w:rsidRDefault="00B662C5" w:rsidP="007031F3">
      <w:pPr>
        <w:keepNext/>
        <w:rPr>
          <w:rFonts w:ascii="Times New Roman" w:hAnsi="Times New Roman" w:cs="Times New Roman"/>
          <w:sz w:val="24"/>
          <w:szCs w:val="24"/>
        </w:rPr>
      </w:pPr>
      <w:r w:rsidRPr="00B952ED">
        <w:rPr>
          <w:rFonts w:ascii="Times New Roman" w:hAnsi="Times New Roman" w:cs="Times New Roman"/>
          <w:sz w:val="24"/>
          <w:szCs w:val="24"/>
        </w:rPr>
        <w:t xml:space="preserve">If dose adjustments of concomitant medicinal products are made due to treatment with LIVTENCITY, doses should be readjusted after treatment with LIVTENCITY is completed. Table 1 provides a listing of established or potentially clinically significant medicinal product interactions. The medicinal product interactions described are based on studies conducted with LIVTENCITY or are predicted medicinal product interactions that may occur with LIVTENCITY (see 4.4 </w:t>
      </w:r>
      <w:r w:rsidRPr="00B952ED">
        <w:rPr>
          <w:rFonts w:ascii="Times New Roman" w:hAnsi="Times New Roman" w:cs="Times New Roman"/>
          <w:smallCaps/>
          <w:sz w:val="24"/>
          <w:szCs w:val="24"/>
        </w:rPr>
        <w:t xml:space="preserve">Special Warnings and Special Precautions for Use </w:t>
      </w:r>
      <w:r w:rsidRPr="00B952ED">
        <w:rPr>
          <w:rFonts w:ascii="Times New Roman" w:hAnsi="Times New Roman" w:cs="Times New Roman"/>
          <w:sz w:val="24"/>
          <w:szCs w:val="24"/>
        </w:rPr>
        <w:t xml:space="preserve">and 5.2 </w:t>
      </w:r>
      <w:r w:rsidRPr="00B952ED">
        <w:rPr>
          <w:rFonts w:ascii="Times New Roman" w:hAnsi="Times New Roman" w:cs="Times New Roman"/>
          <w:smallCaps/>
          <w:sz w:val="24"/>
          <w:szCs w:val="24"/>
        </w:rPr>
        <w:t>Pharmacokinetic Properties</w:t>
      </w:r>
      <w:r w:rsidRPr="00B952ED">
        <w:rPr>
          <w:rFonts w:ascii="Times New Roman" w:hAnsi="Times New Roman" w:cs="Times New Roman"/>
          <w:sz w:val="24"/>
          <w:szCs w:val="24"/>
        </w:rPr>
        <w:t>).</w:t>
      </w:r>
    </w:p>
    <w:p w14:paraId="7165CB7E" w14:textId="1CFFDB3B" w:rsidR="00FC6B31" w:rsidRPr="00B952ED" w:rsidRDefault="00FC6B31" w:rsidP="00FC6B31">
      <w:pPr>
        <w:pStyle w:val="Caption"/>
        <w:spacing w:after="120"/>
        <w:rPr>
          <w:lang w:val="en-AU"/>
        </w:rPr>
      </w:pPr>
      <w:bookmarkStart w:id="0" w:name="_Ref72874774"/>
      <w:r w:rsidRPr="00B952ED">
        <w:rPr>
          <w:lang w:val="en-AU"/>
        </w:rPr>
        <w:t xml:space="preserve">Table </w:t>
      </w:r>
      <w:r w:rsidRPr="00B952ED">
        <w:rPr>
          <w:lang w:val="en-AU"/>
        </w:rPr>
        <w:fldChar w:fldCharType="begin"/>
      </w:r>
      <w:r w:rsidRPr="00B952ED">
        <w:rPr>
          <w:lang w:val="en-AU"/>
        </w:rPr>
        <w:instrText xml:space="preserve"> SEQ Table \* ARABIC </w:instrText>
      </w:r>
      <w:r w:rsidRPr="00B952ED">
        <w:rPr>
          <w:lang w:val="en-AU"/>
        </w:rPr>
        <w:fldChar w:fldCharType="separate"/>
      </w:r>
      <w:r w:rsidR="00816B45">
        <w:rPr>
          <w:noProof/>
          <w:lang w:val="en-AU"/>
        </w:rPr>
        <w:t>1</w:t>
      </w:r>
      <w:r w:rsidRPr="00B952ED">
        <w:rPr>
          <w:noProof/>
          <w:lang w:val="en-AU"/>
        </w:rPr>
        <w:fldChar w:fldCharType="end"/>
      </w:r>
      <w:bookmarkEnd w:id="0"/>
      <w:r w:rsidRPr="00B952ED">
        <w:rPr>
          <w:lang w:val="en-AU"/>
        </w:rPr>
        <w:t>: Interactions and Dose Recommendations with Other Medicinal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972"/>
        <w:gridCol w:w="3170"/>
      </w:tblGrid>
      <w:tr w:rsidR="00B952ED" w:rsidRPr="00B952ED" w14:paraId="76B2BCFF" w14:textId="77777777" w:rsidTr="004B3E76">
        <w:trPr>
          <w:trHeight w:val="962"/>
          <w:tblHeader/>
        </w:trPr>
        <w:tc>
          <w:tcPr>
            <w:tcW w:w="1594" w:type="pct"/>
            <w:shd w:val="clear" w:color="auto" w:fill="auto"/>
            <w:hideMark/>
          </w:tcPr>
          <w:p w14:paraId="693C83FA" w14:textId="77777777" w:rsidR="00FC6B31" w:rsidRPr="00B952ED" w:rsidRDefault="00FC6B31" w:rsidP="00552459">
            <w:pPr>
              <w:pStyle w:val="BodyText"/>
              <w:spacing w:line="240" w:lineRule="auto"/>
              <w:ind w:leftChars="0" w:left="0"/>
              <w:rPr>
                <w:b/>
                <w:bCs/>
                <w:szCs w:val="22"/>
                <w:lang w:val="en-AU"/>
              </w:rPr>
            </w:pPr>
            <w:r w:rsidRPr="00B952ED">
              <w:rPr>
                <w:b/>
                <w:bCs/>
                <w:szCs w:val="22"/>
                <w:lang w:val="en-AU"/>
              </w:rPr>
              <w:t>Medicinal Product by Therapeutic Area</w:t>
            </w:r>
          </w:p>
        </w:tc>
        <w:tc>
          <w:tcPr>
            <w:tcW w:w="1648" w:type="pct"/>
            <w:shd w:val="clear" w:color="auto" w:fill="auto"/>
            <w:hideMark/>
          </w:tcPr>
          <w:p w14:paraId="3ADD1FDA" w14:textId="77777777" w:rsidR="00552459" w:rsidRDefault="00FC6B31" w:rsidP="00552459">
            <w:pPr>
              <w:pStyle w:val="BodyText"/>
              <w:spacing w:line="240" w:lineRule="auto"/>
              <w:ind w:leftChars="0" w:left="0"/>
              <w:rPr>
                <w:b/>
                <w:bCs/>
                <w:szCs w:val="22"/>
                <w:lang w:val="en-AU"/>
              </w:rPr>
            </w:pPr>
            <w:r w:rsidRPr="00B952ED">
              <w:rPr>
                <w:b/>
                <w:bCs/>
                <w:szCs w:val="22"/>
                <w:lang w:val="en-AU"/>
              </w:rPr>
              <w:t>Effect on Geometric Mean Ratio (90 % CI)</w:t>
            </w:r>
          </w:p>
          <w:p w14:paraId="015B6F7B" w14:textId="52D7C63E" w:rsidR="00FC6B31" w:rsidRPr="00B952ED" w:rsidRDefault="00FC6B31" w:rsidP="00552459">
            <w:pPr>
              <w:pStyle w:val="BodyText"/>
              <w:spacing w:line="240" w:lineRule="auto"/>
              <w:ind w:leftChars="0" w:left="0"/>
              <w:rPr>
                <w:b/>
                <w:bCs/>
                <w:szCs w:val="22"/>
                <w:lang w:val="en-AU"/>
              </w:rPr>
            </w:pPr>
            <w:r w:rsidRPr="00B952ED">
              <w:rPr>
                <w:b/>
                <w:bCs/>
                <w:szCs w:val="22"/>
                <w:lang w:val="en-AU"/>
              </w:rPr>
              <w:t>(</w:t>
            </w:r>
            <w:proofErr w:type="gramStart"/>
            <w:r w:rsidRPr="00B952ED">
              <w:rPr>
                <w:b/>
                <w:bCs/>
                <w:szCs w:val="22"/>
                <w:lang w:val="en-AU"/>
              </w:rPr>
              <w:t>likely</w:t>
            </w:r>
            <w:proofErr w:type="gramEnd"/>
            <w:r w:rsidRPr="00B952ED">
              <w:rPr>
                <w:b/>
                <w:bCs/>
                <w:szCs w:val="22"/>
                <w:lang w:val="en-AU"/>
              </w:rPr>
              <w:t xml:space="preserve"> mechanism of action)</w:t>
            </w:r>
          </w:p>
        </w:tc>
        <w:tc>
          <w:tcPr>
            <w:tcW w:w="1759" w:type="pct"/>
            <w:shd w:val="clear" w:color="auto" w:fill="auto"/>
            <w:hideMark/>
          </w:tcPr>
          <w:p w14:paraId="2BD07204" w14:textId="219CD41A" w:rsidR="00FC6B31" w:rsidRPr="00B952ED" w:rsidRDefault="00FC6B31" w:rsidP="00552459">
            <w:pPr>
              <w:pStyle w:val="BodyText"/>
              <w:spacing w:line="240" w:lineRule="auto"/>
              <w:ind w:leftChars="0" w:left="0"/>
              <w:rPr>
                <w:b/>
                <w:bCs/>
                <w:szCs w:val="22"/>
                <w:lang w:val="en-AU"/>
              </w:rPr>
            </w:pPr>
            <w:r w:rsidRPr="00B952ED">
              <w:rPr>
                <w:b/>
                <w:bCs/>
                <w:szCs w:val="22"/>
                <w:lang w:val="en-AU"/>
              </w:rPr>
              <w:t>Recommendation Concerning Co</w:t>
            </w:r>
            <w:r w:rsidR="000D049D">
              <w:rPr>
                <w:b/>
                <w:bCs/>
                <w:szCs w:val="22"/>
                <w:lang w:val="en-AU"/>
              </w:rPr>
              <w:t>-</w:t>
            </w:r>
            <w:r w:rsidRPr="00B952ED">
              <w:rPr>
                <w:b/>
                <w:bCs/>
                <w:szCs w:val="22"/>
                <w:lang w:val="en-AU"/>
              </w:rPr>
              <w:t>administration with maribavir</w:t>
            </w:r>
          </w:p>
        </w:tc>
      </w:tr>
      <w:tr w:rsidR="00B952ED" w:rsidRPr="00B952ED" w14:paraId="00C6A126" w14:textId="77777777" w:rsidTr="00C438C7">
        <w:trPr>
          <w:trHeight w:val="288"/>
        </w:trPr>
        <w:tc>
          <w:tcPr>
            <w:tcW w:w="5000" w:type="pct"/>
            <w:gridSpan w:val="3"/>
            <w:shd w:val="clear" w:color="auto" w:fill="auto"/>
            <w:hideMark/>
          </w:tcPr>
          <w:p w14:paraId="42097B29" w14:textId="77777777" w:rsidR="00FC6B31" w:rsidRPr="00B952ED" w:rsidRDefault="00FC6B31" w:rsidP="000052A9">
            <w:pPr>
              <w:pStyle w:val="BodyText"/>
              <w:spacing w:line="240" w:lineRule="auto"/>
              <w:ind w:leftChars="0" w:left="0"/>
              <w:rPr>
                <w:b/>
                <w:bCs/>
                <w:szCs w:val="22"/>
                <w:lang w:val="en-AU"/>
              </w:rPr>
            </w:pPr>
            <w:r w:rsidRPr="00B952ED">
              <w:rPr>
                <w:b/>
                <w:bCs/>
                <w:szCs w:val="22"/>
                <w:lang w:val="en-AU"/>
              </w:rPr>
              <w:t>Acid</w:t>
            </w:r>
            <w:r w:rsidRPr="00B952ED">
              <w:rPr>
                <w:b/>
                <w:bCs/>
                <w:szCs w:val="22"/>
                <w:lang w:val="en-AU"/>
              </w:rPr>
              <w:noBreakHyphen/>
              <w:t>Reducing Agents</w:t>
            </w:r>
          </w:p>
        </w:tc>
      </w:tr>
      <w:tr w:rsidR="00B952ED" w:rsidRPr="00B952ED" w14:paraId="67B0AE33" w14:textId="77777777" w:rsidTr="004B3E76">
        <w:trPr>
          <w:trHeight w:val="1104"/>
        </w:trPr>
        <w:tc>
          <w:tcPr>
            <w:tcW w:w="1594" w:type="pct"/>
            <w:shd w:val="clear" w:color="auto" w:fill="auto"/>
            <w:hideMark/>
          </w:tcPr>
          <w:p w14:paraId="5F20ECB2" w14:textId="77777777" w:rsidR="00FC6B31" w:rsidRPr="00B952ED" w:rsidRDefault="00FC6B31" w:rsidP="000052A9">
            <w:pPr>
              <w:pStyle w:val="BodyText"/>
              <w:spacing w:line="240" w:lineRule="auto"/>
              <w:ind w:leftChars="0" w:left="0"/>
              <w:rPr>
                <w:bCs/>
                <w:szCs w:val="22"/>
                <w:lang w:val="en-AU"/>
              </w:rPr>
            </w:pPr>
            <w:bookmarkStart w:id="1" w:name="_Hlk64035222"/>
            <w:r w:rsidRPr="00B952ED">
              <w:rPr>
                <w:bCs/>
                <w:szCs w:val="22"/>
                <w:lang w:val="en-AU"/>
              </w:rPr>
              <w:t>antacid (aluminium and magnesium hydroxide oral suspension)</w:t>
            </w:r>
            <w:bookmarkEnd w:id="1"/>
          </w:p>
          <w:p w14:paraId="0D2543DB" w14:textId="41C27D2C" w:rsidR="00FA7BA6" w:rsidRPr="00B952ED" w:rsidRDefault="00FC6B31" w:rsidP="009859C7">
            <w:pPr>
              <w:pStyle w:val="BodyText"/>
              <w:spacing w:line="240" w:lineRule="auto"/>
              <w:ind w:leftChars="0" w:left="0"/>
              <w:rPr>
                <w:bCs/>
                <w:szCs w:val="22"/>
                <w:lang w:val="en-AU"/>
              </w:rPr>
            </w:pPr>
            <w:r w:rsidRPr="00B952ED">
              <w:rPr>
                <w:bCs/>
                <w:szCs w:val="22"/>
                <w:lang w:val="en-AU"/>
              </w:rPr>
              <w:t>(20 mL single dose, maribavir 100 mg single dose)</w:t>
            </w:r>
          </w:p>
        </w:tc>
        <w:tc>
          <w:tcPr>
            <w:tcW w:w="1648" w:type="pct"/>
            <w:shd w:val="clear" w:color="auto" w:fill="auto"/>
            <w:hideMark/>
          </w:tcPr>
          <w:p w14:paraId="69A8E9AB"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10193F6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AUC 0.89 (0.83, 0.96)</w:t>
            </w:r>
          </w:p>
          <w:p w14:paraId="33A23D0B"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max</w:t>
            </w:r>
            <w:proofErr w:type="spellEnd"/>
            <w:r w:rsidRPr="00B952ED">
              <w:rPr>
                <w:bCs/>
                <w:szCs w:val="22"/>
                <w:lang w:val="en-AU"/>
              </w:rPr>
              <w:t xml:space="preserve"> 0.84 (0.75, 0.94)</w:t>
            </w:r>
          </w:p>
        </w:tc>
        <w:tc>
          <w:tcPr>
            <w:tcW w:w="1759" w:type="pct"/>
            <w:shd w:val="clear" w:color="auto" w:fill="auto"/>
            <w:hideMark/>
          </w:tcPr>
          <w:p w14:paraId="720C94AD"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1D10E7A8" w14:textId="77777777" w:rsidTr="004B3E76">
        <w:trPr>
          <w:trHeight w:val="828"/>
        </w:trPr>
        <w:tc>
          <w:tcPr>
            <w:tcW w:w="1594" w:type="pct"/>
            <w:shd w:val="clear" w:color="auto" w:fill="auto"/>
            <w:hideMark/>
          </w:tcPr>
          <w:p w14:paraId="0017D66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famotidine</w:t>
            </w:r>
          </w:p>
        </w:tc>
        <w:tc>
          <w:tcPr>
            <w:tcW w:w="1648" w:type="pct"/>
            <w:shd w:val="clear" w:color="auto" w:fill="auto"/>
            <w:hideMark/>
          </w:tcPr>
          <w:p w14:paraId="2D88511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619C5B0A"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465D7B21" w14:textId="263188C0" w:rsidR="00FA7BA6" w:rsidRPr="00B952ED" w:rsidRDefault="00FC6B31" w:rsidP="009859C7">
            <w:pPr>
              <w:pStyle w:val="BodyText"/>
              <w:spacing w:line="240" w:lineRule="auto"/>
              <w:ind w:leftChars="0" w:left="0"/>
              <w:rPr>
                <w:bCs/>
                <w:szCs w:val="22"/>
                <w:lang w:val="en-AU"/>
              </w:rPr>
            </w:pPr>
            <w:r w:rsidRPr="00B952ED">
              <w:rPr>
                <w:bCs/>
                <w:szCs w:val="22"/>
                <w:lang w:val="en-AU"/>
              </w:rPr>
              <w:t>↔ maribavir</w:t>
            </w:r>
          </w:p>
        </w:tc>
        <w:tc>
          <w:tcPr>
            <w:tcW w:w="1759" w:type="pct"/>
            <w:shd w:val="clear" w:color="auto" w:fill="auto"/>
            <w:hideMark/>
          </w:tcPr>
          <w:p w14:paraId="0B497B6E"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297F1223" w14:textId="77777777" w:rsidTr="004B3E76">
        <w:trPr>
          <w:trHeight w:val="828"/>
        </w:trPr>
        <w:tc>
          <w:tcPr>
            <w:tcW w:w="1594" w:type="pct"/>
            <w:shd w:val="clear" w:color="auto" w:fill="auto"/>
          </w:tcPr>
          <w:p w14:paraId="2C93D074" w14:textId="44BAAE4E" w:rsidR="00FC6B31" w:rsidRPr="00B952ED" w:rsidRDefault="00FC6B31" w:rsidP="000052A9">
            <w:pPr>
              <w:pStyle w:val="BodyText"/>
              <w:spacing w:line="240" w:lineRule="auto"/>
              <w:ind w:leftChars="0" w:left="0"/>
              <w:rPr>
                <w:bCs/>
                <w:szCs w:val="22"/>
                <w:lang w:val="en-AU"/>
              </w:rPr>
            </w:pPr>
            <w:r w:rsidRPr="00B952ED">
              <w:rPr>
                <w:bCs/>
                <w:szCs w:val="22"/>
                <w:lang w:val="en-AU"/>
              </w:rPr>
              <w:lastRenderedPageBreak/>
              <w:t>omeprazole</w:t>
            </w:r>
          </w:p>
        </w:tc>
        <w:tc>
          <w:tcPr>
            <w:tcW w:w="1648" w:type="pct"/>
            <w:shd w:val="clear" w:color="auto" w:fill="auto"/>
          </w:tcPr>
          <w:p w14:paraId="3DB0C35D"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xml:space="preserve">↔ maribavir </w:t>
            </w:r>
          </w:p>
          <w:p w14:paraId="41439CBA"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plasma omeprazole/5-hydroxyomeprazole concentration ratio</w:t>
            </w:r>
          </w:p>
          <w:p w14:paraId="59E0728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1.71 (1.51, 1.92)</w:t>
            </w:r>
          </w:p>
          <w:p w14:paraId="12964830" w14:textId="1FA81266" w:rsidR="00FA7BA6" w:rsidRPr="00B952ED" w:rsidRDefault="00FC6B31" w:rsidP="003E08BA">
            <w:pPr>
              <w:pStyle w:val="BodyText"/>
              <w:spacing w:after="120" w:line="240" w:lineRule="auto"/>
              <w:ind w:leftChars="0" w:left="0"/>
              <w:rPr>
                <w:bCs/>
                <w:szCs w:val="22"/>
                <w:lang w:val="en-AU"/>
              </w:rPr>
            </w:pPr>
            <w:r w:rsidRPr="00B952ED">
              <w:rPr>
                <w:bCs/>
                <w:szCs w:val="22"/>
                <w:lang w:val="en-AU"/>
              </w:rPr>
              <w:t>(CYP2C19 inhibition)</w:t>
            </w:r>
          </w:p>
        </w:tc>
        <w:tc>
          <w:tcPr>
            <w:tcW w:w="1759" w:type="pct"/>
            <w:shd w:val="clear" w:color="auto" w:fill="auto"/>
          </w:tcPr>
          <w:p w14:paraId="2A5C142F"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1B69F825" w14:textId="77777777" w:rsidTr="004B3E76">
        <w:trPr>
          <w:trHeight w:val="828"/>
        </w:trPr>
        <w:tc>
          <w:tcPr>
            <w:tcW w:w="1594" w:type="pct"/>
            <w:shd w:val="clear" w:color="auto" w:fill="auto"/>
          </w:tcPr>
          <w:p w14:paraId="0AE79200"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pantoprazole</w:t>
            </w:r>
          </w:p>
        </w:tc>
        <w:tc>
          <w:tcPr>
            <w:tcW w:w="1648" w:type="pct"/>
            <w:shd w:val="clear" w:color="auto" w:fill="auto"/>
          </w:tcPr>
          <w:p w14:paraId="70D8AFD6"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43DE9A8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4DDB1B90" w14:textId="544E7178" w:rsidR="00FA7BA6" w:rsidRPr="00B952ED" w:rsidRDefault="00FC6B31" w:rsidP="009859C7">
            <w:pPr>
              <w:pStyle w:val="BodyText"/>
              <w:spacing w:line="240" w:lineRule="auto"/>
              <w:ind w:leftChars="0" w:left="0"/>
              <w:rPr>
                <w:bCs/>
                <w:szCs w:val="22"/>
                <w:lang w:val="en-AU"/>
              </w:rPr>
            </w:pPr>
            <w:r w:rsidRPr="00B952ED">
              <w:rPr>
                <w:bCs/>
                <w:szCs w:val="22"/>
                <w:lang w:val="en-AU"/>
              </w:rPr>
              <w:t>↔ maribavir</w:t>
            </w:r>
          </w:p>
        </w:tc>
        <w:tc>
          <w:tcPr>
            <w:tcW w:w="1759" w:type="pct"/>
            <w:shd w:val="clear" w:color="auto" w:fill="auto"/>
          </w:tcPr>
          <w:p w14:paraId="69BD3A1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72920D0C" w14:textId="77777777" w:rsidTr="00C438C7">
        <w:trPr>
          <w:trHeight w:val="288"/>
        </w:trPr>
        <w:tc>
          <w:tcPr>
            <w:tcW w:w="5000" w:type="pct"/>
            <w:gridSpan w:val="3"/>
            <w:shd w:val="clear" w:color="auto" w:fill="auto"/>
            <w:noWrap/>
            <w:vAlign w:val="bottom"/>
            <w:hideMark/>
          </w:tcPr>
          <w:p w14:paraId="4B6165FA" w14:textId="1271D4E7" w:rsidR="00FC6B31" w:rsidRPr="00B952ED" w:rsidRDefault="00FC6B31" w:rsidP="000052A9">
            <w:pPr>
              <w:pStyle w:val="BodyText"/>
              <w:spacing w:line="240" w:lineRule="auto"/>
              <w:ind w:leftChars="0" w:left="0"/>
              <w:rPr>
                <w:bCs/>
                <w:szCs w:val="22"/>
                <w:lang w:val="en-AU"/>
              </w:rPr>
            </w:pPr>
            <w:r w:rsidRPr="00B952ED">
              <w:rPr>
                <w:b/>
                <w:bCs/>
                <w:szCs w:val="22"/>
                <w:lang w:val="en-AU"/>
              </w:rPr>
              <w:t>Anti</w:t>
            </w:r>
            <w:r w:rsidR="001B65D3" w:rsidRPr="00B952ED">
              <w:rPr>
                <w:b/>
                <w:bCs/>
                <w:szCs w:val="22"/>
                <w:lang w:val="en-AU"/>
              </w:rPr>
              <w:t>-</w:t>
            </w:r>
            <w:proofErr w:type="spellStart"/>
            <w:r w:rsidRPr="00B952ED">
              <w:rPr>
                <w:b/>
                <w:bCs/>
                <w:szCs w:val="22"/>
                <w:lang w:val="en-AU"/>
              </w:rPr>
              <w:t>arrhythmics</w:t>
            </w:r>
            <w:proofErr w:type="spellEnd"/>
          </w:p>
        </w:tc>
      </w:tr>
      <w:tr w:rsidR="00B952ED" w:rsidRPr="00B952ED" w14:paraId="2557594A" w14:textId="77777777" w:rsidTr="004B3E76">
        <w:trPr>
          <w:trHeight w:val="1104"/>
        </w:trPr>
        <w:tc>
          <w:tcPr>
            <w:tcW w:w="1594" w:type="pct"/>
            <w:shd w:val="clear" w:color="auto" w:fill="auto"/>
            <w:hideMark/>
          </w:tcPr>
          <w:p w14:paraId="680B6E6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digoxin</w:t>
            </w:r>
          </w:p>
          <w:p w14:paraId="19977F19"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(0.5 mg single dose, 400 mg twice daily maribavir)</w:t>
            </w:r>
          </w:p>
        </w:tc>
        <w:tc>
          <w:tcPr>
            <w:tcW w:w="1648" w:type="pct"/>
            <w:shd w:val="clear" w:color="auto" w:fill="auto"/>
            <w:hideMark/>
          </w:tcPr>
          <w:p w14:paraId="63F3AA76"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digoxin</w:t>
            </w:r>
          </w:p>
          <w:p w14:paraId="15DF5C8B"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AUC 1.21 (1.10, 1.32)</w:t>
            </w:r>
          </w:p>
          <w:p w14:paraId="34EDF4A6"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max</w:t>
            </w:r>
            <w:proofErr w:type="spellEnd"/>
            <w:r w:rsidRPr="00B952ED">
              <w:rPr>
                <w:bCs/>
                <w:szCs w:val="22"/>
                <w:lang w:val="en-AU"/>
              </w:rPr>
              <w:t xml:space="preserve"> 1.25 (1.13, 1.38)</w:t>
            </w:r>
          </w:p>
          <w:p w14:paraId="2D3355D7" w14:textId="3463B5AE" w:rsidR="004C55C1" w:rsidRDefault="00FC6B31" w:rsidP="009859C7">
            <w:pPr>
              <w:pStyle w:val="BodyText"/>
              <w:spacing w:line="240" w:lineRule="auto"/>
              <w:ind w:leftChars="0" w:left="0"/>
              <w:rPr>
                <w:bCs/>
                <w:szCs w:val="22"/>
                <w:lang w:val="en-AU"/>
              </w:rPr>
            </w:pPr>
            <w:r w:rsidRPr="00B952ED">
              <w:rPr>
                <w:bCs/>
                <w:szCs w:val="22"/>
                <w:lang w:val="en-AU"/>
              </w:rPr>
              <w:t>(P</w:t>
            </w:r>
            <w:r w:rsidRPr="00B952ED">
              <w:rPr>
                <w:bCs/>
                <w:szCs w:val="22"/>
                <w:lang w:val="en-AU"/>
              </w:rPr>
              <w:noBreakHyphen/>
            </w:r>
            <w:proofErr w:type="spellStart"/>
            <w:r w:rsidRPr="00B952ED">
              <w:rPr>
                <w:bCs/>
                <w:szCs w:val="22"/>
                <w:lang w:val="en-AU"/>
              </w:rPr>
              <w:t>gp</w:t>
            </w:r>
            <w:proofErr w:type="spellEnd"/>
            <w:r w:rsidRPr="00B952ED">
              <w:rPr>
                <w:bCs/>
                <w:szCs w:val="22"/>
                <w:lang w:val="en-AU"/>
              </w:rPr>
              <w:t xml:space="preserve"> inhibition)</w:t>
            </w:r>
          </w:p>
          <w:p w14:paraId="703D98EB" w14:textId="77777777" w:rsidR="00307038" w:rsidRDefault="00307038" w:rsidP="009859C7">
            <w:pPr>
              <w:pStyle w:val="BodyText"/>
              <w:spacing w:line="240" w:lineRule="auto"/>
              <w:ind w:leftChars="0" w:left="0"/>
              <w:rPr>
                <w:bCs/>
                <w:szCs w:val="22"/>
                <w:lang w:val="en-AU"/>
              </w:rPr>
            </w:pPr>
          </w:p>
          <w:p w14:paraId="48B56164" w14:textId="77777777" w:rsidR="00412379" w:rsidRDefault="00412379" w:rsidP="009859C7">
            <w:pPr>
              <w:pStyle w:val="BodyText"/>
              <w:spacing w:line="240" w:lineRule="auto"/>
              <w:ind w:leftChars="0" w:left="0"/>
              <w:rPr>
                <w:bCs/>
                <w:szCs w:val="22"/>
                <w:lang w:val="en-AU"/>
              </w:rPr>
            </w:pPr>
          </w:p>
          <w:p w14:paraId="732293FD" w14:textId="77777777" w:rsidR="00412379" w:rsidRDefault="00412379" w:rsidP="009859C7">
            <w:pPr>
              <w:pStyle w:val="BodyText"/>
              <w:spacing w:line="240" w:lineRule="auto"/>
              <w:ind w:leftChars="0" w:left="0"/>
              <w:rPr>
                <w:bCs/>
                <w:szCs w:val="22"/>
                <w:lang w:val="en-AU"/>
              </w:rPr>
            </w:pPr>
          </w:p>
          <w:p w14:paraId="27CF47F7" w14:textId="71660D8B" w:rsidR="00412379" w:rsidRPr="00B952ED" w:rsidRDefault="00412379" w:rsidP="009859C7">
            <w:pPr>
              <w:pStyle w:val="BodyText"/>
              <w:spacing w:line="240" w:lineRule="auto"/>
              <w:ind w:leftChars="0" w:left="0"/>
              <w:rPr>
                <w:bCs/>
                <w:szCs w:val="22"/>
                <w:lang w:val="en-AU"/>
              </w:rPr>
            </w:pPr>
          </w:p>
        </w:tc>
        <w:tc>
          <w:tcPr>
            <w:tcW w:w="1759" w:type="pct"/>
            <w:shd w:val="clear" w:color="auto" w:fill="auto"/>
            <w:hideMark/>
          </w:tcPr>
          <w:p w14:paraId="5608A96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34A808AF" w14:textId="77777777" w:rsidTr="00C438C7">
        <w:trPr>
          <w:trHeight w:val="288"/>
        </w:trPr>
        <w:tc>
          <w:tcPr>
            <w:tcW w:w="5000" w:type="pct"/>
            <w:gridSpan w:val="3"/>
            <w:shd w:val="clear" w:color="auto" w:fill="auto"/>
            <w:hideMark/>
          </w:tcPr>
          <w:p w14:paraId="23093E4E" w14:textId="77777777" w:rsidR="00FC6B31" w:rsidRPr="00B952ED" w:rsidRDefault="00FC6B31" w:rsidP="000052A9">
            <w:pPr>
              <w:pStyle w:val="BodyText"/>
              <w:spacing w:line="240" w:lineRule="auto"/>
              <w:ind w:leftChars="0" w:left="0"/>
              <w:rPr>
                <w:bCs/>
                <w:szCs w:val="22"/>
                <w:lang w:val="en-AU"/>
              </w:rPr>
            </w:pPr>
            <w:r w:rsidRPr="00B952ED">
              <w:rPr>
                <w:b/>
                <w:bCs/>
                <w:szCs w:val="22"/>
                <w:lang w:val="en-AU"/>
              </w:rPr>
              <w:t>Antibiotics</w:t>
            </w:r>
          </w:p>
        </w:tc>
      </w:tr>
      <w:tr w:rsidR="00B952ED" w:rsidRPr="00B952ED" w14:paraId="021D9788" w14:textId="77777777" w:rsidTr="004B3E76">
        <w:trPr>
          <w:trHeight w:val="1176"/>
        </w:trPr>
        <w:tc>
          <w:tcPr>
            <w:tcW w:w="1594" w:type="pct"/>
            <w:shd w:val="clear" w:color="auto" w:fill="auto"/>
            <w:noWrap/>
            <w:hideMark/>
          </w:tcPr>
          <w:p w14:paraId="2D61ECF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erythromycin</w:t>
            </w:r>
          </w:p>
        </w:tc>
        <w:tc>
          <w:tcPr>
            <w:tcW w:w="1648" w:type="pct"/>
            <w:shd w:val="clear" w:color="auto" w:fill="auto"/>
            <w:hideMark/>
          </w:tcPr>
          <w:p w14:paraId="20CC1C2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5160603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79577D89"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2C77D806"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 inhibition)</w:t>
            </w:r>
          </w:p>
        </w:tc>
        <w:tc>
          <w:tcPr>
            <w:tcW w:w="1759" w:type="pct"/>
            <w:shd w:val="clear" w:color="auto" w:fill="auto"/>
            <w:hideMark/>
          </w:tcPr>
          <w:p w14:paraId="0CA71D59"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0B34B385" w14:textId="77777777" w:rsidTr="00C438C7">
        <w:trPr>
          <w:trHeight w:val="324"/>
        </w:trPr>
        <w:tc>
          <w:tcPr>
            <w:tcW w:w="5000" w:type="pct"/>
            <w:gridSpan w:val="3"/>
            <w:shd w:val="clear" w:color="auto" w:fill="auto"/>
            <w:hideMark/>
          </w:tcPr>
          <w:p w14:paraId="444AF8B9" w14:textId="0352332A" w:rsidR="00FC6B31" w:rsidRPr="00B952ED" w:rsidRDefault="00FC6B31" w:rsidP="000052A9">
            <w:pPr>
              <w:pStyle w:val="BodyText"/>
              <w:spacing w:line="240" w:lineRule="auto"/>
              <w:ind w:leftChars="0" w:left="0"/>
              <w:rPr>
                <w:bCs/>
                <w:szCs w:val="22"/>
                <w:lang w:val="en-AU"/>
              </w:rPr>
            </w:pPr>
            <w:r w:rsidRPr="00B952ED">
              <w:rPr>
                <w:b/>
                <w:bCs/>
                <w:szCs w:val="22"/>
                <w:lang w:val="en-AU"/>
              </w:rPr>
              <w:t>Anti</w:t>
            </w:r>
            <w:r w:rsidR="00D80B30" w:rsidRPr="00B952ED">
              <w:rPr>
                <w:b/>
                <w:bCs/>
                <w:szCs w:val="22"/>
                <w:lang w:val="en-AU"/>
              </w:rPr>
              <w:t>-</w:t>
            </w:r>
            <w:proofErr w:type="spellStart"/>
            <w:r w:rsidRPr="00B952ED">
              <w:rPr>
                <w:b/>
                <w:bCs/>
                <w:szCs w:val="22"/>
                <w:lang w:val="en-AU"/>
              </w:rPr>
              <w:t>convulsants</w:t>
            </w:r>
            <w:proofErr w:type="spellEnd"/>
          </w:p>
        </w:tc>
      </w:tr>
      <w:tr w:rsidR="00B952ED" w:rsidRPr="00B952ED" w14:paraId="3A79847D" w14:textId="77777777" w:rsidTr="004B3E76">
        <w:trPr>
          <w:trHeight w:val="1104"/>
        </w:trPr>
        <w:tc>
          <w:tcPr>
            <w:tcW w:w="1594" w:type="pct"/>
            <w:shd w:val="clear" w:color="auto" w:fill="auto"/>
            <w:hideMark/>
          </w:tcPr>
          <w:p w14:paraId="7FD7A56B"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carbamazepine</w:t>
            </w:r>
          </w:p>
        </w:tc>
        <w:tc>
          <w:tcPr>
            <w:tcW w:w="1648" w:type="pct"/>
            <w:shd w:val="clear" w:color="auto" w:fill="auto"/>
            <w:hideMark/>
          </w:tcPr>
          <w:p w14:paraId="0EF1EB3E"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71DA5641"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602BE64F"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0F2F57B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 induction)</w:t>
            </w:r>
          </w:p>
        </w:tc>
        <w:tc>
          <w:tcPr>
            <w:tcW w:w="1759" w:type="pct"/>
            <w:shd w:val="clear" w:color="auto" w:fill="auto"/>
            <w:hideMark/>
          </w:tcPr>
          <w:p w14:paraId="2644DA5A" w14:textId="7D996EEB" w:rsidR="00FA7BA6" w:rsidRPr="00B952ED" w:rsidRDefault="00FC6B31" w:rsidP="009859C7">
            <w:pPr>
              <w:pStyle w:val="BodyText"/>
              <w:spacing w:line="240" w:lineRule="auto"/>
              <w:ind w:leftChars="0" w:left="0"/>
              <w:rPr>
                <w:bCs/>
                <w:szCs w:val="22"/>
                <w:lang w:val="en-AU"/>
              </w:rPr>
            </w:pPr>
            <w:r w:rsidRPr="00B952ED">
              <w:rPr>
                <w:bCs/>
                <w:szCs w:val="22"/>
                <w:lang w:val="en-AU"/>
              </w:rPr>
              <w:t xml:space="preserve">A dose adjustment of maribavir to </w:t>
            </w:r>
            <w:r w:rsidR="00A64B61">
              <w:rPr>
                <w:bCs/>
                <w:szCs w:val="22"/>
                <w:lang w:val="en-AU"/>
              </w:rPr>
              <w:t>800</w:t>
            </w:r>
            <w:r w:rsidR="002239FD">
              <w:rPr>
                <w:bCs/>
                <w:szCs w:val="22"/>
                <w:lang w:val="en-AU"/>
              </w:rPr>
              <w:t>-1200</w:t>
            </w:r>
            <w:r w:rsidRPr="00B952ED">
              <w:rPr>
                <w:bCs/>
                <w:szCs w:val="22"/>
                <w:lang w:val="en-AU"/>
              </w:rPr>
              <w:t xml:space="preserve"> mg </w:t>
            </w:r>
            <w:r w:rsidR="00B96B72" w:rsidRPr="00B952ED">
              <w:rPr>
                <w:bCs/>
                <w:szCs w:val="22"/>
                <w:lang w:val="en-AU"/>
              </w:rPr>
              <w:t xml:space="preserve">twice daily </w:t>
            </w:r>
            <w:r w:rsidRPr="00B952ED">
              <w:rPr>
                <w:bCs/>
                <w:szCs w:val="22"/>
                <w:lang w:val="en-AU"/>
              </w:rPr>
              <w:t>is recommended when co</w:t>
            </w:r>
            <w:r w:rsidR="000D049D">
              <w:rPr>
                <w:bCs/>
                <w:szCs w:val="22"/>
                <w:lang w:val="en-AU"/>
              </w:rPr>
              <w:t>-</w:t>
            </w:r>
            <w:r w:rsidRPr="00B952ED">
              <w:rPr>
                <w:bCs/>
                <w:szCs w:val="22"/>
                <w:lang w:val="en-AU"/>
              </w:rPr>
              <w:t>administration with carbamazepine.</w:t>
            </w:r>
          </w:p>
        </w:tc>
      </w:tr>
      <w:tr w:rsidR="00B952ED" w:rsidRPr="00B952ED" w14:paraId="073C2DCD" w14:textId="77777777" w:rsidTr="004B3E76">
        <w:trPr>
          <w:trHeight w:val="1176"/>
        </w:trPr>
        <w:tc>
          <w:tcPr>
            <w:tcW w:w="1594" w:type="pct"/>
            <w:shd w:val="clear" w:color="auto" w:fill="auto"/>
            <w:hideMark/>
          </w:tcPr>
          <w:p w14:paraId="62DC886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phenobarbital</w:t>
            </w:r>
          </w:p>
        </w:tc>
        <w:tc>
          <w:tcPr>
            <w:tcW w:w="1648" w:type="pct"/>
            <w:shd w:val="clear" w:color="auto" w:fill="auto"/>
            <w:hideMark/>
          </w:tcPr>
          <w:p w14:paraId="416A8F5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300A035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0B2E77A0"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10AFDAE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 induction)</w:t>
            </w:r>
          </w:p>
        </w:tc>
        <w:tc>
          <w:tcPr>
            <w:tcW w:w="1759" w:type="pct"/>
            <w:shd w:val="clear" w:color="auto" w:fill="auto"/>
            <w:hideMark/>
          </w:tcPr>
          <w:p w14:paraId="456D2549" w14:textId="0DED63C9" w:rsidR="00940899" w:rsidRPr="00B952ED" w:rsidRDefault="00FC6B31" w:rsidP="009859C7">
            <w:pPr>
              <w:pStyle w:val="BodyText"/>
              <w:spacing w:line="240" w:lineRule="auto"/>
              <w:ind w:leftChars="0" w:left="0"/>
              <w:rPr>
                <w:bCs/>
                <w:szCs w:val="22"/>
                <w:lang w:val="en-AU"/>
              </w:rPr>
            </w:pPr>
            <w:r w:rsidRPr="00B952ED">
              <w:rPr>
                <w:bCs/>
                <w:szCs w:val="22"/>
                <w:lang w:val="en-AU"/>
              </w:rPr>
              <w:t xml:space="preserve">A dose adjustment of maribavir to </w:t>
            </w:r>
            <w:r w:rsidR="004D439A" w:rsidRPr="00B952ED">
              <w:rPr>
                <w:bCs/>
                <w:szCs w:val="22"/>
                <w:lang w:val="en-AU"/>
              </w:rPr>
              <w:t>12</w:t>
            </w:r>
            <w:r w:rsidRPr="00B952ED">
              <w:rPr>
                <w:bCs/>
                <w:szCs w:val="22"/>
                <w:lang w:val="en-AU"/>
              </w:rPr>
              <w:t xml:space="preserve">00 mg </w:t>
            </w:r>
            <w:r w:rsidR="00B96B72" w:rsidRPr="00B952ED">
              <w:rPr>
                <w:bCs/>
                <w:szCs w:val="22"/>
                <w:lang w:val="en-AU"/>
              </w:rPr>
              <w:t xml:space="preserve">twice daily </w:t>
            </w:r>
            <w:r w:rsidRPr="00B952ED">
              <w:rPr>
                <w:bCs/>
                <w:szCs w:val="22"/>
                <w:lang w:val="en-AU"/>
              </w:rPr>
              <w:t>is recommended when co</w:t>
            </w:r>
            <w:r w:rsidR="000D049D">
              <w:rPr>
                <w:bCs/>
                <w:szCs w:val="22"/>
                <w:lang w:val="en-AU"/>
              </w:rPr>
              <w:t>-</w:t>
            </w:r>
            <w:r w:rsidRPr="00B952ED">
              <w:rPr>
                <w:bCs/>
                <w:szCs w:val="22"/>
                <w:lang w:val="en-AU"/>
              </w:rPr>
              <w:t>administration with phenobarbital.</w:t>
            </w:r>
          </w:p>
        </w:tc>
      </w:tr>
      <w:tr w:rsidR="00B952ED" w:rsidRPr="00B952ED" w14:paraId="3CAA00A7" w14:textId="77777777" w:rsidTr="004B3E76">
        <w:trPr>
          <w:trHeight w:val="1104"/>
        </w:trPr>
        <w:tc>
          <w:tcPr>
            <w:tcW w:w="1594" w:type="pct"/>
            <w:shd w:val="clear" w:color="auto" w:fill="auto"/>
            <w:hideMark/>
          </w:tcPr>
          <w:p w14:paraId="2AB5C181"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phenytoin</w:t>
            </w:r>
          </w:p>
        </w:tc>
        <w:tc>
          <w:tcPr>
            <w:tcW w:w="1648" w:type="pct"/>
            <w:shd w:val="clear" w:color="auto" w:fill="auto"/>
            <w:hideMark/>
          </w:tcPr>
          <w:p w14:paraId="19CD35E7"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70998FB2"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4E2A830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4FF12B4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 induction)</w:t>
            </w:r>
          </w:p>
        </w:tc>
        <w:tc>
          <w:tcPr>
            <w:tcW w:w="1759" w:type="pct"/>
            <w:shd w:val="clear" w:color="auto" w:fill="auto"/>
            <w:hideMark/>
          </w:tcPr>
          <w:p w14:paraId="72157803" w14:textId="4CDE7A1B" w:rsidR="00940899" w:rsidRPr="00B952ED" w:rsidRDefault="00FC6B31" w:rsidP="009859C7">
            <w:pPr>
              <w:pStyle w:val="BodyText"/>
              <w:spacing w:line="240" w:lineRule="auto"/>
              <w:ind w:leftChars="0" w:left="0"/>
              <w:rPr>
                <w:bCs/>
                <w:szCs w:val="22"/>
                <w:lang w:val="en-AU"/>
              </w:rPr>
            </w:pPr>
            <w:r w:rsidRPr="00B952ED">
              <w:rPr>
                <w:bCs/>
                <w:szCs w:val="22"/>
                <w:lang w:val="en-AU"/>
              </w:rPr>
              <w:t xml:space="preserve">A dose adjustment of maribavir to 1200 mg </w:t>
            </w:r>
            <w:r w:rsidR="00B96B72" w:rsidRPr="00B952ED">
              <w:rPr>
                <w:bCs/>
                <w:szCs w:val="22"/>
                <w:lang w:val="en-AU"/>
              </w:rPr>
              <w:t xml:space="preserve">twice daily </w:t>
            </w:r>
            <w:r w:rsidRPr="00B952ED">
              <w:rPr>
                <w:bCs/>
                <w:szCs w:val="22"/>
                <w:lang w:val="en-AU"/>
              </w:rPr>
              <w:t>is recommended when co</w:t>
            </w:r>
            <w:r w:rsidR="000D049D">
              <w:rPr>
                <w:bCs/>
                <w:szCs w:val="22"/>
                <w:lang w:val="en-AU"/>
              </w:rPr>
              <w:t>-</w:t>
            </w:r>
            <w:r w:rsidRPr="00B952ED">
              <w:rPr>
                <w:bCs/>
                <w:szCs w:val="22"/>
                <w:lang w:val="en-AU"/>
              </w:rPr>
              <w:t>administration with phenytoin.</w:t>
            </w:r>
          </w:p>
        </w:tc>
      </w:tr>
      <w:tr w:rsidR="00B952ED" w:rsidRPr="00B952ED" w14:paraId="3A96ED28" w14:textId="77777777" w:rsidTr="00C438C7">
        <w:trPr>
          <w:trHeight w:val="348"/>
        </w:trPr>
        <w:tc>
          <w:tcPr>
            <w:tcW w:w="5000" w:type="pct"/>
            <w:gridSpan w:val="3"/>
            <w:shd w:val="clear" w:color="auto" w:fill="auto"/>
            <w:hideMark/>
          </w:tcPr>
          <w:p w14:paraId="60E7E05B" w14:textId="77777777" w:rsidR="00FC6B31" w:rsidRPr="00B952ED" w:rsidRDefault="00FC6B31" w:rsidP="000052A9">
            <w:pPr>
              <w:pStyle w:val="BodyText"/>
              <w:spacing w:line="240" w:lineRule="auto"/>
              <w:ind w:leftChars="0" w:left="0"/>
              <w:rPr>
                <w:bCs/>
                <w:szCs w:val="22"/>
                <w:lang w:val="en-AU"/>
              </w:rPr>
            </w:pPr>
            <w:r w:rsidRPr="00B952ED">
              <w:rPr>
                <w:b/>
                <w:bCs/>
                <w:szCs w:val="22"/>
                <w:lang w:val="en-AU"/>
              </w:rPr>
              <w:t>Anti</w:t>
            </w:r>
            <w:r w:rsidRPr="00B952ED">
              <w:rPr>
                <w:b/>
                <w:bCs/>
                <w:szCs w:val="22"/>
                <w:lang w:val="en-AU"/>
              </w:rPr>
              <w:noBreakHyphen/>
              <w:t>inflammatories</w:t>
            </w:r>
          </w:p>
        </w:tc>
      </w:tr>
      <w:tr w:rsidR="00B952ED" w:rsidRPr="00B952ED" w14:paraId="115794AF" w14:textId="77777777" w:rsidTr="004B3E76">
        <w:trPr>
          <w:trHeight w:val="1104"/>
        </w:trPr>
        <w:tc>
          <w:tcPr>
            <w:tcW w:w="1594" w:type="pct"/>
            <w:shd w:val="clear" w:color="auto" w:fill="auto"/>
            <w:hideMark/>
          </w:tcPr>
          <w:p w14:paraId="4B14F92A" w14:textId="77777777" w:rsidR="00FC6B31" w:rsidRPr="00B952ED" w:rsidRDefault="00FC6B31" w:rsidP="000052A9">
            <w:pPr>
              <w:pStyle w:val="BodyText"/>
              <w:spacing w:line="240" w:lineRule="auto"/>
              <w:ind w:leftChars="0" w:left="0"/>
              <w:rPr>
                <w:bCs/>
                <w:szCs w:val="22"/>
                <w:lang w:val="en-AU"/>
              </w:rPr>
            </w:pPr>
            <w:bookmarkStart w:id="2" w:name="_Hlk64035445"/>
            <w:r w:rsidRPr="00B952ED">
              <w:rPr>
                <w:bCs/>
                <w:szCs w:val="22"/>
                <w:lang w:val="en-AU"/>
              </w:rPr>
              <w:t>sulfasalazine</w:t>
            </w:r>
            <w:bookmarkEnd w:id="2"/>
          </w:p>
        </w:tc>
        <w:tc>
          <w:tcPr>
            <w:tcW w:w="1648" w:type="pct"/>
            <w:shd w:val="clear" w:color="auto" w:fill="auto"/>
            <w:hideMark/>
          </w:tcPr>
          <w:p w14:paraId="7EA78DBB"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7CF53817"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6675BF9E"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sulfasalazine</w:t>
            </w:r>
          </w:p>
          <w:p w14:paraId="4E44F49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(BCRP inhibition)</w:t>
            </w:r>
          </w:p>
        </w:tc>
        <w:tc>
          <w:tcPr>
            <w:tcW w:w="1759" w:type="pct"/>
            <w:shd w:val="clear" w:color="auto" w:fill="auto"/>
            <w:hideMark/>
          </w:tcPr>
          <w:p w14:paraId="4667A5F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71AA2E6B" w14:textId="77777777" w:rsidTr="00C438C7">
        <w:trPr>
          <w:trHeight w:val="288"/>
        </w:trPr>
        <w:tc>
          <w:tcPr>
            <w:tcW w:w="5000" w:type="pct"/>
            <w:gridSpan w:val="3"/>
            <w:shd w:val="clear" w:color="auto" w:fill="auto"/>
            <w:hideMark/>
          </w:tcPr>
          <w:p w14:paraId="67EFB2C5" w14:textId="5752173C" w:rsidR="00FC6B31" w:rsidRPr="00B952ED" w:rsidRDefault="00FC6B31" w:rsidP="000052A9">
            <w:pPr>
              <w:pStyle w:val="BodyText"/>
              <w:spacing w:line="240" w:lineRule="auto"/>
              <w:ind w:leftChars="0" w:left="0"/>
              <w:rPr>
                <w:bCs/>
                <w:szCs w:val="22"/>
                <w:lang w:val="en-AU"/>
              </w:rPr>
            </w:pPr>
            <w:r w:rsidRPr="00B952ED">
              <w:rPr>
                <w:b/>
                <w:bCs/>
                <w:szCs w:val="22"/>
                <w:lang w:val="en-AU"/>
              </w:rPr>
              <w:lastRenderedPageBreak/>
              <w:t>Anti</w:t>
            </w:r>
            <w:r w:rsidR="00D80B30" w:rsidRPr="00B952ED">
              <w:rPr>
                <w:b/>
                <w:bCs/>
                <w:szCs w:val="22"/>
                <w:lang w:val="en-AU"/>
              </w:rPr>
              <w:t>-</w:t>
            </w:r>
            <w:proofErr w:type="spellStart"/>
            <w:r w:rsidRPr="00B952ED">
              <w:rPr>
                <w:b/>
                <w:bCs/>
                <w:szCs w:val="22"/>
                <w:lang w:val="en-AU"/>
              </w:rPr>
              <w:t>fungals</w:t>
            </w:r>
            <w:proofErr w:type="spellEnd"/>
          </w:p>
        </w:tc>
      </w:tr>
      <w:tr w:rsidR="00B952ED" w:rsidRPr="00B952ED" w14:paraId="4F9A6D91" w14:textId="77777777" w:rsidTr="004B3E76">
        <w:trPr>
          <w:trHeight w:val="1116"/>
        </w:trPr>
        <w:tc>
          <w:tcPr>
            <w:tcW w:w="1594" w:type="pct"/>
            <w:shd w:val="clear" w:color="auto" w:fill="auto"/>
            <w:hideMark/>
          </w:tcPr>
          <w:p w14:paraId="28C3AC91"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ketoconazole</w:t>
            </w:r>
          </w:p>
          <w:p w14:paraId="75C00D8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(400 mg single dose, maribavir 400 mg single dose)</w:t>
            </w:r>
          </w:p>
        </w:tc>
        <w:tc>
          <w:tcPr>
            <w:tcW w:w="1648" w:type="pct"/>
            <w:shd w:val="clear" w:color="auto" w:fill="auto"/>
            <w:hideMark/>
          </w:tcPr>
          <w:p w14:paraId="63D36EC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414E6D0A"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AUC 1.53 (1.44, 1.63)</w:t>
            </w:r>
          </w:p>
          <w:p w14:paraId="78B9E5CE"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max</w:t>
            </w:r>
            <w:proofErr w:type="spellEnd"/>
            <w:r w:rsidRPr="00B952ED">
              <w:rPr>
                <w:bCs/>
                <w:szCs w:val="22"/>
                <w:lang w:val="en-AU"/>
              </w:rPr>
              <w:t xml:space="preserve"> 1.10 (1.01, 1.19)</w:t>
            </w:r>
          </w:p>
          <w:p w14:paraId="0EB2137D" w14:textId="0BE77ABF" w:rsidR="00FA7BA6" w:rsidRPr="00B952ED" w:rsidRDefault="00FC6B31" w:rsidP="009859C7">
            <w:pPr>
              <w:pStyle w:val="BodyText"/>
              <w:spacing w:line="240" w:lineRule="auto"/>
              <w:ind w:leftChars="0" w:left="0"/>
              <w:rPr>
                <w:bCs/>
                <w:szCs w:val="22"/>
                <w:lang w:val="en-AU"/>
              </w:rPr>
            </w:pPr>
            <w:r w:rsidRPr="00B952ED">
              <w:rPr>
                <w:bCs/>
                <w:szCs w:val="22"/>
                <w:lang w:val="en-AU"/>
              </w:rPr>
              <w:t>(CYP3A inhibition)</w:t>
            </w:r>
          </w:p>
        </w:tc>
        <w:tc>
          <w:tcPr>
            <w:tcW w:w="1759" w:type="pct"/>
            <w:shd w:val="clear" w:color="auto" w:fill="auto"/>
            <w:hideMark/>
          </w:tcPr>
          <w:p w14:paraId="60A25B6E"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18FE0BCE" w14:textId="77777777" w:rsidTr="004B3E76">
        <w:trPr>
          <w:trHeight w:val="1116"/>
        </w:trPr>
        <w:tc>
          <w:tcPr>
            <w:tcW w:w="1594" w:type="pct"/>
            <w:shd w:val="clear" w:color="auto" w:fill="auto"/>
            <w:hideMark/>
          </w:tcPr>
          <w:p w14:paraId="726A2F0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voriconazole</w:t>
            </w:r>
          </w:p>
          <w:p w14:paraId="6E9A7009"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(200 mg twice daily, maribavir 400 mg twice daily)</w:t>
            </w:r>
          </w:p>
        </w:tc>
        <w:tc>
          <w:tcPr>
            <w:tcW w:w="1648" w:type="pct"/>
            <w:shd w:val="clear" w:color="auto" w:fill="auto"/>
            <w:hideMark/>
          </w:tcPr>
          <w:p w14:paraId="35C9037B"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xml:space="preserve">Expected: </w:t>
            </w:r>
          </w:p>
          <w:p w14:paraId="7B97430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74F41A7E"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 inhibition)</w:t>
            </w:r>
          </w:p>
          <w:p w14:paraId="53A94CC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voriconazole</w:t>
            </w:r>
          </w:p>
          <w:p w14:paraId="20F37BF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AUC 0.93 (0.83, 1.05)</w:t>
            </w:r>
          </w:p>
          <w:p w14:paraId="37E83888"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max</w:t>
            </w:r>
            <w:proofErr w:type="spellEnd"/>
            <w:r w:rsidRPr="00B952ED">
              <w:rPr>
                <w:bCs/>
                <w:szCs w:val="22"/>
                <w:lang w:val="en-AU"/>
              </w:rPr>
              <w:t xml:space="preserve"> 1.00 (0.87, 1.15)</w:t>
            </w:r>
          </w:p>
          <w:p w14:paraId="62CD85E8" w14:textId="5C4D7301" w:rsidR="00940899" w:rsidRPr="00B952ED" w:rsidRDefault="00FC6B31" w:rsidP="009859C7">
            <w:pPr>
              <w:pStyle w:val="BodyText"/>
              <w:spacing w:line="240" w:lineRule="auto"/>
              <w:ind w:leftChars="0" w:left="0"/>
              <w:rPr>
                <w:bCs/>
                <w:szCs w:val="22"/>
                <w:lang w:val="en-AU"/>
              </w:rPr>
            </w:pPr>
            <w:r w:rsidRPr="00B952ED">
              <w:rPr>
                <w:bCs/>
                <w:szCs w:val="22"/>
                <w:lang w:val="en-AU"/>
              </w:rPr>
              <w:t>(CYP2C19 inhibition)</w:t>
            </w:r>
          </w:p>
        </w:tc>
        <w:tc>
          <w:tcPr>
            <w:tcW w:w="1759" w:type="pct"/>
            <w:shd w:val="clear" w:color="auto" w:fill="auto"/>
            <w:hideMark/>
          </w:tcPr>
          <w:p w14:paraId="0197009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53F229F3" w14:textId="77777777" w:rsidTr="00C438C7">
        <w:trPr>
          <w:trHeight w:val="336"/>
        </w:trPr>
        <w:tc>
          <w:tcPr>
            <w:tcW w:w="5000" w:type="pct"/>
            <w:gridSpan w:val="3"/>
            <w:shd w:val="clear" w:color="auto" w:fill="auto"/>
            <w:hideMark/>
          </w:tcPr>
          <w:p w14:paraId="65178FBD" w14:textId="3401608F" w:rsidR="00FC6B31" w:rsidRPr="00B952ED" w:rsidRDefault="00FC6B31" w:rsidP="000052A9">
            <w:pPr>
              <w:pStyle w:val="BodyText"/>
              <w:spacing w:line="240" w:lineRule="auto"/>
              <w:ind w:leftChars="0" w:left="0"/>
              <w:rPr>
                <w:bCs/>
                <w:szCs w:val="22"/>
                <w:lang w:val="en-AU"/>
              </w:rPr>
            </w:pPr>
            <w:r w:rsidRPr="00B952ED">
              <w:rPr>
                <w:b/>
                <w:bCs/>
                <w:szCs w:val="22"/>
                <w:lang w:val="en-AU"/>
              </w:rPr>
              <w:t>Anti</w:t>
            </w:r>
            <w:r w:rsidR="001B65D3" w:rsidRPr="00B952ED">
              <w:rPr>
                <w:b/>
                <w:bCs/>
                <w:szCs w:val="22"/>
                <w:lang w:val="en-AU"/>
              </w:rPr>
              <w:t>-</w:t>
            </w:r>
            <w:r w:rsidRPr="00B952ED">
              <w:rPr>
                <w:b/>
                <w:bCs/>
                <w:szCs w:val="22"/>
                <w:lang w:val="en-AU"/>
              </w:rPr>
              <w:t>hypertensives</w:t>
            </w:r>
          </w:p>
        </w:tc>
      </w:tr>
      <w:tr w:rsidR="00B952ED" w:rsidRPr="00B952ED" w14:paraId="191A5DC2" w14:textId="77777777" w:rsidTr="004B3E76">
        <w:trPr>
          <w:trHeight w:val="1128"/>
        </w:trPr>
        <w:tc>
          <w:tcPr>
            <w:tcW w:w="1594" w:type="pct"/>
            <w:shd w:val="clear" w:color="auto" w:fill="auto"/>
            <w:noWrap/>
            <w:hideMark/>
          </w:tcPr>
          <w:p w14:paraId="0C40412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diltiazem</w:t>
            </w:r>
          </w:p>
        </w:tc>
        <w:tc>
          <w:tcPr>
            <w:tcW w:w="1648" w:type="pct"/>
            <w:shd w:val="clear" w:color="auto" w:fill="auto"/>
            <w:hideMark/>
          </w:tcPr>
          <w:p w14:paraId="1810EC0F"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5C3CC25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21F80A47"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2962F1FD" w14:textId="4010DE30" w:rsidR="00740A49" w:rsidRDefault="00FC6B31" w:rsidP="00740A49">
            <w:pPr>
              <w:pStyle w:val="BodyText"/>
              <w:spacing w:line="240" w:lineRule="auto"/>
              <w:ind w:leftChars="0" w:left="0"/>
              <w:rPr>
                <w:bCs/>
                <w:szCs w:val="22"/>
                <w:lang w:val="en-AU"/>
              </w:rPr>
            </w:pPr>
            <w:r w:rsidRPr="00B952ED">
              <w:rPr>
                <w:bCs/>
                <w:szCs w:val="22"/>
                <w:lang w:val="en-AU"/>
              </w:rPr>
              <w:t>(CYP3A inhibition)</w:t>
            </w:r>
          </w:p>
          <w:p w14:paraId="529FABAA" w14:textId="77777777" w:rsidR="00740A49" w:rsidRDefault="00740A49" w:rsidP="00740A49">
            <w:pPr>
              <w:pStyle w:val="BodyText"/>
              <w:spacing w:line="240" w:lineRule="auto"/>
              <w:ind w:leftChars="0" w:left="0"/>
              <w:rPr>
                <w:bCs/>
                <w:szCs w:val="22"/>
                <w:lang w:val="en-AU"/>
              </w:rPr>
            </w:pPr>
          </w:p>
          <w:p w14:paraId="036C79D7" w14:textId="33AE6793" w:rsidR="00740A49" w:rsidRDefault="00740A49" w:rsidP="00740A49">
            <w:pPr>
              <w:pStyle w:val="BodyText"/>
              <w:spacing w:line="240" w:lineRule="auto"/>
              <w:ind w:leftChars="0" w:left="0"/>
              <w:rPr>
                <w:bCs/>
                <w:szCs w:val="22"/>
                <w:lang w:val="en-AU"/>
              </w:rPr>
            </w:pPr>
          </w:p>
          <w:p w14:paraId="44C838AF" w14:textId="77777777" w:rsidR="00740A49" w:rsidRDefault="00740A49" w:rsidP="00740A49">
            <w:pPr>
              <w:pStyle w:val="BodyText"/>
              <w:spacing w:line="240" w:lineRule="auto"/>
              <w:ind w:leftChars="0" w:left="0"/>
              <w:rPr>
                <w:bCs/>
                <w:szCs w:val="22"/>
                <w:lang w:val="en-AU"/>
              </w:rPr>
            </w:pPr>
          </w:p>
          <w:p w14:paraId="71ABD1CB" w14:textId="77777777" w:rsidR="00740A49" w:rsidRDefault="00740A49" w:rsidP="00740A49">
            <w:pPr>
              <w:pStyle w:val="BodyText"/>
              <w:spacing w:line="240" w:lineRule="auto"/>
              <w:ind w:leftChars="0" w:left="0"/>
              <w:rPr>
                <w:bCs/>
                <w:szCs w:val="22"/>
                <w:lang w:val="en-AU"/>
              </w:rPr>
            </w:pPr>
          </w:p>
          <w:p w14:paraId="43AEFFA3" w14:textId="5B1938FB" w:rsidR="00740A49" w:rsidRPr="00B952ED" w:rsidRDefault="00740A49" w:rsidP="00740A49">
            <w:pPr>
              <w:pStyle w:val="BodyText"/>
              <w:spacing w:line="240" w:lineRule="auto"/>
              <w:ind w:leftChars="0" w:left="0"/>
              <w:rPr>
                <w:bCs/>
                <w:szCs w:val="22"/>
                <w:lang w:val="en-AU"/>
              </w:rPr>
            </w:pPr>
          </w:p>
        </w:tc>
        <w:tc>
          <w:tcPr>
            <w:tcW w:w="1759" w:type="pct"/>
            <w:shd w:val="clear" w:color="auto" w:fill="auto"/>
            <w:hideMark/>
          </w:tcPr>
          <w:p w14:paraId="2B91F2BF"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3F001565" w14:textId="77777777" w:rsidTr="00C438C7">
        <w:trPr>
          <w:trHeight w:val="288"/>
        </w:trPr>
        <w:tc>
          <w:tcPr>
            <w:tcW w:w="5000" w:type="pct"/>
            <w:gridSpan w:val="3"/>
            <w:shd w:val="clear" w:color="auto" w:fill="auto"/>
            <w:hideMark/>
          </w:tcPr>
          <w:p w14:paraId="238BA32F" w14:textId="33E22218" w:rsidR="00FC6B31" w:rsidRPr="00B952ED" w:rsidRDefault="00FC6B31" w:rsidP="000052A9">
            <w:pPr>
              <w:pStyle w:val="BodyText"/>
              <w:spacing w:line="240" w:lineRule="auto"/>
              <w:ind w:leftChars="0" w:left="0"/>
              <w:rPr>
                <w:bCs/>
                <w:szCs w:val="22"/>
                <w:lang w:val="en-AU"/>
              </w:rPr>
            </w:pPr>
            <w:r w:rsidRPr="00B952ED">
              <w:rPr>
                <w:b/>
                <w:bCs/>
                <w:szCs w:val="22"/>
                <w:lang w:val="en-AU"/>
              </w:rPr>
              <w:t>Anti</w:t>
            </w:r>
            <w:r w:rsidR="001B65D3" w:rsidRPr="00B952ED">
              <w:rPr>
                <w:b/>
                <w:bCs/>
                <w:szCs w:val="22"/>
                <w:lang w:val="en-AU"/>
              </w:rPr>
              <w:t>-</w:t>
            </w:r>
            <w:proofErr w:type="spellStart"/>
            <w:r w:rsidRPr="00B952ED">
              <w:rPr>
                <w:b/>
                <w:bCs/>
                <w:szCs w:val="22"/>
                <w:lang w:val="en-AU"/>
              </w:rPr>
              <w:t>mycobacterials</w:t>
            </w:r>
            <w:proofErr w:type="spellEnd"/>
          </w:p>
        </w:tc>
      </w:tr>
      <w:tr w:rsidR="00B952ED" w:rsidRPr="00B952ED" w14:paraId="764A509C" w14:textId="77777777" w:rsidTr="004B3E76">
        <w:trPr>
          <w:trHeight w:val="1104"/>
        </w:trPr>
        <w:tc>
          <w:tcPr>
            <w:tcW w:w="1594" w:type="pct"/>
            <w:shd w:val="clear" w:color="auto" w:fill="auto"/>
            <w:hideMark/>
          </w:tcPr>
          <w:p w14:paraId="01419CEF"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xml:space="preserve">rifabutin </w:t>
            </w:r>
          </w:p>
        </w:tc>
        <w:tc>
          <w:tcPr>
            <w:tcW w:w="1648" w:type="pct"/>
            <w:shd w:val="clear" w:color="auto" w:fill="auto"/>
            <w:hideMark/>
          </w:tcPr>
          <w:p w14:paraId="4D2E3D1D"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01EB5589"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3C3D1919"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0EF8B3FF"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 induction)</w:t>
            </w:r>
          </w:p>
        </w:tc>
        <w:tc>
          <w:tcPr>
            <w:tcW w:w="1759" w:type="pct"/>
            <w:shd w:val="clear" w:color="auto" w:fill="auto"/>
            <w:hideMark/>
          </w:tcPr>
          <w:p w14:paraId="761DF4EE" w14:textId="475BB5B7" w:rsidR="00940899" w:rsidRPr="00B952ED" w:rsidRDefault="00FC6B31" w:rsidP="009859C7">
            <w:pPr>
              <w:pStyle w:val="BodyText"/>
              <w:spacing w:line="240" w:lineRule="auto"/>
              <w:ind w:leftChars="0" w:left="0"/>
              <w:rPr>
                <w:bCs/>
                <w:szCs w:val="22"/>
                <w:lang w:val="en-AU"/>
              </w:rPr>
            </w:pPr>
            <w:r w:rsidRPr="00B952ED">
              <w:rPr>
                <w:bCs/>
                <w:szCs w:val="22"/>
                <w:lang w:val="en-AU"/>
              </w:rPr>
              <w:t>Co</w:t>
            </w:r>
            <w:r w:rsidR="000D049D">
              <w:rPr>
                <w:bCs/>
                <w:szCs w:val="22"/>
                <w:lang w:val="en-AU"/>
              </w:rPr>
              <w:t>-</w:t>
            </w:r>
            <w:r w:rsidRPr="00B952ED">
              <w:rPr>
                <w:bCs/>
                <w:szCs w:val="22"/>
                <w:lang w:val="en-AU"/>
              </w:rPr>
              <w:t>administration of maribavir and rifabutin is not recommended due to potential for a decrease in efficacy of maribavir.</w:t>
            </w:r>
          </w:p>
        </w:tc>
      </w:tr>
      <w:tr w:rsidR="00B952ED" w:rsidRPr="00B952ED" w14:paraId="3FEF6EA8" w14:textId="77777777" w:rsidTr="004B3E76">
        <w:trPr>
          <w:trHeight w:val="1349"/>
        </w:trPr>
        <w:tc>
          <w:tcPr>
            <w:tcW w:w="1594" w:type="pct"/>
            <w:shd w:val="clear" w:color="auto" w:fill="auto"/>
            <w:hideMark/>
          </w:tcPr>
          <w:p w14:paraId="1C035E25"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rifampin</w:t>
            </w:r>
            <w:proofErr w:type="spellEnd"/>
          </w:p>
          <w:p w14:paraId="483F737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(600 mg once daily, maribavir 400 mg twice daily)</w:t>
            </w:r>
          </w:p>
        </w:tc>
        <w:tc>
          <w:tcPr>
            <w:tcW w:w="1648" w:type="pct"/>
            <w:shd w:val="clear" w:color="auto" w:fill="auto"/>
            <w:hideMark/>
          </w:tcPr>
          <w:p w14:paraId="453D03F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50CD872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AUC 0.40 (0.36, 0.44)</w:t>
            </w:r>
          </w:p>
          <w:p w14:paraId="77C79386"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max</w:t>
            </w:r>
            <w:proofErr w:type="spellEnd"/>
            <w:r w:rsidRPr="00B952ED">
              <w:rPr>
                <w:bCs/>
                <w:szCs w:val="22"/>
                <w:lang w:val="en-AU"/>
              </w:rPr>
              <w:t xml:space="preserve"> 0.61 (0.52, 0.72)</w:t>
            </w:r>
          </w:p>
          <w:p w14:paraId="3E737524"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trough</w:t>
            </w:r>
            <w:proofErr w:type="spellEnd"/>
            <w:r w:rsidRPr="00B952ED">
              <w:rPr>
                <w:bCs/>
                <w:szCs w:val="22"/>
                <w:lang w:val="en-AU"/>
              </w:rPr>
              <w:t xml:space="preserve"> 0.18 (0.14, 0.25)</w:t>
            </w:r>
          </w:p>
          <w:p w14:paraId="6E61AA7C" w14:textId="7BB73234" w:rsidR="00940899" w:rsidRPr="00B952ED" w:rsidRDefault="00FC6B31" w:rsidP="009859C7">
            <w:pPr>
              <w:pStyle w:val="BodyText"/>
              <w:spacing w:line="240" w:lineRule="auto"/>
              <w:ind w:leftChars="0" w:left="0"/>
              <w:rPr>
                <w:bCs/>
                <w:szCs w:val="22"/>
                <w:lang w:val="en-AU"/>
              </w:rPr>
            </w:pPr>
            <w:r w:rsidRPr="00B952ED">
              <w:rPr>
                <w:bCs/>
                <w:szCs w:val="22"/>
                <w:lang w:val="en-AU"/>
              </w:rPr>
              <w:t>(CYP3A and CYP1A2 induction)</w:t>
            </w:r>
          </w:p>
        </w:tc>
        <w:tc>
          <w:tcPr>
            <w:tcW w:w="1759" w:type="pct"/>
            <w:shd w:val="clear" w:color="auto" w:fill="auto"/>
            <w:hideMark/>
          </w:tcPr>
          <w:p w14:paraId="33D65108" w14:textId="42A19C71" w:rsidR="00FC6B31" w:rsidRPr="00B952ED" w:rsidRDefault="00FC6B31" w:rsidP="000052A9">
            <w:pPr>
              <w:pStyle w:val="BodyText"/>
              <w:spacing w:line="240" w:lineRule="auto"/>
              <w:ind w:leftChars="0" w:left="0"/>
              <w:rPr>
                <w:bCs/>
                <w:szCs w:val="22"/>
                <w:lang w:val="en-AU"/>
              </w:rPr>
            </w:pPr>
            <w:r w:rsidRPr="00B952ED">
              <w:rPr>
                <w:bCs/>
                <w:szCs w:val="22"/>
                <w:lang w:val="en-AU"/>
              </w:rPr>
              <w:t>Co</w:t>
            </w:r>
            <w:r w:rsidR="000D049D">
              <w:rPr>
                <w:bCs/>
                <w:szCs w:val="22"/>
                <w:lang w:val="en-AU"/>
              </w:rPr>
              <w:t>-</w:t>
            </w:r>
            <w:r w:rsidRPr="00B952ED">
              <w:rPr>
                <w:bCs/>
                <w:szCs w:val="22"/>
                <w:lang w:val="en-AU"/>
              </w:rPr>
              <w:t xml:space="preserve">administration of </w:t>
            </w:r>
            <w:proofErr w:type="spellStart"/>
            <w:r w:rsidRPr="00B952ED">
              <w:rPr>
                <w:bCs/>
                <w:szCs w:val="22"/>
                <w:lang w:val="en-AU"/>
              </w:rPr>
              <w:t>maribavir</w:t>
            </w:r>
            <w:proofErr w:type="spellEnd"/>
            <w:r w:rsidRPr="00B952ED">
              <w:rPr>
                <w:bCs/>
                <w:szCs w:val="22"/>
                <w:lang w:val="en-AU"/>
              </w:rPr>
              <w:t xml:space="preserve"> and </w:t>
            </w:r>
            <w:proofErr w:type="spellStart"/>
            <w:r w:rsidRPr="00B952ED">
              <w:rPr>
                <w:bCs/>
                <w:szCs w:val="22"/>
                <w:lang w:val="en-AU"/>
              </w:rPr>
              <w:t>rifampin</w:t>
            </w:r>
            <w:proofErr w:type="spellEnd"/>
            <w:r w:rsidRPr="00B952ED">
              <w:rPr>
                <w:bCs/>
                <w:szCs w:val="22"/>
                <w:lang w:val="en-AU"/>
              </w:rPr>
              <w:t xml:space="preserve"> is not recommended due to potential for a decrease in efficacy of maribavir.</w:t>
            </w:r>
          </w:p>
        </w:tc>
      </w:tr>
      <w:tr w:rsidR="00B952ED" w:rsidRPr="00B952ED" w14:paraId="2588EF06" w14:textId="77777777" w:rsidTr="00C438C7">
        <w:trPr>
          <w:trHeight w:val="288"/>
        </w:trPr>
        <w:tc>
          <w:tcPr>
            <w:tcW w:w="5000" w:type="pct"/>
            <w:gridSpan w:val="3"/>
            <w:shd w:val="clear" w:color="auto" w:fill="auto"/>
            <w:hideMark/>
          </w:tcPr>
          <w:p w14:paraId="5F74F932" w14:textId="0542CBE3" w:rsidR="00FC6B31" w:rsidRPr="00B952ED" w:rsidRDefault="00FC6B31" w:rsidP="000052A9">
            <w:pPr>
              <w:pStyle w:val="BodyText"/>
              <w:spacing w:line="240" w:lineRule="auto"/>
              <w:ind w:leftChars="0" w:left="0"/>
              <w:rPr>
                <w:bCs/>
                <w:szCs w:val="22"/>
                <w:lang w:val="en-AU"/>
              </w:rPr>
            </w:pPr>
            <w:r w:rsidRPr="00B952ED">
              <w:rPr>
                <w:b/>
                <w:bCs/>
                <w:szCs w:val="22"/>
                <w:lang w:val="en-AU"/>
              </w:rPr>
              <w:t>Anti</w:t>
            </w:r>
            <w:r w:rsidR="001B65D3" w:rsidRPr="00B952ED">
              <w:rPr>
                <w:b/>
                <w:bCs/>
                <w:szCs w:val="22"/>
                <w:lang w:val="en-AU"/>
              </w:rPr>
              <w:t>-</w:t>
            </w:r>
            <w:proofErr w:type="spellStart"/>
            <w:r w:rsidRPr="00B952ED">
              <w:rPr>
                <w:b/>
                <w:bCs/>
                <w:szCs w:val="22"/>
                <w:lang w:val="en-AU"/>
              </w:rPr>
              <w:t>tussives</w:t>
            </w:r>
            <w:proofErr w:type="spellEnd"/>
          </w:p>
        </w:tc>
      </w:tr>
      <w:tr w:rsidR="00B952ED" w:rsidRPr="00B952ED" w14:paraId="0F251245" w14:textId="77777777" w:rsidTr="004B3E76">
        <w:trPr>
          <w:trHeight w:val="1164"/>
        </w:trPr>
        <w:tc>
          <w:tcPr>
            <w:tcW w:w="1594" w:type="pct"/>
            <w:shd w:val="clear" w:color="auto" w:fill="auto"/>
            <w:hideMark/>
          </w:tcPr>
          <w:p w14:paraId="1146765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dextromethorphan</w:t>
            </w:r>
          </w:p>
          <w:p w14:paraId="57360A0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(30 mg single dose, maribavir 400 mg twice daily)</w:t>
            </w:r>
          </w:p>
        </w:tc>
        <w:tc>
          <w:tcPr>
            <w:tcW w:w="1648" w:type="pct"/>
            <w:shd w:val="clear" w:color="auto" w:fill="auto"/>
            <w:hideMark/>
          </w:tcPr>
          <w:p w14:paraId="4F2B40AD"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xml:space="preserve">↔ </w:t>
            </w:r>
            <w:proofErr w:type="spellStart"/>
            <w:r w:rsidRPr="00B952ED">
              <w:rPr>
                <w:bCs/>
                <w:szCs w:val="22"/>
                <w:lang w:val="en-AU"/>
              </w:rPr>
              <w:t>dextrorphan</w:t>
            </w:r>
            <w:proofErr w:type="spellEnd"/>
          </w:p>
          <w:p w14:paraId="495D050A"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AUC 0.97 (0.94, 1.00)</w:t>
            </w:r>
          </w:p>
          <w:p w14:paraId="10972275"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max</w:t>
            </w:r>
            <w:proofErr w:type="spellEnd"/>
            <w:r w:rsidRPr="00B952ED">
              <w:rPr>
                <w:bCs/>
                <w:szCs w:val="22"/>
                <w:lang w:val="en-AU"/>
              </w:rPr>
              <w:t xml:space="preserve"> 0.94 (0.88, 1.01)</w:t>
            </w:r>
          </w:p>
          <w:p w14:paraId="1111A378" w14:textId="31D1FAB9" w:rsidR="002F0DE0" w:rsidRPr="00B952ED" w:rsidRDefault="00FC6B31" w:rsidP="000052A9">
            <w:pPr>
              <w:pStyle w:val="BodyText"/>
              <w:spacing w:line="240" w:lineRule="auto"/>
              <w:ind w:leftChars="0" w:left="0"/>
              <w:rPr>
                <w:bCs/>
                <w:szCs w:val="22"/>
                <w:lang w:val="en-AU"/>
              </w:rPr>
            </w:pPr>
            <w:r w:rsidRPr="00B952ED">
              <w:rPr>
                <w:bCs/>
                <w:szCs w:val="22"/>
                <w:lang w:val="en-AU"/>
              </w:rPr>
              <w:t>(CYP2D6 inhibition)</w:t>
            </w:r>
          </w:p>
        </w:tc>
        <w:tc>
          <w:tcPr>
            <w:tcW w:w="1759" w:type="pct"/>
            <w:shd w:val="clear" w:color="auto" w:fill="auto"/>
            <w:hideMark/>
          </w:tcPr>
          <w:p w14:paraId="6CB8F89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11020BE9" w14:textId="77777777" w:rsidTr="00C438C7">
        <w:trPr>
          <w:trHeight w:val="288"/>
        </w:trPr>
        <w:tc>
          <w:tcPr>
            <w:tcW w:w="5000" w:type="pct"/>
            <w:gridSpan w:val="3"/>
            <w:shd w:val="clear" w:color="auto" w:fill="auto"/>
            <w:hideMark/>
          </w:tcPr>
          <w:p w14:paraId="1C3AA614" w14:textId="01E20C6E" w:rsidR="004E3D50" w:rsidRPr="00B952ED" w:rsidRDefault="00FC6B31" w:rsidP="000052A9">
            <w:pPr>
              <w:pStyle w:val="BodyText"/>
              <w:spacing w:line="240" w:lineRule="auto"/>
              <w:ind w:leftChars="0" w:left="0"/>
              <w:rPr>
                <w:b/>
                <w:bCs/>
                <w:szCs w:val="22"/>
                <w:lang w:val="en-AU"/>
              </w:rPr>
            </w:pPr>
            <w:r w:rsidRPr="00B952ED">
              <w:rPr>
                <w:b/>
                <w:bCs/>
                <w:szCs w:val="22"/>
                <w:lang w:val="en-AU"/>
              </w:rPr>
              <w:t>CNS Stimulants</w:t>
            </w:r>
          </w:p>
        </w:tc>
      </w:tr>
      <w:tr w:rsidR="00B952ED" w:rsidRPr="00B952ED" w14:paraId="1DB109C4" w14:textId="77777777" w:rsidTr="00C438C7">
        <w:trPr>
          <w:trHeight w:val="348"/>
        </w:trPr>
        <w:tc>
          <w:tcPr>
            <w:tcW w:w="5000" w:type="pct"/>
            <w:gridSpan w:val="3"/>
            <w:shd w:val="clear" w:color="auto" w:fill="auto"/>
            <w:hideMark/>
          </w:tcPr>
          <w:p w14:paraId="168F976E" w14:textId="77777777" w:rsidR="00FC6B31" w:rsidRPr="00B952ED" w:rsidRDefault="00FC6B31" w:rsidP="000052A9">
            <w:pPr>
              <w:pStyle w:val="BodyText"/>
              <w:spacing w:line="240" w:lineRule="auto"/>
              <w:ind w:leftChars="0" w:left="0"/>
              <w:rPr>
                <w:bCs/>
                <w:szCs w:val="22"/>
                <w:lang w:val="en-AU"/>
              </w:rPr>
            </w:pPr>
            <w:r w:rsidRPr="00B952ED">
              <w:rPr>
                <w:b/>
                <w:bCs/>
                <w:szCs w:val="22"/>
                <w:lang w:val="en-AU"/>
              </w:rPr>
              <w:t>Herbal Products</w:t>
            </w:r>
          </w:p>
        </w:tc>
      </w:tr>
      <w:tr w:rsidR="00B952ED" w:rsidRPr="00B952ED" w14:paraId="61B43E61" w14:textId="77777777" w:rsidTr="004B3E76">
        <w:trPr>
          <w:trHeight w:val="1104"/>
        </w:trPr>
        <w:tc>
          <w:tcPr>
            <w:tcW w:w="1594" w:type="pct"/>
            <w:shd w:val="clear" w:color="auto" w:fill="auto"/>
            <w:hideMark/>
          </w:tcPr>
          <w:p w14:paraId="2BD05D86"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lastRenderedPageBreak/>
              <w:t xml:space="preserve">St. John's wort (Hypericum </w:t>
            </w:r>
            <w:proofErr w:type="spellStart"/>
            <w:r w:rsidRPr="00B952ED">
              <w:rPr>
                <w:bCs/>
                <w:szCs w:val="22"/>
                <w:lang w:val="en-AU"/>
              </w:rPr>
              <w:t>perforatum</w:t>
            </w:r>
            <w:proofErr w:type="spellEnd"/>
            <w:r w:rsidRPr="00B952ED">
              <w:rPr>
                <w:bCs/>
                <w:szCs w:val="22"/>
                <w:lang w:val="en-AU"/>
              </w:rPr>
              <w:t>)</w:t>
            </w:r>
          </w:p>
        </w:tc>
        <w:tc>
          <w:tcPr>
            <w:tcW w:w="1648" w:type="pct"/>
            <w:shd w:val="clear" w:color="auto" w:fill="auto"/>
            <w:hideMark/>
          </w:tcPr>
          <w:p w14:paraId="73A0B5CB"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776B1DF6"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636951E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maribavir</w:t>
            </w:r>
          </w:p>
          <w:p w14:paraId="5A77647A"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 induction)</w:t>
            </w:r>
          </w:p>
        </w:tc>
        <w:tc>
          <w:tcPr>
            <w:tcW w:w="1759" w:type="pct"/>
            <w:shd w:val="clear" w:color="auto" w:fill="auto"/>
            <w:hideMark/>
          </w:tcPr>
          <w:p w14:paraId="3156958E" w14:textId="7AB30B4D" w:rsidR="00940899" w:rsidRPr="00B952ED" w:rsidRDefault="00FC6B31" w:rsidP="009859C7">
            <w:pPr>
              <w:pStyle w:val="BodyText"/>
              <w:spacing w:line="240" w:lineRule="auto"/>
              <w:ind w:leftChars="0" w:left="0"/>
              <w:rPr>
                <w:bCs/>
                <w:szCs w:val="22"/>
                <w:lang w:val="en-AU"/>
              </w:rPr>
            </w:pPr>
            <w:r w:rsidRPr="00B952ED">
              <w:rPr>
                <w:bCs/>
                <w:szCs w:val="22"/>
                <w:lang w:val="en-AU"/>
              </w:rPr>
              <w:t>Co</w:t>
            </w:r>
            <w:r w:rsidR="00FE6D91">
              <w:rPr>
                <w:bCs/>
                <w:szCs w:val="22"/>
                <w:lang w:val="en-AU"/>
              </w:rPr>
              <w:t>-</w:t>
            </w:r>
            <w:r w:rsidRPr="00B952ED">
              <w:rPr>
                <w:bCs/>
                <w:szCs w:val="22"/>
                <w:lang w:val="en-AU"/>
              </w:rPr>
              <w:t xml:space="preserve">administration of maribavir and St. John's wort is not recommended due to potential for a decrease in efficacy of maribavir. </w:t>
            </w:r>
          </w:p>
        </w:tc>
      </w:tr>
      <w:tr w:rsidR="00B952ED" w:rsidRPr="00B952ED" w14:paraId="0EDFD75D" w14:textId="77777777" w:rsidTr="00C438C7">
        <w:trPr>
          <w:trHeight w:val="288"/>
        </w:trPr>
        <w:tc>
          <w:tcPr>
            <w:tcW w:w="5000" w:type="pct"/>
            <w:gridSpan w:val="3"/>
            <w:shd w:val="clear" w:color="auto" w:fill="auto"/>
            <w:hideMark/>
          </w:tcPr>
          <w:p w14:paraId="5AC9E840" w14:textId="77777777" w:rsidR="00FC6B31" w:rsidRPr="00B952ED" w:rsidRDefault="00FC6B31" w:rsidP="000052A9">
            <w:pPr>
              <w:pStyle w:val="BodyText"/>
              <w:spacing w:line="240" w:lineRule="auto"/>
              <w:ind w:leftChars="0" w:left="0"/>
              <w:rPr>
                <w:bCs/>
                <w:szCs w:val="22"/>
                <w:lang w:val="en-AU"/>
              </w:rPr>
            </w:pPr>
            <w:r w:rsidRPr="00B952ED">
              <w:rPr>
                <w:b/>
                <w:bCs/>
                <w:szCs w:val="22"/>
                <w:lang w:val="en-AU"/>
              </w:rPr>
              <w:t>HMG-CoA Reductase Inhibitors</w:t>
            </w:r>
          </w:p>
        </w:tc>
      </w:tr>
      <w:tr w:rsidR="00B952ED" w:rsidRPr="00B952ED" w14:paraId="425D0CF9" w14:textId="77777777" w:rsidTr="004B3E76">
        <w:trPr>
          <w:trHeight w:val="1104"/>
        </w:trPr>
        <w:tc>
          <w:tcPr>
            <w:tcW w:w="1594" w:type="pct"/>
            <w:shd w:val="clear" w:color="auto" w:fill="auto"/>
            <w:hideMark/>
          </w:tcPr>
          <w:p w14:paraId="3C55C4C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atorvastatin</w:t>
            </w:r>
          </w:p>
          <w:p w14:paraId="416AF6C3"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fluvastatin</w:t>
            </w:r>
            <w:proofErr w:type="spellEnd"/>
          </w:p>
          <w:p w14:paraId="3F8962F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simvastatin</w:t>
            </w:r>
          </w:p>
        </w:tc>
        <w:tc>
          <w:tcPr>
            <w:tcW w:w="1648" w:type="pct"/>
            <w:shd w:val="clear" w:color="auto" w:fill="auto"/>
            <w:hideMark/>
          </w:tcPr>
          <w:p w14:paraId="14A68C8D"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546AC980"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1FC109E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HMG</w:t>
            </w:r>
            <w:r w:rsidRPr="00B952ED">
              <w:rPr>
                <w:bCs/>
                <w:szCs w:val="22"/>
                <w:lang w:val="en-AU"/>
              </w:rPr>
              <w:noBreakHyphen/>
              <w:t>CoA reductase inhibitors</w:t>
            </w:r>
          </w:p>
          <w:p w14:paraId="4BA55A3A" w14:textId="0E1396A3" w:rsidR="00940899" w:rsidRPr="00B952ED" w:rsidRDefault="00FC6B31" w:rsidP="009859C7">
            <w:pPr>
              <w:pStyle w:val="BodyText"/>
              <w:spacing w:line="240" w:lineRule="auto"/>
              <w:ind w:leftChars="0" w:left="0"/>
              <w:rPr>
                <w:bCs/>
                <w:szCs w:val="22"/>
                <w:lang w:val="en-AU"/>
              </w:rPr>
            </w:pPr>
            <w:r w:rsidRPr="00B952ED">
              <w:rPr>
                <w:bCs/>
                <w:szCs w:val="22"/>
                <w:lang w:val="en-AU"/>
              </w:rPr>
              <w:t>(BCRP inhibition)</w:t>
            </w:r>
          </w:p>
        </w:tc>
        <w:tc>
          <w:tcPr>
            <w:tcW w:w="1759" w:type="pct"/>
            <w:shd w:val="clear" w:color="auto" w:fill="auto"/>
            <w:hideMark/>
          </w:tcPr>
          <w:p w14:paraId="21833A37"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33E95A3D" w14:textId="77777777" w:rsidTr="004B3E76">
        <w:trPr>
          <w:trHeight w:val="1380"/>
        </w:trPr>
        <w:tc>
          <w:tcPr>
            <w:tcW w:w="1594" w:type="pct"/>
            <w:shd w:val="clear" w:color="auto" w:fill="auto"/>
            <w:hideMark/>
          </w:tcPr>
          <w:p w14:paraId="06C780C1"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rosuvastatin</w:t>
            </w:r>
            <w:r w:rsidRPr="00B952ED">
              <w:rPr>
                <w:bCs/>
                <w:szCs w:val="22"/>
                <w:vertAlign w:val="superscript"/>
                <w:lang w:val="en-AU"/>
              </w:rPr>
              <w:t>a</w:t>
            </w:r>
            <w:proofErr w:type="spellEnd"/>
            <w:r w:rsidRPr="00B952ED">
              <w:rPr>
                <w:bCs/>
                <w:szCs w:val="22"/>
                <w:lang w:val="en-AU"/>
              </w:rPr>
              <w:t xml:space="preserve"> </w:t>
            </w:r>
          </w:p>
        </w:tc>
        <w:tc>
          <w:tcPr>
            <w:tcW w:w="1648" w:type="pct"/>
            <w:shd w:val="clear" w:color="auto" w:fill="auto"/>
            <w:hideMark/>
          </w:tcPr>
          <w:p w14:paraId="2EA32CDA"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44FC7EA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25930C1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rosuvastatin</w:t>
            </w:r>
          </w:p>
          <w:p w14:paraId="15434571"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(BCRP inhibition)</w:t>
            </w:r>
          </w:p>
        </w:tc>
        <w:tc>
          <w:tcPr>
            <w:tcW w:w="1759" w:type="pct"/>
            <w:shd w:val="clear" w:color="auto" w:fill="auto"/>
            <w:hideMark/>
          </w:tcPr>
          <w:p w14:paraId="50CBC249" w14:textId="66AEC6CD" w:rsidR="00733122" w:rsidRPr="00B952ED" w:rsidRDefault="00FC6B31" w:rsidP="000052A9">
            <w:pPr>
              <w:pStyle w:val="BodyText"/>
              <w:spacing w:line="240" w:lineRule="auto"/>
              <w:ind w:leftChars="0" w:left="0"/>
              <w:rPr>
                <w:bCs/>
                <w:szCs w:val="22"/>
                <w:lang w:val="en-AU"/>
              </w:rPr>
            </w:pPr>
            <w:r w:rsidRPr="00B952ED">
              <w:rPr>
                <w:bCs/>
                <w:szCs w:val="22"/>
                <w:lang w:val="en-AU"/>
              </w:rPr>
              <w:t>The patient should be closely monitored for rosuvastatin-related events, especially the occurrence of myopathy and rhabdomyolysis.</w:t>
            </w:r>
          </w:p>
        </w:tc>
      </w:tr>
      <w:tr w:rsidR="00B952ED" w:rsidRPr="00B952ED" w14:paraId="6467ED2E" w14:textId="77777777" w:rsidTr="00C438C7">
        <w:trPr>
          <w:trHeight w:val="288"/>
        </w:trPr>
        <w:tc>
          <w:tcPr>
            <w:tcW w:w="5000" w:type="pct"/>
            <w:gridSpan w:val="3"/>
            <w:shd w:val="clear" w:color="auto" w:fill="auto"/>
            <w:hideMark/>
          </w:tcPr>
          <w:p w14:paraId="1A37A955" w14:textId="77777777" w:rsidR="00FC6B31" w:rsidRPr="00B952ED" w:rsidRDefault="00FC6B31" w:rsidP="000052A9">
            <w:pPr>
              <w:pStyle w:val="BodyText"/>
              <w:spacing w:line="240" w:lineRule="auto"/>
              <w:ind w:leftChars="0" w:left="0"/>
              <w:rPr>
                <w:bCs/>
                <w:szCs w:val="22"/>
                <w:lang w:val="en-AU"/>
              </w:rPr>
            </w:pPr>
            <w:r w:rsidRPr="00B952ED">
              <w:rPr>
                <w:b/>
                <w:bCs/>
                <w:szCs w:val="22"/>
                <w:lang w:val="en-AU"/>
              </w:rPr>
              <w:t>Immunosuppressants</w:t>
            </w:r>
          </w:p>
        </w:tc>
      </w:tr>
      <w:tr w:rsidR="00B952ED" w:rsidRPr="00B952ED" w14:paraId="2E9F15C5" w14:textId="77777777" w:rsidTr="004B3E76">
        <w:trPr>
          <w:trHeight w:val="1380"/>
        </w:trPr>
        <w:tc>
          <w:tcPr>
            <w:tcW w:w="1594" w:type="pct"/>
            <w:shd w:val="clear" w:color="auto" w:fill="auto"/>
            <w:hideMark/>
          </w:tcPr>
          <w:p w14:paraId="0202EC9C" w14:textId="609C3F69" w:rsidR="00FC6B31" w:rsidRPr="00B952ED" w:rsidRDefault="00FC6B31" w:rsidP="000052A9">
            <w:pPr>
              <w:pStyle w:val="BodyText"/>
              <w:spacing w:line="240" w:lineRule="auto"/>
              <w:ind w:leftChars="0" w:left="0"/>
              <w:rPr>
                <w:bCs/>
                <w:szCs w:val="22"/>
                <w:vertAlign w:val="superscript"/>
                <w:lang w:val="en-AU"/>
              </w:rPr>
            </w:pPr>
            <w:proofErr w:type="spellStart"/>
            <w:r w:rsidRPr="00B952ED">
              <w:rPr>
                <w:bCs/>
                <w:szCs w:val="22"/>
                <w:lang w:val="en-AU"/>
              </w:rPr>
              <w:t>cyclosporin</w:t>
            </w:r>
            <w:r w:rsidRPr="00B952ED">
              <w:rPr>
                <w:bCs/>
                <w:szCs w:val="22"/>
                <w:vertAlign w:val="superscript"/>
                <w:lang w:val="en-AU"/>
              </w:rPr>
              <w:t>a</w:t>
            </w:r>
            <w:proofErr w:type="spellEnd"/>
          </w:p>
          <w:p w14:paraId="453BC98E" w14:textId="77777777" w:rsidR="00FC6B31" w:rsidRPr="00B952ED" w:rsidRDefault="00FC6B31" w:rsidP="000052A9">
            <w:pPr>
              <w:pStyle w:val="BodyText"/>
              <w:spacing w:line="240" w:lineRule="auto"/>
              <w:ind w:leftChars="0" w:left="0"/>
              <w:rPr>
                <w:bCs/>
                <w:szCs w:val="22"/>
                <w:vertAlign w:val="superscript"/>
                <w:lang w:val="en-AU"/>
              </w:rPr>
            </w:pPr>
            <w:proofErr w:type="spellStart"/>
            <w:r w:rsidRPr="00B952ED">
              <w:rPr>
                <w:bCs/>
                <w:szCs w:val="22"/>
                <w:lang w:val="en-AU"/>
              </w:rPr>
              <w:t>everolimus</w:t>
            </w:r>
            <w:r w:rsidRPr="00B952ED">
              <w:rPr>
                <w:bCs/>
                <w:szCs w:val="22"/>
                <w:vertAlign w:val="superscript"/>
                <w:lang w:val="en-AU"/>
              </w:rPr>
              <w:t>a</w:t>
            </w:r>
            <w:proofErr w:type="spellEnd"/>
          </w:p>
          <w:p w14:paraId="21B01EDD"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sirolimus</w:t>
            </w:r>
            <w:r w:rsidRPr="00B952ED">
              <w:rPr>
                <w:bCs/>
                <w:szCs w:val="22"/>
                <w:vertAlign w:val="superscript"/>
                <w:lang w:val="en-AU"/>
              </w:rPr>
              <w:t>a</w:t>
            </w:r>
            <w:proofErr w:type="spellEnd"/>
          </w:p>
        </w:tc>
        <w:tc>
          <w:tcPr>
            <w:tcW w:w="1648" w:type="pct"/>
            <w:shd w:val="clear" w:color="auto" w:fill="auto"/>
            <w:hideMark/>
          </w:tcPr>
          <w:p w14:paraId="7C9CB95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237EE2CC"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55CF7BC2" w14:textId="12CAAF54" w:rsidR="00FC6B31" w:rsidRPr="00B952ED" w:rsidRDefault="00FC6B31" w:rsidP="000052A9">
            <w:pPr>
              <w:pStyle w:val="BodyText"/>
              <w:spacing w:line="240" w:lineRule="auto"/>
              <w:ind w:leftChars="0" w:left="0"/>
              <w:rPr>
                <w:bCs/>
                <w:szCs w:val="22"/>
                <w:lang w:val="en-AU"/>
              </w:rPr>
            </w:pPr>
            <w:r w:rsidRPr="00B952ED">
              <w:rPr>
                <w:bCs/>
                <w:szCs w:val="22"/>
                <w:lang w:val="en-AU"/>
              </w:rPr>
              <w:t xml:space="preserve">↑ cyclosporin, </w:t>
            </w:r>
            <w:proofErr w:type="spellStart"/>
            <w:r w:rsidRPr="00B952ED">
              <w:rPr>
                <w:bCs/>
                <w:szCs w:val="22"/>
                <w:lang w:val="en-AU"/>
              </w:rPr>
              <w:t>everolimus</w:t>
            </w:r>
            <w:proofErr w:type="spellEnd"/>
            <w:r w:rsidRPr="00B952ED">
              <w:rPr>
                <w:bCs/>
                <w:szCs w:val="22"/>
                <w:lang w:val="en-AU"/>
              </w:rPr>
              <w:t>, sirolimus</w:t>
            </w:r>
          </w:p>
          <w:p w14:paraId="13CB9E8A"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(CYP3A/P</w:t>
            </w:r>
            <w:r w:rsidRPr="00B952ED">
              <w:rPr>
                <w:bCs/>
                <w:szCs w:val="22"/>
                <w:lang w:val="en-AU"/>
              </w:rPr>
              <w:noBreakHyphen/>
            </w:r>
            <w:proofErr w:type="spellStart"/>
            <w:r w:rsidRPr="00B952ED">
              <w:rPr>
                <w:bCs/>
                <w:szCs w:val="22"/>
                <w:lang w:val="en-AU"/>
              </w:rPr>
              <w:t>gp</w:t>
            </w:r>
            <w:proofErr w:type="spellEnd"/>
            <w:r w:rsidRPr="00B952ED">
              <w:rPr>
                <w:bCs/>
                <w:szCs w:val="22"/>
                <w:lang w:val="en-AU"/>
              </w:rPr>
              <w:t xml:space="preserve"> inhibition)</w:t>
            </w:r>
          </w:p>
        </w:tc>
        <w:tc>
          <w:tcPr>
            <w:tcW w:w="1759" w:type="pct"/>
            <w:shd w:val="clear" w:color="auto" w:fill="auto"/>
            <w:hideMark/>
          </w:tcPr>
          <w:p w14:paraId="058DDE8A" w14:textId="5716B49F" w:rsidR="00940899" w:rsidRPr="00B952ED" w:rsidRDefault="00FC6B31" w:rsidP="009859C7">
            <w:pPr>
              <w:pStyle w:val="BodyText"/>
              <w:spacing w:line="240" w:lineRule="auto"/>
              <w:ind w:leftChars="0" w:left="0"/>
              <w:rPr>
                <w:bCs/>
                <w:szCs w:val="22"/>
                <w:lang w:val="en-AU"/>
              </w:rPr>
            </w:pPr>
            <w:r w:rsidRPr="00B952ED">
              <w:rPr>
                <w:bCs/>
                <w:szCs w:val="22"/>
                <w:lang w:val="en-AU"/>
              </w:rPr>
              <w:t xml:space="preserve">Frequently monitor cyclosporin, </w:t>
            </w:r>
            <w:proofErr w:type="spellStart"/>
            <w:r w:rsidRPr="00B952ED">
              <w:rPr>
                <w:bCs/>
                <w:szCs w:val="22"/>
                <w:lang w:val="en-AU"/>
              </w:rPr>
              <w:t>everolimus</w:t>
            </w:r>
            <w:proofErr w:type="spellEnd"/>
            <w:r w:rsidRPr="00B952ED">
              <w:rPr>
                <w:bCs/>
                <w:szCs w:val="22"/>
                <w:lang w:val="en-AU"/>
              </w:rPr>
              <w:t xml:space="preserve"> and sirolimus levels, especially following initiation and after discontinuation of </w:t>
            </w:r>
            <w:r w:rsidR="008106D6" w:rsidRPr="00B952ED">
              <w:rPr>
                <w:bCs/>
                <w:szCs w:val="22"/>
                <w:lang w:val="en-AU"/>
              </w:rPr>
              <w:t>LIVTENCITY</w:t>
            </w:r>
            <w:r w:rsidRPr="00B952ED">
              <w:rPr>
                <w:bCs/>
                <w:szCs w:val="22"/>
                <w:lang w:val="en-AU"/>
              </w:rPr>
              <w:t xml:space="preserve"> and adjust dose, as needed.</w:t>
            </w:r>
          </w:p>
        </w:tc>
      </w:tr>
      <w:tr w:rsidR="00B952ED" w:rsidRPr="00B952ED" w14:paraId="27A41305" w14:textId="77777777" w:rsidTr="004B3E76">
        <w:trPr>
          <w:trHeight w:val="1380"/>
        </w:trPr>
        <w:tc>
          <w:tcPr>
            <w:tcW w:w="1594" w:type="pct"/>
            <w:shd w:val="clear" w:color="auto" w:fill="auto"/>
            <w:hideMark/>
          </w:tcPr>
          <w:p w14:paraId="281304E7"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tacrolimus</w:t>
            </w:r>
            <w:r w:rsidRPr="00B952ED">
              <w:rPr>
                <w:bCs/>
                <w:szCs w:val="22"/>
                <w:vertAlign w:val="superscript"/>
                <w:lang w:val="en-AU"/>
              </w:rPr>
              <w:t>a</w:t>
            </w:r>
            <w:proofErr w:type="spellEnd"/>
          </w:p>
        </w:tc>
        <w:tc>
          <w:tcPr>
            <w:tcW w:w="1648" w:type="pct"/>
            <w:shd w:val="clear" w:color="auto" w:fill="auto"/>
            <w:hideMark/>
          </w:tcPr>
          <w:p w14:paraId="7CAFDFB1"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tacrolimus</w:t>
            </w:r>
          </w:p>
          <w:p w14:paraId="022577F9"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AUC 1.51 (1.39, 1.65)</w:t>
            </w:r>
          </w:p>
          <w:p w14:paraId="727849DF"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max</w:t>
            </w:r>
            <w:proofErr w:type="spellEnd"/>
            <w:r w:rsidRPr="00B952ED">
              <w:rPr>
                <w:bCs/>
                <w:szCs w:val="22"/>
                <w:lang w:val="en-AU"/>
              </w:rPr>
              <w:t xml:space="preserve"> 1.38 (1.20, 1.57)</w:t>
            </w:r>
          </w:p>
          <w:p w14:paraId="0BB6D59F" w14:textId="77777777" w:rsidR="00FC6B31" w:rsidRPr="00B952ED" w:rsidRDefault="00FC6B31" w:rsidP="000052A9">
            <w:pPr>
              <w:pStyle w:val="BodyText"/>
              <w:spacing w:line="240" w:lineRule="auto"/>
              <w:ind w:leftChars="0" w:left="0"/>
              <w:rPr>
                <w:bCs/>
                <w:szCs w:val="22"/>
                <w:lang w:val="en-AU"/>
              </w:rPr>
            </w:pPr>
            <w:proofErr w:type="spellStart"/>
            <w:r w:rsidRPr="00B952ED">
              <w:rPr>
                <w:bCs/>
                <w:szCs w:val="22"/>
                <w:lang w:val="en-AU"/>
              </w:rPr>
              <w:t>C</w:t>
            </w:r>
            <w:r w:rsidRPr="00B952ED">
              <w:rPr>
                <w:bCs/>
                <w:szCs w:val="22"/>
                <w:vertAlign w:val="subscript"/>
                <w:lang w:val="en-AU"/>
              </w:rPr>
              <w:t>trough</w:t>
            </w:r>
            <w:proofErr w:type="spellEnd"/>
            <w:r w:rsidRPr="00B952ED">
              <w:rPr>
                <w:bCs/>
                <w:szCs w:val="22"/>
                <w:lang w:val="en-AU"/>
              </w:rPr>
              <w:t xml:space="preserve"> 1.57 (1.41, 1.74)</w:t>
            </w:r>
          </w:p>
          <w:p w14:paraId="002DE4A5"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(CYP3A/P-</w:t>
            </w:r>
            <w:proofErr w:type="spellStart"/>
            <w:r w:rsidRPr="00B952ED">
              <w:rPr>
                <w:bCs/>
                <w:szCs w:val="22"/>
                <w:lang w:val="en-AU"/>
              </w:rPr>
              <w:t>gp</w:t>
            </w:r>
            <w:proofErr w:type="spellEnd"/>
            <w:r w:rsidRPr="00B952ED">
              <w:rPr>
                <w:bCs/>
                <w:szCs w:val="22"/>
                <w:lang w:val="en-AU"/>
              </w:rPr>
              <w:t xml:space="preserve"> inhibition)</w:t>
            </w:r>
          </w:p>
        </w:tc>
        <w:tc>
          <w:tcPr>
            <w:tcW w:w="1759" w:type="pct"/>
            <w:shd w:val="clear" w:color="auto" w:fill="auto"/>
            <w:hideMark/>
          </w:tcPr>
          <w:p w14:paraId="7BA94409" w14:textId="62064255" w:rsidR="00FC6B31" w:rsidRPr="00B952ED" w:rsidRDefault="00FC6B31" w:rsidP="000052A9">
            <w:pPr>
              <w:pStyle w:val="BodyText"/>
              <w:spacing w:line="240" w:lineRule="auto"/>
              <w:ind w:leftChars="0" w:left="0"/>
              <w:rPr>
                <w:bCs/>
                <w:szCs w:val="22"/>
                <w:lang w:val="en-AU"/>
              </w:rPr>
            </w:pPr>
            <w:r w:rsidRPr="00B952ED">
              <w:rPr>
                <w:bCs/>
                <w:szCs w:val="22"/>
                <w:lang w:val="en-AU"/>
              </w:rPr>
              <w:t xml:space="preserve">Frequently monitor tacrolimus </w:t>
            </w:r>
            <w:proofErr w:type="spellStart"/>
            <w:r w:rsidRPr="00B952ED">
              <w:rPr>
                <w:bCs/>
                <w:szCs w:val="22"/>
                <w:lang w:val="en-AU"/>
              </w:rPr>
              <w:t>tacrolimus</w:t>
            </w:r>
            <w:proofErr w:type="spellEnd"/>
            <w:r w:rsidRPr="00B952ED">
              <w:rPr>
                <w:bCs/>
                <w:szCs w:val="22"/>
                <w:lang w:val="en-AU"/>
              </w:rPr>
              <w:t xml:space="preserve"> levels, especially following initiation and after discontinuation of </w:t>
            </w:r>
            <w:r w:rsidR="008106D6" w:rsidRPr="00B952ED">
              <w:rPr>
                <w:bCs/>
                <w:szCs w:val="22"/>
                <w:lang w:val="en-AU"/>
              </w:rPr>
              <w:t>LIVTENCITY</w:t>
            </w:r>
            <w:r w:rsidRPr="00B952ED">
              <w:rPr>
                <w:bCs/>
                <w:szCs w:val="22"/>
                <w:lang w:val="en-AU"/>
              </w:rPr>
              <w:t xml:space="preserve"> and adjust dose, as needed. </w:t>
            </w:r>
          </w:p>
        </w:tc>
      </w:tr>
      <w:tr w:rsidR="00B952ED" w:rsidRPr="00B952ED" w14:paraId="6061D8D3" w14:textId="77777777" w:rsidTr="00C438C7">
        <w:trPr>
          <w:trHeight w:val="288"/>
        </w:trPr>
        <w:tc>
          <w:tcPr>
            <w:tcW w:w="5000" w:type="pct"/>
            <w:gridSpan w:val="3"/>
            <w:shd w:val="clear" w:color="auto" w:fill="auto"/>
            <w:noWrap/>
            <w:vAlign w:val="bottom"/>
            <w:hideMark/>
          </w:tcPr>
          <w:p w14:paraId="5C7A7185" w14:textId="77777777" w:rsidR="00FC6B31" w:rsidRPr="00B952ED" w:rsidRDefault="00FC6B31" w:rsidP="000052A9">
            <w:pPr>
              <w:pStyle w:val="BodyText"/>
              <w:spacing w:line="240" w:lineRule="auto"/>
              <w:ind w:leftChars="0" w:left="0"/>
              <w:rPr>
                <w:bCs/>
                <w:szCs w:val="22"/>
                <w:lang w:val="en-AU"/>
              </w:rPr>
            </w:pPr>
            <w:r w:rsidRPr="00B952ED">
              <w:rPr>
                <w:b/>
                <w:bCs/>
                <w:szCs w:val="22"/>
                <w:lang w:val="en-AU"/>
              </w:rPr>
              <w:t>Oral Anticoagulants</w:t>
            </w:r>
          </w:p>
        </w:tc>
      </w:tr>
      <w:tr w:rsidR="00B952ED" w:rsidRPr="00B952ED" w14:paraId="4CBE1AEB" w14:textId="77777777" w:rsidTr="004B3E76">
        <w:trPr>
          <w:trHeight w:val="828"/>
        </w:trPr>
        <w:tc>
          <w:tcPr>
            <w:tcW w:w="1594" w:type="pct"/>
            <w:shd w:val="clear" w:color="auto" w:fill="auto"/>
            <w:hideMark/>
          </w:tcPr>
          <w:p w14:paraId="24C80ADE"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warfarin</w:t>
            </w:r>
          </w:p>
          <w:p w14:paraId="2955B5ED"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(10 mg single dose, maribavir 400 mg twice daily)</w:t>
            </w:r>
          </w:p>
        </w:tc>
        <w:tc>
          <w:tcPr>
            <w:tcW w:w="1648" w:type="pct"/>
            <w:shd w:val="clear" w:color="auto" w:fill="auto"/>
            <w:hideMark/>
          </w:tcPr>
          <w:p w14:paraId="5830FF51"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S</w:t>
            </w:r>
            <w:r w:rsidRPr="00B952ED">
              <w:rPr>
                <w:bCs/>
                <w:szCs w:val="22"/>
                <w:lang w:val="en-AU"/>
              </w:rPr>
              <w:noBreakHyphen/>
              <w:t>warfarin</w:t>
            </w:r>
          </w:p>
          <w:p w14:paraId="6ABFA56F"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AUC 1.01 (0.95, 1.07)</w:t>
            </w:r>
          </w:p>
          <w:p w14:paraId="553A797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(CYP2C9 inhibition)</w:t>
            </w:r>
          </w:p>
        </w:tc>
        <w:tc>
          <w:tcPr>
            <w:tcW w:w="1759" w:type="pct"/>
            <w:shd w:val="clear" w:color="auto" w:fill="auto"/>
            <w:hideMark/>
          </w:tcPr>
          <w:p w14:paraId="3F5220B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203D4C81" w14:textId="77777777" w:rsidTr="00C438C7">
        <w:trPr>
          <w:trHeight w:val="288"/>
        </w:trPr>
        <w:tc>
          <w:tcPr>
            <w:tcW w:w="5000" w:type="pct"/>
            <w:gridSpan w:val="3"/>
            <w:shd w:val="clear" w:color="auto" w:fill="auto"/>
            <w:noWrap/>
            <w:vAlign w:val="bottom"/>
            <w:hideMark/>
          </w:tcPr>
          <w:p w14:paraId="341B8EAD" w14:textId="77777777" w:rsidR="00FC6B31" w:rsidRPr="00B952ED" w:rsidRDefault="00FC6B31" w:rsidP="000052A9">
            <w:pPr>
              <w:pStyle w:val="BodyText"/>
              <w:spacing w:line="240" w:lineRule="auto"/>
              <w:ind w:leftChars="0" w:left="0"/>
              <w:rPr>
                <w:bCs/>
                <w:szCs w:val="22"/>
                <w:lang w:val="en-AU"/>
              </w:rPr>
            </w:pPr>
            <w:r w:rsidRPr="00B952ED">
              <w:rPr>
                <w:b/>
                <w:bCs/>
                <w:szCs w:val="22"/>
                <w:lang w:val="en-AU"/>
              </w:rPr>
              <w:t>Oral Contraceptives</w:t>
            </w:r>
          </w:p>
        </w:tc>
      </w:tr>
      <w:tr w:rsidR="00B952ED" w:rsidRPr="00B952ED" w14:paraId="215EF032" w14:textId="77777777" w:rsidTr="004B3E76">
        <w:trPr>
          <w:trHeight w:val="1104"/>
        </w:trPr>
        <w:tc>
          <w:tcPr>
            <w:tcW w:w="1594" w:type="pct"/>
            <w:shd w:val="clear" w:color="auto" w:fill="auto"/>
            <w:hideMark/>
          </w:tcPr>
          <w:p w14:paraId="6AACB98B"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systemically acting oral contraceptive steroids</w:t>
            </w:r>
          </w:p>
        </w:tc>
        <w:tc>
          <w:tcPr>
            <w:tcW w:w="1648" w:type="pct"/>
            <w:shd w:val="clear" w:color="auto" w:fill="auto"/>
            <w:hideMark/>
          </w:tcPr>
          <w:p w14:paraId="7F56EAAD"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Interaction not studied.</w:t>
            </w:r>
          </w:p>
          <w:p w14:paraId="4475DF3D"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Expected:</w:t>
            </w:r>
          </w:p>
          <w:p w14:paraId="790212AE"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oral contraceptive steroids</w:t>
            </w:r>
          </w:p>
          <w:p w14:paraId="5F939026" w14:textId="47E2AB2D" w:rsidR="002F0DE0" w:rsidRPr="00B952ED" w:rsidRDefault="00FC6B31" w:rsidP="00940899">
            <w:pPr>
              <w:pStyle w:val="BodyText"/>
              <w:spacing w:line="240" w:lineRule="auto"/>
              <w:ind w:leftChars="0" w:left="0"/>
              <w:rPr>
                <w:bCs/>
                <w:szCs w:val="22"/>
                <w:lang w:val="en-AU"/>
              </w:rPr>
            </w:pPr>
            <w:r w:rsidRPr="00B952ED">
              <w:rPr>
                <w:bCs/>
                <w:szCs w:val="22"/>
                <w:lang w:val="en-AU"/>
              </w:rPr>
              <w:t>(CYP3A inhibition)</w:t>
            </w:r>
          </w:p>
        </w:tc>
        <w:tc>
          <w:tcPr>
            <w:tcW w:w="1759" w:type="pct"/>
            <w:shd w:val="clear" w:color="auto" w:fill="auto"/>
            <w:hideMark/>
          </w:tcPr>
          <w:p w14:paraId="3B0DF439" w14:textId="355E559D"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r w:rsidR="00B952ED" w:rsidRPr="00B952ED" w14:paraId="4FD13054" w14:textId="77777777" w:rsidTr="00C438C7">
        <w:trPr>
          <w:trHeight w:val="288"/>
        </w:trPr>
        <w:tc>
          <w:tcPr>
            <w:tcW w:w="5000" w:type="pct"/>
            <w:gridSpan w:val="3"/>
            <w:shd w:val="clear" w:color="auto" w:fill="auto"/>
            <w:noWrap/>
            <w:vAlign w:val="bottom"/>
            <w:hideMark/>
          </w:tcPr>
          <w:p w14:paraId="52317E90" w14:textId="77777777" w:rsidR="00FC6B31" w:rsidRPr="00B952ED" w:rsidRDefault="00FC6B31" w:rsidP="000052A9">
            <w:pPr>
              <w:pStyle w:val="BodyText"/>
              <w:spacing w:line="240" w:lineRule="auto"/>
              <w:ind w:leftChars="0" w:left="0"/>
              <w:rPr>
                <w:bCs/>
                <w:szCs w:val="22"/>
                <w:lang w:val="en-AU"/>
              </w:rPr>
            </w:pPr>
            <w:r w:rsidRPr="00B952ED">
              <w:rPr>
                <w:b/>
                <w:bCs/>
                <w:szCs w:val="22"/>
                <w:lang w:val="en-AU"/>
              </w:rPr>
              <w:t>Sedatives</w:t>
            </w:r>
          </w:p>
        </w:tc>
      </w:tr>
      <w:tr w:rsidR="00B952ED" w:rsidRPr="00B952ED" w14:paraId="53920A87" w14:textId="77777777" w:rsidTr="004B3E76">
        <w:trPr>
          <w:trHeight w:val="1104"/>
        </w:trPr>
        <w:tc>
          <w:tcPr>
            <w:tcW w:w="1594" w:type="pct"/>
            <w:shd w:val="clear" w:color="auto" w:fill="auto"/>
            <w:hideMark/>
          </w:tcPr>
          <w:p w14:paraId="2737F470"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midazolam</w:t>
            </w:r>
          </w:p>
          <w:p w14:paraId="28A93213"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(0.025 mg/kg IV single dose, maribavir 400 mg twice daily)</w:t>
            </w:r>
          </w:p>
        </w:tc>
        <w:tc>
          <w:tcPr>
            <w:tcW w:w="1648" w:type="pct"/>
            <w:shd w:val="clear" w:color="auto" w:fill="auto"/>
            <w:hideMark/>
          </w:tcPr>
          <w:p w14:paraId="7DF2BE04"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 midazolam</w:t>
            </w:r>
          </w:p>
          <w:p w14:paraId="6470ABB8"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midazolam clearance 1.13 (1.01, 1.24)</w:t>
            </w:r>
          </w:p>
          <w:p w14:paraId="51788CE2"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(CYP3A inhibition)</w:t>
            </w:r>
          </w:p>
        </w:tc>
        <w:tc>
          <w:tcPr>
            <w:tcW w:w="1759" w:type="pct"/>
            <w:shd w:val="clear" w:color="auto" w:fill="auto"/>
            <w:hideMark/>
          </w:tcPr>
          <w:p w14:paraId="18C1882E" w14:textId="77777777" w:rsidR="00FC6B31" w:rsidRPr="00B952ED" w:rsidRDefault="00FC6B31" w:rsidP="000052A9">
            <w:pPr>
              <w:pStyle w:val="BodyText"/>
              <w:spacing w:line="240" w:lineRule="auto"/>
              <w:ind w:leftChars="0" w:left="0"/>
              <w:rPr>
                <w:bCs/>
                <w:szCs w:val="22"/>
                <w:lang w:val="en-AU"/>
              </w:rPr>
            </w:pPr>
            <w:r w:rsidRPr="00B952ED">
              <w:rPr>
                <w:bCs/>
                <w:szCs w:val="22"/>
                <w:lang w:val="en-AU"/>
              </w:rPr>
              <w:t>No dose adjustment is required.</w:t>
            </w:r>
          </w:p>
        </w:tc>
      </w:tr>
    </w:tbl>
    <w:p w14:paraId="24AAB144" w14:textId="77777777" w:rsidR="00FC6B31" w:rsidRPr="00B952ED" w:rsidRDefault="00FC6B31" w:rsidP="00C63A0A">
      <w:pPr>
        <w:pStyle w:val="CCDSBodytext"/>
        <w:spacing w:before="100" w:after="60" w:line="240" w:lineRule="auto"/>
        <w:rPr>
          <w:sz w:val="18"/>
          <w:szCs w:val="18"/>
          <w:lang w:val="en-AU" w:eastAsia="ja-JP"/>
        </w:rPr>
      </w:pPr>
      <w:r w:rsidRPr="00B952ED">
        <w:rPr>
          <w:sz w:val="18"/>
          <w:szCs w:val="18"/>
          <w:lang w:val="en-AU" w:eastAsia="ja-JP"/>
        </w:rPr>
        <w:t>↑ = increase, ↓ = decrease, ↔ = no change</w:t>
      </w:r>
    </w:p>
    <w:p w14:paraId="36DFF885" w14:textId="77777777" w:rsidR="00FC6B31" w:rsidRPr="00B952ED" w:rsidRDefault="00FC6B31" w:rsidP="00FC6B31">
      <w:pPr>
        <w:pStyle w:val="CCDSBodytext"/>
        <w:spacing w:after="60" w:line="240" w:lineRule="auto"/>
        <w:rPr>
          <w:sz w:val="18"/>
          <w:szCs w:val="18"/>
          <w:lang w:val="en-AU" w:eastAsia="ja-JP"/>
        </w:rPr>
      </w:pPr>
      <w:r w:rsidRPr="00B952ED">
        <w:rPr>
          <w:sz w:val="18"/>
          <w:szCs w:val="18"/>
          <w:lang w:val="en-AU" w:eastAsia="ja-JP"/>
        </w:rPr>
        <w:t>*AUC</w:t>
      </w:r>
      <w:r w:rsidRPr="00B952ED">
        <w:rPr>
          <w:sz w:val="18"/>
          <w:szCs w:val="18"/>
          <w:vertAlign w:val="subscript"/>
          <w:lang w:val="en-AU" w:eastAsia="ja-JP"/>
        </w:rPr>
        <w:t>0-∞</w:t>
      </w:r>
      <w:r w:rsidRPr="00B952ED">
        <w:rPr>
          <w:sz w:val="18"/>
          <w:szCs w:val="18"/>
          <w:lang w:val="en-AU" w:eastAsia="ja-JP"/>
        </w:rPr>
        <w:t xml:space="preserve"> for single dose, AUC</w:t>
      </w:r>
      <w:r w:rsidRPr="00B952ED">
        <w:rPr>
          <w:sz w:val="18"/>
          <w:szCs w:val="18"/>
          <w:vertAlign w:val="subscript"/>
          <w:lang w:val="en-AU" w:eastAsia="ja-JP"/>
        </w:rPr>
        <w:t>0-12</w:t>
      </w:r>
      <w:r w:rsidRPr="00B952ED">
        <w:rPr>
          <w:sz w:val="18"/>
          <w:szCs w:val="18"/>
          <w:lang w:val="en-AU" w:eastAsia="ja-JP"/>
        </w:rPr>
        <w:t xml:space="preserve"> for twice daily dose daily.</w:t>
      </w:r>
    </w:p>
    <w:p w14:paraId="494DDECE" w14:textId="77777777" w:rsidR="00FC6B31" w:rsidRPr="00B952ED" w:rsidRDefault="00FC6B31" w:rsidP="00FC6B31">
      <w:pPr>
        <w:pStyle w:val="CCDSBodytext"/>
        <w:spacing w:after="60" w:line="240" w:lineRule="auto"/>
        <w:rPr>
          <w:sz w:val="18"/>
          <w:szCs w:val="18"/>
          <w:lang w:val="en-AU" w:eastAsia="ja-JP"/>
        </w:rPr>
      </w:pPr>
      <w:r w:rsidRPr="00B952ED">
        <w:rPr>
          <w:sz w:val="18"/>
          <w:szCs w:val="18"/>
          <w:lang w:val="en-AU" w:eastAsia="ja-JP"/>
        </w:rPr>
        <w:lastRenderedPageBreak/>
        <w:t>Note: the table is not extensive but provides examples of clinically relevant interactions.</w:t>
      </w:r>
    </w:p>
    <w:p w14:paraId="16C6D757" w14:textId="44A3213A" w:rsidR="0059680E" w:rsidRDefault="00FC6B31" w:rsidP="009859C7">
      <w:pPr>
        <w:pStyle w:val="CCDSBodytext"/>
        <w:spacing w:after="60" w:line="240" w:lineRule="auto"/>
        <w:rPr>
          <w:sz w:val="18"/>
          <w:szCs w:val="18"/>
          <w:lang w:val="en-AU" w:eastAsia="ja-JP"/>
        </w:rPr>
      </w:pPr>
      <w:r w:rsidRPr="00B952ED">
        <w:rPr>
          <w:sz w:val="18"/>
          <w:szCs w:val="18"/>
          <w:vertAlign w:val="superscript"/>
          <w:lang w:val="en-AU" w:eastAsia="ja-JP"/>
        </w:rPr>
        <w:t>a</w:t>
      </w:r>
      <w:r w:rsidRPr="00B952ED">
        <w:rPr>
          <w:sz w:val="18"/>
          <w:szCs w:val="18"/>
          <w:lang w:val="en-AU" w:eastAsia="ja-JP"/>
        </w:rPr>
        <w:t xml:space="preserve"> Refer to the respective </w:t>
      </w:r>
      <w:r w:rsidR="00626441" w:rsidRPr="00B952ED">
        <w:rPr>
          <w:sz w:val="18"/>
          <w:szCs w:val="18"/>
          <w:lang w:val="en-AU" w:eastAsia="ja-JP"/>
        </w:rPr>
        <w:t xml:space="preserve">product </w:t>
      </w:r>
      <w:r w:rsidRPr="00B952ED">
        <w:rPr>
          <w:sz w:val="18"/>
          <w:szCs w:val="18"/>
          <w:lang w:val="en-AU" w:eastAsia="ja-JP"/>
        </w:rPr>
        <w:t>information.</w:t>
      </w:r>
    </w:p>
    <w:p w14:paraId="7D450361" w14:textId="77777777" w:rsidR="001A3992" w:rsidRPr="00B952ED" w:rsidRDefault="001A3992" w:rsidP="00D222A8">
      <w:pPr>
        <w:pStyle w:val="Heading2"/>
        <w:spacing w:before="400" w:after="120"/>
        <w:ind w:left="578" w:hanging="578"/>
        <w:rPr>
          <w:rFonts w:ascii="Times New Roman" w:hAnsi="Times New Roman" w:cs="Times New Roman"/>
        </w:rPr>
      </w:pPr>
      <w:r w:rsidRPr="00B952ED">
        <w:rPr>
          <w:rFonts w:ascii="Times New Roman" w:hAnsi="Times New Roman" w:cs="Times New Roman"/>
        </w:rPr>
        <w:t xml:space="preserve">Fertility, pregnancy and lactation </w:t>
      </w:r>
    </w:p>
    <w:p w14:paraId="5B9F9BA5" w14:textId="45E9431D" w:rsidR="001A3992" w:rsidRPr="00B952ED" w:rsidRDefault="001A3992" w:rsidP="00B159CB">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Effects on fertility</w:t>
      </w:r>
    </w:p>
    <w:p w14:paraId="20C09969" w14:textId="227BD807" w:rsidR="00133F83" w:rsidRPr="00B952ED" w:rsidRDefault="00133F83" w:rsidP="00133F83">
      <w:pPr>
        <w:rPr>
          <w:rFonts w:ascii="Times New Roman" w:hAnsi="Times New Roman" w:cs="Times New Roman"/>
          <w:sz w:val="24"/>
          <w:szCs w:val="24"/>
        </w:rPr>
      </w:pPr>
      <w:r w:rsidRPr="00B952ED">
        <w:rPr>
          <w:rFonts w:ascii="Times New Roman" w:hAnsi="Times New Roman" w:cs="Times New Roman"/>
          <w:sz w:val="24"/>
          <w:szCs w:val="24"/>
        </w:rPr>
        <w:t xml:space="preserve">Fertility studies were not conducted in humans with </w:t>
      </w:r>
      <w:r w:rsidR="00AD07ED">
        <w:rPr>
          <w:rFonts w:ascii="Times New Roman" w:hAnsi="Times New Roman" w:cs="Times New Roman"/>
          <w:sz w:val="24"/>
          <w:szCs w:val="24"/>
        </w:rPr>
        <w:t>maribavir</w:t>
      </w:r>
      <w:r w:rsidRPr="00B952ED">
        <w:rPr>
          <w:rFonts w:ascii="Times New Roman" w:hAnsi="Times New Roman" w:cs="Times New Roman"/>
          <w:sz w:val="24"/>
          <w:szCs w:val="24"/>
        </w:rPr>
        <w:t xml:space="preserve">. No effects on fertility or reproductive performance were noted in rats in a combined fertility and embryofetal development study, however, a decrease in sperm straight-line velocity was observed at doses ≥ 100 mg/kg/day </w:t>
      </w:r>
      <w:r w:rsidR="00B8188A">
        <w:rPr>
          <w:rFonts w:ascii="Times New Roman" w:hAnsi="Times New Roman" w:cs="Times New Roman"/>
          <w:sz w:val="24"/>
          <w:szCs w:val="24"/>
        </w:rPr>
        <w:t>[</w:t>
      </w:r>
      <w:r w:rsidRPr="00B952ED">
        <w:rPr>
          <w:rFonts w:ascii="Times New Roman" w:hAnsi="Times New Roman" w:cs="Times New Roman"/>
          <w:sz w:val="24"/>
          <w:szCs w:val="24"/>
        </w:rPr>
        <w:t xml:space="preserve">which is estimated to be less than the human exposure at the </w:t>
      </w:r>
      <w:r w:rsidR="00375494">
        <w:rPr>
          <w:rFonts w:ascii="Times New Roman" w:hAnsi="Times New Roman" w:cs="Times New Roman"/>
          <w:sz w:val="24"/>
          <w:szCs w:val="24"/>
        </w:rPr>
        <w:t xml:space="preserve">recommended </w:t>
      </w:r>
      <w:r w:rsidR="00B8188A">
        <w:rPr>
          <w:rFonts w:ascii="Times New Roman" w:hAnsi="Times New Roman" w:cs="Times New Roman"/>
          <w:sz w:val="24"/>
          <w:szCs w:val="24"/>
        </w:rPr>
        <w:t>human dose (</w:t>
      </w:r>
      <w:r w:rsidRPr="00B952ED">
        <w:rPr>
          <w:rFonts w:ascii="Times New Roman" w:hAnsi="Times New Roman" w:cs="Times New Roman"/>
          <w:sz w:val="24"/>
          <w:szCs w:val="24"/>
        </w:rPr>
        <w:t>RHD)</w:t>
      </w:r>
      <w:r w:rsidR="00B8188A">
        <w:rPr>
          <w:rFonts w:ascii="Times New Roman" w:hAnsi="Times New Roman" w:cs="Times New Roman"/>
          <w:sz w:val="24"/>
          <w:szCs w:val="24"/>
        </w:rPr>
        <w:t>]</w:t>
      </w:r>
      <w:r w:rsidRPr="00B952ED">
        <w:rPr>
          <w:rFonts w:ascii="Times New Roman" w:hAnsi="Times New Roman" w:cs="Times New Roman"/>
          <w:sz w:val="24"/>
          <w:szCs w:val="24"/>
        </w:rPr>
        <w:t xml:space="preserve">. </w:t>
      </w:r>
      <w:r w:rsidR="00996FD9" w:rsidRPr="00996FD9">
        <w:t xml:space="preserve"> </w:t>
      </w:r>
      <w:r w:rsidR="008C4AD3" w:rsidRPr="004E059E">
        <w:rPr>
          <w:rFonts w:ascii="Times New Roman" w:hAnsi="Times New Roman" w:cs="Times New Roman"/>
          <w:sz w:val="24"/>
          <w:szCs w:val="24"/>
        </w:rPr>
        <w:t xml:space="preserve">Although an increase in testes weight was observed in the </w:t>
      </w:r>
      <w:r w:rsidR="009A1B3F" w:rsidRPr="004E059E">
        <w:rPr>
          <w:rFonts w:ascii="Times New Roman" w:hAnsi="Times New Roman" w:cs="Times New Roman"/>
          <w:sz w:val="24"/>
          <w:szCs w:val="24"/>
        </w:rPr>
        <w:t>6-month</w:t>
      </w:r>
      <w:r w:rsidR="008C4AD3" w:rsidRPr="004E059E">
        <w:rPr>
          <w:rFonts w:ascii="Times New Roman" w:hAnsi="Times New Roman" w:cs="Times New Roman"/>
          <w:sz w:val="24"/>
          <w:szCs w:val="24"/>
        </w:rPr>
        <w:t xml:space="preserve"> </w:t>
      </w:r>
      <w:r w:rsidR="002475B0">
        <w:rPr>
          <w:rFonts w:ascii="Times New Roman" w:hAnsi="Times New Roman" w:cs="Times New Roman"/>
          <w:sz w:val="24"/>
          <w:szCs w:val="24"/>
        </w:rPr>
        <w:t xml:space="preserve">repeat-dose toxicity </w:t>
      </w:r>
      <w:r w:rsidR="008C4AD3" w:rsidRPr="004E059E">
        <w:rPr>
          <w:rFonts w:ascii="Times New Roman" w:hAnsi="Times New Roman" w:cs="Times New Roman"/>
          <w:sz w:val="24"/>
          <w:szCs w:val="24"/>
        </w:rPr>
        <w:t>study in rats and a decrease observed in the combined fertility and embryofetal development study, neither were accompanied with any microscopic changes</w:t>
      </w:r>
      <w:r w:rsidR="00364096">
        <w:rPr>
          <w:rFonts w:ascii="Times New Roman" w:hAnsi="Times New Roman" w:cs="Times New Roman"/>
          <w:sz w:val="24"/>
          <w:szCs w:val="24"/>
        </w:rPr>
        <w:t xml:space="preserve"> and were not considered adverse</w:t>
      </w:r>
      <w:r w:rsidR="008C4AD3" w:rsidRPr="004E059E">
        <w:rPr>
          <w:rFonts w:ascii="Times New Roman" w:hAnsi="Times New Roman" w:cs="Times New Roman"/>
          <w:sz w:val="24"/>
          <w:szCs w:val="24"/>
        </w:rPr>
        <w:t xml:space="preserve">. There were no effects on female reproductive organs in rats and no effects either in males or female monkeys. </w:t>
      </w:r>
    </w:p>
    <w:p w14:paraId="1522E914" w14:textId="67E4619D" w:rsidR="001A3992" w:rsidRPr="00B952ED" w:rsidRDefault="001A3992" w:rsidP="00626441">
      <w:pPr>
        <w:pStyle w:val="Heading3"/>
        <w:spacing w:before="0" w:after="12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 xml:space="preserve">Use in pregnancy </w:t>
      </w:r>
    </w:p>
    <w:p w14:paraId="27034E2D" w14:textId="021CE4FA" w:rsidR="009E7D03" w:rsidRPr="00B952ED" w:rsidRDefault="001D488A" w:rsidP="006741B0">
      <w:pPr>
        <w:rPr>
          <w:rFonts w:ascii="Times New Roman" w:hAnsi="Times New Roman" w:cs="Times New Roman"/>
          <w:sz w:val="24"/>
          <w:szCs w:val="24"/>
        </w:rPr>
      </w:pPr>
      <w:r w:rsidRPr="00B952ED">
        <w:rPr>
          <w:rFonts w:ascii="Times New Roman" w:hAnsi="Times New Roman" w:cs="Times New Roman"/>
          <w:sz w:val="24"/>
          <w:szCs w:val="24"/>
        </w:rPr>
        <w:t xml:space="preserve">Category </w:t>
      </w:r>
      <w:r w:rsidR="004249D3">
        <w:rPr>
          <w:rFonts w:ascii="Times New Roman" w:hAnsi="Times New Roman" w:cs="Times New Roman"/>
          <w:sz w:val="24"/>
          <w:szCs w:val="24"/>
        </w:rPr>
        <w:t>D</w:t>
      </w:r>
    </w:p>
    <w:p w14:paraId="551A699D" w14:textId="77777777" w:rsidR="00ED2AA6" w:rsidRDefault="006741B0" w:rsidP="003C5DD1">
      <w:pPr>
        <w:rPr>
          <w:rFonts w:ascii="Times New Roman" w:hAnsi="Times New Roman" w:cs="Times New Roman"/>
          <w:sz w:val="24"/>
          <w:szCs w:val="24"/>
        </w:rPr>
      </w:pPr>
      <w:r w:rsidRPr="00B952ED">
        <w:rPr>
          <w:rFonts w:ascii="Times New Roman" w:hAnsi="Times New Roman" w:cs="Times New Roman"/>
          <w:sz w:val="24"/>
          <w:szCs w:val="24"/>
        </w:rPr>
        <w:t xml:space="preserve">There is no clinical experience with </w:t>
      </w:r>
      <w:r w:rsidR="00E93289">
        <w:rPr>
          <w:rFonts w:ascii="Times New Roman" w:hAnsi="Times New Roman" w:cs="Times New Roman"/>
          <w:sz w:val="24"/>
          <w:szCs w:val="24"/>
        </w:rPr>
        <w:t>maribavir</w:t>
      </w:r>
      <w:r w:rsidR="00E93289" w:rsidRPr="00B952ED">
        <w:rPr>
          <w:rFonts w:ascii="Times New Roman" w:hAnsi="Times New Roman" w:cs="Times New Roman"/>
          <w:sz w:val="24"/>
          <w:szCs w:val="24"/>
        </w:rPr>
        <w:t xml:space="preserve"> </w:t>
      </w:r>
      <w:r w:rsidRPr="00B952ED">
        <w:rPr>
          <w:rFonts w:ascii="Times New Roman" w:hAnsi="Times New Roman" w:cs="Times New Roman"/>
          <w:sz w:val="24"/>
          <w:szCs w:val="24"/>
        </w:rPr>
        <w:t xml:space="preserve">in pregnant women.  </w:t>
      </w:r>
      <w:r w:rsidR="005D3676" w:rsidRPr="005D3676">
        <w:rPr>
          <w:rFonts w:ascii="Times New Roman" w:hAnsi="Times New Roman" w:cs="Times New Roman"/>
          <w:sz w:val="24"/>
          <w:szCs w:val="24"/>
        </w:rPr>
        <w:t xml:space="preserve">In a combined fertility and embryofetal development study, maribavir was administered to male and female rats at oral doses of 100, 200, or 400 mg/kg/day. Females were dosed for 15 consecutive days prior to pairing, throughout pairing, and up to gestation day (GD) 17, while males were dosed 29 days prior to mating and throughout mating. A decrease in the number of viable </w:t>
      </w:r>
      <w:proofErr w:type="spellStart"/>
      <w:r w:rsidR="00B57A71" w:rsidRPr="005D3676">
        <w:rPr>
          <w:rFonts w:ascii="Times New Roman" w:hAnsi="Times New Roman" w:cs="Times New Roman"/>
          <w:sz w:val="24"/>
          <w:szCs w:val="24"/>
        </w:rPr>
        <w:t>f</w:t>
      </w:r>
      <w:r w:rsidR="00141D13">
        <w:rPr>
          <w:rFonts w:ascii="Times New Roman" w:hAnsi="Times New Roman" w:cs="Times New Roman"/>
          <w:sz w:val="24"/>
          <w:szCs w:val="24"/>
        </w:rPr>
        <w:t>e</w:t>
      </w:r>
      <w:r w:rsidR="00B57A71" w:rsidRPr="005D3676">
        <w:rPr>
          <w:rFonts w:ascii="Times New Roman" w:hAnsi="Times New Roman" w:cs="Times New Roman"/>
          <w:sz w:val="24"/>
          <w:szCs w:val="24"/>
        </w:rPr>
        <w:t>tuses</w:t>
      </w:r>
      <w:proofErr w:type="spellEnd"/>
      <w:r w:rsidR="005D3676" w:rsidRPr="005D3676">
        <w:rPr>
          <w:rFonts w:ascii="Times New Roman" w:hAnsi="Times New Roman" w:cs="Times New Roman"/>
          <w:sz w:val="24"/>
          <w:szCs w:val="24"/>
        </w:rPr>
        <w:t xml:space="preserve"> and increase in early resorptions and post-implantation losses were observed at ≥100 mg/kg/day (at exposures approximately half the human exposure at the RHD).</w:t>
      </w:r>
      <w:r w:rsidR="00DC7F9D">
        <w:rPr>
          <w:rFonts w:ascii="Times New Roman" w:hAnsi="Times New Roman" w:cs="Times New Roman"/>
          <w:sz w:val="24"/>
          <w:szCs w:val="24"/>
        </w:rPr>
        <w:t xml:space="preserve"> </w:t>
      </w:r>
      <w:r w:rsidR="005D3676" w:rsidRPr="005D3676">
        <w:rPr>
          <w:rFonts w:ascii="Times New Roman" w:hAnsi="Times New Roman" w:cs="Times New Roman"/>
          <w:sz w:val="24"/>
          <w:szCs w:val="24"/>
        </w:rPr>
        <w:t xml:space="preserve">Intermittent reduced body weight gain was observed in pregnant animals at ≥200 mg/kg/day. </w:t>
      </w:r>
    </w:p>
    <w:p w14:paraId="07F77730" w14:textId="55BD2AA9" w:rsidR="00B321B1" w:rsidRDefault="005D3676" w:rsidP="003C5DD1">
      <w:pPr>
        <w:rPr>
          <w:rFonts w:ascii="Times New Roman" w:hAnsi="Times New Roman" w:cs="Times New Roman"/>
          <w:sz w:val="24"/>
          <w:szCs w:val="24"/>
        </w:rPr>
      </w:pPr>
      <w:r w:rsidRPr="005D3676">
        <w:rPr>
          <w:rFonts w:ascii="Times New Roman" w:hAnsi="Times New Roman" w:cs="Times New Roman"/>
          <w:sz w:val="24"/>
          <w:szCs w:val="24"/>
        </w:rPr>
        <w:t>Maribavir had no effect on embryo-</w:t>
      </w:r>
      <w:proofErr w:type="spellStart"/>
      <w:r w:rsidR="00B57A71" w:rsidRPr="005D3676">
        <w:rPr>
          <w:rFonts w:ascii="Times New Roman" w:hAnsi="Times New Roman" w:cs="Times New Roman"/>
          <w:sz w:val="24"/>
          <w:szCs w:val="24"/>
        </w:rPr>
        <w:t>fetal</w:t>
      </w:r>
      <w:proofErr w:type="spellEnd"/>
      <w:r w:rsidRPr="005D3676">
        <w:rPr>
          <w:rFonts w:ascii="Times New Roman" w:hAnsi="Times New Roman" w:cs="Times New Roman"/>
          <w:sz w:val="24"/>
          <w:szCs w:val="24"/>
        </w:rPr>
        <w:t xml:space="preserve"> growth or development at dose levels up to 400 mg/kg/day, at exposures </w:t>
      </w:r>
      <w:proofErr w:type="gramStart"/>
      <w:r w:rsidRPr="005D3676">
        <w:rPr>
          <w:rFonts w:ascii="Times New Roman" w:hAnsi="Times New Roman" w:cs="Times New Roman"/>
          <w:sz w:val="24"/>
          <w:szCs w:val="24"/>
        </w:rPr>
        <w:t>similar to</w:t>
      </w:r>
      <w:proofErr w:type="gramEnd"/>
      <w:r w:rsidRPr="005D3676">
        <w:rPr>
          <w:rFonts w:ascii="Times New Roman" w:hAnsi="Times New Roman" w:cs="Times New Roman"/>
          <w:sz w:val="24"/>
          <w:szCs w:val="24"/>
        </w:rPr>
        <w:t xml:space="preserve"> those observed in humans at the RHD. </w:t>
      </w:r>
    </w:p>
    <w:p w14:paraId="2855D838" w14:textId="77777777" w:rsidR="003F604A" w:rsidRDefault="005D3676" w:rsidP="003F604A">
      <w:pPr>
        <w:rPr>
          <w:rFonts w:ascii="Times New Roman" w:hAnsi="Times New Roman" w:cs="Times New Roman"/>
          <w:sz w:val="24"/>
          <w:szCs w:val="24"/>
        </w:rPr>
      </w:pPr>
      <w:r w:rsidRPr="005D3676">
        <w:rPr>
          <w:rFonts w:ascii="Times New Roman" w:hAnsi="Times New Roman" w:cs="Times New Roman"/>
          <w:sz w:val="24"/>
          <w:szCs w:val="24"/>
        </w:rPr>
        <w:t>No significant toxicological effects on embryo-</w:t>
      </w:r>
      <w:proofErr w:type="spellStart"/>
      <w:r w:rsidR="00B57A71" w:rsidRPr="005D3676">
        <w:rPr>
          <w:rFonts w:ascii="Times New Roman" w:hAnsi="Times New Roman" w:cs="Times New Roman"/>
          <w:sz w:val="24"/>
          <w:szCs w:val="24"/>
        </w:rPr>
        <w:t>fetal</w:t>
      </w:r>
      <w:proofErr w:type="spellEnd"/>
      <w:r w:rsidRPr="005D3676">
        <w:rPr>
          <w:rFonts w:ascii="Times New Roman" w:hAnsi="Times New Roman" w:cs="Times New Roman"/>
          <w:sz w:val="24"/>
          <w:szCs w:val="24"/>
        </w:rPr>
        <w:t xml:space="preserve"> growth or development were observed in rabbits when maribavir was administered at oral doses up to 100 mg/kg/day from GD 8 to 20, at exposures approximately half the human exposure at the RHD</w:t>
      </w:r>
      <w:r w:rsidR="00084963">
        <w:rPr>
          <w:rFonts w:ascii="Times New Roman" w:hAnsi="Times New Roman" w:cs="Times New Roman"/>
          <w:sz w:val="24"/>
          <w:szCs w:val="24"/>
        </w:rPr>
        <w:t>.</w:t>
      </w:r>
      <w:r w:rsidR="006741B0" w:rsidRPr="00B952ED">
        <w:rPr>
          <w:rFonts w:ascii="Times New Roman" w:hAnsi="Times New Roman" w:cs="Times New Roman"/>
          <w:sz w:val="24"/>
          <w:szCs w:val="24"/>
        </w:rPr>
        <w:t xml:space="preserve"> </w:t>
      </w:r>
    </w:p>
    <w:p w14:paraId="6BB312F1" w14:textId="77777777" w:rsidR="00FE4C86" w:rsidRDefault="003F604A" w:rsidP="00B159CB">
      <w:pPr>
        <w:pStyle w:val="Heading3"/>
        <w:spacing w:before="0"/>
        <w:ind w:left="0"/>
        <w:rPr>
          <w:rFonts w:ascii="Times New Roman" w:hAnsi="Times New Roman" w:cs="Times New Roman"/>
          <w:sz w:val="24"/>
          <w:szCs w:val="24"/>
        </w:rPr>
      </w:pPr>
      <w:r w:rsidRPr="00FE4C86">
        <w:rPr>
          <w:rFonts w:ascii="Times New Roman" w:hAnsi="Times New Roman" w:cs="Times New Roman"/>
          <w:b w:val="0"/>
          <w:bCs w:val="0"/>
          <w:sz w:val="24"/>
          <w:szCs w:val="24"/>
        </w:rPr>
        <w:lastRenderedPageBreak/>
        <w:t xml:space="preserve">In the pre-and postnatal developmental toxicity study maribavir was administered to pregnant rats at oral doses of 50, 150, or 400 mg/kg/day from GD 7 to postnatal day (PND) 21. A delay in developmental milestones was observed, including pinna detachment at doses ≥150 mg/kg/day and eye opening and preputial separation associated with reduced bodyweight gain of the offspring at 400 mg/kg/day. In addition, decreased </w:t>
      </w:r>
      <w:proofErr w:type="spellStart"/>
      <w:r w:rsidRPr="00FE4C86">
        <w:rPr>
          <w:rFonts w:ascii="Times New Roman" w:hAnsi="Times New Roman" w:cs="Times New Roman"/>
          <w:b w:val="0"/>
          <w:bCs w:val="0"/>
          <w:sz w:val="24"/>
          <w:szCs w:val="24"/>
        </w:rPr>
        <w:t>fetal</w:t>
      </w:r>
      <w:proofErr w:type="spellEnd"/>
      <w:r w:rsidRPr="00FE4C86">
        <w:rPr>
          <w:rFonts w:ascii="Times New Roman" w:hAnsi="Times New Roman" w:cs="Times New Roman"/>
          <w:b w:val="0"/>
          <w:bCs w:val="0"/>
          <w:sz w:val="24"/>
          <w:szCs w:val="24"/>
        </w:rPr>
        <w:t xml:space="preserve"> survival and litter loss was observed due to maternal toxicity and poor maternal care, respectively, at doses ≥150 mg/kg/day. No effects were observed at 50 mg/kg/day (which is estimated to be less than the human exposure at the RHD). No effects on number of offspring, proportion of males, number of live pups, or survival to PND 4 were observed at any dose in the offspring born to the second generation. </w:t>
      </w:r>
      <w:r w:rsidR="00E93289" w:rsidRPr="00FE4C86">
        <w:rPr>
          <w:rFonts w:ascii="Times New Roman" w:hAnsi="Times New Roman" w:cs="Times New Roman"/>
          <w:b w:val="0"/>
          <w:bCs w:val="0"/>
          <w:sz w:val="24"/>
          <w:szCs w:val="24"/>
        </w:rPr>
        <w:t xml:space="preserve">Maribavir </w:t>
      </w:r>
      <w:r w:rsidR="003C5DD1" w:rsidRPr="00FE4C86">
        <w:rPr>
          <w:rFonts w:ascii="Times New Roman" w:hAnsi="Times New Roman" w:cs="Times New Roman"/>
          <w:b w:val="0"/>
          <w:bCs w:val="0"/>
          <w:sz w:val="24"/>
          <w:szCs w:val="24"/>
        </w:rPr>
        <w:t>is not</w:t>
      </w:r>
      <w:r w:rsidR="009859C7" w:rsidRPr="00FE4C86">
        <w:rPr>
          <w:rFonts w:ascii="Times New Roman" w:hAnsi="Times New Roman" w:cs="Times New Roman"/>
          <w:b w:val="0"/>
          <w:bCs w:val="0"/>
          <w:sz w:val="24"/>
          <w:szCs w:val="24"/>
        </w:rPr>
        <w:t xml:space="preserve"> </w:t>
      </w:r>
      <w:r w:rsidR="003C5DD1" w:rsidRPr="00FE4C86">
        <w:rPr>
          <w:rFonts w:ascii="Times New Roman" w:hAnsi="Times New Roman" w:cs="Times New Roman"/>
          <w:b w:val="0"/>
          <w:bCs w:val="0"/>
          <w:sz w:val="24"/>
          <w:szCs w:val="24"/>
        </w:rPr>
        <w:t xml:space="preserve">recommended during pregnancy and in women of childbearing potential not using contraception. </w:t>
      </w:r>
    </w:p>
    <w:p w14:paraId="742A7736" w14:textId="77777777" w:rsidR="00FE4C86" w:rsidRDefault="00FE4C86" w:rsidP="00B159CB">
      <w:pPr>
        <w:pStyle w:val="Heading3"/>
        <w:spacing w:before="0"/>
        <w:ind w:left="0"/>
        <w:rPr>
          <w:rFonts w:ascii="Times New Roman" w:hAnsi="Times New Roman" w:cs="Times New Roman"/>
          <w:sz w:val="24"/>
          <w:szCs w:val="24"/>
        </w:rPr>
      </w:pPr>
    </w:p>
    <w:p w14:paraId="77545976" w14:textId="1C2C41AA" w:rsidR="001A3992" w:rsidRPr="00B952ED" w:rsidRDefault="001A3992" w:rsidP="00B159CB">
      <w:pPr>
        <w:pStyle w:val="Heading3"/>
        <w:spacing w:before="0"/>
        <w:ind w:left="0"/>
        <w:rPr>
          <w:rFonts w:ascii="Times New Roman" w:hAnsi="Times New Roman" w:cs="Times New Roman"/>
          <w:b w:val="0"/>
          <w:bCs w:val="0"/>
          <w:sz w:val="24"/>
          <w:szCs w:val="24"/>
          <w:u w:val="single"/>
        </w:rPr>
      </w:pPr>
      <w:r w:rsidRPr="00B952ED">
        <w:rPr>
          <w:rFonts w:ascii="Times New Roman" w:hAnsi="Times New Roman" w:cs="Times New Roman"/>
          <w:b w:val="0"/>
          <w:bCs w:val="0"/>
          <w:sz w:val="24"/>
          <w:szCs w:val="24"/>
          <w:u w:val="single"/>
        </w:rPr>
        <w:t xml:space="preserve">Use in lactation. </w:t>
      </w:r>
    </w:p>
    <w:p w14:paraId="74FC2FFD" w14:textId="7A4D3BBB" w:rsidR="00733E33" w:rsidRPr="00B952ED" w:rsidRDefault="00733E33" w:rsidP="00733E33">
      <w:pPr>
        <w:rPr>
          <w:rFonts w:ascii="Times New Roman" w:hAnsi="Times New Roman" w:cs="Times New Roman"/>
          <w:sz w:val="24"/>
          <w:szCs w:val="24"/>
        </w:rPr>
      </w:pPr>
      <w:r w:rsidRPr="00B952ED">
        <w:rPr>
          <w:rFonts w:ascii="Times New Roman" w:hAnsi="Times New Roman" w:cs="Times New Roman"/>
          <w:sz w:val="24"/>
          <w:szCs w:val="24"/>
        </w:rPr>
        <w:t xml:space="preserve">It is unknown whether maribavir or its metabolites are excreted in human milk. A risk to the suckling child cannot be excluded. Breast feeding should be discontinued during treatment with </w:t>
      </w:r>
      <w:r w:rsidR="005B497A">
        <w:rPr>
          <w:rFonts w:ascii="Times New Roman" w:hAnsi="Times New Roman" w:cs="Times New Roman"/>
          <w:sz w:val="24"/>
          <w:szCs w:val="24"/>
        </w:rPr>
        <w:t>maribavir</w:t>
      </w:r>
      <w:r w:rsidRPr="00B952ED">
        <w:rPr>
          <w:rFonts w:ascii="Times New Roman" w:hAnsi="Times New Roman" w:cs="Times New Roman"/>
          <w:sz w:val="24"/>
          <w:szCs w:val="24"/>
        </w:rPr>
        <w:t>.</w:t>
      </w:r>
      <w:r w:rsidR="008D043B">
        <w:rPr>
          <w:rFonts w:ascii="Times New Roman" w:hAnsi="Times New Roman" w:cs="Times New Roman"/>
          <w:sz w:val="24"/>
          <w:szCs w:val="24"/>
        </w:rPr>
        <w:t xml:space="preserve"> </w:t>
      </w:r>
    </w:p>
    <w:p w14:paraId="79F902B8" w14:textId="77777777" w:rsidR="001A3992" w:rsidRPr="00B952ED" w:rsidRDefault="001A3992" w:rsidP="0049269E">
      <w:pPr>
        <w:pStyle w:val="Heading2"/>
        <w:spacing w:before="360" w:after="120"/>
        <w:rPr>
          <w:rFonts w:ascii="Times New Roman" w:hAnsi="Times New Roman" w:cs="Times New Roman"/>
        </w:rPr>
      </w:pPr>
      <w:r w:rsidRPr="00B952ED">
        <w:rPr>
          <w:rFonts w:ascii="Times New Roman" w:hAnsi="Times New Roman" w:cs="Times New Roman"/>
        </w:rPr>
        <w:t xml:space="preserve">Effects on ability to drive and use machines </w:t>
      </w:r>
    </w:p>
    <w:p w14:paraId="60EA3A9D" w14:textId="3AD71386" w:rsidR="005B2812" w:rsidRPr="00B952ED" w:rsidRDefault="00A50DCC" w:rsidP="005B2812">
      <w:pPr>
        <w:rPr>
          <w:rFonts w:ascii="Times New Roman" w:hAnsi="Times New Roman" w:cs="Times New Roman"/>
          <w:sz w:val="24"/>
          <w:szCs w:val="24"/>
        </w:rPr>
      </w:pPr>
      <w:r w:rsidRPr="00B952ED">
        <w:rPr>
          <w:rFonts w:ascii="Times New Roman" w:hAnsi="Times New Roman" w:cs="Times New Roman"/>
          <w:sz w:val="24"/>
          <w:szCs w:val="24"/>
        </w:rPr>
        <w:t>LIVTENCITY has no influence on the ability to drive and use mac</w:t>
      </w:r>
      <w:r w:rsidR="006B54FC" w:rsidRPr="00B952ED">
        <w:rPr>
          <w:rFonts w:ascii="Times New Roman" w:hAnsi="Times New Roman" w:cs="Times New Roman"/>
          <w:sz w:val="24"/>
          <w:szCs w:val="24"/>
        </w:rPr>
        <w:t>h</w:t>
      </w:r>
      <w:r w:rsidR="005B2812" w:rsidRPr="00B952ED">
        <w:rPr>
          <w:rFonts w:ascii="Times New Roman" w:hAnsi="Times New Roman" w:cs="Times New Roman"/>
          <w:sz w:val="24"/>
          <w:szCs w:val="24"/>
        </w:rPr>
        <w:t>ines</w:t>
      </w:r>
      <w:r w:rsidR="006B54FC" w:rsidRPr="00B952ED">
        <w:rPr>
          <w:rFonts w:ascii="Times New Roman" w:hAnsi="Times New Roman" w:cs="Times New Roman"/>
          <w:sz w:val="24"/>
          <w:szCs w:val="24"/>
        </w:rPr>
        <w:t>.  LIVTENCITY is not expected to cross the blood brain barrier.</w:t>
      </w:r>
    </w:p>
    <w:p w14:paraId="14D776EC" w14:textId="77777777" w:rsidR="001A3992" w:rsidRPr="001415DB" w:rsidRDefault="001A3992" w:rsidP="00514E75">
      <w:pPr>
        <w:pStyle w:val="Heading2"/>
        <w:spacing w:before="360" w:after="120"/>
        <w:rPr>
          <w:rFonts w:ascii="Times New Roman" w:hAnsi="Times New Roman" w:cs="Times New Roman"/>
        </w:rPr>
      </w:pPr>
      <w:r w:rsidRPr="00B952ED">
        <w:rPr>
          <w:rFonts w:ascii="Times New Roman" w:hAnsi="Times New Roman" w:cs="Times New Roman"/>
        </w:rPr>
        <w:t>Adverse effects (Undesirab</w:t>
      </w:r>
      <w:r w:rsidRPr="001415DB">
        <w:rPr>
          <w:rFonts w:ascii="Times New Roman" w:hAnsi="Times New Roman" w:cs="Times New Roman"/>
        </w:rPr>
        <w:t>le effects)</w:t>
      </w:r>
    </w:p>
    <w:p w14:paraId="1E6CA680" w14:textId="79C17876" w:rsidR="003D30E0" w:rsidRPr="00B92DDB" w:rsidRDefault="00DD724D" w:rsidP="00B159CB">
      <w:pPr>
        <w:pStyle w:val="Heading3"/>
        <w:spacing w:before="0"/>
        <w:ind w:left="0"/>
        <w:rPr>
          <w:rFonts w:ascii="Times New Roman" w:hAnsi="Times New Roman" w:cs="Times New Roman"/>
          <w:b w:val="0"/>
          <w:bCs w:val="0"/>
          <w:sz w:val="24"/>
          <w:szCs w:val="24"/>
          <w:u w:val="single"/>
        </w:rPr>
      </w:pPr>
      <w:r w:rsidRPr="00B92DDB">
        <w:rPr>
          <w:rFonts w:ascii="Times New Roman" w:hAnsi="Times New Roman" w:cs="Times New Roman"/>
          <w:b w:val="0"/>
          <w:bCs w:val="0"/>
          <w:sz w:val="24"/>
          <w:szCs w:val="24"/>
          <w:u w:val="single"/>
        </w:rPr>
        <w:t>Clinical trial</w:t>
      </w:r>
      <w:r w:rsidR="00F95180" w:rsidRPr="00B92DDB">
        <w:rPr>
          <w:rFonts w:ascii="Times New Roman" w:hAnsi="Times New Roman" w:cs="Times New Roman"/>
          <w:b w:val="0"/>
          <w:bCs w:val="0"/>
          <w:sz w:val="24"/>
          <w:szCs w:val="24"/>
          <w:u w:val="single"/>
        </w:rPr>
        <w:t xml:space="preserve"> experience</w:t>
      </w:r>
    </w:p>
    <w:p w14:paraId="491CBA24" w14:textId="07539CBB" w:rsidR="00233E9B" w:rsidRPr="00733BDB" w:rsidRDefault="00E13C8C" w:rsidP="00733BDB">
      <w:pPr>
        <w:rPr>
          <w:rFonts w:ascii="Times New Roman" w:hAnsi="Times New Roman" w:cs="Times New Roman"/>
          <w:sz w:val="24"/>
          <w:szCs w:val="24"/>
        </w:rPr>
      </w:pPr>
      <w:r w:rsidRPr="001415DB">
        <w:rPr>
          <w:rFonts w:ascii="Times New Roman" w:hAnsi="Times New Roman" w:cs="Times New Roman"/>
          <w:sz w:val="24"/>
          <w:szCs w:val="24"/>
        </w:rPr>
        <w:t xml:space="preserve">The safety of LIVTENCITY was evaluated in Study 303 in which 352 patients were randomised and treated with LIVTENCITY (N=234) or Investigator Assigned Treatment (IAT) consisting of monotherapy or dual therapy with ganciclovir, valganciclovir, </w:t>
      </w:r>
      <w:proofErr w:type="spellStart"/>
      <w:r w:rsidRPr="001415DB">
        <w:rPr>
          <w:rFonts w:ascii="Times New Roman" w:hAnsi="Times New Roman" w:cs="Times New Roman"/>
          <w:sz w:val="24"/>
          <w:szCs w:val="24"/>
        </w:rPr>
        <w:t>foscarnet</w:t>
      </w:r>
      <w:proofErr w:type="spellEnd"/>
      <w:r w:rsidRPr="001415DB">
        <w:rPr>
          <w:rFonts w:ascii="Times New Roman" w:hAnsi="Times New Roman" w:cs="Times New Roman"/>
          <w:sz w:val="24"/>
          <w:szCs w:val="24"/>
        </w:rPr>
        <w:t xml:space="preserve">, or cidofovir (N=117) for an </w:t>
      </w:r>
      <w:r w:rsidR="002E41DB" w:rsidRPr="001415DB">
        <w:rPr>
          <w:rFonts w:ascii="Times New Roman" w:hAnsi="Times New Roman" w:cs="Times New Roman"/>
          <w:sz w:val="24"/>
          <w:szCs w:val="24"/>
        </w:rPr>
        <w:t>8-week</w:t>
      </w:r>
      <w:r w:rsidRPr="001415DB">
        <w:rPr>
          <w:rFonts w:ascii="Times New Roman" w:hAnsi="Times New Roman" w:cs="Times New Roman"/>
          <w:sz w:val="24"/>
          <w:szCs w:val="24"/>
        </w:rPr>
        <w:t xml:space="preserve"> treatment phase following a diagnosis of resistant/refractory CMV.  Adverse events were collected during the treatment phase and follow up phase through Study Week 20.  The mean exposures (SD) for </w:t>
      </w:r>
      <w:r w:rsidR="004329DC"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w:t>
      </w:r>
      <w:r w:rsidR="00015FE5" w:rsidRPr="001415DB">
        <w:rPr>
          <w:rFonts w:ascii="Times New Roman" w:hAnsi="Times New Roman" w:cs="Times New Roman"/>
          <w:sz w:val="24"/>
          <w:szCs w:val="24"/>
        </w:rPr>
        <w:t>were</w:t>
      </w:r>
      <w:r w:rsidRPr="001415DB">
        <w:rPr>
          <w:rFonts w:ascii="Times New Roman" w:hAnsi="Times New Roman" w:cs="Times New Roman"/>
          <w:sz w:val="24"/>
          <w:szCs w:val="24"/>
        </w:rPr>
        <w:t xml:space="preserve"> 48.6 (13.82) days. </w:t>
      </w:r>
      <w:r w:rsidR="0072393E"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treated patients received treatment a maximum of 60 days. </w:t>
      </w:r>
      <w:r w:rsidR="00E85E88" w:rsidRPr="001415DB">
        <w:rPr>
          <w:rFonts w:ascii="Times New Roman" w:hAnsi="Times New Roman" w:cs="Times New Roman"/>
          <w:sz w:val="24"/>
          <w:szCs w:val="24"/>
        </w:rPr>
        <w:t xml:space="preserve"> The most common adverse events occurring in more than 10% of subjects in the LIVTENCITY, ganciclovir/valganciclovir or </w:t>
      </w:r>
      <w:proofErr w:type="spellStart"/>
      <w:r w:rsidR="00E85E88" w:rsidRPr="001415DB">
        <w:rPr>
          <w:rFonts w:ascii="Times New Roman" w:hAnsi="Times New Roman" w:cs="Times New Roman"/>
          <w:sz w:val="24"/>
          <w:szCs w:val="24"/>
        </w:rPr>
        <w:t>foscarnet</w:t>
      </w:r>
      <w:proofErr w:type="spellEnd"/>
      <w:r w:rsidR="00E85E88" w:rsidRPr="001415DB">
        <w:rPr>
          <w:rFonts w:ascii="Times New Roman" w:hAnsi="Times New Roman" w:cs="Times New Roman"/>
          <w:sz w:val="24"/>
          <w:szCs w:val="24"/>
        </w:rPr>
        <w:t xml:space="preserve"> are outlined in Table 2.</w:t>
      </w:r>
      <w:bookmarkStart w:id="3" w:name="_Hlk64403362"/>
    </w:p>
    <w:p w14:paraId="1771CAC1" w14:textId="19B53012" w:rsidR="00C438C7" w:rsidRPr="001415DB" w:rsidRDefault="00C438C7" w:rsidP="00F72388">
      <w:pPr>
        <w:pStyle w:val="Caption"/>
        <w:pageBreakBefore/>
        <w:spacing w:before="240" w:after="120" w:line="240" w:lineRule="exact"/>
        <w:ind w:left="862" w:hanging="862"/>
      </w:pPr>
      <w:r w:rsidRPr="001415DB">
        <w:rPr>
          <w:rFonts w:eastAsiaTheme="minorHAnsi"/>
        </w:rPr>
        <w:lastRenderedPageBreak/>
        <w:t xml:space="preserve">Table </w:t>
      </w:r>
      <w:r w:rsidRPr="001415DB">
        <w:t>2:</w:t>
      </w:r>
      <w:bookmarkStart w:id="4" w:name="_Hlk80015697"/>
      <w:r w:rsidR="007F0C8E">
        <w:t xml:space="preserve"> </w:t>
      </w:r>
      <w:r w:rsidRPr="001415DB">
        <w:rPr>
          <w:rFonts w:eastAsiaTheme="minorHAnsi"/>
        </w:rPr>
        <w:t xml:space="preserve">Adverse </w:t>
      </w:r>
      <w:r w:rsidRPr="001415DB">
        <w:t>Events (All Grades)</w:t>
      </w:r>
      <w:r w:rsidRPr="001415DB">
        <w:rPr>
          <w:rFonts w:eastAsiaTheme="minorHAnsi"/>
        </w:rPr>
        <w:t xml:space="preserve"> Reported in </w:t>
      </w:r>
      <w:r w:rsidRPr="001415DB">
        <w:t>&gt;</w:t>
      </w:r>
      <w:r w:rsidRPr="001415DB">
        <w:rPr>
          <w:rFonts w:eastAsiaTheme="minorHAnsi"/>
        </w:rPr>
        <w:t xml:space="preserve"> 10% </w:t>
      </w:r>
      <w:r w:rsidRPr="001415DB">
        <w:t>of Patients Receiving</w:t>
      </w:r>
      <w:r w:rsidRPr="001415DB">
        <w:rPr>
          <w:rFonts w:eastAsiaTheme="minorHAnsi"/>
        </w:rPr>
        <w:t xml:space="preserve"> LIVTENCITY</w:t>
      </w:r>
      <w:r w:rsidRPr="001415DB">
        <w:t xml:space="preserve">, </w:t>
      </w:r>
      <w:r w:rsidR="0034676C" w:rsidRPr="001415DB">
        <w:t>g</w:t>
      </w:r>
      <w:r w:rsidRPr="001415DB">
        <w:t>anciclovir/</w:t>
      </w:r>
      <w:r w:rsidR="0034676C" w:rsidRPr="001415DB">
        <w:t>v</w:t>
      </w:r>
      <w:r w:rsidRPr="001415DB">
        <w:t xml:space="preserve">alganciclovir or </w:t>
      </w:r>
      <w:proofErr w:type="spellStart"/>
      <w:r w:rsidR="0034676C" w:rsidRPr="001415DB">
        <w:t>f</w:t>
      </w:r>
      <w:r w:rsidRPr="001415DB">
        <w:t>oscarnet</w:t>
      </w:r>
      <w:proofErr w:type="spellEnd"/>
      <w:r w:rsidRPr="001415DB">
        <w:t xml:space="preserve"> </w:t>
      </w:r>
      <w:bookmarkEnd w:id="4"/>
      <w:r w:rsidRPr="001415DB">
        <w:t>in Study 303</w:t>
      </w:r>
    </w:p>
    <w:tbl>
      <w:tblPr>
        <w:tblStyle w:val="TableGrid"/>
        <w:tblW w:w="9265" w:type="dxa"/>
        <w:tblLook w:val="04A0" w:firstRow="1" w:lastRow="0" w:firstColumn="1" w:lastColumn="0" w:noHBand="0" w:noVBand="1"/>
      </w:tblPr>
      <w:tblGrid>
        <w:gridCol w:w="2509"/>
        <w:gridCol w:w="2436"/>
        <w:gridCol w:w="2790"/>
        <w:gridCol w:w="1530"/>
      </w:tblGrid>
      <w:tr w:rsidR="00C438C7" w:rsidRPr="001415DB" w14:paraId="41E7F635" w14:textId="77777777" w:rsidTr="00C438C7">
        <w:tc>
          <w:tcPr>
            <w:tcW w:w="2509" w:type="dxa"/>
            <w:tcBorders>
              <w:top w:val="single" w:sz="4" w:space="0" w:color="auto"/>
              <w:left w:val="single" w:sz="4" w:space="0" w:color="auto"/>
              <w:bottom w:val="single" w:sz="4" w:space="0" w:color="auto"/>
              <w:right w:val="single" w:sz="4" w:space="0" w:color="auto"/>
            </w:tcBorders>
            <w:hideMark/>
          </w:tcPr>
          <w:bookmarkEnd w:id="3"/>
          <w:p w14:paraId="037C06EA"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Adverse Event</w:t>
            </w:r>
          </w:p>
        </w:tc>
        <w:tc>
          <w:tcPr>
            <w:tcW w:w="2436" w:type="dxa"/>
            <w:tcBorders>
              <w:top w:val="single" w:sz="4" w:space="0" w:color="auto"/>
              <w:left w:val="single" w:sz="4" w:space="0" w:color="auto"/>
              <w:bottom w:val="single" w:sz="4" w:space="0" w:color="auto"/>
              <w:right w:val="single" w:sz="4" w:space="0" w:color="auto"/>
            </w:tcBorders>
            <w:hideMark/>
          </w:tcPr>
          <w:p w14:paraId="4821E658" w14:textId="6B8DA931"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LIVTENCITY</w:t>
            </w:r>
          </w:p>
          <w:p w14:paraId="578EA5AB" w14:textId="09007BBA" w:rsidR="00C438C7" w:rsidRPr="00CA71E4" w:rsidRDefault="00FC0660" w:rsidP="000B5F86">
            <w:pPr>
              <w:pStyle w:val="BodyText"/>
              <w:spacing w:line="240" w:lineRule="auto"/>
              <w:ind w:leftChars="0" w:left="0"/>
              <w:jc w:val="center"/>
              <w:rPr>
                <w:bCs/>
                <w:szCs w:val="22"/>
                <w:lang w:val="en-AU"/>
              </w:rPr>
            </w:pPr>
            <w:r>
              <w:rPr>
                <w:bCs/>
                <w:szCs w:val="22"/>
                <w:lang w:val="en-AU"/>
              </w:rPr>
              <w:t>(</w:t>
            </w:r>
            <w:r w:rsidR="00C438C7" w:rsidRPr="00CA71E4">
              <w:rPr>
                <w:bCs/>
                <w:szCs w:val="22"/>
                <w:lang w:val="en-AU"/>
              </w:rPr>
              <w:t>N=234</w:t>
            </w:r>
            <w:r>
              <w:rPr>
                <w:bCs/>
                <w:szCs w:val="22"/>
                <w:lang w:val="en-AU"/>
              </w:rPr>
              <w:t>)</w:t>
            </w:r>
          </w:p>
          <w:p w14:paraId="167679F3"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w:t>
            </w:r>
          </w:p>
        </w:tc>
        <w:tc>
          <w:tcPr>
            <w:tcW w:w="2790" w:type="dxa"/>
            <w:tcBorders>
              <w:top w:val="single" w:sz="4" w:space="0" w:color="auto"/>
              <w:left w:val="single" w:sz="4" w:space="0" w:color="auto"/>
              <w:bottom w:val="single" w:sz="4" w:space="0" w:color="auto"/>
              <w:right w:val="single" w:sz="4" w:space="0" w:color="auto"/>
            </w:tcBorders>
            <w:hideMark/>
          </w:tcPr>
          <w:p w14:paraId="5A31172C" w14:textId="72974A96"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Ganciclovir/</w:t>
            </w:r>
            <w:r w:rsidR="0034676C" w:rsidRPr="00CA71E4">
              <w:rPr>
                <w:bCs/>
                <w:szCs w:val="22"/>
                <w:lang w:val="en-AU"/>
              </w:rPr>
              <w:t>v</w:t>
            </w:r>
            <w:r w:rsidRPr="00CA71E4">
              <w:rPr>
                <w:bCs/>
                <w:szCs w:val="22"/>
                <w:lang w:val="en-AU"/>
              </w:rPr>
              <w:t>alganciclovir</w:t>
            </w:r>
          </w:p>
          <w:p w14:paraId="2852E028"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(N=56)</w:t>
            </w:r>
          </w:p>
          <w:p w14:paraId="0E6E2AF6"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w:t>
            </w:r>
          </w:p>
        </w:tc>
        <w:tc>
          <w:tcPr>
            <w:tcW w:w="1530" w:type="dxa"/>
          </w:tcPr>
          <w:p w14:paraId="3372DD55"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Foscarnet</w:t>
            </w:r>
          </w:p>
          <w:p w14:paraId="58A1E809"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(N=47)</w:t>
            </w:r>
          </w:p>
          <w:p w14:paraId="564F7929"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w:t>
            </w:r>
          </w:p>
        </w:tc>
      </w:tr>
      <w:tr w:rsidR="00C438C7" w:rsidRPr="001415DB" w14:paraId="4F9A1DE5" w14:textId="77777777" w:rsidTr="00C438C7">
        <w:tc>
          <w:tcPr>
            <w:tcW w:w="2509" w:type="dxa"/>
            <w:tcBorders>
              <w:top w:val="single" w:sz="4" w:space="0" w:color="auto"/>
              <w:left w:val="single" w:sz="4" w:space="0" w:color="auto"/>
              <w:bottom w:val="single" w:sz="4" w:space="0" w:color="auto"/>
              <w:right w:val="single" w:sz="4" w:space="0" w:color="auto"/>
            </w:tcBorders>
          </w:tcPr>
          <w:p w14:paraId="7ADD20B3"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 xml:space="preserve">Taste </w:t>
            </w:r>
            <w:proofErr w:type="spellStart"/>
            <w:r w:rsidRPr="00CA71E4">
              <w:rPr>
                <w:bCs/>
                <w:szCs w:val="22"/>
                <w:lang w:val="en-AU"/>
              </w:rPr>
              <w:t>disturbance</w:t>
            </w:r>
            <w:r w:rsidRPr="00E96D9C">
              <w:rPr>
                <w:bCs/>
                <w:szCs w:val="22"/>
                <w:vertAlign w:val="superscript"/>
                <w:lang w:val="en-AU"/>
              </w:rPr>
              <w:t>a</w:t>
            </w:r>
            <w:proofErr w:type="spellEnd"/>
          </w:p>
        </w:tc>
        <w:tc>
          <w:tcPr>
            <w:tcW w:w="2436" w:type="dxa"/>
            <w:tcBorders>
              <w:top w:val="single" w:sz="4" w:space="0" w:color="auto"/>
              <w:left w:val="single" w:sz="4" w:space="0" w:color="auto"/>
              <w:bottom w:val="single" w:sz="4" w:space="0" w:color="auto"/>
              <w:right w:val="single" w:sz="4" w:space="0" w:color="auto"/>
            </w:tcBorders>
          </w:tcPr>
          <w:p w14:paraId="103C5DE1" w14:textId="5E8941FF"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4</w:t>
            </w:r>
            <w:r w:rsidR="003F79A8" w:rsidRPr="00CA71E4">
              <w:rPr>
                <w:bCs/>
                <w:szCs w:val="22"/>
                <w:lang w:val="en-AU"/>
              </w:rPr>
              <w:t>6</w:t>
            </w:r>
          </w:p>
        </w:tc>
        <w:tc>
          <w:tcPr>
            <w:tcW w:w="2790" w:type="dxa"/>
            <w:tcBorders>
              <w:top w:val="single" w:sz="4" w:space="0" w:color="auto"/>
              <w:left w:val="single" w:sz="4" w:space="0" w:color="auto"/>
              <w:bottom w:val="single" w:sz="4" w:space="0" w:color="auto"/>
              <w:right w:val="single" w:sz="4" w:space="0" w:color="auto"/>
            </w:tcBorders>
          </w:tcPr>
          <w:p w14:paraId="76EA351C"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4</w:t>
            </w:r>
          </w:p>
        </w:tc>
        <w:tc>
          <w:tcPr>
            <w:tcW w:w="1530" w:type="dxa"/>
          </w:tcPr>
          <w:p w14:paraId="1204721B"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2</w:t>
            </w:r>
          </w:p>
        </w:tc>
      </w:tr>
      <w:tr w:rsidR="00C438C7" w:rsidRPr="001415DB" w14:paraId="614C0FCE" w14:textId="77777777" w:rsidTr="00C438C7">
        <w:tc>
          <w:tcPr>
            <w:tcW w:w="2509" w:type="dxa"/>
            <w:tcBorders>
              <w:top w:val="single" w:sz="4" w:space="0" w:color="auto"/>
              <w:left w:val="single" w:sz="4" w:space="0" w:color="auto"/>
              <w:bottom w:val="single" w:sz="4" w:space="0" w:color="auto"/>
              <w:right w:val="single" w:sz="4" w:space="0" w:color="auto"/>
            </w:tcBorders>
          </w:tcPr>
          <w:p w14:paraId="6679BAD9"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Nausea</w:t>
            </w:r>
          </w:p>
        </w:tc>
        <w:tc>
          <w:tcPr>
            <w:tcW w:w="2436" w:type="dxa"/>
            <w:tcBorders>
              <w:top w:val="single" w:sz="4" w:space="0" w:color="auto"/>
              <w:left w:val="single" w:sz="4" w:space="0" w:color="auto"/>
              <w:bottom w:val="single" w:sz="4" w:space="0" w:color="auto"/>
              <w:right w:val="single" w:sz="4" w:space="0" w:color="auto"/>
            </w:tcBorders>
          </w:tcPr>
          <w:p w14:paraId="6701FCCF"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21</w:t>
            </w:r>
          </w:p>
        </w:tc>
        <w:tc>
          <w:tcPr>
            <w:tcW w:w="2790" w:type="dxa"/>
            <w:tcBorders>
              <w:top w:val="single" w:sz="4" w:space="0" w:color="auto"/>
              <w:left w:val="single" w:sz="4" w:space="0" w:color="auto"/>
              <w:bottom w:val="single" w:sz="4" w:space="0" w:color="auto"/>
              <w:right w:val="single" w:sz="4" w:space="0" w:color="auto"/>
            </w:tcBorders>
          </w:tcPr>
          <w:p w14:paraId="524C7334"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14</w:t>
            </w:r>
          </w:p>
        </w:tc>
        <w:tc>
          <w:tcPr>
            <w:tcW w:w="1530" w:type="dxa"/>
          </w:tcPr>
          <w:p w14:paraId="59EC8235"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30</w:t>
            </w:r>
          </w:p>
        </w:tc>
      </w:tr>
      <w:tr w:rsidR="00C438C7" w:rsidRPr="001415DB" w14:paraId="43E9ABD8" w14:textId="77777777" w:rsidTr="00C438C7">
        <w:tc>
          <w:tcPr>
            <w:tcW w:w="2509" w:type="dxa"/>
            <w:tcBorders>
              <w:top w:val="single" w:sz="4" w:space="0" w:color="auto"/>
              <w:left w:val="single" w:sz="4" w:space="0" w:color="auto"/>
              <w:bottom w:val="single" w:sz="4" w:space="0" w:color="auto"/>
              <w:right w:val="single" w:sz="4" w:space="0" w:color="auto"/>
            </w:tcBorders>
          </w:tcPr>
          <w:p w14:paraId="3E0748E6"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Diarrhea</w:t>
            </w:r>
          </w:p>
        </w:tc>
        <w:tc>
          <w:tcPr>
            <w:tcW w:w="2436" w:type="dxa"/>
            <w:tcBorders>
              <w:top w:val="single" w:sz="4" w:space="0" w:color="auto"/>
              <w:left w:val="single" w:sz="4" w:space="0" w:color="auto"/>
              <w:bottom w:val="single" w:sz="4" w:space="0" w:color="auto"/>
              <w:right w:val="single" w:sz="4" w:space="0" w:color="auto"/>
            </w:tcBorders>
          </w:tcPr>
          <w:p w14:paraId="38846B15"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19</w:t>
            </w:r>
          </w:p>
        </w:tc>
        <w:tc>
          <w:tcPr>
            <w:tcW w:w="2790" w:type="dxa"/>
            <w:tcBorders>
              <w:top w:val="single" w:sz="4" w:space="0" w:color="auto"/>
              <w:left w:val="single" w:sz="4" w:space="0" w:color="auto"/>
              <w:bottom w:val="single" w:sz="4" w:space="0" w:color="auto"/>
              <w:right w:val="single" w:sz="4" w:space="0" w:color="auto"/>
            </w:tcBorders>
          </w:tcPr>
          <w:p w14:paraId="4B0CE210"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23</w:t>
            </w:r>
          </w:p>
        </w:tc>
        <w:tc>
          <w:tcPr>
            <w:tcW w:w="1530" w:type="dxa"/>
          </w:tcPr>
          <w:p w14:paraId="48496D0F"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19</w:t>
            </w:r>
          </w:p>
        </w:tc>
      </w:tr>
      <w:tr w:rsidR="00C438C7" w:rsidRPr="001415DB" w14:paraId="6FDC4B72" w14:textId="77777777" w:rsidTr="00C438C7">
        <w:tc>
          <w:tcPr>
            <w:tcW w:w="2509" w:type="dxa"/>
            <w:tcBorders>
              <w:top w:val="single" w:sz="4" w:space="0" w:color="auto"/>
              <w:left w:val="single" w:sz="4" w:space="0" w:color="auto"/>
              <w:bottom w:val="single" w:sz="4" w:space="0" w:color="auto"/>
              <w:right w:val="single" w:sz="4" w:space="0" w:color="auto"/>
            </w:tcBorders>
          </w:tcPr>
          <w:p w14:paraId="76725DAC"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Vomiting</w:t>
            </w:r>
          </w:p>
        </w:tc>
        <w:tc>
          <w:tcPr>
            <w:tcW w:w="2436" w:type="dxa"/>
            <w:tcBorders>
              <w:top w:val="single" w:sz="4" w:space="0" w:color="auto"/>
              <w:left w:val="single" w:sz="4" w:space="0" w:color="auto"/>
              <w:bottom w:val="single" w:sz="4" w:space="0" w:color="auto"/>
              <w:right w:val="single" w:sz="4" w:space="0" w:color="auto"/>
            </w:tcBorders>
          </w:tcPr>
          <w:p w14:paraId="1C809861"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14</w:t>
            </w:r>
          </w:p>
        </w:tc>
        <w:tc>
          <w:tcPr>
            <w:tcW w:w="2790" w:type="dxa"/>
            <w:tcBorders>
              <w:top w:val="single" w:sz="4" w:space="0" w:color="auto"/>
              <w:left w:val="single" w:sz="4" w:space="0" w:color="auto"/>
              <w:bottom w:val="single" w:sz="4" w:space="0" w:color="auto"/>
              <w:right w:val="single" w:sz="4" w:space="0" w:color="auto"/>
            </w:tcBorders>
          </w:tcPr>
          <w:p w14:paraId="0C6295B0"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13</w:t>
            </w:r>
          </w:p>
        </w:tc>
        <w:tc>
          <w:tcPr>
            <w:tcW w:w="1530" w:type="dxa"/>
          </w:tcPr>
          <w:p w14:paraId="3D152940"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17</w:t>
            </w:r>
          </w:p>
        </w:tc>
      </w:tr>
      <w:tr w:rsidR="00C438C7" w:rsidRPr="001415DB" w14:paraId="5BBFD979" w14:textId="77777777" w:rsidTr="00C438C7">
        <w:tc>
          <w:tcPr>
            <w:tcW w:w="2509" w:type="dxa"/>
            <w:tcBorders>
              <w:top w:val="single" w:sz="4" w:space="0" w:color="auto"/>
              <w:left w:val="single" w:sz="4" w:space="0" w:color="auto"/>
              <w:bottom w:val="single" w:sz="4" w:space="0" w:color="auto"/>
              <w:right w:val="single" w:sz="4" w:space="0" w:color="auto"/>
            </w:tcBorders>
          </w:tcPr>
          <w:p w14:paraId="71475464" w14:textId="574C7762" w:rsidR="00C438C7" w:rsidRPr="00CA71E4" w:rsidRDefault="00CF0337" w:rsidP="00CA71E4">
            <w:pPr>
              <w:pStyle w:val="BodyText"/>
              <w:spacing w:line="240" w:lineRule="auto"/>
              <w:ind w:leftChars="0" w:left="0"/>
              <w:rPr>
                <w:bCs/>
                <w:szCs w:val="22"/>
                <w:lang w:val="en-AU"/>
              </w:rPr>
            </w:pPr>
            <w:r w:rsidRPr="00CA71E4">
              <w:rPr>
                <w:bCs/>
                <w:szCs w:val="22"/>
                <w:lang w:val="en-AU"/>
              </w:rPr>
              <w:t>Anaemia</w:t>
            </w:r>
          </w:p>
        </w:tc>
        <w:tc>
          <w:tcPr>
            <w:tcW w:w="2436" w:type="dxa"/>
            <w:tcBorders>
              <w:top w:val="single" w:sz="4" w:space="0" w:color="auto"/>
              <w:left w:val="single" w:sz="4" w:space="0" w:color="auto"/>
              <w:bottom w:val="single" w:sz="4" w:space="0" w:color="auto"/>
              <w:right w:val="single" w:sz="4" w:space="0" w:color="auto"/>
            </w:tcBorders>
          </w:tcPr>
          <w:p w14:paraId="587D6375"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12</w:t>
            </w:r>
          </w:p>
        </w:tc>
        <w:tc>
          <w:tcPr>
            <w:tcW w:w="2790" w:type="dxa"/>
            <w:tcBorders>
              <w:top w:val="single" w:sz="4" w:space="0" w:color="auto"/>
              <w:left w:val="single" w:sz="4" w:space="0" w:color="auto"/>
              <w:bottom w:val="single" w:sz="4" w:space="0" w:color="auto"/>
              <w:right w:val="single" w:sz="4" w:space="0" w:color="auto"/>
            </w:tcBorders>
          </w:tcPr>
          <w:p w14:paraId="5D5D6554"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7</w:t>
            </w:r>
          </w:p>
        </w:tc>
        <w:tc>
          <w:tcPr>
            <w:tcW w:w="1530" w:type="dxa"/>
          </w:tcPr>
          <w:p w14:paraId="630541F2"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19</w:t>
            </w:r>
          </w:p>
        </w:tc>
      </w:tr>
      <w:tr w:rsidR="00C438C7" w:rsidRPr="001415DB" w14:paraId="7EF6BD51" w14:textId="77777777" w:rsidTr="00C438C7">
        <w:tc>
          <w:tcPr>
            <w:tcW w:w="2509" w:type="dxa"/>
            <w:tcBorders>
              <w:top w:val="single" w:sz="4" w:space="0" w:color="auto"/>
              <w:left w:val="single" w:sz="4" w:space="0" w:color="auto"/>
              <w:bottom w:val="single" w:sz="4" w:space="0" w:color="auto"/>
              <w:right w:val="single" w:sz="4" w:space="0" w:color="auto"/>
            </w:tcBorders>
          </w:tcPr>
          <w:p w14:paraId="6A06DAC2"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Fatigue</w:t>
            </w:r>
          </w:p>
        </w:tc>
        <w:tc>
          <w:tcPr>
            <w:tcW w:w="2436" w:type="dxa"/>
            <w:tcBorders>
              <w:top w:val="single" w:sz="4" w:space="0" w:color="auto"/>
              <w:left w:val="single" w:sz="4" w:space="0" w:color="auto"/>
              <w:bottom w:val="single" w:sz="4" w:space="0" w:color="auto"/>
              <w:right w:val="single" w:sz="4" w:space="0" w:color="auto"/>
            </w:tcBorders>
          </w:tcPr>
          <w:p w14:paraId="24034295"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12</w:t>
            </w:r>
          </w:p>
        </w:tc>
        <w:tc>
          <w:tcPr>
            <w:tcW w:w="2790" w:type="dxa"/>
            <w:tcBorders>
              <w:top w:val="single" w:sz="4" w:space="0" w:color="auto"/>
              <w:left w:val="single" w:sz="4" w:space="0" w:color="auto"/>
              <w:bottom w:val="single" w:sz="4" w:space="0" w:color="auto"/>
              <w:right w:val="single" w:sz="4" w:space="0" w:color="auto"/>
            </w:tcBorders>
          </w:tcPr>
          <w:p w14:paraId="2C1E1C81"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13</w:t>
            </w:r>
          </w:p>
        </w:tc>
        <w:tc>
          <w:tcPr>
            <w:tcW w:w="1530" w:type="dxa"/>
          </w:tcPr>
          <w:p w14:paraId="1A385A8E"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6</w:t>
            </w:r>
          </w:p>
        </w:tc>
      </w:tr>
      <w:tr w:rsidR="00C438C7" w:rsidRPr="001415DB" w14:paraId="21ACF3B8" w14:textId="77777777" w:rsidTr="00C438C7">
        <w:tc>
          <w:tcPr>
            <w:tcW w:w="2509" w:type="dxa"/>
            <w:tcBorders>
              <w:top w:val="single" w:sz="4" w:space="0" w:color="auto"/>
              <w:left w:val="single" w:sz="4" w:space="0" w:color="auto"/>
              <w:bottom w:val="single" w:sz="4" w:space="0" w:color="auto"/>
              <w:right w:val="single" w:sz="4" w:space="0" w:color="auto"/>
            </w:tcBorders>
          </w:tcPr>
          <w:p w14:paraId="5AC9D46B"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Pyrexia</w:t>
            </w:r>
          </w:p>
        </w:tc>
        <w:tc>
          <w:tcPr>
            <w:tcW w:w="2436" w:type="dxa"/>
            <w:tcBorders>
              <w:top w:val="single" w:sz="4" w:space="0" w:color="auto"/>
              <w:left w:val="single" w:sz="4" w:space="0" w:color="auto"/>
              <w:bottom w:val="single" w:sz="4" w:space="0" w:color="auto"/>
              <w:right w:val="single" w:sz="4" w:space="0" w:color="auto"/>
            </w:tcBorders>
          </w:tcPr>
          <w:p w14:paraId="0BE700CA"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10</w:t>
            </w:r>
          </w:p>
        </w:tc>
        <w:tc>
          <w:tcPr>
            <w:tcW w:w="2790" w:type="dxa"/>
            <w:tcBorders>
              <w:top w:val="single" w:sz="4" w:space="0" w:color="auto"/>
              <w:left w:val="single" w:sz="4" w:space="0" w:color="auto"/>
              <w:bottom w:val="single" w:sz="4" w:space="0" w:color="auto"/>
              <w:right w:val="single" w:sz="4" w:space="0" w:color="auto"/>
            </w:tcBorders>
          </w:tcPr>
          <w:p w14:paraId="3815F8C9"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11</w:t>
            </w:r>
          </w:p>
        </w:tc>
        <w:tc>
          <w:tcPr>
            <w:tcW w:w="1530" w:type="dxa"/>
          </w:tcPr>
          <w:p w14:paraId="3DF601B9"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19</w:t>
            </w:r>
          </w:p>
        </w:tc>
      </w:tr>
      <w:tr w:rsidR="00C438C7" w:rsidRPr="001415DB" w14:paraId="1DEC46D4" w14:textId="77777777" w:rsidTr="00C438C7">
        <w:tc>
          <w:tcPr>
            <w:tcW w:w="2509" w:type="dxa"/>
            <w:tcBorders>
              <w:top w:val="single" w:sz="4" w:space="0" w:color="auto"/>
              <w:left w:val="single" w:sz="4" w:space="0" w:color="auto"/>
              <w:bottom w:val="single" w:sz="4" w:space="0" w:color="auto"/>
              <w:right w:val="single" w:sz="4" w:space="0" w:color="auto"/>
            </w:tcBorders>
          </w:tcPr>
          <w:p w14:paraId="030EA7B3"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Neutropenia</w:t>
            </w:r>
          </w:p>
        </w:tc>
        <w:tc>
          <w:tcPr>
            <w:tcW w:w="2436" w:type="dxa"/>
            <w:tcBorders>
              <w:top w:val="single" w:sz="4" w:space="0" w:color="auto"/>
              <w:left w:val="single" w:sz="4" w:space="0" w:color="auto"/>
              <w:bottom w:val="single" w:sz="4" w:space="0" w:color="auto"/>
              <w:right w:val="single" w:sz="4" w:space="0" w:color="auto"/>
            </w:tcBorders>
          </w:tcPr>
          <w:p w14:paraId="644426F0"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9</w:t>
            </w:r>
          </w:p>
        </w:tc>
        <w:tc>
          <w:tcPr>
            <w:tcW w:w="2790" w:type="dxa"/>
            <w:tcBorders>
              <w:top w:val="single" w:sz="4" w:space="0" w:color="auto"/>
              <w:left w:val="single" w:sz="4" w:space="0" w:color="auto"/>
              <w:bottom w:val="single" w:sz="4" w:space="0" w:color="auto"/>
              <w:right w:val="single" w:sz="4" w:space="0" w:color="auto"/>
            </w:tcBorders>
          </w:tcPr>
          <w:p w14:paraId="2596A5C6"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34</w:t>
            </w:r>
          </w:p>
        </w:tc>
        <w:tc>
          <w:tcPr>
            <w:tcW w:w="1530" w:type="dxa"/>
          </w:tcPr>
          <w:p w14:paraId="1F626C95"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15</w:t>
            </w:r>
          </w:p>
        </w:tc>
      </w:tr>
      <w:tr w:rsidR="00C438C7" w:rsidRPr="001415DB" w14:paraId="0A439C7B" w14:textId="77777777" w:rsidTr="00C438C7">
        <w:tc>
          <w:tcPr>
            <w:tcW w:w="2509" w:type="dxa"/>
            <w:tcBorders>
              <w:top w:val="single" w:sz="4" w:space="0" w:color="auto"/>
              <w:left w:val="single" w:sz="4" w:space="0" w:color="auto"/>
              <w:bottom w:val="single" w:sz="4" w:space="0" w:color="auto"/>
              <w:right w:val="single" w:sz="4" w:space="0" w:color="auto"/>
            </w:tcBorders>
          </w:tcPr>
          <w:p w14:paraId="0C65FD6C"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Acute kidney injury</w:t>
            </w:r>
          </w:p>
        </w:tc>
        <w:tc>
          <w:tcPr>
            <w:tcW w:w="2436" w:type="dxa"/>
            <w:tcBorders>
              <w:top w:val="single" w:sz="4" w:space="0" w:color="auto"/>
              <w:left w:val="single" w:sz="4" w:space="0" w:color="auto"/>
              <w:bottom w:val="single" w:sz="4" w:space="0" w:color="auto"/>
              <w:right w:val="single" w:sz="4" w:space="0" w:color="auto"/>
            </w:tcBorders>
          </w:tcPr>
          <w:p w14:paraId="3FB7D9DF"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9</w:t>
            </w:r>
          </w:p>
        </w:tc>
        <w:tc>
          <w:tcPr>
            <w:tcW w:w="2790" w:type="dxa"/>
            <w:tcBorders>
              <w:top w:val="single" w:sz="4" w:space="0" w:color="auto"/>
              <w:left w:val="single" w:sz="4" w:space="0" w:color="auto"/>
              <w:bottom w:val="single" w:sz="4" w:space="0" w:color="auto"/>
              <w:right w:val="single" w:sz="4" w:space="0" w:color="auto"/>
            </w:tcBorders>
          </w:tcPr>
          <w:p w14:paraId="0B2E1E5A"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2</w:t>
            </w:r>
          </w:p>
        </w:tc>
        <w:tc>
          <w:tcPr>
            <w:tcW w:w="1530" w:type="dxa"/>
          </w:tcPr>
          <w:p w14:paraId="034F0A1D"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21</w:t>
            </w:r>
          </w:p>
        </w:tc>
      </w:tr>
      <w:tr w:rsidR="00C438C7" w:rsidRPr="001415DB" w14:paraId="68223622" w14:textId="77777777" w:rsidTr="00C438C7">
        <w:tc>
          <w:tcPr>
            <w:tcW w:w="2509" w:type="dxa"/>
            <w:tcBorders>
              <w:top w:val="single" w:sz="4" w:space="0" w:color="auto"/>
              <w:left w:val="single" w:sz="4" w:space="0" w:color="auto"/>
              <w:bottom w:val="single" w:sz="4" w:space="0" w:color="auto"/>
              <w:right w:val="single" w:sz="4" w:space="0" w:color="auto"/>
            </w:tcBorders>
          </w:tcPr>
          <w:p w14:paraId="5ED6D906"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Headache</w:t>
            </w:r>
          </w:p>
        </w:tc>
        <w:tc>
          <w:tcPr>
            <w:tcW w:w="2436" w:type="dxa"/>
            <w:tcBorders>
              <w:top w:val="single" w:sz="4" w:space="0" w:color="auto"/>
              <w:left w:val="single" w:sz="4" w:space="0" w:color="auto"/>
              <w:bottom w:val="single" w:sz="4" w:space="0" w:color="auto"/>
              <w:right w:val="single" w:sz="4" w:space="0" w:color="auto"/>
            </w:tcBorders>
          </w:tcPr>
          <w:p w14:paraId="7350B0CE"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8</w:t>
            </w:r>
          </w:p>
        </w:tc>
        <w:tc>
          <w:tcPr>
            <w:tcW w:w="2790" w:type="dxa"/>
            <w:tcBorders>
              <w:top w:val="single" w:sz="4" w:space="0" w:color="auto"/>
              <w:left w:val="single" w:sz="4" w:space="0" w:color="auto"/>
              <w:bottom w:val="single" w:sz="4" w:space="0" w:color="auto"/>
              <w:right w:val="single" w:sz="4" w:space="0" w:color="auto"/>
            </w:tcBorders>
          </w:tcPr>
          <w:p w14:paraId="799BC67E"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11</w:t>
            </w:r>
          </w:p>
        </w:tc>
        <w:tc>
          <w:tcPr>
            <w:tcW w:w="1530" w:type="dxa"/>
          </w:tcPr>
          <w:p w14:paraId="681AD31F"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17</w:t>
            </w:r>
          </w:p>
        </w:tc>
      </w:tr>
      <w:tr w:rsidR="00C438C7" w:rsidRPr="001415DB" w14:paraId="5E2200DE" w14:textId="77777777" w:rsidTr="00C438C7">
        <w:tc>
          <w:tcPr>
            <w:tcW w:w="2509" w:type="dxa"/>
            <w:tcBorders>
              <w:top w:val="single" w:sz="4" w:space="0" w:color="auto"/>
              <w:left w:val="single" w:sz="4" w:space="0" w:color="auto"/>
              <w:bottom w:val="single" w:sz="4" w:space="0" w:color="auto"/>
              <w:right w:val="single" w:sz="4" w:space="0" w:color="auto"/>
            </w:tcBorders>
          </w:tcPr>
          <w:p w14:paraId="0383A972"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Oedema peripheral</w:t>
            </w:r>
          </w:p>
        </w:tc>
        <w:tc>
          <w:tcPr>
            <w:tcW w:w="2436" w:type="dxa"/>
            <w:tcBorders>
              <w:top w:val="single" w:sz="4" w:space="0" w:color="auto"/>
              <w:left w:val="single" w:sz="4" w:space="0" w:color="auto"/>
              <w:bottom w:val="single" w:sz="4" w:space="0" w:color="auto"/>
              <w:right w:val="single" w:sz="4" w:space="0" w:color="auto"/>
            </w:tcBorders>
          </w:tcPr>
          <w:p w14:paraId="6D082DE3"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7</w:t>
            </w:r>
          </w:p>
        </w:tc>
        <w:tc>
          <w:tcPr>
            <w:tcW w:w="2790" w:type="dxa"/>
            <w:tcBorders>
              <w:top w:val="single" w:sz="4" w:space="0" w:color="auto"/>
              <w:left w:val="single" w:sz="4" w:space="0" w:color="auto"/>
              <w:bottom w:val="single" w:sz="4" w:space="0" w:color="auto"/>
              <w:right w:val="single" w:sz="4" w:space="0" w:color="auto"/>
            </w:tcBorders>
          </w:tcPr>
          <w:p w14:paraId="6DD5557F"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5</w:t>
            </w:r>
          </w:p>
        </w:tc>
        <w:tc>
          <w:tcPr>
            <w:tcW w:w="1530" w:type="dxa"/>
          </w:tcPr>
          <w:p w14:paraId="2C3DE90A"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11</w:t>
            </w:r>
          </w:p>
        </w:tc>
      </w:tr>
      <w:tr w:rsidR="00C438C7" w:rsidRPr="001415DB" w14:paraId="35BBC408" w14:textId="77777777" w:rsidTr="00C438C7">
        <w:tc>
          <w:tcPr>
            <w:tcW w:w="2509" w:type="dxa"/>
            <w:tcBorders>
              <w:top w:val="single" w:sz="4" w:space="0" w:color="auto"/>
              <w:left w:val="single" w:sz="4" w:space="0" w:color="auto"/>
              <w:bottom w:val="single" w:sz="4" w:space="0" w:color="auto"/>
              <w:right w:val="single" w:sz="4" w:space="0" w:color="auto"/>
            </w:tcBorders>
          </w:tcPr>
          <w:p w14:paraId="5988357D"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Hypomagnesemia</w:t>
            </w:r>
          </w:p>
        </w:tc>
        <w:tc>
          <w:tcPr>
            <w:tcW w:w="2436" w:type="dxa"/>
            <w:tcBorders>
              <w:top w:val="single" w:sz="4" w:space="0" w:color="auto"/>
              <w:left w:val="single" w:sz="4" w:space="0" w:color="auto"/>
              <w:bottom w:val="single" w:sz="4" w:space="0" w:color="auto"/>
              <w:right w:val="single" w:sz="4" w:space="0" w:color="auto"/>
            </w:tcBorders>
          </w:tcPr>
          <w:p w14:paraId="5978EB61"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4</w:t>
            </w:r>
          </w:p>
        </w:tc>
        <w:tc>
          <w:tcPr>
            <w:tcW w:w="2790" w:type="dxa"/>
            <w:tcBorders>
              <w:top w:val="single" w:sz="4" w:space="0" w:color="auto"/>
              <w:left w:val="single" w:sz="4" w:space="0" w:color="auto"/>
              <w:bottom w:val="single" w:sz="4" w:space="0" w:color="auto"/>
              <w:right w:val="single" w:sz="4" w:space="0" w:color="auto"/>
            </w:tcBorders>
          </w:tcPr>
          <w:p w14:paraId="0EEAC275"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4</w:t>
            </w:r>
          </w:p>
        </w:tc>
        <w:tc>
          <w:tcPr>
            <w:tcW w:w="1530" w:type="dxa"/>
          </w:tcPr>
          <w:p w14:paraId="5F32AA4A"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15</w:t>
            </w:r>
          </w:p>
        </w:tc>
      </w:tr>
      <w:tr w:rsidR="00C438C7" w:rsidRPr="001415DB" w14:paraId="3A64A5D0" w14:textId="77777777" w:rsidTr="00C438C7">
        <w:tc>
          <w:tcPr>
            <w:tcW w:w="2509" w:type="dxa"/>
            <w:tcBorders>
              <w:top w:val="single" w:sz="4" w:space="0" w:color="auto"/>
              <w:left w:val="single" w:sz="4" w:space="0" w:color="auto"/>
              <w:bottom w:val="single" w:sz="4" w:space="0" w:color="auto"/>
              <w:right w:val="single" w:sz="4" w:space="0" w:color="auto"/>
            </w:tcBorders>
          </w:tcPr>
          <w:p w14:paraId="7F5C3700"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Hypertension</w:t>
            </w:r>
          </w:p>
        </w:tc>
        <w:tc>
          <w:tcPr>
            <w:tcW w:w="2436" w:type="dxa"/>
            <w:tcBorders>
              <w:top w:val="single" w:sz="4" w:space="0" w:color="auto"/>
              <w:left w:val="single" w:sz="4" w:space="0" w:color="auto"/>
              <w:bottom w:val="single" w:sz="4" w:space="0" w:color="auto"/>
              <w:right w:val="single" w:sz="4" w:space="0" w:color="auto"/>
            </w:tcBorders>
          </w:tcPr>
          <w:p w14:paraId="0FB701E0"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4</w:t>
            </w:r>
          </w:p>
        </w:tc>
        <w:tc>
          <w:tcPr>
            <w:tcW w:w="2790" w:type="dxa"/>
            <w:tcBorders>
              <w:top w:val="single" w:sz="4" w:space="0" w:color="auto"/>
              <w:left w:val="single" w:sz="4" w:space="0" w:color="auto"/>
              <w:bottom w:val="single" w:sz="4" w:space="0" w:color="auto"/>
              <w:right w:val="single" w:sz="4" w:space="0" w:color="auto"/>
            </w:tcBorders>
          </w:tcPr>
          <w:p w14:paraId="7ACFA00D"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2</w:t>
            </w:r>
          </w:p>
        </w:tc>
        <w:tc>
          <w:tcPr>
            <w:tcW w:w="1530" w:type="dxa"/>
          </w:tcPr>
          <w:p w14:paraId="0A3BFCF9"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13</w:t>
            </w:r>
          </w:p>
        </w:tc>
      </w:tr>
      <w:tr w:rsidR="00C438C7" w:rsidRPr="001415DB" w14:paraId="5E3F09F2" w14:textId="77777777" w:rsidTr="00C438C7">
        <w:tc>
          <w:tcPr>
            <w:tcW w:w="2509" w:type="dxa"/>
            <w:tcBorders>
              <w:top w:val="single" w:sz="4" w:space="0" w:color="auto"/>
              <w:left w:val="single" w:sz="4" w:space="0" w:color="auto"/>
              <w:bottom w:val="single" w:sz="4" w:space="0" w:color="auto"/>
              <w:right w:val="single" w:sz="4" w:space="0" w:color="auto"/>
            </w:tcBorders>
          </w:tcPr>
          <w:p w14:paraId="4239EFBC" w14:textId="60F22AF1" w:rsidR="00C438C7" w:rsidRPr="00CA71E4" w:rsidRDefault="00CF0337" w:rsidP="00CA71E4">
            <w:pPr>
              <w:pStyle w:val="BodyText"/>
              <w:spacing w:line="240" w:lineRule="auto"/>
              <w:ind w:leftChars="0" w:left="0"/>
              <w:rPr>
                <w:bCs/>
                <w:szCs w:val="22"/>
                <w:lang w:val="en-AU"/>
              </w:rPr>
            </w:pPr>
            <w:r w:rsidRPr="00CA71E4">
              <w:rPr>
                <w:bCs/>
                <w:szCs w:val="22"/>
                <w:lang w:val="en-AU"/>
              </w:rPr>
              <w:t>Hypokalaemia</w:t>
            </w:r>
          </w:p>
        </w:tc>
        <w:tc>
          <w:tcPr>
            <w:tcW w:w="2436" w:type="dxa"/>
            <w:tcBorders>
              <w:top w:val="single" w:sz="4" w:space="0" w:color="auto"/>
              <w:left w:val="single" w:sz="4" w:space="0" w:color="auto"/>
              <w:bottom w:val="single" w:sz="4" w:space="0" w:color="auto"/>
              <w:right w:val="single" w:sz="4" w:space="0" w:color="auto"/>
            </w:tcBorders>
          </w:tcPr>
          <w:p w14:paraId="43AECA9A"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3</w:t>
            </w:r>
          </w:p>
        </w:tc>
        <w:tc>
          <w:tcPr>
            <w:tcW w:w="2790" w:type="dxa"/>
            <w:tcBorders>
              <w:top w:val="single" w:sz="4" w:space="0" w:color="auto"/>
              <w:left w:val="single" w:sz="4" w:space="0" w:color="auto"/>
              <w:bottom w:val="single" w:sz="4" w:space="0" w:color="auto"/>
              <w:right w:val="single" w:sz="4" w:space="0" w:color="auto"/>
            </w:tcBorders>
          </w:tcPr>
          <w:p w14:paraId="239F3E7A"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2</w:t>
            </w:r>
          </w:p>
        </w:tc>
        <w:tc>
          <w:tcPr>
            <w:tcW w:w="1530" w:type="dxa"/>
          </w:tcPr>
          <w:p w14:paraId="2F2CA191"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19</w:t>
            </w:r>
          </w:p>
        </w:tc>
      </w:tr>
      <w:tr w:rsidR="00C438C7" w:rsidRPr="001415DB" w14:paraId="49FBB6A8" w14:textId="77777777" w:rsidTr="00C438C7">
        <w:tc>
          <w:tcPr>
            <w:tcW w:w="2509" w:type="dxa"/>
            <w:tcBorders>
              <w:top w:val="single" w:sz="4" w:space="0" w:color="auto"/>
              <w:left w:val="single" w:sz="4" w:space="0" w:color="auto"/>
              <w:bottom w:val="single" w:sz="4" w:space="0" w:color="auto"/>
              <w:right w:val="single" w:sz="4" w:space="0" w:color="auto"/>
            </w:tcBorders>
          </w:tcPr>
          <w:p w14:paraId="336D73B0" w14:textId="77777777" w:rsidR="00C438C7" w:rsidRPr="00CA71E4" w:rsidRDefault="00C438C7" w:rsidP="00CA71E4">
            <w:pPr>
              <w:pStyle w:val="BodyText"/>
              <w:spacing w:line="240" w:lineRule="auto"/>
              <w:ind w:leftChars="0" w:left="0"/>
              <w:rPr>
                <w:bCs/>
                <w:szCs w:val="22"/>
                <w:lang w:val="en-AU"/>
              </w:rPr>
            </w:pPr>
            <w:r w:rsidRPr="00CA71E4">
              <w:rPr>
                <w:bCs/>
                <w:szCs w:val="22"/>
                <w:lang w:val="en-AU"/>
              </w:rPr>
              <w:t>Leukopenia</w:t>
            </w:r>
          </w:p>
        </w:tc>
        <w:tc>
          <w:tcPr>
            <w:tcW w:w="2436" w:type="dxa"/>
            <w:tcBorders>
              <w:top w:val="single" w:sz="4" w:space="0" w:color="auto"/>
              <w:left w:val="single" w:sz="4" w:space="0" w:color="auto"/>
              <w:bottom w:val="single" w:sz="4" w:space="0" w:color="auto"/>
              <w:right w:val="single" w:sz="4" w:space="0" w:color="auto"/>
            </w:tcBorders>
          </w:tcPr>
          <w:p w14:paraId="08FBFA90"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3</w:t>
            </w:r>
          </w:p>
        </w:tc>
        <w:tc>
          <w:tcPr>
            <w:tcW w:w="2790" w:type="dxa"/>
            <w:tcBorders>
              <w:top w:val="single" w:sz="4" w:space="0" w:color="auto"/>
              <w:left w:val="single" w:sz="4" w:space="0" w:color="auto"/>
              <w:bottom w:val="single" w:sz="4" w:space="0" w:color="auto"/>
              <w:right w:val="single" w:sz="4" w:space="0" w:color="auto"/>
            </w:tcBorders>
          </w:tcPr>
          <w:p w14:paraId="45C80EB3"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13</w:t>
            </w:r>
          </w:p>
        </w:tc>
        <w:tc>
          <w:tcPr>
            <w:tcW w:w="1530" w:type="dxa"/>
          </w:tcPr>
          <w:p w14:paraId="26E8BF32" w14:textId="77777777" w:rsidR="00C438C7" w:rsidRPr="00CA71E4" w:rsidRDefault="00C438C7" w:rsidP="000B5F86">
            <w:pPr>
              <w:pStyle w:val="BodyText"/>
              <w:spacing w:line="240" w:lineRule="auto"/>
              <w:ind w:leftChars="0" w:left="0"/>
              <w:jc w:val="center"/>
              <w:rPr>
                <w:bCs/>
                <w:szCs w:val="22"/>
                <w:lang w:val="en-AU"/>
              </w:rPr>
            </w:pPr>
            <w:r w:rsidRPr="00CA71E4">
              <w:rPr>
                <w:bCs/>
                <w:szCs w:val="22"/>
                <w:lang w:val="en-AU"/>
              </w:rPr>
              <w:t>2</w:t>
            </w:r>
          </w:p>
        </w:tc>
      </w:tr>
    </w:tbl>
    <w:p w14:paraId="589B2E89" w14:textId="6C60DCEA" w:rsidR="00C438C7" w:rsidRDefault="00C438C7" w:rsidP="00C438C7">
      <w:pPr>
        <w:pStyle w:val="C-BodyText"/>
        <w:spacing w:before="0" w:after="0"/>
        <w:ind w:left="90"/>
        <w:rPr>
          <w:sz w:val="20"/>
        </w:rPr>
      </w:pPr>
      <w:r w:rsidRPr="001415DB">
        <w:rPr>
          <w:sz w:val="20"/>
          <w:vertAlign w:val="superscript"/>
        </w:rPr>
        <w:t>a</w:t>
      </w:r>
      <w:r w:rsidRPr="001415DB">
        <w:rPr>
          <w:sz w:val="20"/>
        </w:rPr>
        <w:t xml:space="preserve"> taste disturbance includes the following reported preferred terms: ageusia, dysgeusia, hypogeusia and taste disorder</w:t>
      </w:r>
    </w:p>
    <w:p w14:paraId="3C8FD713" w14:textId="0CD68E38" w:rsidR="00E13C8C" w:rsidRDefault="00E13C8C" w:rsidP="006F3DC7">
      <w:pPr>
        <w:pStyle w:val="C-BodyText"/>
        <w:spacing w:before="180"/>
        <w:rPr>
          <w:rFonts w:eastAsiaTheme="minorHAnsi"/>
          <w:szCs w:val="24"/>
          <w:lang w:val="en-AU"/>
        </w:rPr>
      </w:pPr>
      <w:r w:rsidRPr="00BB63F2">
        <w:rPr>
          <w:rFonts w:eastAsiaTheme="minorHAnsi"/>
          <w:szCs w:val="24"/>
          <w:lang w:val="en-AU"/>
        </w:rPr>
        <w:t>T</w:t>
      </w:r>
      <w:r w:rsidRPr="00CA065D">
        <w:rPr>
          <w:rFonts w:eastAsiaTheme="minorHAnsi"/>
          <w:szCs w:val="24"/>
          <w:lang w:val="en-AU"/>
        </w:rPr>
        <w:t xml:space="preserve">he </w:t>
      </w:r>
      <w:proofErr w:type="gramStart"/>
      <w:r w:rsidRPr="00CA065D">
        <w:rPr>
          <w:rFonts w:eastAsiaTheme="minorHAnsi"/>
          <w:szCs w:val="24"/>
          <w:lang w:val="en-AU"/>
        </w:rPr>
        <w:t>most commonly reported</w:t>
      </w:r>
      <w:proofErr w:type="gramEnd"/>
      <w:r w:rsidRPr="00CA065D">
        <w:rPr>
          <w:rFonts w:eastAsiaTheme="minorHAnsi"/>
          <w:szCs w:val="24"/>
          <w:lang w:val="en-AU"/>
        </w:rPr>
        <w:t xml:space="preserve"> adverse reactions occurring in at least 10% of subjects in the LIVTENCITY group were: taste disturbance (46%), nausea (21%), diarrhoea (19%), vomiting (14%), and fatigue (12%).  The </w:t>
      </w:r>
      <w:proofErr w:type="gramStart"/>
      <w:r w:rsidRPr="00CA065D">
        <w:rPr>
          <w:rFonts w:eastAsiaTheme="minorHAnsi"/>
          <w:szCs w:val="24"/>
          <w:lang w:val="en-AU"/>
        </w:rPr>
        <w:t>most commonly reported</w:t>
      </w:r>
      <w:proofErr w:type="gramEnd"/>
      <w:r w:rsidRPr="00CA065D">
        <w:rPr>
          <w:rFonts w:eastAsiaTheme="minorHAnsi"/>
          <w:szCs w:val="24"/>
          <w:lang w:val="en-AU"/>
        </w:rPr>
        <w:t xml:space="preserve"> serious adverse reactions were diarrhoea (2%), and nausea, weight decreased, fatigue, immunosuppressant drug concentration level increased, and vomiting occurring at &lt; 1%</w:t>
      </w:r>
      <w:r w:rsidRPr="009D49EE">
        <w:rPr>
          <w:rFonts w:eastAsiaTheme="minorHAnsi"/>
          <w:szCs w:val="24"/>
          <w:lang w:val="en-AU"/>
        </w:rPr>
        <w:t>.</w:t>
      </w:r>
    </w:p>
    <w:p w14:paraId="753AB8D5" w14:textId="6C1D30C2" w:rsidR="00E13C8C" w:rsidRPr="00917048" w:rsidRDefault="00E13C8C" w:rsidP="00511E9F">
      <w:pPr>
        <w:spacing w:before="240"/>
        <w:rPr>
          <w:rFonts w:ascii="Times New Roman" w:hAnsi="Times New Roman" w:cs="Times New Roman"/>
          <w:sz w:val="24"/>
          <w:szCs w:val="24"/>
        </w:rPr>
      </w:pPr>
      <w:r w:rsidRPr="00917048">
        <w:rPr>
          <w:rFonts w:ascii="Times New Roman" w:hAnsi="Times New Roman" w:cs="Times New Roman"/>
          <w:sz w:val="24"/>
          <w:szCs w:val="24"/>
        </w:rPr>
        <w:t>Treatment-emergent serious adverse events (SAEs) considered related to study-assigned treatment occurred less frequently in the LIVTENCITY group than in the IAT group (5.1% and 14.7%</w:t>
      </w:r>
      <w:r w:rsidR="004E3709" w:rsidRPr="00917048">
        <w:rPr>
          <w:rFonts w:ascii="Times New Roman" w:hAnsi="Times New Roman" w:cs="Times New Roman"/>
          <w:sz w:val="24"/>
          <w:szCs w:val="24"/>
        </w:rPr>
        <w:t xml:space="preserve"> </w:t>
      </w:r>
      <w:r w:rsidRPr="00917048">
        <w:rPr>
          <w:rFonts w:ascii="Times New Roman" w:hAnsi="Times New Roman" w:cs="Times New Roman"/>
          <w:sz w:val="24"/>
          <w:szCs w:val="24"/>
        </w:rPr>
        <w:t xml:space="preserve">respectively).  No patients in the LIVTENCITY group experienced serious, drug-related neutropenia or febrile neutropenia. In contrast in patients treated with ganciclovir/valganciclovir, 4% of patients had serious related neutropenia and 7% had serious related febrile neutropenia.  In addition, 1% of patients in the </w:t>
      </w:r>
      <w:r w:rsidR="003D72FC" w:rsidRPr="00917048">
        <w:rPr>
          <w:rFonts w:ascii="Times New Roman" w:hAnsi="Times New Roman" w:cs="Times New Roman"/>
          <w:sz w:val="24"/>
          <w:szCs w:val="24"/>
        </w:rPr>
        <w:t>LIVTENCITY</w:t>
      </w:r>
      <w:r w:rsidRPr="00917048">
        <w:rPr>
          <w:rFonts w:ascii="Times New Roman" w:hAnsi="Times New Roman" w:cs="Times New Roman"/>
          <w:sz w:val="24"/>
          <w:szCs w:val="24"/>
        </w:rPr>
        <w:t xml:space="preserve"> group and 11% in the </w:t>
      </w:r>
      <w:proofErr w:type="spellStart"/>
      <w:r w:rsidRPr="00917048">
        <w:rPr>
          <w:rFonts w:ascii="Times New Roman" w:hAnsi="Times New Roman" w:cs="Times New Roman"/>
          <w:sz w:val="24"/>
          <w:szCs w:val="24"/>
        </w:rPr>
        <w:t>foscarnet</w:t>
      </w:r>
      <w:proofErr w:type="spellEnd"/>
      <w:r w:rsidRPr="00917048">
        <w:rPr>
          <w:rFonts w:ascii="Times New Roman" w:hAnsi="Times New Roman" w:cs="Times New Roman"/>
          <w:sz w:val="24"/>
          <w:szCs w:val="24"/>
        </w:rPr>
        <w:t xml:space="preserve"> group experienced serious related renal disorders (acute kidney injury and renal impairment). </w:t>
      </w:r>
    </w:p>
    <w:p w14:paraId="014FDB6D" w14:textId="28205177" w:rsidR="00CA71E4" w:rsidRDefault="00E13C8C" w:rsidP="00DD2F3A">
      <w:pPr>
        <w:rPr>
          <w:rFonts w:ascii="Times New Roman" w:hAnsi="Times New Roman" w:cs="Times New Roman"/>
          <w:sz w:val="24"/>
          <w:szCs w:val="24"/>
        </w:rPr>
      </w:pPr>
      <w:r w:rsidRPr="00917048">
        <w:rPr>
          <w:rFonts w:ascii="Times New Roman" w:hAnsi="Times New Roman" w:cs="Times New Roman"/>
          <w:sz w:val="24"/>
          <w:szCs w:val="24"/>
        </w:rPr>
        <w:t>The following convention is used for the classification of the frequency of an adverse drug reaction (ADR) and is based on the Council for International Organizations of Medical Sciences (CIOMS) guidelines: very common (≥ 1/10); common (≥ 1/100 to &lt; 1/10); uncommon (≥ 1/1,000 to &lt; 1/100); rare (≥ 1/10,000 to &lt; 1/1,000); very rare (&lt; 1/10,000).</w:t>
      </w:r>
    </w:p>
    <w:p w14:paraId="3DACBC02" w14:textId="7B1FF77E" w:rsidR="004B1D0D" w:rsidRPr="001415DB" w:rsidRDefault="004B1D0D" w:rsidP="004B1D0D">
      <w:pPr>
        <w:pStyle w:val="Caption"/>
        <w:spacing w:after="120"/>
        <w:rPr>
          <w:lang w:val="en-AU"/>
        </w:rPr>
      </w:pPr>
      <w:r w:rsidRPr="001415DB">
        <w:rPr>
          <w:lang w:val="en-AU"/>
        </w:rPr>
        <w:lastRenderedPageBreak/>
        <w:t xml:space="preserve">Table </w:t>
      </w:r>
      <w:r w:rsidR="004E3D50" w:rsidRPr="001415DB">
        <w:rPr>
          <w:lang w:val="en-AU"/>
        </w:rPr>
        <w:t>3</w:t>
      </w:r>
      <w:r w:rsidRPr="001415DB">
        <w:rPr>
          <w:lang w:val="en-AU"/>
        </w:rPr>
        <w:t>: Adverse Drug Reactions Associated with LIVTENCITY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2521"/>
        <w:gridCol w:w="3350"/>
      </w:tblGrid>
      <w:tr w:rsidR="00771807" w:rsidRPr="001415DB" w14:paraId="288EB1AA" w14:textId="77777777" w:rsidTr="007C50B0">
        <w:trPr>
          <w:trHeight w:val="413"/>
          <w:tblHeader/>
        </w:trPr>
        <w:tc>
          <w:tcPr>
            <w:tcW w:w="1744" w:type="pct"/>
            <w:shd w:val="clear" w:color="auto" w:fill="auto"/>
            <w:hideMark/>
          </w:tcPr>
          <w:p w14:paraId="2D1ACF70" w14:textId="77777777" w:rsidR="00771807" w:rsidRPr="001415DB" w:rsidRDefault="00771807" w:rsidP="00BB63F2">
            <w:pPr>
              <w:pStyle w:val="BodyText"/>
              <w:spacing w:line="240" w:lineRule="auto"/>
              <w:ind w:leftChars="45" w:left="99"/>
              <w:rPr>
                <w:b/>
                <w:bCs/>
                <w:szCs w:val="22"/>
                <w:lang w:val="en-AU"/>
              </w:rPr>
            </w:pPr>
            <w:r w:rsidRPr="001415DB">
              <w:rPr>
                <w:b/>
                <w:bCs/>
                <w:szCs w:val="22"/>
                <w:lang w:val="en-AU"/>
              </w:rPr>
              <w:t>System Organ Class</w:t>
            </w:r>
          </w:p>
        </w:tc>
        <w:tc>
          <w:tcPr>
            <w:tcW w:w="1398" w:type="pct"/>
            <w:shd w:val="clear" w:color="auto" w:fill="auto"/>
            <w:hideMark/>
          </w:tcPr>
          <w:p w14:paraId="7894B6E1" w14:textId="77777777" w:rsidR="00771807" w:rsidRPr="001415DB" w:rsidRDefault="00771807" w:rsidP="00BB63F2">
            <w:pPr>
              <w:pStyle w:val="BodyText"/>
              <w:spacing w:line="240" w:lineRule="auto"/>
              <w:ind w:leftChars="45" w:left="99"/>
              <w:rPr>
                <w:b/>
                <w:bCs/>
                <w:szCs w:val="22"/>
                <w:lang w:val="en-AU"/>
              </w:rPr>
            </w:pPr>
            <w:r w:rsidRPr="001415DB">
              <w:rPr>
                <w:b/>
                <w:bCs/>
                <w:szCs w:val="22"/>
                <w:lang w:val="en-AU"/>
              </w:rPr>
              <w:t>Frequency</w:t>
            </w:r>
          </w:p>
        </w:tc>
        <w:tc>
          <w:tcPr>
            <w:tcW w:w="1858" w:type="pct"/>
            <w:shd w:val="clear" w:color="auto" w:fill="auto"/>
            <w:hideMark/>
          </w:tcPr>
          <w:p w14:paraId="7C38C29B" w14:textId="77777777" w:rsidR="00771807" w:rsidRPr="001415DB" w:rsidRDefault="00771807" w:rsidP="00BB63F2">
            <w:pPr>
              <w:pStyle w:val="BodyText"/>
              <w:spacing w:line="240" w:lineRule="auto"/>
              <w:ind w:leftChars="45" w:left="99"/>
              <w:rPr>
                <w:b/>
                <w:bCs/>
                <w:szCs w:val="22"/>
                <w:lang w:val="en-AU"/>
              </w:rPr>
            </w:pPr>
            <w:r w:rsidRPr="001415DB">
              <w:rPr>
                <w:b/>
                <w:bCs/>
                <w:szCs w:val="22"/>
                <w:lang w:val="en-AU"/>
              </w:rPr>
              <w:t>Adverse Reactions</w:t>
            </w:r>
          </w:p>
        </w:tc>
      </w:tr>
      <w:tr w:rsidR="00771807" w:rsidRPr="001415DB" w14:paraId="48C2BAD4" w14:textId="77777777" w:rsidTr="007C50B0">
        <w:trPr>
          <w:trHeight w:val="458"/>
        </w:trPr>
        <w:tc>
          <w:tcPr>
            <w:tcW w:w="1744" w:type="pct"/>
            <w:vMerge w:val="restart"/>
            <w:shd w:val="clear" w:color="auto" w:fill="auto"/>
          </w:tcPr>
          <w:p w14:paraId="05429C41" w14:textId="77777777" w:rsidR="00771807" w:rsidRPr="001415DB" w:rsidRDefault="00771807" w:rsidP="00BB63F2">
            <w:pPr>
              <w:pStyle w:val="BodyText"/>
              <w:spacing w:line="240" w:lineRule="auto"/>
              <w:ind w:leftChars="45" w:left="99"/>
              <w:rPr>
                <w:b/>
                <w:szCs w:val="22"/>
                <w:lang w:val="en-AU"/>
              </w:rPr>
            </w:pPr>
            <w:r w:rsidRPr="001415DB">
              <w:rPr>
                <w:b/>
                <w:szCs w:val="22"/>
                <w:lang w:val="en-AU"/>
              </w:rPr>
              <w:t>Nervous system disorders</w:t>
            </w:r>
          </w:p>
        </w:tc>
        <w:tc>
          <w:tcPr>
            <w:tcW w:w="1398" w:type="pct"/>
            <w:shd w:val="clear" w:color="auto" w:fill="auto"/>
          </w:tcPr>
          <w:p w14:paraId="677126C1"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Very Common</w:t>
            </w:r>
          </w:p>
        </w:tc>
        <w:tc>
          <w:tcPr>
            <w:tcW w:w="1858" w:type="pct"/>
            <w:shd w:val="clear" w:color="auto" w:fill="auto"/>
          </w:tcPr>
          <w:p w14:paraId="7AE89C57"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 xml:space="preserve">Taste </w:t>
            </w:r>
            <w:proofErr w:type="spellStart"/>
            <w:r w:rsidRPr="00CA71E4">
              <w:rPr>
                <w:bCs/>
                <w:szCs w:val="22"/>
                <w:lang w:val="en-AU"/>
              </w:rPr>
              <w:t>disturbance</w:t>
            </w:r>
            <w:r w:rsidRPr="00CA71E4">
              <w:rPr>
                <w:bCs/>
                <w:szCs w:val="22"/>
                <w:vertAlign w:val="superscript"/>
                <w:lang w:val="en-AU"/>
              </w:rPr>
              <w:t>a</w:t>
            </w:r>
            <w:proofErr w:type="spellEnd"/>
          </w:p>
        </w:tc>
      </w:tr>
      <w:tr w:rsidR="00771807" w:rsidRPr="001415DB" w14:paraId="2A87C391" w14:textId="77777777" w:rsidTr="007C50B0">
        <w:trPr>
          <w:trHeight w:val="359"/>
        </w:trPr>
        <w:tc>
          <w:tcPr>
            <w:tcW w:w="1744" w:type="pct"/>
            <w:vMerge/>
            <w:shd w:val="clear" w:color="auto" w:fill="auto"/>
          </w:tcPr>
          <w:p w14:paraId="71862F5A" w14:textId="77777777" w:rsidR="00771807" w:rsidRPr="001415DB" w:rsidRDefault="00771807" w:rsidP="00BB63F2">
            <w:pPr>
              <w:pStyle w:val="BodyText"/>
              <w:spacing w:line="240" w:lineRule="auto"/>
              <w:ind w:leftChars="45" w:left="99"/>
              <w:rPr>
                <w:b/>
                <w:szCs w:val="22"/>
                <w:lang w:val="en-AU"/>
              </w:rPr>
            </w:pPr>
          </w:p>
        </w:tc>
        <w:tc>
          <w:tcPr>
            <w:tcW w:w="1398" w:type="pct"/>
            <w:shd w:val="clear" w:color="auto" w:fill="auto"/>
          </w:tcPr>
          <w:p w14:paraId="43D395D1"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Common</w:t>
            </w:r>
          </w:p>
        </w:tc>
        <w:tc>
          <w:tcPr>
            <w:tcW w:w="1858" w:type="pct"/>
            <w:shd w:val="clear" w:color="auto" w:fill="auto"/>
          </w:tcPr>
          <w:p w14:paraId="27275229"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Headache</w:t>
            </w:r>
          </w:p>
        </w:tc>
      </w:tr>
      <w:tr w:rsidR="00771807" w:rsidRPr="001415DB" w14:paraId="4718C7B9" w14:textId="77777777" w:rsidTr="007C50B0">
        <w:trPr>
          <w:trHeight w:val="440"/>
        </w:trPr>
        <w:tc>
          <w:tcPr>
            <w:tcW w:w="1744" w:type="pct"/>
            <w:vMerge w:val="restart"/>
            <w:shd w:val="clear" w:color="auto" w:fill="auto"/>
          </w:tcPr>
          <w:p w14:paraId="35664EE5" w14:textId="77777777" w:rsidR="00771807" w:rsidRPr="001415DB" w:rsidRDefault="00771807" w:rsidP="00BB63F2">
            <w:pPr>
              <w:pStyle w:val="BodyText"/>
              <w:spacing w:line="240" w:lineRule="auto"/>
              <w:ind w:leftChars="45" w:left="99"/>
              <w:rPr>
                <w:b/>
                <w:szCs w:val="22"/>
                <w:lang w:val="en-AU"/>
              </w:rPr>
            </w:pPr>
            <w:r w:rsidRPr="001415DB">
              <w:rPr>
                <w:b/>
                <w:szCs w:val="22"/>
                <w:lang w:val="en-AU"/>
              </w:rPr>
              <w:t>Gastrointestinal disorders</w:t>
            </w:r>
          </w:p>
        </w:tc>
        <w:tc>
          <w:tcPr>
            <w:tcW w:w="1398" w:type="pct"/>
            <w:shd w:val="clear" w:color="auto" w:fill="auto"/>
          </w:tcPr>
          <w:p w14:paraId="30ED6A07"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Very Common</w:t>
            </w:r>
          </w:p>
        </w:tc>
        <w:tc>
          <w:tcPr>
            <w:tcW w:w="1858" w:type="pct"/>
            <w:shd w:val="clear" w:color="auto" w:fill="auto"/>
          </w:tcPr>
          <w:p w14:paraId="1F096949" w14:textId="6C94F1B8" w:rsidR="00771807" w:rsidRPr="00CA71E4" w:rsidRDefault="00771807" w:rsidP="00CA71E4">
            <w:pPr>
              <w:pStyle w:val="BodyText"/>
              <w:spacing w:line="240" w:lineRule="auto"/>
              <w:ind w:leftChars="0" w:left="0"/>
              <w:rPr>
                <w:bCs/>
                <w:szCs w:val="22"/>
                <w:lang w:val="en-AU"/>
              </w:rPr>
            </w:pPr>
            <w:r w:rsidRPr="00CA71E4">
              <w:rPr>
                <w:bCs/>
                <w:szCs w:val="22"/>
                <w:lang w:val="en-AU"/>
              </w:rPr>
              <w:t xml:space="preserve">Diarrhoea, </w:t>
            </w:r>
            <w:r w:rsidR="00CA71E4">
              <w:rPr>
                <w:bCs/>
                <w:szCs w:val="22"/>
                <w:lang w:val="en-AU"/>
              </w:rPr>
              <w:t>n</w:t>
            </w:r>
            <w:r w:rsidRPr="00CA71E4">
              <w:rPr>
                <w:bCs/>
                <w:szCs w:val="22"/>
                <w:lang w:val="en-AU"/>
              </w:rPr>
              <w:t xml:space="preserve">ausea, </w:t>
            </w:r>
            <w:r w:rsidR="00CA71E4">
              <w:rPr>
                <w:bCs/>
                <w:szCs w:val="22"/>
                <w:lang w:val="en-AU"/>
              </w:rPr>
              <w:t>v</w:t>
            </w:r>
            <w:r w:rsidRPr="00CA71E4">
              <w:rPr>
                <w:bCs/>
                <w:szCs w:val="22"/>
                <w:lang w:val="en-AU"/>
              </w:rPr>
              <w:t>omiting</w:t>
            </w:r>
          </w:p>
        </w:tc>
      </w:tr>
      <w:tr w:rsidR="00771807" w:rsidRPr="001415DB" w14:paraId="3B20B29C" w14:textId="77777777" w:rsidTr="007C50B0">
        <w:trPr>
          <w:trHeight w:val="287"/>
        </w:trPr>
        <w:tc>
          <w:tcPr>
            <w:tcW w:w="1744" w:type="pct"/>
            <w:vMerge/>
            <w:shd w:val="clear" w:color="auto" w:fill="auto"/>
          </w:tcPr>
          <w:p w14:paraId="1CB2D282" w14:textId="77777777" w:rsidR="00771807" w:rsidRPr="001415DB" w:rsidRDefault="00771807" w:rsidP="00BB63F2">
            <w:pPr>
              <w:pStyle w:val="BodyText"/>
              <w:spacing w:line="240" w:lineRule="auto"/>
              <w:ind w:leftChars="45" w:left="99"/>
              <w:rPr>
                <w:b/>
                <w:szCs w:val="22"/>
                <w:lang w:val="en-AU"/>
              </w:rPr>
            </w:pPr>
          </w:p>
        </w:tc>
        <w:tc>
          <w:tcPr>
            <w:tcW w:w="1398" w:type="pct"/>
            <w:shd w:val="clear" w:color="auto" w:fill="auto"/>
          </w:tcPr>
          <w:p w14:paraId="134297F3"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Common</w:t>
            </w:r>
          </w:p>
        </w:tc>
        <w:tc>
          <w:tcPr>
            <w:tcW w:w="1858" w:type="pct"/>
            <w:shd w:val="clear" w:color="auto" w:fill="auto"/>
          </w:tcPr>
          <w:p w14:paraId="7CCC0D21"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Abdominal pain upper</w:t>
            </w:r>
          </w:p>
        </w:tc>
      </w:tr>
      <w:tr w:rsidR="00771807" w:rsidRPr="001415DB" w14:paraId="38527261" w14:textId="77777777" w:rsidTr="007C50B0">
        <w:trPr>
          <w:trHeight w:val="287"/>
        </w:trPr>
        <w:tc>
          <w:tcPr>
            <w:tcW w:w="1744" w:type="pct"/>
            <w:vMerge w:val="restart"/>
            <w:shd w:val="clear" w:color="auto" w:fill="auto"/>
          </w:tcPr>
          <w:p w14:paraId="7070DBD1" w14:textId="77777777" w:rsidR="00771807" w:rsidRPr="001415DB" w:rsidRDefault="00771807" w:rsidP="00BB63F2">
            <w:pPr>
              <w:pStyle w:val="BodyText"/>
              <w:spacing w:line="240" w:lineRule="auto"/>
              <w:ind w:leftChars="45" w:left="99"/>
              <w:rPr>
                <w:b/>
                <w:szCs w:val="22"/>
                <w:lang w:val="en-AU"/>
              </w:rPr>
            </w:pPr>
            <w:r w:rsidRPr="001415DB">
              <w:rPr>
                <w:b/>
                <w:szCs w:val="22"/>
                <w:lang w:val="en-AU"/>
              </w:rPr>
              <w:t>General disorders and administration site conditions</w:t>
            </w:r>
          </w:p>
        </w:tc>
        <w:tc>
          <w:tcPr>
            <w:tcW w:w="1398" w:type="pct"/>
            <w:shd w:val="clear" w:color="auto" w:fill="auto"/>
          </w:tcPr>
          <w:p w14:paraId="34ADD644"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 xml:space="preserve">Very Common </w:t>
            </w:r>
          </w:p>
        </w:tc>
        <w:tc>
          <w:tcPr>
            <w:tcW w:w="1858" w:type="pct"/>
            <w:shd w:val="clear" w:color="auto" w:fill="auto"/>
          </w:tcPr>
          <w:p w14:paraId="0C01B391"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Fatigue</w:t>
            </w:r>
          </w:p>
        </w:tc>
      </w:tr>
      <w:tr w:rsidR="00771807" w:rsidRPr="001415DB" w14:paraId="33E983E3" w14:textId="77777777" w:rsidTr="007C50B0">
        <w:trPr>
          <w:trHeight w:val="341"/>
        </w:trPr>
        <w:tc>
          <w:tcPr>
            <w:tcW w:w="1744" w:type="pct"/>
            <w:vMerge/>
            <w:shd w:val="clear" w:color="auto" w:fill="auto"/>
          </w:tcPr>
          <w:p w14:paraId="4DFACFA0" w14:textId="77777777" w:rsidR="00771807" w:rsidRPr="001415DB" w:rsidRDefault="00771807" w:rsidP="00BB63F2">
            <w:pPr>
              <w:pStyle w:val="BodyText"/>
              <w:spacing w:line="240" w:lineRule="auto"/>
              <w:ind w:leftChars="45" w:left="99"/>
              <w:rPr>
                <w:b/>
                <w:szCs w:val="22"/>
                <w:lang w:val="en-AU"/>
              </w:rPr>
            </w:pPr>
          </w:p>
        </w:tc>
        <w:tc>
          <w:tcPr>
            <w:tcW w:w="1398" w:type="pct"/>
            <w:shd w:val="clear" w:color="auto" w:fill="auto"/>
          </w:tcPr>
          <w:p w14:paraId="29FC058B"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Common</w:t>
            </w:r>
          </w:p>
        </w:tc>
        <w:tc>
          <w:tcPr>
            <w:tcW w:w="1858" w:type="pct"/>
            <w:shd w:val="clear" w:color="auto" w:fill="auto"/>
          </w:tcPr>
          <w:p w14:paraId="446D65DC"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Decreased appetite</w:t>
            </w:r>
          </w:p>
        </w:tc>
      </w:tr>
      <w:tr w:rsidR="00771807" w:rsidRPr="001415DB" w14:paraId="5AE1236E" w14:textId="77777777" w:rsidTr="007C50B0">
        <w:trPr>
          <w:trHeight w:val="476"/>
        </w:trPr>
        <w:tc>
          <w:tcPr>
            <w:tcW w:w="1744" w:type="pct"/>
            <w:shd w:val="clear" w:color="auto" w:fill="auto"/>
          </w:tcPr>
          <w:p w14:paraId="20756293" w14:textId="77777777" w:rsidR="00771807" w:rsidRPr="001415DB" w:rsidRDefault="00771807" w:rsidP="00BB63F2">
            <w:pPr>
              <w:pStyle w:val="BodyText"/>
              <w:spacing w:line="240" w:lineRule="auto"/>
              <w:ind w:leftChars="45" w:left="99"/>
              <w:rPr>
                <w:b/>
                <w:szCs w:val="22"/>
                <w:lang w:val="en-AU"/>
              </w:rPr>
            </w:pPr>
            <w:r w:rsidRPr="001415DB">
              <w:rPr>
                <w:b/>
                <w:szCs w:val="22"/>
                <w:lang w:val="en-AU"/>
              </w:rPr>
              <w:t>Investigations</w:t>
            </w:r>
          </w:p>
        </w:tc>
        <w:tc>
          <w:tcPr>
            <w:tcW w:w="1398" w:type="pct"/>
            <w:shd w:val="clear" w:color="auto" w:fill="auto"/>
          </w:tcPr>
          <w:p w14:paraId="52536357" w14:textId="77777777" w:rsidR="00771807" w:rsidRPr="00CA71E4" w:rsidRDefault="00771807" w:rsidP="00CA71E4">
            <w:pPr>
              <w:pStyle w:val="BodyText"/>
              <w:spacing w:line="240" w:lineRule="auto"/>
              <w:ind w:leftChars="0" w:left="0"/>
              <w:rPr>
                <w:bCs/>
                <w:szCs w:val="22"/>
                <w:lang w:val="en-AU"/>
              </w:rPr>
            </w:pPr>
            <w:r w:rsidRPr="00CA71E4">
              <w:rPr>
                <w:bCs/>
                <w:szCs w:val="22"/>
                <w:lang w:val="en-AU"/>
              </w:rPr>
              <w:t>Common</w:t>
            </w:r>
          </w:p>
        </w:tc>
        <w:tc>
          <w:tcPr>
            <w:tcW w:w="1858" w:type="pct"/>
            <w:shd w:val="clear" w:color="auto" w:fill="auto"/>
          </w:tcPr>
          <w:p w14:paraId="6416D473" w14:textId="00CD6887" w:rsidR="00771807" w:rsidRPr="00CA71E4" w:rsidRDefault="00771807" w:rsidP="00CA71E4">
            <w:pPr>
              <w:pStyle w:val="BodyText"/>
              <w:spacing w:line="240" w:lineRule="auto"/>
              <w:ind w:leftChars="0" w:left="0"/>
              <w:rPr>
                <w:bCs/>
                <w:szCs w:val="22"/>
                <w:lang w:val="en-AU"/>
              </w:rPr>
            </w:pPr>
            <w:r w:rsidRPr="00CA71E4">
              <w:rPr>
                <w:bCs/>
                <w:szCs w:val="22"/>
                <w:lang w:val="en-AU"/>
              </w:rPr>
              <w:t xml:space="preserve">Immunosuppressant drug level </w:t>
            </w:r>
            <w:proofErr w:type="spellStart"/>
            <w:r w:rsidRPr="00CA71E4">
              <w:rPr>
                <w:bCs/>
                <w:szCs w:val="22"/>
                <w:lang w:val="en-AU"/>
              </w:rPr>
              <w:t>increased</w:t>
            </w:r>
            <w:r w:rsidRPr="00CA71E4">
              <w:rPr>
                <w:bCs/>
                <w:szCs w:val="22"/>
                <w:vertAlign w:val="superscript"/>
                <w:lang w:val="en-AU"/>
              </w:rPr>
              <w:t>b</w:t>
            </w:r>
            <w:proofErr w:type="spellEnd"/>
            <w:r w:rsidRPr="00CA71E4">
              <w:rPr>
                <w:bCs/>
                <w:szCs w:val="22"/>
                <w:lang w:val="en-AU"/>
              </w:rPr>
              <w:t xml:space="preserve">, </w:t>
            </w:r>
            <w:r w:rsidR="00CA71E4">
              <w:rPr>
                <w:bCs/>
                <w:szCs w:val="22"/>
                <w:lang w:val="en-AU"/>
              </w:rPr>
              <w:t>w</w:t>
            </w:r>
            <w:r w:rsidRPr="00CA71E4">
              <w:rPr>
                <w:bCs/>
                <w:szCs w:val="22"/>
                <w:lang w:val="en-AU"/>
              </w:rPr>
              <w:t>eight decreased</w:t>
            </w:r>
          </w:p>
        </w:tc>
      </w:tr>
    </w:tbl>
    <w:p w14:paraId="0A192322" w14:textId="77777777" w:rsidR="00771807" w:rsidRPr="001415DB" w:rsidRDefault="00771807" w:rsidP="006F3DC7">
      <w:pPr>
        <w:pStyle w:val="BodyText"/>
        <w:spacing w:before="120" w:line="240" w:lineRule="auto"/>
        <w:ind w:leftChars="0" w:left="0"/>
        <w:rPr>
          <w:rFonts w:eastAsia="Times New Roman"/>
          <w:kern w:val="0"/>
          <w:sz w:val="20"/>
          <w:szCs w:val="20"/>
          <w:lang w:val="en-AU"/>
        </w:rPr>
      </w:pPr>
      <w:r w:rsidRPr="001415DB">
        <w:rPr>
          <w:sz w:val="20"/>
          <w:szCs w:val="20"/>
          <w:vertAlign w:val="superscript"/>
          <w:lang w:val="en-AU"/>
        </w:rPr>
        <w:t>a</w:t>
      </w:r>
      <w:r w:rsidRPr="001415DB">
        <w:rPr>
          <w:sz w:val="20"/>
          <w:szCs w:val="20"/>
          <w:lang w:val="en-AU"/>
        </w:rPr>
        <w:t xml:space="preserve"> </w:t>
      </w:r>
      <w:r w:rsidRPr="001415DB">
        <w:rPr>
          <w:rFonts w:eastAsia="Times New Roman"/>
          <w:kern w:val="0"/>
          <w:sz w:val="20"/>
          <w:szCs w:val="20"/>
          <w:lang w:val="en-AU"/>
        </w:rPr>
        <w:t xml:space="preserve">Taste disturbance includes the following reported preferred terms: ageusia, dysgeusia, hypogeusia and taste disorder. </w:t>
      </w:r>
    </w:p>
    <w:p w14:paraId="5F1A1E31" w14:textId="0A976C1A" w:rsidR="0049269E" w:rsidRDefault="00771807" w:rsidP="00BB63F2">
      <w:pPr>
        <w:pStyle w:val="BodyText"/>
        <w:spacing w:after="180" w:line="240" w:lineRule="auto"/>
        <w:ind w:leftChars="0" w:left="0"/>
        <w:rPr>
          <w:rFonts w:eastAsia="Times New Roman"/>
          <w:kern w:val="0"/>
          <w:sz w:val="20"/>
          <w:szCs w:val="20"/>
          <w:lang w:val="en-AU"/>
        </w:rPr>
      </w:pPr>
      <w:r w:rsidRPr="001415DB">
        <w:rPr>
          <w:sz w:val="20"/>
          <w:szCs w:val="20"/>
          <w:vertAlign w:val="superscript"/>
          <w:lang w:val="en-AU"/>
        </w:rPr>
        <w:t xml:space="preserve">b </w:t>
      </w:r>
      <w:r w:rsidRPr="001415DB">
        <w:rPr>
          <w:rFonts w:eastAsia="Times New Roman"/>
          <w:kern w:val="0"/>
          <w:sz w:val="20"/>
          <w:szCs w:val="20"/>
          <w:lang w:val="en-AU"/>
        </w:rPr>
        <w:t>Immunosuppressant drug level increased includes the following reported preferred terms: immunosuppressant drug level increased and drug level increased.</w:t>
      </w:r>
    </w:p>
    <w:p w14:paraId="1083E914" w14:textId="372F9467" w:rsidR="0032326B" w:rsidRPr="0049269E" w:rsidRDefault="0032326B" w:rsidP="0049269E">
      <w:pPr>
        <w:pStyle w:val="Heading2"/>
        <w:keepNext/>
        <w:keepLines/>
        <w:numPr>
          <w:ilvl w:val="0"/>
          <w:numId w:val="0"/>
        </w:numPr>
        <w:spacing w:before="360" w:after="120"/>
        <w:rPr>
          <w:rFonts w:ascii="Times New Roman" w:eastAsiaTheme="majorEastAsia" w:hAnsi="Times New Roman" w:cs="Times New Roman"/>
          <w:bCs/>
          <w:smallCaps w:val="0"/>
          <w:szCs w:val="24"/>
        </w:rPr>
      </w:pPr>
      <w:r w:rsidRPr="0049269E">
        <w:rPr>
          <w:rFonts w:ascii="Times New Roman" w:eastAsiaTheme="majorEastAsia" w:hAnsi="Times New Roman" w:cs="Times New Roman"/>
          <w:bCs/>
          <w:smallCaps w:val="0"/>
          <w:szCs w:val="24"/>
        </w:rPr>
        <w:t>Description of selected adverse reactions</w:t>
      </w:r>
    </w:p>
    <w:p w14:paraId="2F916382" w14:textId="77777777" w:rsidR="0032326B" w:rsidRPr="001415DB" w:rsidRDefault="0032326B" w:rsidP="001C4CA0">
      <w:pPr>
        <w:spacing w:after="0"/>
        <w:rPr>
          <w:rFonts w:ascii="Times New Roman" w:hAnsi="Times New Roman" w:cs="Times New Roman"/>
          <w:i/>
          <w:iCs/>
          <w:sz w:val="24"/>
          <w:szCs w:val="24"/>
        </w:rPr>
      </w:pPr>
      <w:r w:rsidRPr="001415DB">
        <w:rPr>
          <w:rFonts w:ascii="Times New Roman" w:hAnsi="Times New Roman" w:cs="Times New Roman"/>
          <w:i/>
          <w:iCs/>
          <w:sz w:val="24"/>
          <w:szCs w:val="24"/>
        </w:rPr>
        <w:t>Taste Disturbance</w:t>
      </w:r>
    </w:p>
    <w:p w14:paraId="77A33163" w14:textId="33F0F6D8" w:rsidR="0032326B" w:rsidRPr="001415DB" w:rsidRDefault="0032326B" w:rsidP="00092F67">
      <w:pPr>
        <w:rPr>
          <w:rFonts w:ascii="Times New Roman" w:hAnsi="Times New Roman" w:cs="Times New Roman"/>
          <w:sz w:val="24"/>
          <w:szCs w:val="24"/>
        </w:rPr>
      </w:pPr>
      <w:r w:rsidRPr="001415DB">
        <w:rPr>
          <w:rFonts w:ascii="Times New Roman" w:hAnsi="Times New Roman" w:cs="Times New Roman"/>
          <w:sz w:val="24"/>
          <w:szCs w:val="24"/>
        </w:rPr>
        <w:t xml:space="preserve">Taste disturbance (comprising the reported preferred terms ageusia, dysgeusia, hypogeusia, and taste disorder) occurred in 46% of patients treated with </w:t>
      </w:r>
      <w:r w:rsidR="006524F8"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These events rarely led to discontinuation of </w:t>
      </w:r>
      <w:r w:rsidR="006524F8"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(0.9%) and resolved either while patients remained on therapy (37%) or within a median of 7 days (Kaplan-Meier estimate, 95% CI: 4-8 days) after treatment discontinuation. </w:t>
      </w:r>
    </w:p>
    <w:p w14:paraId="4AAAA7E3" w14:textId="7A886E3B" w:rsidR="0032326B" w:rsidRPr="001415DB" w:rsidRDefault="0032326B" w:rsidP="001C4CA0">
      <w:pPr>
        <w:spacing w:after="0"/>
        <w:rPr>
          <w:rFonts w:ascii="Times New Roman" w:hAnsi="Times New Roman" w:cs="Times New Roman"/>
          <w:i/>
          <w:iCs/>
          <w:sz w:val="24"/>
          <w:szCs w:val="24"/>
        </w:rPr>
      </w:pPr>
      <w:r w:rsidRPr="001415DB">
        <w:rPr>
          <w:rFonts w:ascii="Times New Roman" w:hAnsi="Times New Roman" w:cs="Times New Roman"/>
          <w:i/>
          <w:iCs/>
          <w:sz w:val="24"/>
          <w:szCs w:val="24"/>
        </w:rPr>
        <w:t>Immunosuppressant Drug Level Increase</w:t>
      </w:r>
    </w:p>
    <w:p w14:paraId="412A4016" w14:textId="724846E4" w:rsidR="003D30E0" w:rsidRPr="00C524ED" w:rsidRDefault="0032326B" w:rsidP="00EE1646">
      <w:pPr>
        <w:rPr>
          <w:rFonts w:ascii="Times New Roman" w:hAnsi="Times New Roman" w:cs="Times New Roman"/>
          <w:sz w:val="24"/>
          <w:szCs w:val="24"/>
        </w:rPr>
      </w:pPr>
      <w:r w:rsidRPr="001415DB">
        <w:rPr>
          <w:rFonts w:ascii="Times New Roman" w:hAnsi="Times New Roman" w:cs="Times New Roman"/>
          <w:sz w:val="24"/>
          <w:szCs w:val="24"/>
        </w:rPr>
        <w:t xml:space="preserve">Immunosuppressant drug level increase was reported as an adverse event in 9% of patients treated with </w:t>
      </w:r>
      <w:r w:rsidR="006524F8"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w:t>
      </w:r>
      <w:r w:rsidR="006524F8"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has the potential to increase the drug concentrations of immunosuppressant drugs that are CYP3A/ P</w:t>
      </w:r>
      <w:r w:rsidR="00015FE5" w:rsidRPr="001415DB">
        <w:rPr>
          <w:rFonts w:ascii="Times New Roman" w:hAnsi="Times New Roman" w:cs="Times New Roman"/>
          <w:sz w:val="24"/>
          <w:szCs w:val="24"/>
        </w:rPr>
        <w:t>-</w:t>
      </w:r>
      <w:proofErr w:type="spellStart"/>
      <w:r w:rsidRPr="001415DB">
        <w:rPr>
          <w:rFonts w:ascii="Times New Roman" w:hAnsi="Times New Roman" w:cs="Times New Roman"/>
          <w:sz w:val="24"/>
          <w:szCs w:val="24"/>
        </w:rPr>
        <w:t>gp</w:t>
      </w:r>
      <w:proofErr w:type="spellEnd"/>
      <w:r w:rsidRPr="001415DB">
        <w:rPr>
          <w:rFonts w:ascii="Times New Roman" w:hAnsi="Times New Roman" w:cs="Times New Roman"/>
          <w:sz w:val="24"/>
          <w:szCs w:val="24"/>
        </w:rPr>
        <w:t xml:space="preserve"> substrates with narrow therapeutic ranges (including tacrolimus, cyclosporin, sirolimus and </w:t>
      </w:r>
      <w:proofErr w:type="spellStart"/>
      <w:r w:rsidRPr="001415DB">
        <w:rPr>
          <w:rFonts w:ascii="Times New Roman" w:hAnsi="Times New Roman" w:cs="Times New Roman"/>
          <w:sz w:val="24"/>
          <w:szCs w:val="24"/>
        </w:rPr>
        <w:t>everolimus</w:t>
      </w:r>
      <w:proofErr w:type="spellEnd"/>
      <w:r w:rsidRPr="001415DB">
        <w:rPr>
          <w:rFonts w:ascii="Times New Roman" w:hAnsi="Times New Roman" w:cs="Times New Roman"/>
          <w:sz w:val="24"/>
          <w:szCs w:val="24"/>
        </w:rPr>
        <w:t xml:space="preserve">). Frequently monitor immunosuppressant drug levels throughout treatment with </w:t>
      </w:r>
      <w:r w:rsidR="006524F8"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especially </w:t>
      </w:r>
      <w:r w:rsidRPr="00C524ED">
        <w:rPr>
          <w:rFonts w:ascii="Times New Roman" w:hAnsi="Times New Roman" w:cs="Times New Roman"/>
          <w:sz w:val="24"/>
          <w:szCs w:val="24"/>
        </w:rPr>
        <w:t xml:space="preserve">following initiation and after discontinuation of </w:t>
      </w:r>
      <w:r w:rsidR="006524F8" w:rsidRPr="00C524ED">
        <w:rPr>
          <w:rFonts w:ascii="Times New Roman" w:hAnsi="Times New Roman" w:cs="Times New Roman"/>
          <w:sz w:val="24"/>
          <w:szCs w:val="24"/>
        </w:rPr>
        <w:t>LIVTENCITY</w:t>
      </w:r>
      <w:r w:rsidRPr="00C524ED">
        <w:rPr>
          <w:rFonts w:ascii="Times New Roman" w:hAnsi="Times New Roman" w:cs="Times New Roman"/>
          <w:sz w:val="24"/>
          <w:szCs w:val="24"/>
        </w:rPr>
        <w:t xml:space="preserve"> and adjust the dose, as needed (see </w:t>
      </w:r>
      <w:r w:rsidR="00D60028" w:rsidRPr="00C524ED">
        <w:rPr>
          <w:rFonts w:ascii="Times New Roman" w:hAnsi="Times New Roman" w:cs="Times New Roman"/>
          <w:sz w:val="24"/>
          <w:szCs w:val="24"/>
        </w:rPr>
        <w:t xml:space="preserve">4.4 </w:t>
      </w:r>
      <w:r w:rsidRPr="00C524ED">
        <w:rPr>
          <w:rFonts w:ascii="Times New Roman" w:hAnsi="Times New Roman" w:cs="Times New Roman"/>
          <w:smallCaps/>
          <w:sz w:val="24"/>
          <w:szCs w:val="24"/>
        </w:rPr>
        <w:t xml:space="preserve">Special Warnings and Special Precautions for Use, </w:t>
      </w:r>
      <w:r w:rsidR="003D72FC" w:rsidRPr="00C524ED">
        <w:rPr>
          <w:rFonts w:ascii="Times New Roman" w:hAnsi="Times New Roman" w:cs="Times New Roman"/>
          <w:smallCaps/>
          <w:sz w:val="24"/>
          <w:szCs w:val="24"/>
        </w:rPr>
        <w:t xml:space="preserve">4.5 </w:t>
      </w:r>
      <w:r w:rsidRPr="00C524ED">
        <w:rPr>
          <w:rFonts w:ascii="Times New Roman" w:hAnsi="Times New Roman" w:cs="Times New Roman"/>
          <w:smallCaps/>
          <w:sz w:val="24"/>
          <w:szCs w:val="24"/>
        </w:rPr>
        <w:t xml:space="preserve">Interactions with Other Medications and Other Forms of Interaction </w:t>
      </w:r>
      <w:r w:rsidRPr="00C524ED">
        <w:rPr>
          <w:rFonts w:ascii="Times New Roman" w:hAnsi="Times New Roman" w:cs="Times New Roman"/>
          <w:sz w:val="24"/>
          <w:szCs w:val="24"/>
        </w:rPr>
        <w:t xml:space="preserve">and </w:t>
      </w:r>
      <w:r w:rsidR="003D72FC" w:rsidRPr="00C524ED">
        <w:rPr>
          <w:rFonts w:ascii="Times New Roman" w:hAnsi="Times New Roman" w:cs="Times New Roman"/>
          <w:sz w:val="24"/>
          <w:szCs w:val="24"/>
        </w:rPr>
        <w:t xml:space="preserve">5.2 </w:t>
      </w:r>
      <w:r w:rsidRPr="00C524ED">
        <w:rPr>
          <w:rFonts w:ascii="Times New Roman" w:hAnsi="Times New Roman" w:cs="Times New Roman"/>
          <w:smallCaps/>
          <w:sz w:val="24"/>
          <w:szCs w:val="24"/>
        </w:rPr>
        <w:t>Pharmacokinetic Properties</w:t>
      </w:r>
      <w:r w:rsidRPr="00C524ED">
        <w:rPr>
          <w:rFonts w:ascii="Times New Roman" w:hAnsi="Times New Roman" w:cs="Times New Roman"/>
          <w:sz w:val="24"/>
          <w:szCs w:val="24"/>
        </w:rPr>
        <w:t>).</w:t>
      </w:r>
    </w:p>
    <w:p w14:paraId="28FA0611" w14:textId="675BA087" w:rsidR="0021200F" w:rsidRPr="00C524ED" w:rsidRDefault="0021200F" w:rsidP="00237D68">
      <w:pPr>
        <w:pStyle w:val="Heading3"/>
        <w:ind w:left="0"/>
        <w:rPr>
          <w:rFonts w:ascii="Times New Roman" w:hAnsi="Times New Roman" w:cs="Times New Roman"/>
          <w:sz w:val="24"/>
          <w:szCs w:val="24"/>
        </w:rPr>
      </w:pPr>
      <w:r w:rsidRPr="00C524ED">
        <w:rPr>
          <w:rFonts w:ascii="Times New Roman" w:hAnsi="Times New Roman" w:cs="Times New Roman"/>
          <w:sz w:val="24"/>
          <w:szCs w:val="24"/>
        </w:rPr>
        <w:t>Reporting suspected adverse effects</w:t>
      </w:r>
    </w:p>
    <w:p w14:paraId="5F5D276E" w14:textId="732B1008" w:rsidR="009859C7" w:rsidRPr="00AF2B2B" w:rsidRDefault="005B2812" w:rsidP="00EE1646">
      <w:pPr>
        <w:rPr>
          <w:rFonts w:ascii="Times New Roman" w:hAnsi="Times New Roman" w:cs="Times New Roman"/>
          <w:sz w:val="24"/>
          <w:szCs w:val="24"/>
        </w:rPr>
      </w:pPr>
      <w:r w:rsidRPr="00AF2B2B">
        <w:rPr>
          <w:rFonts w:ascii="Times New Roman" w:hAnsi="Times New Roman" w:cs="Times New Roman"/>
          <w:sz w:val="24"/>
          <w:szCs w:val="24"/>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E34719">
          <w:rPr>
            <w:rStyle w:val="Hyperlink"/>
            <w:rFonts w:ascii="Times New Roman" w:hAnsi="Times New Roman" w:cs="Times New Roman"/>
            <w:sz w:val="24"/>
            <w:szCs w:val="24"/>
          </w:rPr>
          <w:t>www.tga.gov.au/reporting-problems</w:t>
        </w:r>
      </w:hyperlink>
      <w:r w:rsidRPr="00AF2B2B">
        <w:rPr>
          <w:rFonts w:ascii="Times New Roman" w:hAnsi="Times New Roman" w:cs="Times New Roman"/>
          <w:sz w:val="24"/>
          <w:szCs w:val="24"/>
        </w:rPr>
        <w:t>.</w:t>
      </w:r>
    </w:p>
    <w:p w14:paraId="70DA64EC" w14:textId="77777777" w:rsidR="001A3992" w:rsidRPr="001415DB" w:rsidRDefault="001A3992" w:rsidP="009859C7">
      <w:pPr>
        <w:pStyle w:val="Heading2"/>
        <w:keepNext/>
        <w:keepLines/>
        <w:spacing w:before="360" w:after="120"/>
        <w:rPr>
          <w:rFonts w:ascii="Times New Roman" w:hAnsi="Times New Roman" w:cs="Times New Roman"/>
        </w:rPr>
      </w:pPr>
      <w:r w:rsidRPr="001415DB">
        <w:rPr>
          <w:rFonts w:ascii="Times New Roman" w:hAnsi="Times New Roman" w:cs="Times New Roman"/>
        </w:rPr>
        <w:lastRenderedPageBreak/>
        <w:t>Overdose</w:t>
      </w:r>
    </w:p>
    <w:p w14:paraId="1BFB42F0" w14:textId="77777777" w:rsidR="00CA71E4" w:rsidRDefault="005B2812" w:rsidP="00EE1646">
      <w:pPr>
        <w:rPr>
          <w:rFonts w:ascii="Times New Roman" w:hAnsi="Times New Roman" w:cs="Times New Roman"/>
          <w:sz w:val="24"/>
          <w:szCs w:val="24"/>
        </w:rPr>
      </w:pPr>
      <w:r w:rsidRPr="001415DB">
        <w:rPr>
          <w:rFonts w:ascii="Times New Roman" w:hAnsi="Times New Roman" w:cs="Times New Roman"/>
          <w:sz w:val="24"/>
          <w:szCs w:val="24"/>
        </w:rPr>
        <w:t>For information on the management of overdose, contact the Poisons Information Centre on 13 11 26 (Australia).</w:t>
      </w:r>
    </w:p>
    <w:p w14:paraId="57622CFC" w14:textId="64BF5A62" w:rsidR="006F4891" w:rsidRPr="001415DB" w:rsidRDefault="006F4891" w:rsidP="00EE1646">
      <w:pPr>
        <w:rPr>
          <w:rFonts w:ascii="Times New Roman" w:hAnsi="Times New Roman" w:cs="Times New Roman"/>
          <w:sz w:val="24"/>
          <w:szCs w:val="24"/>
        </w:rPr>
      </w:pPr>
      <w:r w:rsidRPr="001415DB">
        <w:rPr>
          <w:rFonts w:ascii="Times New Roman" w:hAnsi="Times New Roman" w:cs="Times New Roman"/>
          <w:sz w:val="24"/>
          <w:szCs w:val="24"/>
        </w:rPr>
        <w:t xml:space="preserve">In Study 303, an accidental overdose of a single extra dose occurred in </w:t>
      </w:r>
      <w:r w:rsidR="0067028B">
        <w:rPr>
          <w:rFonts w:ascii="Times New Roman" w:hAnsi="Times New Roman" w:cs="Times New Roman"/>
          <w:sz w:val="24"/>
          <w:szCs w:val="24"/>
        </w:rPr>
        <w:t>one</w:t>
      </w:r>
      <w:r w:rsidR="00216BAA" w:rsidRPr="001415DB">
        <w:rPr>
          <w:rFonts w:ascii="Times New Roman" w:hAnsi="Times New Roman" w:cs="Times New Roman"/>
          <w:sz w:val="24"/>
          <w:szCs w:val="24"/>
        </w:rPr>
        <w:t xml:space="preserve"> LIVTENCITY</w:t>
      </w:r>
      <w:r w:rsidRPr="001415DB">
        <w:rPr>
          <w:rFonts w:ascii="Times New Roman" w:hAnsi="Times New Roman" w:cs="Times New Roman"/>
          <w:sz w:val="24"/>
          <w:szCs w:val="24"/>
        </w:rPr>
        <w:t xml:space="preserve"> treated subject on Day 13 (1200 mg total daily dose). No adverse reactions were reported. </w:t>
      </w:r>
    </w:p>
    <w:p w14:paraId="6C64A140" w14:textId="77777777" w:rsidR="006F4891" w:rsidRPr="001415DB" w:rsidRDefault="006F4891" w:rsidP="00EE1646">
      <w:pPr>
        <w:rPr>
          <w:rFonts w:ascii="Times New Roman" w:hAnsi="Times New Roman" w:cs="Times New Roman"/>
          <w:sz w:val="24"/>
          <w:szCs w:val="24"/>
        </w:rPr>
      </w:pPr>
      <w:r w:rsidRPr="001415DB">
        <w:rPr>
          <w:rFonts w:ascii="Times New Roman" w:hAnsi="Times New Roman" w:cs="Times New Roman"/>
          <w:sz w:val="24"/>
          <w:szCs w:val="24"/>
        </w:rPr>
        <w:t xml:space="preserve">In Study 202, patients were treated with up to 1200 mg twice daily for up to 24 weeks of treatment.  The safety profile of higher doses and longer durations were comparable to 400 mg twice daily. However, the highest dose was associated with a greater incidence of immunosuppressant drug level increased.  </w:t>
      </w:r>
    </w:p>
    <w:p w14:paraId="77C76B26" w14:textId="5ABC251A" w:rsidR="003C02CE" w:rsidRPr="00C3678A" w:rsidRDefault="006F4891" w:rsidP="00EE1646">
      <w:pPr>
        <w:rPr>
          <w:rFonts w:ascii="Times New Roman" w:hAnsi="Times New Roman" w:cs="Times New Roman"/>
          <w:sz w:val="24"/>
          <w:szCs w:val="24"/>
        </w:rPr>
      </w:pPr>
      <w:r w:rsidRPr="001415DB">
        <w:rPr>
          <w:rFonts w:ascii="Times New Roman" w:hAnsi="Times New Roman" w:cs="Times New Roman"/>
          <w:sz w:val="24"/>
          <w:szCs w:val="24"/>
        </w:rPr>
        <w:t>There is no known specific antidote for maribavir. In case of overdose, it is recommended that the patient be monitored for adverse reactions and appropriate symptomatic treatment instituted. Due to the high plasma protein binding of maribavir, dialysis is unlikely to reduce plasma concentrations of maribavir significantly.</w:t>
      </w:r>
    </w:p>
    <w:p w14:paraId="1AFFEB68" w14:textId="77777777" w:rsidR="001A3992" w:rsidRPr="001415DB" w:rsidRDefault="001A3992" w:rsidP="007A088D">
      <w:pPr>
        <w:pStyle w:val="Heading1"/>
        <w:spacing w:after="120"/>
        <w:rPr>
          <w:rFonts w:ascii="Times New Roman" w:hAnsi="Times New Roman" w:cs="Times New Roman"/>
        </w:rPr>
      </w:pPr>
      <w:r w:rsidRPr="001415DB">
        <w:rPr>
          <w:rFonts w:ascii="Times New Roman" w:hAnsi="Times New Roman" w:cs="Times New Roman"/>
        </w:rPr>
        <w:t>Pharmacological properties</w:t>
      </w:r>
    </w:p>
    <w:p w14:paraId="66F6A854" w14:textId="77777777" w:rsidR="001A3992" w:rsidRPr="001415DB" w:rsidRDefault="001A3992" w:rsidP="009D0F3E">
      <w:pPr>
        <w:pStyle w:val="Heading2"/>
        <w:keepNext/>
        <w:keepLines/>
        <w:spacing w:after="120"/>
        <w:rPr>
          <w:rFonts w:ascii="Times New Roman" w:hAnsi="Times New Roman" w:cs="Times New Roman"/>
        </w:rPr>
      </w:pPr>
      <w:r w:rsidRPr="001415DB">
        <w:rPr>
          <w:rFonts w:ascii="Times New Roman" w:hAnsi="Times New Roman" w:cs="Times New Roman"/>
        </w:rPr>
        <w:t xml:space="preserve">Pharmacodynamic properties </w:t>
      </w:r>
    </w:p>
    <w:p w14:paraId="1FA49D85" w14:textId="20D465A3" w:rsidR="001A3992" w:rsidRPr="001415DB" w:rsidRDefault="001A3992" w:rsidP="00BB63F2">
      <w:pPr>
        <w:pStyle w:val="Heading3"/>
        <w:spacing w:before="0" w:after="120"/>
        <w:ind w:left="0"/>
        <w:rPr>
          <w:rFonts w:ascii="Times New Roman" w:hAnsi="Times New Roman" w:cs="Times New Roman"/>
          <w:sz w:val="24"/>
          <w:szCs w:val="24"/>
        </w:rPr>
      </w:pPr>
      <w:r w:rsidRPr="001415DB">
        <w:rPr>
          <w:rFonts w:ascii="Times New Roman" w:hAnsi="Times New Roman" w:cs="Times New Roman"/>
          <w:sz w:val="24"/>
          <w:szCs w:val="24"/>
        </w:rPr>
        <w:t>Mechanism of action</w:t>
      </w:r>
    </w:p>
    <w:p w14:paraId="5D8FA1C9" w14:textId="04A88E33" w:rsidR="002903B2" w:rsidRPr="001415DB" w:rsidRDefault="0096526E" w:rsidP="0065504A">
      <w:pPr>
        <w:rPr>
          <w:rFonts w:ascii="Times New Roman" w:hAnsi="Times New Roman" w:cs="Times New Roman"/>
          <w:sz w:val="24"/>
          <w:szCs w:val="24"/>
        </w:rPr>
      </w:pPr>
      <w:r w:rsidRPr="001415DB">
        <w:rPr>
          <w:rFonts w:ascii="Times New Roman" w:hAnsi="Times New Roman" w:cs="Times New Roman"/>
          <w:sz w:val="24"/>
          <w:szCs w:val="24"/>
        </w:rPr>
        <w:t>The antiviral activity of maribavir is mediated by competitive inhibition of the protein kinase activity of HCMV enzyme UL97, which results in inhibition of the phosphorylation of proteins; an effect achieved at low concentrations of maribavir.</w:t>
      </w:r>
    </w:p>
    <w:p w14:paraId="56E7013B" w14:textId="26435B34" w:rsidR="00507984" w:rsidRPr="00E50D3E" w:rsidRDefault="00507984" w:rsidP="00E50D3E">
      <w:pPr>
        <w:spacing w:after="0" w:line="240" w:lineRule="auto"/>
        <w:rPr>
          <w:rFonts w:ascii="Times New Roman" w:hAnsi="Times New Roman" w:cs="Times New Roman"/>
          <w:sz w:val="24"/>
          <w:szCs w:val="24"/>
          <w:u w:val="single"/>
        </w:rPr>
      </w:pPr>
      <w:r w:rsidRPr="00E50D3E">
        <w:rPr>
          <w:rFonts w:ascii="Times New Roman" w:hAnsi="Times New Roman" w:cs="Times New Roman"/>
          <w:sz w:val="24"/>
          <w:szCs w:val="24"/>
          <w:u w:val="single"/>
        </w:rPr>
        <w:t>Antiviral Activity</w:t>
      </w:r>
    </w:p>
    <w:p w14:paraId="79FFC1CC" w14:textId="17F26089" w:rsidR="002903B2" w:rsidRPr="001415DB" w:rsidRDefault="00507984" w:rsidP="0065504A">
      <w:pPr>
        <w:rPr>
          <w:rFonts w:ascii="Times New Roman" w:hAnsi="Times New Roman" w:cs="Times New Roman"/>
          <w:sz w:val="24"/>
          <w:szCs w:val="24"/>
        </w:rPr>
      </w:pPr>
      <w:r w:rsidRPr="001415DB">
        <w:rPr>
          <w:rFonts w:ascii="Times New Roman" w:hAnsi="Times New Roman" w:cs="Times New Roman"/>
          <w:sz w:val="24"/>
          <w:szCs w:val="24"/>
        </w:rPr>
        <w:t xml:space="preserve">Maribavir selectively inhibited </w:t>
      </w:r>
      <w:r w:rsidRPr="00CA71E4">
        <w:rPr>
          <w:rFonts w:ascii="Times New Roman" w:hAnsi="Times New Roman" w:cs="Times New Roman"/>
          <w:sz w:val="24"/>
          <w:szCs w:val="24"/>
        </w:rPr>
        <w:t>in vitro</w:t>
      </w:r>
      <w:r w:rsidRPr="001415DB">
        <w:rPr>
          <w:rFonts w:ascii="Times New Roman" w:hAnsi="Times New Roman" w:cs="Times New Roman"/>
          <w:sz w:val="24"/>
          <w:szCs w:val="24"/>
        </w:rPr>
        <w:t xml:space="preserve"> HCMV replication in yield reduction, DNA hybridization, and plaque reduction assays in human cell lines at noncytotoxic sub</w:t>
      </w:r>
      <w:r w:rsidR="009D35ED" w:rsidRPr="001415DB">
        <w:rPr>
          <w:rFonts w:ascii="Times New Roman" w:hAnsi="Times New Roman" w:cs="Times New Roman"/>
          <w:sz w:val="24"/>
          <w:szCs w:val="24"/>
        </w:rPr>
        <w:t>-</w:t>
      </w:r>
      <w:r w:rsidRPr="001415DB">
        <w:rPr>
          <w:rFonts w:ascii="Times New Roman" w:hAnsi="Times New Roman" w:cs="Times New Roman"/>
          <w:sz w:val="24"/>
          <w:szCs w:val="24"/>
        </w:rPr>
        <w:t>micromolar concentrations with a mean EC</w:t>
      </w:r>
      <w:r w:rsidRPr="00D43D70">
        <w:rPr>
          <w:rFonts w:ascii="Times New Roman" w:hAnsi="Times New Roman" w:cs="Times New Roman"/>
          <w:sz w:val="24"/>
          <w:szCs w:val="24"/>
          <w:vertAlign w:val="subscript"/>
        </w:rPr>
        <w:t>50</w:t>
      </w:r>
      <w:r w:rsidRPr="001415DB">
        <w:rPr>
          <w:rFonts w:ascii="Times New Roman" w:hAnsi="Times New Roman" w:cs="Times New Roman"/>
          <w:sz w:val="24"/>
          <w:szCs w:val="24"/>
        </w:rPr>
        <w:t xml:space="preserve"> of 0.11 µM, and EC</w:t>
      </w:r>
      <w:r w:rsidRPr="00D43D70">
        <w:rPr>
          <w:rFonts w:ascii="Times New Roman" w:hAnsi="Times New Roman" w:cs="Times New Roman"/>
          <w:sz w:val="24"/>
          <w:szCs w:val="24"/>
          <w:vertAlign w:val="subscript"/>
        </w:rPr>
        <w:t>50</w:t>
      </w:r>
      <w:r w:rsidRPr="001415DB">
        <w:rPr>
          <w:rFonts w:ascii="Times New Roman" w:hAnsi="Times New Roman" w:cs="Times New Roman"/>
          <w:sz w:val="24"/>
          <w:szCs w:val="24"/>
        </w:rPr>
        <w:t xml:space="preserve"> range of 0.03 µM to 0.31 µM. Maribavir is highly selective for </w:t>
      </w:r>
      <w:r w:rsidR="00976179" w:rsidRPr="001415DB">
        <w:rPr>
          <w:rFonts w:ascii="Times New Roman" w:hAnsi="Times New Roman" w:cs="Times New Roman"/>
          <w:sz w:val="24"/>
          <w:szCs w:val="24"/>
        </w:rPr>
        <w:t xml:space="preserve">human </w:t>
      </w:r>
      <w:r w:rsidRPr="001415DB">
        <w:rPr>
          <w:rFonts w:ascii="Times New Roman" w:hAnsi="Times New Roman" w:cs="Times New Roman"/>
          <w:sz w:val="24"/>
          <w:szCs w:val="24"/>
        </w:rPr>
        <w:t>CMV. There is no significant difference in baseline maribavir EC</w:t>
      </w:r>
      <w:r w:rsidRPr="00D43D70">
        <w:rPr>
          <w:rFonts w:ascii="Times New Roman" w:hAnsi="Times New Roman" w:cs="Times New Roman"/>
          <w:sz w:val="24"/>
          <w:szCs w:val="24"/>
          <w:vertAlign w:val="subscript"/>
        </w:rPr>
        <w:t>50</w:t>
      </w:r>
      <w:r w:rsidRPr="001415DB">
        <w:rPr>
          <w:rFonts w:ascii="Times New Roman" w:hAnsi="Times New Roman" w:cs="Times New Roman"/>
          <w:sz w:val="24"/>
          <w:szCs w:val="24"/>
        </w:rPr>
        <w:t xml:space="preserve"> values across the four </w:t>
      </w:r>
      <w:r w:rsidR="00976179" w:rsidRPr="001415DB">
        <w:rPr>
          <w:rFonts w:ascii="Times New Roman" w:hAnsi="Times New Roman" w:cs="Times New Roman"/>
          <w:sz w:val="24"/>
          <w:szCs w:val="24"/>
        </w:rPr>
        <w:t xml:space="preserve">human </w:t>
      </w:r>
      <w:r w:rsidRPr="001415DB">
        <w:rPr>
          <w:rFonts w:ascii="Times New Roman" w:hAnsi="Times New Roman" w:cs="Times New Roman"/>
          <w:sz w:val="24"/>
          <w:szCs w:val="24"/>
        </w:rPr>
        <w:t xml:space="preserve">CMV glycoprotein B genotypes. </w:t>
      </w:r>
    </w:p>
    <w:p w14:paraId="33F8FB76" w14:textId="0BCAA570" w:rsidR="00507984" w:rsidRPr="001415DB" w:rsidRDefault="00507984" w:rsidP="000F1A72">
      <w:pPr>
        <w:spacing w:after="0" w:line="240" w:lineRule="auto"/>
        <w:rPr>
          <w:rFonts w:ascii="Times New Roman" w:hAnsi="Times New Roman" w:cs="Times New Roman"/>
          <w:sz w:val="24"/>
          <w:szCs w:val="24"/>
          <w:u w:val="single"/>
        </w:rPr>
      </w:pPr>
      <w:r w:rsidRPr="001415DB">
        <w:rPr>
          <w:rFonts w:ascii="Times New Roman" w:hAnsi="Times New Roman" w:cs="Times New Roman"/>
          <w:sz w:val="24"/>
          <w:szCs w:val="24"/>
          <w:u w:val="single"/>
        </w:rPr>
        <w:t>Combination Antiviral Activity</w:t>
      </w:r>
    </w:p>
    <w:p w14:paraId="0A12B6C4" w14:textId="444C72DA" w:rsidR="002903B2" w:rsidRPr="001415DB" w:rsidRDefault="00507984" w:rsidP="0065504A">
      <w:pPr>
        <w:rPr>
          <w:rFonts w:ascii="Times New Roman" w:hAnsi="Times New Roman" w:cs="Times New Roman"/>
          <w:sz w:val="24"/>
          <w:szCs w:val="24"/>
        </w:rPr>
      </w:pPr>
      <w:r w:rsidRPr="001415DB">
        <w:rPr>
          <w:rFonts w:ascii="Times New Roman" w:hAnsi="Times New Roman" w:cs="Times New Roman"/>
          <w:sz w:val="24"/>
          <w:szCs w:val="24"/>
        </w:rPr>
        <w:t xml:space="preserve">When maribavir was tested in combination with other antiviral compounds, it showed additive interactions with </w:t>
      </w:r>
      <w:proofErr w:type="spellStart"/>
      <w:r w:rsidRPr="001415DB">
        <w:rPr>
          <w:rFonts w:ascii="Times New Roman" w:hAnsi="Times New Roman" w:cs="Times New Roman"/>
          <w:sz w:val="24"/>
          <w:szCs w:val="24"/>
        </w:rPr>
        <w:t>letermovir</w:t>
      </w:r>
      <w:proofErr w:type="spellEnd"/>
      <w:r w:rsidRPr="001415DB">
        <w:rPr>
          <w:rFonts w:ascii="Times New Roman" w:hAnsi="Times New Roman" w:cs="Times New Roman"/>
          <w:sz w:val="24"/>
          <w:szCs w:val="24"/>
        </w:rPr>
        <w:t xml:space="preserve">, </w:t>
      </w:r>
      <w:proofErr w:type="spellStart"/>
      <w:r w:rsidRPr="001415DB">
        <w:rPr>
          <w:rFonts w:ascii="Times New Roman" w:hAnsi="Times New Roman" w:cs="Times New Roman"/>
          <w:sz w:val="24"/>
          <w:szCs w:val="24"/>
        </w:rPr>
        <w:t>foscarnet</w:t>
      </w:r>
      <w:proofErr w:type="spellEnd"/>
      <w:r w:rsidRPr="001415DB">
        <w:rPr>
          <w:rFonts w:ascii="Times New Roman" w:hAnsi="Times New Roman" w:cs="Times New Roman"/>
          <w:sz w:val="24"/>
          <w:szCs w:val="24"/>
        </w:rPr>
        <w:t xml:space="preserve">, cidofovir, and GW275175X (a benzimidazole CMV </w:t>
      </w:r>
      <w:proofErr w:type="spellStart"/>
      <w:r w:rsidRPr="001415DB">
        <w:rPr>
          <w:rFonts w:ascii="Times New Roman" w:hAnsi="Times New Roman" w:cs="Times New Roman"/>
          <w:sz w:val="24"/>
          <w:szCs w:val="24"/>
        </w:rPr>
        <w:t>terminase</w:t>
      </w:r>
      <w:proofErr w:type="spellEnd"/>
      <w:r w:rsidRPr="001415DB">
        <w:rPr>
          <w:rFonts w:ascii="Times New Roman" w:hAnsi="Times New Roman" w:cs="Times New Roman"/>
          <w:sz w:val="24"/>
          <w:szCs w:val="24"/>
        </w:rPr>
        <w:t xml:space="preserve"> inhibitor) against wild type and mutant </w:t>
      </w:r>
      <w:r w:rsidR="00231402" w:rsidRPr="001415DB">
        <w:rPr>
          <w:rFonts w:ascii="Times New Roman" w:hAnsi="Times New Roman" w:cs="Times New Roman"/>
          <w:sz w:val="24"/>
          <w:szCs w:val="24"/>
        </w:rPr>
        <w:t xml:space="preserve">human </w:t>
      </w:r>
      <w:r w:rsidRPr="001415DB">
        <w:rPr>
          <w:rFonts w:ascii="Times New Roman" w:hAnsi="Times New Roman" w:cs="Times New Roman"/>
          <w:sz w:val="24"/>
          <w:szCs w:val="24"/>
        </w:rPr>
        <w:t xml:space="preserve">CMV, strong antagonism with ganciclovir, and strong synergy with the mechanistic target of rapamycin (mTOR) inhibitor sirolimus. </w:t>
      </w:r>
    </w:p>
    <w:p w14:paraId="5EC61442" w14:textId="5020A3BB" w:rsidR="00507984" w:rsidRPr="001415DB" w:rsidRDefault="00507984" w:rsidP="00F72388">
      <w:pPr>
        <w:pageBreakBefore/>
        <w:spacing w:after="0" w:line="240" w:lineRule="auto"/>
        <w:rPr>
          <w:rFonts w:ascii="Times New Roman" w:hAnsi="Times New Roman" w:cs="Times New Roman"/>
          <w:sz w:val="24"/>
          <w:szCs w:val="24"/>
          <w:u w:val="single"/>
        </w:rPr>
      </w:pPr>
      <w:r w:rsidRPr="001415DB">
        <w:rPr>
          <w:rFonts w:ascii="Times New Roman" w:hAnsi="Times New Roman" w:cs="Times New Roman"/>
          <w:sz w:val="24"/>
          <w:szCs w:val="24"/>
          <w:u w:val="single"/>
        </w:rPr>
        <w:lastRenderedPageBreak/>
        <w:t>Viral Resistance</w:t>
      </w:r>
    </w:p>
    <w:p w14:paraId="0F362BFB" w14:textId="77777777" w:rsidR="000F1A72" w:rsidRPr="001415DB" w:rsidRDefault="000F1A72" w:rsidP="000F1A72">
      <w:pPr>
        <w:spacing w:after="0" w:line="240" w:lineRule="auto"/>
        <w:rPr>
          <w:rFonts w:ascii="Times New Roman" w:hAnsi="Times New Roman" w:cs="Times New Roman"/>
          <w:sz w:val="24"/>
          <w:szCs w:val="24"/>
          <w:u w:val="single"/>
        </w:rPr>
      </w:pPr>
    </w:p>
    <w:p w14:paraId="700404CF" w14:textId="77777777" w:rsidR="00507984" w:rsidRPr="001415DB" w:rsidRDefault="00507984" w:rsidP="000F1A72">
      <w:pPr>
        <w:spacing w:after="0" w:line="240" w:lineRule="auto"/>
        <w:rPr>
          <w:rFonts w:ascii="Times New Roman" w:hAnsi="Times New Roman" w:cs="Times New Roman"/>
          <w:i/>
          <w:iCs/>
          <w:sz w:val="24"/>
          <w:szCs w:val="24"/>
        </w:rPr>
      </w:pPr>
      <w:r w:rsidRPr="001415DB">
        <w:rPr>
          <w:rFonts w:ascii="Times New Roman" w:hAnsi="Times New Roman" w:cs="Times New Roman"/>
          <w:i/>
          <w:iCs/>
          <w:sz w:val="24"/>
          <w:szCs w:val="24"/>
        </w:rPr>
        <w:t>In Cell Culture</w:t>
      </w:r>
    </w:p>
    <w:p w14:paraId="16D6F924" w14:textId="20172CBB" w:rsidR="000F1A72" w:rsidRPr="001415DB" w:rsidRDefault="00507984" w:rsidP="00E50D3E">
      <w:pPr>
        <w:rPr>
          <w:rFonts w:ascii="Times New Roman" w:hAnsi="Times New Roman" w:cs="Times New Roman"/>
          <w:sz w:val="24"/>
          <w:szCs w:val="24"/>
        </w:rPr>
      </w:pPr>
      <w:r w:rsidRPr="001415DB">
        <w:rPr>
          <w:rFonts w:ascii="Times New Roman" w:hAnsi="Times New Roman" w:cs="Times New Roman"/>
          <w:sz w:val="24"/>
          <w:szCs w:val="24"/>
        </w:rPr>
        <w:t xml:space="preserve">Maribavir does not affect the UL54-encoded DNA polymerase that, when presenting certain mutations, confers resistance to ganciclovir/valganciclovir, </w:t>
      </w:r>
      <w:proofErr w:type="spellStart"/>
      <w:r w:rsidRPr="001415DB">
        <w:rPr>
          <w:rFonts w:ascii="Times New Roman" w:hAnsi="Times New Roman" w:cs="Times New Roman"/>
          <w:sz w:val="24"/>
          <w:szCs w:val="24"/>
        </w:rPr>
        <w:t>foscarnet</w:t>
      </w:r>
      <w:proofErr w:type="spellEnd"/>
      <w:r w:rsidRPr="001415DB">
        <w:rPr>
          <w:rFonts w:ascii="Times New Roman" w:hAnsi="Times New Roman" w:cs="Times New Roman"/>
          <w:sz w:val="24"/>
          <w:szCs w:val="24"/>
        </w:rPr>
        <w:t>, and/or cidofovir. Mutations conferring resistance to maribavir have been identified on gene UL97: L337M, F342Y, V353A, L397R, T409M, H411L/N/Y, and C480F. These mutations confer resistance that ranges from 3.5-fold to &gt;200-fold increase in EC</w:t>
      </w:r>
      <w:r w:rsidRPr="008430E4">
        <w:rPr>
          <w:rFonts w:ascii="Times New Roman" w:hAnsi="Times New Roman" w:cs="Times New Roman"/>
          <w:sz w:val="24"/>
          <w:szCs w:val="24"/>
          <w:vertAlign w:val="subscript"/>
        </w:rPr>
        <w:t xml:space="preserve">50 </w:t>
      </w:r>
      <w:r w:rsidRPr="001415DB">
        <w:rPr>
          <w:rFonts w:ascii="Times New Roman" w:hAnsi="Times New Roman" w:cs="Times New Roman"/>
          <w:sz w:val="24"/>
          <w:szCs w:val="24"/>
        </w:rPr>
        <w:t>values. UL27 gene variants (R233S, W362R, W153R, L193F, A269T, V353E, L426F, E22stop, W362stop, 218delC, and 301-311del) conferred only mild maribavir resistance (&lt;5-fold increase in EC</w:t>
      </w:r>
      <w:r w:rsidRPr="00D43D70">
        <w:rPr>
          <w:rFonts w:ascii="Times New Roman" w:hAnsi="Times New Roman" w:cs="Times New Roman"/>
          <w:sz w:val="24"/>
          <w:szCs w:val="24"/>
          <w:vertAlign w:val="subscript"/>
        </w:rPr>
        <w:t>50</w:t>
      </w:r>
      <w:r w:rsidRPr="001415DB">
        <w:rPr>
          <w:rFonts w:ascii="Times New Roman" w:hAnsi="Times New Roman" w:cs="Times New Roman"/>
          <w:sz w:val="24"/>
          <w:szCs w:val="24"/>
        </w:rPr>
        <w:t>).</w:t>
      </w:r>
    </w:p>
    <w:p w14:paraId="2EC1BA36" w14:textId="77777777" w:rsidR="0057529B" w:rsidRDefault="0057529B" w:rsidP="00E50D3E">
      <w:pPr>
        <w:spacing w:after="0" w:line="240" w:lineRule="auto"/>
        <w:rPr>
          <w:rFonts w:ascii="Times New Roman" w:hAnsi="Times New Roman" w:cs="Times New Roman"/>
          <w:i/>
          <w:iCs/>
          <w:sz w:val="24"/>
          <w:szCs w:val="24"/>
        </w:rPr>
      </w:pPr>
    </w:p>
    <w:p w14:paraId="0D1891C5" w14:textId="77777777" w:rsidR="0057529B" w:rsidRDefault="0057529B" w:rsidP="00E50D3E">
      <w:pPr>
        <w:spacing w:after="0" w:line="240" w:lineRule="auto"/>
        <w:rPr>
          <w:rFonts w:ascii="Times New Roman" w:hAnsi="Times New Roman" w:cs="Times New Roman"/>
          <w:i/>
          <w:iCs/>
          <w:sz w:val="24"/>
          <w:szCs w:val="24"/>
        </w:rPr>
      </w:pPr>
    </w:p>
    <w:p w14:paraId="6C820363" w14:textId="59117093" w:rsidR="00E50D3E" w:rsidRDefault="0016581B" w:rsidP="00E50D3E">
      <w:pPr>
        <w:spacing w:after="0" w:line="240" w:lineRule="auto"/>
        <w:rPr>
          <w:rFonts w:ascii="Times New Roman" w:hAnsi="Times New Roman" w:cs="Times New Roman"/>
          <w:i/>
          <w:iCs/>
          <w:sz w:val="24"/>
          <w:szCs w:val="24"/>
        </w:rPr>
      </w:pPr>
      <w:r w:rsidRPr="001415DB">
        <w:rPr>
          <w:rFonts w:ascii="Times New Roman" w:hAnsi="Times New Roman" w:cs="Times New Roman"/>
          <w:i/>
          <w:iCs/>
          <w:sz w:val="24"/>
          <w:szCs w:val="24"/>
        </w:rPr>
        <w:t>In Clinical Studies</w:t>
      </w:r>
    </w:p>
    <w:p w14:paraId="0F8B6599" w14:textId="1C866FF6" w:rsidR="0070302A" w:rsidRPr="001415DB" w:rsidRDefault="0070302A" w:rsidP="0029687F">
      <w:pPr>
        <w:rPr>
          <w:rFonts w:ascii="Times New Roman" w:hAnsi="Times New Roman" w:cs="Times New Roman"/>
          <w:sz w:val="24"/>
          <w:szCs w:val="24"/>
        </w:rPr>
      </w:pPr>
      <w:r w:rsidRPr="001415DB">
        <w:rPr>
          <w:rFonts w:ascii="Times New Roman" w:hAnsi="Times New Roman" w:cs="Times New Roman"/>
          <w:sz w:val="24"/>
          <w:szCs w:val="24"/>
        </w:rPr>
        <w:t>In Phase 2 Study 202 and Study 203 evaluating maribavir in 279 hematopoietic stem cell transplant (HSCT) or solid organ transplant (SOT) recipients, post-treatment pUL97 genotyping data from 23 of 29 patients who initially achieved viremia clearance and later experienced recurrent CMV infection while on maribavir, showed 17 patients with mutations T409M or H411Y and 6 patients with mutation C480F. Among 25 patients who did not respond to &gt;14 days of maribavir therapy, 9 had mutations T409M or H411Y, and 5 patients had mutation C480F. Additional pUL27 genotyping was performed on 39 patients in Study 202 and 43 patients in Study 203. The only resistance-associated amino acid substitution in pUL27 that was not detected at baseline was G344D. Phenotypic analysis of pUL27 and pUL97 recombinants showed that pUL97 mutations T409M, H411Y, and C480F conferred 78-fold, 15-fold, and 224</w:t>
      </w:r>
      <w:r w:rsidR="00306C41" w:rsidRPr="001415DB">
        <w:rPr>
          <w:rFonts w:ascii="Times New Roman" w:hAnsi="Times New Roman" w:cs="Times New Roman"/>
          <w:sz w:val="24"/>
          <w:szCs w:val="24"/>
        </w:rPr>
        <w:t>-</w:t>
      </w:r>
      <w:r w:rsidRPr="001415DB">
        <w:rPr>
          <w:rFonts w:ascii="Times New Roman" w:hAnsi="Times New Roman" w:cs="Times New Roman"/>
          <w:sz w:val="24"/>
          <w:szCs w:val="24"/>
        </w:rPr>
        <w:t xml:space="preserve"> fold increases, respectively, in maribavir EC</w:t>
      </w:r>
      <w:r w:rsidRPr="0029687F">
        <w:rPr>
          <w:rFonts w:ascii="Times New Roman" w:hAnsi="Times New Roman" w:cs="Times New Roman"/>
          <w:sz w:val="24"/>
          <w:szCs w:val="24"/>
          <w:vertAlign w:val="subscript"/>
        </w:rPr>
        <w:t>50</w:t>
      </w:r>
      <w:r w:rsidRPr="001415DB">
        <w:rPr>
          <w:rFonts w:ascii="Times New Roman" w:hAnsi="Times New Roman" w:cs="Times New Roman"/>
          <w:sz w:val="24"/>
          <w:szCs w:val="24"/>
        </w:rPr>
        <w:t xml:space="preserve"> compared with the wild-type strain. The pUL27 mutation G344D was not shown to confer maribavir resistance. </w:t>
      </w:r>
    </w:p>
    <w:p w14:paraId="57EB67F0" w14:textId="78449A1B" w:rsidR="001E73FE" w:rsidRPr="001415DB" w:rsidRDefault="0070302A" w:rsidP="005A3D14">
      <w:pPr>
        <w:rPr>
          <w:rFonts w:ascii="Times New Roman" w:hAnsi="Times New Roman" w:cs="Times New Roman"/>
          <w:sz w:val="24"/>
          <w:szCs w:val="24"/>
        </w:rPr>
      </w:pPr>
      <w:r w:rsidRPr="001415DB">
        <w:rPr>
          <w:rFonts w:ascii="Times New Roman" w:hAnsi="Times New Roman" w:cs="Times New Roman"/>
          <w:sz w:val="24"/>
          <w:szCs w:val="24"/>
        </w:rPr>
        <w:t xml:space="preserve">In Phase 3 Study 303, 42/214 patients (19.6%) were identified with treatment-emergent mutations in pUL97 that confer resistance to maribavir: C480F, F342Y, H411N, H411Y, T409M, F342Y+H411Y, F342Y+T409M+H411N, H411L+C480F, H411Y+C480F, H409M+C480F, T409M+H411L+H411Y, T409M+H411Y. </w:t>
      </w:r>
      <w:r w:rsidR="00CC2A74">
        <w:rPr>
          <w:rFonts w:ascii="Times New Roman" w:hAnsi="Times New Roman" w:cs="Times New Roman"/>
          <w:sz w:val="24"/>
          <w:szCs w:val="24"/>
        </w:rPr>
        <w:t xml:space="preserve">Treatment-emergent </w:t>
      </w:r>
      <w:r w:rsidR="00CC2A74" w:rsidRPr="00CC2A74">
        <w:rPr>
          <w:rFonts w:ascii="Times New Roman" w:hAnsi="Times New Roman" w:cs="Times New Roman"/>
          <w:sz w:val="24"/>
          <w:szCs w:val="24"/>
          <w:lang w:val="en-US"/>
        </w:rPr>
        <w:t xml:space="preserve">mutations in pUL97 were </w:t>
      </w:r>
      <w:r w:rsidR="00CC2A74" w:rsidRPr="00251FF8">
        <w:rPr>
          <w:rFonts w:ascii="Times New Roman" w:hAnsi="Times New Roman" w:cs="Times New Roman"/>
          <w:sz w:val="24"/>
          <w:szCs w:val="24"/>
          <w:lang w:val="en-US"/>
        </w:rPr>
        <w:t>identified 43.3% of subjects (</w:t>
      </w:r>
      <w:r w:rsidR="00E1259D" w:rsidRPr="00251FF8">
        <w:rPr>
          <w:rFonts w:ascii="Times New Roman" w:hAnsi="Times New Roman" w:cs="Times New Roman"/>
          <w:sz w:val="24"/>
          <w:szCs w:val="24"/>
          <w:lang w:val="en-US"/>
        </w:rPr>
        <w:t>58/134</w:t>
      </w:r>
      <w:r w:rsidR="00CC2A74" w:rsidRPr="00251FF8">
        <w:rPr>
          <w:rFonts w:ascii="Times New Roman" w:hAnsi="Times New Roman" w:cs="Times New Roman"/>
          <w:sz w:val="24"/>
          <w:szCs w:val="24"/>
          <w:lang w:val="en-US"/>
        </w:rPr>
        <w:t>) who had post-baseline genotyping performed after</w:t>
      </w:r>
      <w:r w:rsidR="00CC2A74" w:rsidRPr="00CC2A74">
        <w:rPr>
          <w:rFonts w:ascii="Times New Roman" w:hAnsi="Times New Roman" w:cs="Times New Roman"/>
          <w:sz w:val="24"/>
          <w:szCs w:val="24"/>
          <w:lang w:val="en-US"/>
        </w:rPr>
        <w:t xml:space="preserve"> </w:t>
      </w:r>
      <w:r w:rsidR="00CC2A74" w:rsidRPr="00251FF8">
        <w:rPr>
          <w:rFonts w:ascii="Times New Roman" w:hAnsi="Times New Roman" w:cs="Times New Roman"/>
          <w:sz w:val="24"/>
          <w:szCs w:val="24"/>
          <w:lang w:val="en-US"/>
        </w:rPr>
        <w:t>detection of a CMV DNA viral load above a pre-defined cut-off level of ≥ 500 copies/mL</w:t>
      </w:r>
      <w:r w:rsidR="00CC2A74" w:rsidRPr="00CC2A74">
        <w:rPr>
          <w:rFonts w:ascii="Times New Roman" w:hAnsi="Times New Roman" w:cs="Times New Roman"/>
          <w:sz w:val="24"/>
          <w:szCs w:val="24"/>
          <w:lang w:val="en-US"/>
        </w:rPr>
        <w:t xml:space="preserve"> </w:t>
      </w:r>
      <w:r w:rsidR="00CC2A74" w:rsidRPr="00251FF8">
        <w:rPr>
          <w:rFonts w:ascii="Times New Roman" w:hAnsi="Times New Roman" w:cs="Times New Roman"/>
          <w:sz w:val="24"/>
          <w:szCs w:val="24"/>
          <w:lang w:val="en-US"/>
        </w:rPr>
        <w:t>(455 IU/mL).</w:t>
      </w:r>
    </w:p>
    <w:p w14:paraId="3CCC99E3" w14:textId="0400F60A" w:rsidR="0070302A" w:rsidRPr="001415DB" w:rsidRDefault="0070302A" w:rsidP="000F1A72">
      <w:pPr>
        <w:spacing w:after="0" w:line="240" w:lineRule="auto"/>
        <w:rPr>
          <w:rFonts w:ascii="Times New Roman" w:hAnsi="Times New Roman" w:cs="Times New Roman"/>
          <w:sz w:val="24"/>
          <w:szCs w:val="24"/>
          <w:u w:val="single"/>
        </w:rPr>
      </w:pPr>
      <w:r w:rsidRPr="001415DB">
        <w:rPr>
          <w:rFonts w:ascii="Times New Roman" w:hAnsi="Times New Roman" w:cs="Times New Roman"/>
          <w:sz w:val="24"/>
          <w:szCs w:val="24"/>
          <w:u w:val="single"/>
        </w:rPr>
        <w:t>Cross Resistance</w:t>
      </w:r>
    </w:p>
    <w:p w14:paraId="6E34A5D8" w14:textId="4DFC2D10" w:rsidR="000F1A72" w:rsidRPr="001415DB" w:rsidRDefault="0070302A" w:rsidP="00514E75">
      <w:pPr>
        <w:rPr>
          <w:rFonts w:ascii="Times New Roman" w:hAnsi="Times New Roman" w:cs="Times New Roman"/>
          <w:sz w:val="24"/>
          <w:szCs w:val="24"/>
        </w:rPr>
      </w:pPr>
      <w:r w:rsidRPr="001415DB">
        <w:rPr>
          <w:rFonts w:ascii="Times New Roman" w:hAnsi="Times New Roman" w:cs="Times New Roman"/>
          <w:sz w:val="24"/>
          <w:szCs w:val="24"/>
        </w:rPr>
        <w:t>There is clinical evidence of cross-resistance to maribavir and ganciclovir/valganciclovir at UL97: F342Y- 4.5-fold and 6.0-fold increase in EC</w:t>
      </w:r>
      <w:r w:rsidRPr="005631DF">
        <w:rPr>
          <w:rFonts w:ascii="Times New Roman" w:hAnsi="Times New Roman" w:cs="Times New Roman"/>
          <w:sz w:val="24"/>
          <w:szCs w:val="24"/>
          <w:vertAlign w:val="subscript"/>
        </w:rPr>
        <w:t>5</w:t>
      </w:r>
      <w:r w:rsidRPr="008430E4">
        <w:rPr>
          <w:rFonts w:ascii="Times New Roman" w:hAnsi="Times New Roman" w:cs="Times New Roman"/>
          <w:sz w:val="24"/>
          <w:szCs w:val="24"/>
          <w:vertAlign w:val="subscript"/>
        </w:rPr>
        <w:t>0</w:t>
      </w:r>
      <w:r w:rsidRPr="001415DB">
        <w:rPr>
          <w:rFonts w:ascii="Times New Roman" w:hAnsi="Times New Roman" w:cs="Times New Roman"/>
          <w:sz w:val="24"/>
          <w:szCs w:val="24"/>
        </w:rPr>
        <w:t xml:space="preserve"> to maribavir and ganciclovir, respectively; and C480F- 224-fold and 2.3-fold increase in EC</w:t>
      </w:r>
      <w:r w:rsidRPr="005631DF">
        <w:rPr>
          <w:rFonts w:ascii="Times New Roman" w:hAnsi="Times New Roman" w:cs="Times New Roman"/>
          <w:sz w:val="24"/>
          <w:szCs w:val="24"/>
          <w:vertAlign w:val="subscript"/>
        </w:rPr>
        <w:t>50</w:t>
      </w:r>
      <w:r w:rsidRPr="001415DB">
        <w:rPr>
          <w:rFonts w:ascii="Times New Roman" w:hAnsi="Times New Roman" w:cs="Times New Roman"/>
          <w:sz w:val="24"/>
          <w:szCs w:val="24"/>
        </w:rPr>
        <w:t xml:space="preserve"> to maribavir and ganciclovir, respectively. The prevalence of F342Y, the only cross-resistant mutation present in Study 303 subjects prior to maribavir treatment, was low (3/309 subjects with baseline UL97 genotyping).</w:t>
      </w:r>
    </w:p>
    <w:p w14:paraId="3C69BF00" w14:textId="77777777" w:rsidR="00F5309D" w:rsidRPr="001415DB" w:rsidRDefault="00F5309D" w:rsidP="00237D68">
      <w:pPr>
        <w:pStyle w:val="Heading3"/>
        <w:spacing w:before="0" w:after="120"/>
        <w:ind w:left="0"/>
        <w:rPr>
          <w:rFonts w:ascii="Times New Roman" w:hAnsi="Times New Roman" w:cs="Times New Roman"/>
          <w:sz w:val="24"/>
          <w:szCs w:val="24"/>
        </w:rPr>
      </w:pPr>
      <w:r w:rsidRPr="001415DB">
        <w:rPr>
          <w:rFonts w:ascii="Times New Roman" w:hAnsi="Times New Roman" w:cs="Times New Roman"/>
          <w:sz w:val="24"/>
          <w:szCs w:val="24"/>
        </w:rPr>
        <w:lastRenderedPageBreak/>
        <w:t>Pharmacodynamic effects</w:t>
      </w:r>
    </w:p>
    <w:p w14:paraId="3FD12AC8" w14:textId="77777777" w:rsidR="00F5309D" w:rsidRPr="001415DB" w:rsidRDefault="00F5309D" w:rsidP="00431B7A">
      <w:pPr>
        <w:spacing w:after="0"/>
        <w:rPr>
          <w:rFonts w:ascii="Times New Roman" w:hAnsi="Times New Roman" w:cs="Times New Roman"/>
          <w:i/>
          <w:iCs/>
          <w:sz w:val="24"/>
          <w:szCs w:val="24"/>
        </w:rPr>
      </w:pPr>
      <w:r w:rsidRPr="001415DB">
        <w:rPr>
          <w:rFonts w:ascii="Times New Roman" w:hAnsi="Times New Roman" w:cs="Times New Roman"/>
          <w:i/>
          <w:iCs/>
          <w:sz w:val="24"/>
          <w:szCs w:val="24"/>
        </w:rPr>
        <w:t>Cardiac electrophysiology</w:t>
      </w:r>
    </w:p>
    <w:p w14:paraId="566314F2" w14:textId="77777777" w:rsidR="00F5309D" w:rsidRPr="001415DB" w:rsidRDefault="00F5309D" w:rsidP="00F5309D">
      <w:pPr>
        <w:rPr>
          <w:rFonts w:ascii="Times New Roman" w:hAnsi="Times New Roman" w:cs="Times New Roman"/>
          <w:sz w:val="24"/>
          <w:szCs w:val="24"/>
        </w:rPr>
      </w:pPr>
      <w:r w:rsidRPr="001415DB">
        <w:rPr>
          <w:rFonts w:ascii="Times New Roman" w:hAnsi="Times New Roman" w:cs="Times New Roman"/>
          <w:sz w:val="24"/>
          <w:szCs w:val="24"/>
        </w:rPr>
        <w:t xml:space="preserve">The effect of maribavir at doses up to 1200 mg on the QTc interval was evaluated in a randomised, single dose, placebo and active controlled (moxifloxacin 400 mg oral) 4 period crossover thorough QT trial in 52 healthy subjects. Maribavir does not prolong QTc to any clinically relevant extent following the 1200 mg dose, with peak plasma concentrations approximately twice the steady-state peak concentration following 400 mg twice daily doses in transplant patients. </w:t>
      </w:r>
    </w:p>
    <w:p w14:paraId="4472DB40" w14:textId="77777777" w:rsidR="0016581B" w:rsidRPr="001415DB" w:rsidRDefault="0016581B" w:rsidP="00237D68">
      <w:pPr>
        <w:pStyle w:val="Heading3"/>
        <w:spacing w:before="0" w:after="120"/>
        <w:ind w:left="0"/>
        <w:rPr>
          <w:rFonts w:ascii="Times New Roman" w:hAnsi="Times New Roman" w:cs="Times New Roman"/>
          <w:sz w:val="24"/>
          <w:szCs w:val="24"/>
        </w:rPr>
      </w:pPr>
      <w:r w:rsidRPr="001415DB">
        <w:rPr>
          <w:rFonts w:ascii="Times New Roman" w:hAnsi="Times New Roman" w:cs="Times New Roman"/>
          <w:sz w:val="24"/>
          <w:szCs w:val="24"/>
        </w:rPr>
        <w:t>Clinical trials</w:t>
      </w:r>
    </w:p>
    <w:p w14:paraId="6641286E" w14:textId="3115494A" w:rsidR="0051519B" w:rsidRPr="001415DB" w:rsidRDefault="00EB1490" w:rsidP="0051519B">
      <w:pPr>
        <w:rPr>
          <w:rFonts w:ascii="Times New Roman" w:hAnsi="Times New Roman" w:cs="Times New Roman"/>
          <w:sz w:val="24"/>
          <w:szCs w:val="24"/>
        </w:rPr>
      </w:pPr>
      <w:r w:rsidRPr="001415DB">
        <w:rPr>
          <w:rFonts w:ascii="Times New Roman" w:hAnsi="Times New Roman" w:cs="Times New Roman"/>
          <w:sz w:val="24"/>
          <w:szCs w:val="24"/>
        </w:rPr>
        <w:t>LIVTENCITY</w:t>
      </w:r>
      <w:r w:rsidR="0051519B" w:rsidRPr="001415DB">
        <w:rPr>
          <w:rFonts w:ascii="Times New Roman" w:hAnsi="Times New Roman" w:cs="Times New Roman"/>
          <w:sz w:val="24"/>
          <w:szCs w:val="24"/>
        </w:rPr>
        <w:t xml:space="preserve"> was evaluated in a Phase 3, </w:t>
      </w:r>
      <w:r w:rsidR="00560A8D" w:rsidRPr="001415DB">
        <w:rPr>
          <w:rFonts w:ascii="Times New Roman" w:hAnsi="Times New Roman" w:cs="Times New Roman"/>
          <w:sz w:val="24"/>
          <w:szCs w:val="24"/>
        </w:rPr>
        <w:t>multicentre</w:t>
      </w:r>
      <w:r w:rsidR="0051519B" w:rsidRPr="001415DB">
        <w:rPr>
          <w:rFonts w:ascii="Times New Roman" w:hAnsi="Times New Roman" w:cs="Times New Roman"/>
          <w:sz w:val="24"/>
          <w:szCs w:val="24"/>
        </w:rPr>
        <w:t>, randomi</w:t>
      </w:r>
      <w:r w:rsidR="00834235">
        <w:rPr>
          <w:rFonts w:ascii="Times New Roman" w:hAnsi="Times New Roman" w:cs="Times New Roman"/>
          <w:sz w:val="24"/>
          <w:szCs w:val="24"/>
        </w:rPr>
        <w:t>s</w:t>
      </w:r>
      <w:r w:rsidR="0051519B" w:rsidRPr="001415DB">
        <w:rPr>
          <w:rFonts w:ascii="Times New Roman" w:hAnsi="Times New Roman" w:cs="Times New Roman"/>
          <w:sz w:val="24"/>
          <w:szCs w:val="24"/>
        </w:rPr>
        <w:t xml:space="preserve">ed, open-label, active controlled superiority study (Study 303) to assess the efficacy and safety of </w:t>
      </w:r>
      <w:r w:rsidRPr="001415DB">
        <w:rPr>
          <w:rFonts w:ascii="Times New Roman" w:hAnsi="Times New Roman" w:cs="Times New Roman"/>
          <w:sz w:val="24"/>
          <w:szCs w:val="24"/>
        </w:rPr>
        <w:t>LIVTENCITY</w:t>
      </w:r>
      <w:r w:rsidR="0051519B" w:rsidRPr="001415DB">
        <w:rPr>
          <w:rFonts w:ascii="Times New Roman" w:hAnsi="Times New Roman" w:cs="Times New Roman"/>
          <w:sz w:val="24"/>
          <w:szCs w:val="24"/>
        </w:rPr>
        <w:t xml:space="preserve"> treatment compared to IAT in 352 HSCT and SOT recipients with CMV infections that were refractory to treatment with ganciclovir, valganciclovir, </w:t>
      </w:r>
      <w:proofErr w:type="spellStart"/>
      <w:r w:rsidR="0051519B" w:rsidRPr="001415DB">
        <w:rPr>
          <w:rFonts w:ascii="Times New Roman" w:hAnsi="Times New Roman" w:cs="Times New Roman"/>
          <w:sz w:val="24"/>
          <w:szCs w:val="24"/>
        </w:rPr>
        <w:t>foscarnet</w:t>
      </w:r>
      <w:proofErr w:type="spellEnd"/>
      <w:r w:rsidR="0051519B" w:rsidRPr="001415DB">
        <w:rPr>
          <w:rFonts w:ascii="Times New Roman" w:hAnsi="Times New Roman" w:cs="Times New Roman"/>
          <w:sz w:val="24"/>
          <w:szCs w:val="24"/>
        </w:rPr>
        <w:t>, or cidofovir, including CMV infections with or without confirmed resistance to 1 or more anti</w:t>
      </w:r>
      <w:r w:rsidR="000411B4" w:rsidRPr="001415DB">
        <w:rPr>
          <w:rFonts w:ascii="Times New Roman" w:hAnsi="Times New Roman" w:cs="Times New Roman"/>
          <w:sz w:val="24"/>
          <w:szCs w:val="24"/>
        </w:rPr>
        <w:t>-</w:t>
      </w:r>
      <w:r w:rsidR="0051519B" w:rsidRPr="001415DB">
        <w:rPr>
          <w:rFonts w:ascii="Times New Roman" w:hAnsi="Times New Roman" w:cs="Times New Roman"/>
          <w:sz w:val="24"/>
          <w:szCs w:val="24"/>
        </w:rPr>
        <w:t xml:space="preserve">CMV agents.  </w:t>
      </w:r>
    </w:p>
    <w:p w14:paraId="6CB8FF24" w14:textId="0805395C" w:rsidR="0051519B" w:rsidRDefault="0051519B" w:rsidP="0051519B">
      <w:pPr>
        <w:rPr>
          <w:rFonts w:ascii="Times New Roman" w:hAnsi="Times New Roman" w:cs="Times New Roman"/>
          <w:sz w:val="24"/>
          <w:szCs w:val="24"/>
        </w:rPr>
      </w:pPr>
      <w:r w:rsidRPr="001415DB">
        <w:rPr>
          <w:rFonts w:ascii="Times New Roman" w:hAnsi="Times New Roman" w:cs="Times New Roman"/>
          <w:sz w:val="24"/>
          <w:szCs w:val="24"/>
        </w:rPr>
        <w:t>Patients were stratified by transplant type (HSCT or SOT) and screening viral load and then randomi</w:t>
      </w:r>
      <w:r w:rsidR="00834235">
        <w:rPr>
          <w:rFonts w:ascii="Times New Roman" w:hAnsi="Times New Roman" w:cs="Times New Roman"/>
          <w:sz w:val="24"/>
          <w:szCs w:val="24"/>
        </w:rPr>
        <w:t>s</w:t>
      </w:r>
      <w:r w:rsidRPr="001415DB">
        <w:rPr>
          <w:rFonts w:ascii="Times New Roman" w:hAnsi="Times New Roman" w:cs="Times New Roman"/>
          <w:sz w:val="24"/>
          <w:szCs w:val="24"/>
        </w:rPr>
        <w:t xml:space="preserve">ed in a 2:1 allocation ratio to receive </w:t>
      </w:r>
      <w:r w:rsidR="00715F0D"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400 mg twice daily or IAT (ganciclovir, valganciclovir, </w:t>
      </w:r>
      <w:proofErr w:type="spellStart"/>
      <w:r w:rsidRPr="001415DB">
        <w:rPr>
          <w:rFonts w:ascii="Times New Roman" w:hAnsi="Times New Roman" w:cs="Times New Roman"/>
          <w:sz w:val="24"/>
          <w:szCs w:val="24"/>
        </w:rPr>
        <w:t>foscarnet</w:t>
      </w:r>
      <w:proofErr w:type="spellEnd"/>
      <w:r w:rsidRPr="001415DB">
        <w:rPr>
          <w:rFonts w:ascii="Times New Roman" w:hAnsi="Times New Roman" w:cs="Times New Roman"/>
          <w:sz w:val="24"/>
          <w:szCs w:val="24"/>
        </w:rPr>
        <w:t xml:space="preserve">, or cidofovir) for an 8-week treatment period and a </w:t>
      </w:r>
      <w:r w:rsidR="00560A8D" w:rsidRPr="001415DB">
        <w:rPr>
          <w:rFonts w:ascii="Times New Roman" w:hAnsi="Times New Roman" w:cs="Times New Roman"/>
          <w:sz w:val="24"/>
          <w:szCs w:val="24"/>
        </w:rPr>
        <w:t>12-week</w:t>
      </w:r>
      <w:r w:rsidRPr="001415DB">
        <w:rPr>
          <w:rFonts w:ascii="Times New Roman" w:hAnsi="Times New Roman" w:cs="Times New Roman"/>
          <w:sz w:val="24"/>
          <w:szCs w:val="24"/>
        </w:rPr>
        <w:t xml:space="preserve"> follow-up phase.  </w:t>
      </w:r>
    </w:p>
    <w:p w14:paraId="08D6BBD8" w14:textId="3EB81F1E" w:rsidR="00643FAB" w:rsidRPr="001415DB" w:rsidRDefault="00F97DE1" w:rsidP="005F5D7A">
      <w:pPr>
        <w:pStyle w:val="Caption"/>
        <w:spacing w:before="0" w:after="120" w:line="240" w:lineRule="exact"/>
        <w:ind w:left="720" w:hanging="720"/>
        <w:rPr>
          <w:lang w:val="en-AU"/>
        </w:rPr>
      </w:pPr>
      <w:r w:rsidRPr="001415DB">
        <w:rPr>
          <w:lang w:val="en-AU"/>
        </w:rPr>
        <w:t xml:space="preserve">Table </w:t>
      </w:r>
      <w:r w:rsidR="004E3D50" w:rsidRPr="001415DB">
        <w:rPr>
          <w:lang w:val="en-AU"/>
        </w:rPr>
        <w:t>4</w:t>
      </w:r>
      <w:r w:rsidRPr="001415DB">
        <w:rPr>
          <w:lang w:val="en-AU"/>
        </w:rPr>
        <w:t>: Summary of the Demographic and Disease Characteristics of the Study Population in</w:t>
      </w:r>
      <w:r w:rsidR="009C1A82" w:rsidRPr="001415DB">
        <w:rPr>
          <w:lang w:val="en-AU"/>
        </w:rPr>
        <w:t xml:space="preserve"> </w:t>
      </w:r>
      <w:r w:rsidRPr="001415DB">
        <w:rPr>
          <w:lang w:val="en-AU"/>
        </w:rPr>
        <w:t>Study 303</w:t>
      </w:r>
    </w:p>
    <w:tbl>
      <w:tblPr>
        <w:tblStyle w:val="TableGrid1"/>
        <w:tblW w:w="4988" w:type="pct"/>
        <w:tblLook w:val="04A0" w:firstRow="1" w:lastRow="0" w:firstColumn="1" w:lastColumn="0" w:noHBand="0" w:noVBand="1"/>
      </w:tblPr>
      <w:tblGrid>
        <w:gridCol w:w="5125"/>
        <w:gridCol w:w="2160"/>
        <w:gridCol w:w="1709"/>
      </w:tblGrid>
      <w:tr w:rsidR="0056216D" w:rsidRPr="001415DB" w14:paraId="4B6C7727" w14:textId="77777777" w:rsidTr="0056216D">
        <w:trPr>
          <w:tblHeader/>
        </w:trPr>
        <w:tc>
          <w:tcPr>
            <w:tcW w:w="2849" w:type="pct"/>
            <w:tcBorders>
              <w:bottom w:val="nil"/>
            </w:tcBorders>
          </w:tcPr>
          <w:p w14:paraId="26F26EFE" w14:textId="77777777" w:rsidR="0056216D" w:rsidRPr="001415DB" w:rsidRDefault="0056216D" w:rsidP="007B4697">
            <w:pPr>
              <w:rPr>
                <w:rFonts w:ascii="Times New Roman" w:hAnsi="Times New Roman"/>
                <w:b/>
                <w:bCs/>
              </w:rPr>
            </w:pPr>
            <w:bookmarkStart w:id="5" w:name="_Hlk109990643"/>
            <w:proofErr w:type="spellStart"/>
            <w:r w:rsidRPr="001415DB">
              <w:rPr>
                <w:rFonts w:ascii="Times New Roman" w:hAnsi="Times New Roman"/>
                <w:b/>
                <w:bCs/>
              </w:rPr>
              <w:t>Characteristic</w:t>
            </w:r>
            <w:r w:rsidRPr="001415DB">
              <w:rPr>
                <w:rFonts w:ascii="Times New Roman" w:hAnsi="Times New Roman"/>
                <w:b/>
                <w:bCs/>
                <w:vertAlign w:val="superscript"/>
              </w:rPr>
              <w:t>a</w:t>
            </w:r>
            <w:proofErr w:type="spellEnd"/>
          </w:p>
        </w:tc>
        <w:tc>
          <w:tcPr>
            <w:tcW w:w="1201" w:type="pct"/>
            <w:tcBorders>
              <w:bottom w:val="nil"/>
            </w:tcBorders>
          </w:tcPr>
          <w:p w14:paraId="59EFA99A" w14:textId="34D7ED84" w:rsidR="0056216D" w:rsidRPr="001415DB" w:rsidRDefault="0056216D" w:rsidP="007B4697">
            <w:pPr>
              <w:jc w:val="center"/>
              <w:rPr>
                <w:rFonts w:ascii="Times New Roman" w:hAnsi="Times New Roman"/>
                <w:b/>
              </w:rPr>
            </w:pPr>
            <w:r w:rsidRPr="001415DB">
              <w:rPr>
                <w:rFonts w:ascii="Times New Roman" w:hAnsi="Times New Roman"/>
                <w:b/>
                <w:bCs/>
              </w:rPr>
              <w:t>LIVTENCITY</w:t>
            </w:r>
            <w:r w:rsidRPr="001415DB">
              <w:rPr>
                <w:rFonts w:ascii="Times New Roman" w:hAnsi="Times New Roman"/>
                <w:b/>
                <w:bCs/>
              </w:rPr>
              <w:br/>
              <w:t>400 mg Twice Daily</w:t>
            </w:r>
          </w:p>
        </w:tc>
        <w:tc>
          <w:tcPr>
            <w:tcW w:w="950" w:type="pct"/>
            <w:tcBorders>
              <w:bottom w:val="nil"/>
            </w:tcBorders>
          </w:tcPr>
          <w:p w14:paraId="3D98D4CC" w14:textId="43100DD6" w:rsidR="0056216D" w:rsidRPr="001415DB" w:rsidRDefault="0056216D" w:rsidP="007B4697">
            <w:pPr>
              <w:jc w:val="center"/>
              <w:rPr>
                <w:rFonts w:ascii="Times New Roman" w:hAnsi="Times New Roman"/>
                <w:b/>
              </w:rPr>
            </w:pPr>
            <w:r w:rsidRPr="001415DB">
              <w:rPr>
                <w:rFonts w:ascii="Times New Roman" w:hAnsi="Times New Roman"/>
                <w:b/>
              </w:rPr>
              <w:t>IAT</w:t>
            </w:r>
          </w:p>
        </w:tc>
      </w:tr>
      <w:tr w:rsidR="0056216D" w:rsidRPr="001415DB" w14:paraId="57AC23C1" w14:textId="77777777" w:rsidTr="0056216D">
        <w:tc>
          <w:tcPr>
            <w:tcW w:w="2849" w:type="pct"/>
            <w:tcBorders>
              <w:top w:val="nil"/>
            </w:tcBorders>
          </w:tcPr>
          <w:p w14:paraId="1B23F58D" w14:textId="77777777" w:rsidR="0056216D" w:rsidRPr="001415DB" w:rsidRDefault="0056216D" w:rsidP="007B4697">
            <w:pPr>
              <w:rPr>
                <w:rFonts w:ascii="Times New Roman" w:hAnsi="Times New Roman"/>
                <w:b/>
              </w:rPr>
            </w:pPr>
          </w:p>
        </w:tc>
        <w:tc>
          <w:tcPr>
            <w:tcW w:w="1201" w:type="pct"/>
            <w:tcBorders>
              <w:top w:val="nil"/>
            </w:tcBorders>
          </w:tcPr>
          <w:p w14:paraId="0969FD25" w14:textId="5ABFA789" w:rsidR="0056216D" w:rsidRPr="001415DB" w:rsidRDefault="0056216D" w:rsidP="007B4697">
            <w:pPr>
              <w:jc w:val="center"/>
              <w:rPr>
                <w:rFonts w:ascii="Times New Roman" w:hAnsi="Times New Roman"/>
                <w:b/>
                <w:bCs/>
              </w:rPr>
            </w:pPr>
            <w:r w:rsidRPr="001415DB">
              <w:rPr>
                <w:rFonts w:ascii="Times New Roman" w:hAnsi="Times New Roman"/>
                <w:b/>
                <w:bCs/>
              </w:rPr>
              <w:t>(N=235)</w:t>
            </w:r>
          </w:p>
        </w:tc>
        <w:tc>
          <w:tcPr>
            <w:tcW w:w="950" w:type="pct"/>
            <w:tcBorders>
              <w:top w:val="nil"/>
            </w:tcBorders>
          </w:tcPr>
          <w:p w14:paraId="4D8FE8A8" w14:textId="5037D818" w:rsidR="0056216D" w:rsidRPr="001415DB" w:rsidRDefault="0056216D" w:rsidP="007B4697">
            <w:pPr>
              <w:jc w:val="center"/>
              <w:rPr>
                <w:rFonts w:ascii="Times New Roman" w:hAnsi="Times New Roman"/>
                <w:b/>
              </w:rPr>
            </w:pPr>
            <w:r w:rsidRPr="001415DB">
              <w:rPr>
                <w:rFonts w:ascii="Times New Roman" w:hAnsi="Times New Roman"/>
                <w:b/>
                <w:bCs/>
              </w:rPr>
              <w:t>(N=117)</w:t>
            </w:r>
          </w:p>
        </w:tc>
      </w:tr>
      <w:tr w:rsidR="0056216D" w:rsidRPr="001415DB" w14:paraId="6A0154CE" w14:textId="77777777" w:rsidTr="0056216D">
        <w:tc>
          <w:tcPr>
            <w:tcW w:w="2849" w:type="pct"/>
          </w:tcPr>
          <w:p w14:paraId="01E48366" w14:textId="77777777" w:rsidR="0056216D" w:rsidRPr="001415DB" w:rsidRDefault="0056216D" w:rsidP="007B4697">
            <w:pPr>
              <w:rPr>
                <w:rFonts w:ascii="Times New Roman" w:hAnsi="Times New Roman"/>
                <w:b/>
                <w:bCs/>
              </w:rPr>
            </w:pPr>
            <w:r w:rsidRPr="001415DB">
              <w:rPr>
                <w:rFonts w:ascii="Times New Roman" w:hAnsi="Times New Roman"/>
                <w:b/>
                <w:bCs/>
              </w:rPr>
              <w:t>Age (years)</w:t>
            </w:r>
            <w:r w:rsidRPr="001415DB">
              <w:rPr>
                <w:rFonts w:ascii="Times New Roman" w:hAnsi="Times New Roman"/>
                <w:b/>
                <w:bCs/>
                <w:vertAlign w:val="superscript"/>
              </w:rPr>
              <w:t>b</w:t>
            </w:r>
          </w:p>
        </w:tc>
        <w:tc>
          <w:tcPr>
            <w:tcW w:w="1201" w:type="pct"/>
          </w:tcPr>
          <w:p w14:paraId="5A5CF9F4" w14:textId="77777777" w:rsidR="0056216D" w:rsidRPr="001415DB" w:rsidRDefault="0056216D" w:rsidP="007B4697">
            <w:pPr>
              <w:jc w:val="center"/>
              <w:rPr>
                <w:rFonts w:ascii="Times New Roman" w:hAnsi="Times New Roman"/>
                <w:bCs/>
              </w:rPr>
            </w:pPr>
          </w:p>
        </w:tc>
        <w:tc>
          <w:tcPr>
            <w:tcW w:w="950" w:type="pct"/>
          </w:tcPr>
          <w:p w14:paraId="3691A331" w14:textId="7E493AAD" w:rsidR="0056216D" w:rsidRPr="001415DB" w:rsidRDefault="0056216D" w:rsidP="007B4697">
            <w:pPr>
              <w:jc w:val="center"/>
              <w:rPr>
                <w:rFonts w:ascii="Times New Roman" w:hAnsi="Times New Roman"/>
                <w:bCs/>
              </w:rPr>
            </w:pPr>
          </w:p>
        </w:tc>
      </w:tr>
      <w:tr w:rsidR="0056216D" w:rsidRPr="001415DB" w14:paraId="3C641717" w14:textId="77777777" w:rsidTr="0056216D">
        <w:tc>
          <w:tcPr>
            <w:tcW w:w="2849" w:type="pct"/>
          </w:tcPr>
          <w:p w14:paraId="501F4FEE" w14:textId="77777777" w:rsidR="0056216D" w:rsidRPr="001415DB" w:rsidRDefault="0056216D" w:rsidP="007B4697">
            <w:pPr>
              <w:ind w:left="250"/>
              <w:rPr>
                <w:rFonts w:ascii="Times New Roman" w:hAnsi="Times New Roman"/>
                <w:bCs/>
              </w:rPr>
            </w:pPr>
            <w:r w:rsidRPr="001415DB">
              <w:rPr>
                <w:rFonts w:ascii="Times New Roman" w:hAnsi="Times New Roman"/>
              </w:rPr>
              <w:t>Median</w:t>
            </w:r>
          </w:p>
        </w:tc>
        <w:tc>
          <w:tcPr>
            <w:tcW w:w="1201" w:type="pct"/>
          </w:tcPr>
          <w:p w14:paraId="3191DE6C" w14:textId="058B10A9" w:rsidR="0056216D" w:rsidRPr="001415DB" w:rsidRDefault="0056216D" w:rsidP="007B4697">
            <w:pPr>
              <w:jc w:val="center"/>
              <w:rPr>
                <w:rFonts w:ascii="Times New Roman" w:hAnsi="Times New Roman"/>
              </w:rPr>
            </w:pPr>
            <w:r w:rsidRPr="001415DB">
              <w:rPr>
                <w:rFonts w:ascii="Times New Roman" w:hAnsi="Times New Roman"/>
              </w:rPr>
              <w:t>57</w:t>
            </w:r>
          </w:p>
        </w:tc>
        <w:tc>
          <w:tcPr>
            <w:tcW w:w="950" w:type="pct"/>
          </w:tcPr>
          <w:p w14:paraId="5C4A4948" w14:textId="22F87AF5" w:rsidR="0056216D" w:rsidRPr="001415DB" w:rsidRDefault="0056216D" w:rsidP="007B4697">
            <w:pPr>
              <w:jc w:val="center"/>
              <w:rPr>
                <w:rFonts w:ascii="Times New Roman" w:hAnsi="Times New Roman"/>
                <w:bCs/>
              </w:rPr>
            </w:pPr>
            <w:r w:rsidRPr="001415DB">
              <w:rPr>
                <w:rFonts w:ascii="Times New Roman" w:hAnsi="Times New Roman"/>
              </w:rPr>
              <w:t>54</w:t>
            </w:r>
          </w:p>
        </w:tc>
      </w:tr>
      <w:tr w:rsidR="0056216D" w:rsidRPr="001415DB" w14:paraId="767623D5" w14:textId="77777777" w:rsidTr="0056216D">
        <w:tc>
          <w:tcPr>
            <w:tcW w:w="2849" w:type="pct"/>
          </w:tcPr>
          <w:p w14:paraId="66D6A8C4" w14:textId="77777777" w:rsidR="0056216D" w:rsidRPr="001415DB" w:rsidRDefault="0056216D" w:rsidP="007B4697">
            <w:pPr>
              <w:ind w:left="250"/>
              <w:rPr>
                <w:rFonts w:ascii="Times New Roman" w:hAnsi="Times New Roman"/>
                <w:bCs/>
              </w:rPr>
            </w:pPr>
            <w:r w:rsidRPr="001415DB">
              <w:rPr>
                <w:rFonts w:ascii="Times New Roman" w:hAnsi="Times New Roman"/>
              </w:rPr>
              <w:t>Min, Max</w:t>
            </w:r>
          </w:p>
        </w:tc>
        <w:tc>
          <w:tcPr>
            <w:tcW w:w="1201" w:type="pct"/>
          </w:tcPr>
          <w:p w14:paraId="4AA1C646" w14:textId="430AC75C" w:rsidR="0056216D" w:rsidRPr="001415DB" w:rsidRDefault="0056216D" w:rsidP="007B4697">
            <w:pPr>
              <w:jc w:val="center"/>
              <w:rPr>
                <w:rFonts w:ascii="Times New Roman" w:hAnsi="Times New Roman"/>
                <w:bCs/>
              </w:rPr>
            </w:pPr>
            <w:r w:rsidRPr="001415DB">
              <w:rPr>
                <w:rFonts w:ascii="Times New Roman" w:hAnsi="Times New Roman"/>
                <w:bCs/>
              </w:rPr>
              <w:t>19, 79</w:t>
            </w:r>
          </w:p>
        </w:tc>
        <w:tc>
          <w:tcPr>
            <w:tcW w:w="950" w:type="pct"/>
          </w:tcPr>
          <w:p w14:paraId="5415581F" w14:textId="1CB0EDDC" w:rsidR="0056216D" w:rsidRPr="001415DB" w:rsidRDefault="0056216D" w:rsidP="007B4697">
            <w:pPr>
              <w:jc w:val="center"/>
              <w:rPr>
                <w:rFonts w:ascii="Times New Roman" w:hAnsi="Times New Roman"/>
                <w:bCs/>
              </w:rPr>
            </w:pPr>
            <w:r w:rsidRPr="001415DB">
              <w:rPr>
                <w:rFonts w:ascii="Times New Roman" w:hAnsi="Times New Roman"/>
                <w:bCs/>
              </w:rPr>
              <w:t>19, 77</w:t>
            </w:r>
          </w:p>
        </w:tc>
      </w:tr>
      <w:tr w:rsidR="0056216D" w:rsidRPr="001415DB" w14:paraId="4A6D820B" w14:textId="77777777" w:rsidTr="0056216D">
        <w:tc>
          <w:tcPr>
            <w:tcW w:w="2849" w:type="pct"/>
          </w:tcPr>
          <w:p w14:paraId="2D499745" w14:textId="77777777" w:rsidR="0056216D" w:rsidRPr="001415DB" w:rsidRDefault="0056216D" w:rsidP="007B4697">
            <w:pPr>
              <w:rPr>
                <w:rFonts w:ascii="Times New Roman" w:hAnsi="Times New Roman"/>
                <w:b/>
                <w:bCs/>
              </w:rPr>
            </w:pPr>
            <w:r w:rsidRPr="001415DB">
              <w:rPr>
                <w:rFonts w:ascii="Times New Roman" w:hAnsi="Times New Roman"/>
                <w:b/>
                <w:bCs/>
              </w:rPr>
              <w:t>Sex, n (%)</w:t>
            </w:r>
          </w:p>
        </w:tc>
        <w:tc>
          <w:tcPr>
            <w:tcW w:w="1201" w:type="pct"/>
          </w:tcPr>
          <w:p w14:paraId="0E63E673" w14:textId="77777777" w:rsidR="0056216D" w:rsidRPr="001415DB" w:rsidRDefault="0056216D" w:rsidP="007B4697">
            <w:pPr>
              <w:jc w:val="center"/>
              <w:rPr>
                <w:rFonts w:ascii="Times New Roman" w:hAnsi="Times New Roman"/>
                <w:bCs/>
              </w:rPr>
            </w:pPr>
          </w:p>
        </w:tc>
        <w:tc>
          <w:tcPr>
            <w:tcW w:w="950" w:type="pct"/>
          </w:tcPr>
          <w:p w14:paraId="7B3CF353" w14:textId="65BC9318" w:rsidR="0056216D" w:rsidRPr="001415DB" w:rsidRDefault="0056216D" w:rsidP="007B4697">
            <w:pPr>
              <w:jc w:val="center"/>
              <w:rPr>
                <w:rFonts w:ascii="Times New Roman" w:hAnsi="Times New Roman"/>
                <w:bCs/>
              </w:rPr>
            </w:pPr>
          </w:p>
        </w:tc>
      </w:tr>
      <w:tr w:rsidR="0056216D" w:rsidRPr="001415DB" w14:paraId="3BF57E2E" w14:textId="77777777" w:rsidTr="0056216D">
        <w:tc>
          <w:tcPr>
            <w:tcW w:w="2849" w:type="pct"/>
          </w:tcPr>
          <w:p w14:paraId="6622B470" w14:textId="77777777" w:rsidR="0056216D" w:rsidRPr="001415DB" w:rsidRDefault="0056216D" w:rsidP="007B4697">
            <w:pPr>
              <w:ind w:left="250"/>
              <w:rPr>
                <w:rFonts w:ascii="Times New Roman" w:hAnsi="Times New Roman"/>
                <w:bCs/>
              </w:rPr>
            </w:pPr>
            <w:r w:rsidRPr="001415DB">
              <w:rPr>
                <w:rFonts w:ascii="Times New Roman" w:hAnsi="Times New Roman"/>
                <w:bCs/>
              </w:rPr>
              <w:t>Male</w:t>
            </w:r>
          </w:p>
        </w:tc>
        <w:tc>
          <w:tcPr>
            <w:tcW w:w="1201" w:type="pct"/>
          </w:tcPr>
          <w:p w14:paraId="61D228E9" w14:textId="0F8EF575" w:rsidR="0056216D" w:rsidRPr="001415DB" w:rsidRDefault="0056216D" w:rsidP="007B4697">
            <w:pPr>
              <w:jc w:val="center"/>
              <w:rPr>
                <w:rFonts w:ascii="Times New Roman" w:hAnsi="Times New Roman"/>
              </w:rPr>
            </w:pPr>
            <w:r w:rsidRPr="001415DB">
              <w:rPr>
                <w:rFonts w:ascii="Times New Roman" w:hAnsi="Times New Roman"/>
              </w:rPr>
              <w:t>148 (63)</w:t>
            </w:r>
          </w:p>
        </w:tc>
        <w:tc>
          <w:tcPr>
            <w:tcW w:w="950" w:type="pct"/>
          </w:tcPr>
          <w:p w14:paraId="5C7121B9" w14:textId="5C3B1644" w:rsidR="0056216D" w:rsidRPr="001415DB" w:rsidRDefault="0056216D" w:rsidP="007B4697">
            <w:pPr>
              <w:jc w:val="center"/>
              <w:rPr>
                <w:rFonts w:ascii="Times New Roman" w:hAnsi="Times New Roman"/>
                <w:bCs/>
              </w:rPr>
            </w:pPr>
            <w:r w:rsidRPr="001415DB">
              <w:rPr>
                <w:rFonts w:ascii="Times New Roman" w:hAnsi="Times New Roman"/>
              </w:rPr>
              <w:t>65 (56)</w:t>
            </w:r>
          </w:p>
        </w:tc>
      </w:tr>
      <w:tr w:rsidR="0056216D" w:rsidRPr="001415DB" w14:paraId="06B9D380" w14:textId="77777777" w:rsidTr="0056216D">
        <w:tc>
          <w:tcPr>
            <w:tcW w:w="2849" w:type="pct"/>
          </w:tcPr>
          <w:p w14:paraId="53F68DD7" w14:textId="77777777" w:rsidR="0056216D" w:rsidRPr="001415DB" w:rsidRDefault="0056216D" w:rsidP="007B4697">
            <w:pPr>
              <w:ind w:left="250"/>
              <w:rPr>
                <w:rFonts w:ascii="Times New Roman" w:hAnsi="Times New Roman"/>
                <w:bCs/>
              </w:rPr>
            </w:pPr>
            <w:r w:rsidRPr="001415DB">
              <w:rPr>
                <w:rFonts w:ascii="Times New Roman" w:hAnsi="Times New Roman"/>
                <w:bCs/>
              </w:rPr>
              <w:t>Female</w:t>
            </w:r>
          </w:p>
        </w:tc>
        <w:tc>
          <w:tcPr>
            <w:tcW w:w="1201" w:type="pct"/>
          </w:tcPr>
          <w:p w14:paraId="0C88A496" w14:textId="7A6B4598" w:rsidR="0056216D" w:rsidRPr="001415DB" w:rsidRDefault="0056216D" w:rsidP="007B4697">
            <w:pPr>
              <w:jc w:val="center"/>
              <w:rPr>
                <w:rFonts w:ascii="Times New Roman" w:hAnsi="Times New Roman"/>
              </w:rPr>
            </w:pPr>
            <w:r w:rsidRPr="001415DB">
              <w:rPr>
                <w:rFonts w:ascii="Times New Roman" w:hAnsi="Times New Roman"/>
              </w:rPr>
              <w:t>87 (37)</w:t>
            </w:r>
          </w:p>
        </w:tc>
        <w:tc>
          <w:tcPr>
            <w:tcW w:w="950" w:type="pct"/>
          </w:tcPr>
          <w:p w14:paraId="34AC56DC" w14:textId="754C55E8" w:rsidR="0056216D" w:rsidRPr="001415DB" w:rsidRDefault="0056216D" w:rsidP="007B4697">
            <w:pPr>
              <w:jc w:val="center"/>
              <w:rPr>
                <w:rFonts w:ascii="Times New Roman" w:hAnsi="Times New Roman"/>
                <w:bCs/>
              </w:rPr>
            </w:pPr>
            <w:r w:rsidRPr="001415DB">
              <w:rPr>
                <w:rFonts w:ascii="Times New Roman" w:hAnsi="Times New Roman"/>
              </w:rPr>
              <w:t>52 (44)</w:t>
            </w:r>
          </w:p>
        </w:tc>
      </w:tr>
      <w:tr w:rsidR="0056216D" w:rsidRPr="001415DB" w14:paraId="07285271" w14:textId="77777777" w:rsidTr="0056216D">
        <w:tc>
          <w:tcPr>
            <w:tcW w:w="2849" w:type="pct"/>
          </w:tcPr>
          <w:p w14:paraId="21F39292" w14:textId="77777777" w:rsidR="0056216D" w:rsidRPr="001415DB" w:rsidRDefault="0056216D" w:rsidP="007B4697">
            <w:pPr>
              <w:rPr>
                <w:rFonts w:ascii="Times New Roman" w:hAnsi="Times New Roman"/>
                <w:b/>
              </w:rPr>
            </w:pPr>
            <w:r w:rsidRPr="001415DB">
              <w:rPr>
                <w:rFonts w:ascii="Times New Roman" w:hAnsi="Times New Roman"/>
                <w:b/>
              </w:rPr>
              <w:t>Ethnicity, n (%)</w:t>
            </w:r>
          </w:p>
        </w:tc>
        <w:tc>
          <w:tcPr>
            <w:tcW w:w="1201" w:type="pct"/>
          </w:tcPr>
          <w:p w14:paraId="17C04473" w14:textId="77777777" w:rsidR="0056216D" w:rsidRPr="001415DB" w:rsidRDefault="0056216D" w:rsidP="007B4697">
            <w:pPr>
              <w:jc w:val="center"/>
              <w:rPr>
                <w:rFonts w:ascii="Times New Roman" w:hAnsi="Times New Roman"/>
              </w:rPr>
            </w:pPr>
          </w:p>
        </w:tc>
        <w:tc>
          <w:tcPr>
            <w:tcW w:w="950" w:type="pct"/>
          </w:tcPr>
          <w:p w14:paraId="184A9FF1" w14:textId="5207FEA1" w:rsidR="0056216D" w:rsidRPr="001415DB" w:rsidRDefault="0056216D" w:rsidP="007B4697">
            <w:pPr>
              <w:jc w:val="center"/>
              <w:rPr>
                <w:rFonts w:ascii="Times New Roman" w:hAnsi="Times New Roman"/>
              </w:rPr>
            </w:pPr>
          </w:p>
        </w:tc>
      </w:tr>
      <w:tr w:rsidR="0056216D" w:rsidRPr="001415DB" w14:paraId="09AE915E" w14:textId="77777777" w:rsidTr="0056216D">
        <w:tc>
          <w:tcPr>
            <w:tcW w:w="2849" w:type="pct"/>
          </w:tcPr>
          <w:p w14:paraId="30EF6809" w14:textId="77777777" w:rsidR="0056216D" w:rsidRPr="001415DB" w:rsidRDefault="0056216D" w:rsidP="007B4697">
            <w:pPr>
              <w:ind w:left="250"/>
              <w:rPr>
                <w:rFonts w:ascii="Times New Roman" w:hAnsi="Times New Roman"/>
                <w:bCs/>
              </w:rPr>
            </w:pPr>
            <w:r w:rsidRPr="001415DB">
              <w:rPr>
                <w:rFonts w:ascii="Times New Roman" w:hAnsi="Times New Roman"/>
                <w:bCs/>
              </w:rPr>
              <w:t>Hispanic or Latino</w:t>
            </w:r>
          </w:p>
        </w:tc>
        <w:tc>
          <w:tcPr>
            <w:tcW w:w="1201" w:type="pct"/>
          </w:tcPr>
          <w:p w14:paraId="5F38E492" w14:textId="0059CBFD" w:rsidR="0056216D" w:rsidRPr="001415DB" w:rsidRDefault="0056216D" w:rsidP="007B4697">
            <w:pPr>
              <w:jc w:val="center"/>
              <w:rPr>
                <w:rFonts w:ascii="Times New Roman" w:hAnsi="Times New Roman"/>
              </w:rPr>
            </w:pPr>
            <w:r w:rsidRPr="001415DB">
              <w:rPr>
                <w:rFonts w:ascii="Times New Roman" w:hAnsi="Times New Roman"/>
              </w:rPr>
              <w:t>14 (6)</w:t>
            </w:r>
          </w:p>
        </w:tc>
        <w:tc>
          <w:tcPr>
            <w:tcW w:w="950" w:type="pct"/>
          </w:tcPr>
          <w:p w14:paraId="6B76E777" w14:textId="29D15865" w:rsidR="0056216D" w:rsidRPr="001415DB" w:rsidRDefault="0056216D" w:rsidP="007B4697">
            <w:pPr>
              <w:jc w:val="center"/>
              <w:rPr>
                <w:rFonts w:ascii="Times New Roman" w:hAnsi="Times New Roman"/>
              </w:rPr>
            </w:pPr>
            <w:r w:rsidRPr="001415DB">
              <w:rPr>
                <w:rFonts w:ascii="Times New Roman" w:hAnsi="Times New Roman"/>
              </w:rPr>
              <w:t>7 (6)</w:t>
            </w:r>
          </w:p>
        </w:tc>
      </w:tr>
      <w:tr w:rsidR="0056216D" w:rsidRPr="001415DB" w14:paraId="086318EA" w14:textId="77777777" w:rsidTr="0056216D">
        <w:tc>
          <w:tcPr>
            <w:tcW w:w="2849" w:type="pct"/>
          </w:tcPr>
          <w:p w14:paraId="090B810B" w14:textId="77777777" w:rsidR="0056216D" w:rsidRPr="001415DB" w:rsidRDefault="0056216D" w:rsidP="007B4697">
            <w:pPr>
              <w:ind w:left="250"/>
              <w:rPr>
                <w:rFonts w:ascii="Times New Roman" w:hAnsi="Times New Roman"/>
                <w:bCs/>
              </w:rPr>
            </w:pPr>
            <w:r w:rsidRPr="001415DB">
              <w:rPr>
                <w:rFonts w:ascii="Times New Roman" w:hAnsi="Times New Roman"/>
                <w:bCs/>
              </w:rPr>
              <w:t>Not Hispanic or Latino</w:t>
            </w:r>
          </w:p>
        </w:tc>
        <w:tc>
          <w:tcPr>
            <w:tcW w:w="1201" w:type="pct"/>
          </w:tcPr>
          <w:p w14:paraId="59637835" w14:textId="0FF34E74" w:rsidR="0056216D" w:rsidRPr="001415DB" w:rsidRDefault="0056216D" w:rsidP="007B4697">
            <w:pPr>
              <w:jc w:val="center"/>
              <w:rPr>
                <w:rFonts w:ascii="Times New Roman" w:hAnsi="Times New Roman"/>
              </w:rPr>
            </w:pPr>
            <w:r w:rsidRPr="001415DB">
              <w:rPr>
                <w:rFonts w:ascii="Times New Roman" w:hAnsi="Times New Roman"/>
              </w:rPr>
              <w:t>198 (84)</w:t>
            </w:r>
          </w:p>
        </w:tc>
        <w:tc>
          <w:tcPr>
            <w:tcW w:w="950" w:type="pct"/>
          </w:tcPr>
          <w:p w14:paraId="196237D3" w14:textId="5EED8711" w:rsidR="0056216D" w:rsidRPr="001415DB" w:rsidRDefault="0056216D" w:rsidP="007B4697">
            <w:pPr>
              <w:jc w:val="center"/>
              <w:rPr>
                <w:rFonts w:ascii="Times New Roman" w:hAnsi="Times New Roman"/>
              </w:rPr>
            </w:pPr>
            <w:r w:rsidRPr="001415DB">
              <w:rPr>
                <w:rFonts w:ascii="Times New Roman" w:hAnsi="Times New Roman"/>
              </w:rPr>
              <w:t>95 (81)</w:t>
            </w:r>
          </w:p>
        </w:tc>
      </w:tr>
      <w:tr w:rsidR="0056216D" w:rsidRPr="001415DB" w14:paraId="52FF2CD7" w14:textId="77777777" w:rsidTr="0056216D">
        <w:tc>
          <w:tcPr>
            <w:tcW w:w="2849" w:type="pct"/>
          </w:tcPr>
          <w:p w14:paraId="5CBF779D" w14:textId="77777777" w:rsidR="0056216D" w:rsidRPr="001415DB" w:rsidRDefault="0056216D" w:rsidP="007B4697">
            <w:pPr>
              <w:ind w:left="250"/>
              <w:rPr>
                <w:rFonts w:ascii="Times New Roman" w:hAnsi="Times New Roman"/>
                <w:bCs/>
              </w:rPr>
            </w:pPr>
            <w:r w:rsidRPr="001415DB">
              <w:rPr>
                <w:rFonts w:ascii="Times New Roman" w:hAnsi="Times New Roman"/>
                <w:bCs/>
              </w:rPr>
              <w:t>Not reported</w:t>
            </w:r>
          </w:p>
        </w:tc>
        <w:tc>
          <w:tcPr>
            <w:tcW w:w="1201" w:type="pct"/>
          </w:tcPr>
          <w:p w14:paraId="1BCCF264" w14:textId="04156BB2" w:rsidR="0056216D" w:rsidRPr="001415DB" w:rsidRDefault="0056216D" w:rsidP="007B4697">
            <w:pPr>
              <w:jc w:val="center"/>
              <w:rPr>
                <w:rFonts w:ascii="Times New Roman" w:hAnsi="Times New Roman"/>
              </w:rPr>
            </w:pPr>
            <w:r w:rsidRPr="001415DB">
              <w:rPr>
                <w:rFonts w:ascii="Times New Roman" w:hAnsi="Times New Roman"/>
              </w:rPr>
              <w:t>19 (8)</w:t>
            </w:r>
          </w:p>
        </w:tc>
        <w:tc>
          <w:tcPr>
            <w:tcW w:w="950" w:type="pct"/>
          </w:tcPr>
          <w:p w14:paraId="385C9B20" w14:textId="5853A425" w:rsidR="0056216D" w:rsidRPr="001415DB" w:rsidRDefault="0056216D" w:rsidP="007B4697">
            <w:pPr>
              <w:jc w:val="center"/>
              <w:rPr>
                <w:rFonts w:ascii="Times New Roman" w:hAnsi="Times New Roman"/>
              </w:rPr>
            </w:pPr>
            <w:r w:rsidRPr="001415DB">
              <w:rPr>
                <w:rFonts w:ascii="Times New Roman" w:hAnsi="Times New Roman"/>
              </w:rPr>
              <w:t>12 (10)</w:t>
            </w:r>
          </w:p>
        </w:tc>
      </w:tr>
      <w:tr w:rsidR="0056216D" w:rsidRPr="001415DB" w14:paraId="1814BF94" w14:textId="77777777" w:rsidTr="0056216D">
        <w:tc>
          <w:tcPr>
            <w:tcW w:w="2849" w:type="pct"/>
          </w:tcPr>
          <w:p w14:paraId="226824F3" w14:textId="77777777" w:rsidR="0056216D" w:rsidRPr="001415DB" w:rsidRDefault="0056216D" w:rsidP="007B4697">
            <w:pPr>
              <w:ind w:left="250"/>
              <w:rPr>
                <w:rFonts w:ascii="Times New Roman" w:hAnsi="Times New Roman"/>
                <w:bCs/>
              </w:rPr>
            </w:pPr>
            <w:r w:rsidRPr="001415DB">
              <w:rPr>
                <w:rFonts w:ascii="Times New Roman" w:hAnsi="Times New Roman"/>
                <w:bCs/>
              </w:rPr>
              <w:t>Unknown</w:t>
            </w:r>
          </w:p>
        </w:tc>
        <w:tc>
          <w:tcPr>
            <w:tcW w:w="1201" w:type="pct"/>
          </w:tcPr>
          <w:p w14:paraId="762A6487" w14:textId="44D14C4F" w:rsidR="0056216D" w:rsidRPr="001415DB" w:rsidRDefault="0056216D" w:rsidP="007B4697">
            <w:pPr>
              <w:jc w:val="center"/>
              <w:rPr>
                <w:rFonts w:ascii="Times New Roman" w:hAnsi="Times New Roman"/>
              </w:rPr>
            </w:pPr>
            <w:r w:rsidRPr="001415DB">
              <w:rPr>
                <w:rFonts w:ascii="Times New Roman" w:hAnsi="Times New Roman"/>
              </w:rPr>
              <w:t>4 (2)</w:t>
            </w:r>
          </w:p>
        </w:tc>
        <w:tc>
          <w:tcPr>
            <w:tcW w:w="950" w:type="pct"/>
          </w:tcPr>
          <w:p w14:paraId="105E46E3" w14:textId="2AD9875A" w:rsidR="0056216D" w:rsidRPr="001415DB" w:rsidRDefault="0056216D" w:rsidP="007B4697">
            <w:pPr>
              <w:jc w:val="center"/>
              <w:rPr>
                <w:rFonts w:ascii="Times New Roman" w:hAnsi="Times New Roman"/>
              </w:rPr>
            </w:pPr>
            <w:r w:rsidRPr="001415DB">
              <w:rPr>
                <w:rFonts w:ascii="Times New Roman" w:hAnsi="Times New Roman"/>
              </w:rPr>
              <w:t>3 (3)</w:t>
            </w:r>
          </w:p>
        </w:tc>
      </w:tr>
      <w:tr w:rsidR="0056216D" w:rsidRPr="001415DB" w14:paraId="07963F86" w14:textId="77777777" w:rsidTr="0056216D">
        <w:tc>
          <w:tcPr>
            <w:tcW w:w="2849" w:type="pct"/>
          </w:tcPr>
          <w:p w14:paraId="6F06558C" w14:textId="77777777" w:rsidR="0056216D" w:rsidRPr="001415DB" w:rsidRDefault="0056216D" w:rsidP="007B4697">
            <w:pPr>
              <w:rPr>
                <w:rFonts w:ascii="Times New Roman" w:hAnsi="Times New Roman"/>
                <w:b/>
                <w:bCs/>
              </w:rPr>
            </w:pPr>
            <w:r w:rsidRPr="001415DB">
              <w:rPr>
                <w:rFonts w:ascii="Times New Roman" w:hAnsi="Times New Roman"/>
                <w:b/>
                <w:bCs/>
              </w:rPr>
              <w:t>Race, n (%)</w:t>
            </w:r>
          </w:p>
        </w:tc>
        <w:tc>
          <w:tcPr>
            <w:tcW w:w="1201" w:type="pct"/>
          </w:tcPr>
          <w:p w14:paraId="597A8916" w14:textId="77777777" w:rsidR="0056216D" w:rsidRPr="001415DB" w:rsidRDefault="0056216D" w:rsidP="007B4697">
            <w:pPr>
              <w:jc w:val="center"/>
              <w:rPr>
                <w:rFonts w:ascii="Times New Roman" w:hAnsi="Times New Roman"/>
                <w:bCs/>
              </w:rPr>
            </w:pPr>
          </w:p>
        </w:tc>
        <w:tc>
          <w:tcPr>
            <w:tcW w:w="950" w:type="pct"/>
          </w:tcPr>
          <w:p w14:paraId="610CD252" w14:textId="15117322" w:rsidR="0056216D" w:rsidRPr="001415DB" w:rsidRDefault="0056216D" w:rsidP="007B4697">
            <w:pPr>
              <w:jc w:val="center"/>
              <w:rPr>
                <w:rFonts w:ascii="Times New Roman" w:hAnsi="Times New Roman"/>
                <w:bCs/>
              </w:rPr>
            </w:pPr>
          </w:p>
        </w:tc>
      </w:tr>
      <w:tr w:rsidR="0056216D" w:rsidRPr="001415DB" w14:paraId="750E34A2" w14:textId="77777777" w:rsidTr="0056216D">
        <w:tc>
          <w:tcPr>
            <w:tcW w:w="2849" w:type="pct"/>
          </w:tcPr>
          <w:p w14:paraId="2A0FB772" w14:textId="77777777" w:rsidR="0056216D" w:rsidRPr="001415DB" w:rsidRDefault="0056216D" w:rsidP="007B4697">
            <w:pPr>
              <w:ind w:left="250"/>
              <w:rPr>
                <w:rFonts w:ascii="Times New Roman" w:hAnsi="Times New Roman"/>
                <w:bCs/>
              </w:rPr>
            </w:pPr>
            <w:r w:rsidRPr="001415DB">
              <w:rPr>
                <w:rFonts w:ascii="Times New Roman" w:hAnsi="Times New Roman"/>
                <w:bCs/>
              </w:rPr>
              <w:t>White</w:t>
            </w:r>
          </w:p>
        </w:tc>
        <w:tc>
          <w:tcPr>
            <w:tcW w:w="1201" w:type="pct"/>
          </w:tcPr>
          <w:p w14:paraId="454C1BCE" w14:textId="2C694B06" w:rsidR="0056216D" w:rsidRPr="001415DB" w:rsidRDefault="0056216D" w:rsidP="007B4697">
            <w:pPr>
              <w:jc w:val="center"/>
              <w:rPr>
                <w:rFonts w:ascii="Times New Roman" w:hAnsi="Times New Roman"/>
              </w:rPr>
            </w:pPr>
            <w:r w:rsidRPr="001415DB">
              <w:rPr>
                <w:rFonts w:ascii="Times New Roman" w:hAnsi="Times New Roman"/>
              </w:rPr>
              <w:t>179 (76)</w:t>
            </w:r>
          </w:p>
        </w:tc>
        <w:tc>
          <w:tcPr>
            <w:tcW w:w="950" w:type="pct"/>
          </w:tcPr>
          <w:p w14:paraId="37FD59FF" w14:textId="2042FF62" w:rsidR="0056216D" w:rsidRPr="001415DB" w:rsidRDefault="0056216D" w:rsidP="007B4697">
            <w:pPr>
              <w:jc w:val="center"/>
              <w:rPr>
                <w:rFonts w:ascii="Times New Roman" w:hAnsi="Times New Roman"/>
              </w:rPr>
            </w:pPr>
            <w:r w:rsidRPr="001415DB">
              <w:rPr>
                <w:rFonts w:ascii="Times New Roman" w:hAnsi="Times New Roman"/>
              </w:rPr>
              <w:t>87 (74)</w:t>
            </w:r>
          </w:p>
        </w:tc>
      </w:tr>
      <w:tr w:rsidR="0056216D" w:rsidRPr="001415DB" w14:paraId="235BC0F8" w14:textId="77777777" w:rsidTr="0056216D">
        <w:tc>
          <w:tcPr>
            <w:tcW w:w="2849" w:type="pct"/>
          </w:tcPr>
          <w:p w14:paraId="3D061ADF" w14:textId="77777777" w:rsidR="0056216D" w:rsidRPr="001415DB" w:rsidRDefault="0056216D" w:rsidP="007B4697">
            <w:pPr>
              <w:ind w:left="250"/>
              <w:rPr>
                <w:rFonts w:ascii="Times New Roman" w:hAnsi="Times New Roman"/>
                <w:bCs/>
              </w:rPr>
            </w:pPr>
            <w:r w:rsidRPr="001415DB">
              <w:rPr>
                <w:rFonts w:ascii="Times New Roman" w:hAnsi="Times New Roman"/>
                <w:bCs/>
              </w:rPr>
              <w:t>Asian</w:t>
            </w:r>
          </w:p>
        </w:tc>
        <w:tc>
          <w:tcPr>
            <w:tcW w:w="1201" w:type="pct"/>
          </w:tcPr>
          <w:p w14:paraId="788B4A08" w14:textId="5E6FE671" w:rsidR="0056216D" w:rsidRPr="001415DB" w:rsidRDefault="0056216D" w:rsidP="007B4697">
            <w:pPr>
              <w:jc w:val="center"/>
              <w:rPr>
                <w:rFonts w:ascii="Times New Roman" w:hAnsi="Times New Roman"/>
              </w:rPr>
            </w:pPr>
            <w:r w:rsidRPr="001415DB">
              <w:rPr>
                <w:rFonts w:ascii="Times New Roman" w:hAnsi="Times New Roman"/>
              </w:rPr>
              <w:t>9 (4)</w:t>
            </w:r>
          </w:p>
        </w:tc>
        <w:tc>
          <w:tcPr>
            <w:tcW w:w="950" w:type="pct"/>
          </w:tcPr>
          <w:p w14:paraId="2E41A5C5" w14:textId="4457D4CB" w:rsidR="0056216D" w:rsidRPr="001415DB" w:rsidRDefault="0056216D" w:rsidP="007B4697">
            <w:pPr>
              <w:jc w:val="center"/>
              <w:rPr>
                <w:rFonts w:ascii="Times New Roman" w:hAnsi="Times New Roman"/>
                <w:bCs/>
              </w:rPr>
            </w:pPr>
            <w:r w:rsidRPr="001415DB">
              <w:rPr>
                <w:rFonts w:ascii="Times New Roman" w:hAnsi="Times New Roman"/>
              </w:rPr>
              <w:t>7 (6)</w:t>
            </w:r>
          </w:p>
        </w:tc>
      </w:tr>
      <w:tr w:rsidR="0056216D" w:rsidRPr="001415DB" w14:paraId="2D95E052" w14:textId="77777777" w:rsidTr="0056216D">
        <w:tc>
          <w:tcPr>
            <w:tcW w:w="2849" w:type="pct"/>
          </w:tcPr>
          <w:p w14:paraId="1206AFA1" w14:textId="77777777" w:rsidR="0056216D" w:rsidRPr="001415DB" w:rsidRDefault="0056216D" w:rsidP="007B4697">
            <w:pPr>
              <w:ind w:left="250"/>
              <w:rPr>
                <w:rFonts w:ascii="Times New Roman" w:hAnsi="Times New Roman"/>
                <w:bCs/>
              </w:rPr>
            </w:pPr>
            <w:r w:rsidRPr="001415DB">
              <w:rPr>
                <w:rFonts w:ascii="Times New Roman" w:hAnsi="Times New Roman"/>
                <w:bCs/>
              </w:rPr>
              <w:t>Black or African American</w:t>
            </w:r>
          </w:p>
        </w:tc>
        <w:tc>
          <w:tcPr>
            <w:tcW w:w="1201" w:type="pct"/>
          </w:tcPr>
          <w:p w14:paraId="4A2BC85F" w14:textId="05E85EE9" w:rsidR="0056216D" w:rsidRPr="001415DB" w:rsidRDefault="0056216D" w:rsidP="007B4697">
            <w:pPr>
              <w:jc w:val="center"/>
              <w:rPr>
                <w:rFonts w:ascii="Times New Roman" w:hAnsi="Times New Roman"/>
              </w:rPr>
            </w:pPr>
            <w:r w:rsidRPr="001415DB">
              <w:rPr>
                <w:rFonts w:ascii="Times New Roman" w:hAnsi="Times New Roman"/>
              </w:rPr>
              <w:t>29 (12)</w:t>
            </w:r>
          </w:p>
        </w:tc>
        <w:tc>
          <w:tcPr>
            <w:tcW w:w="950" w:type="pct"/>
          </w:tcPr>
          <w:p w14:paraId="258C7C8C" w14:textId="44CEBCBF" w:rsidR="0056216D" w:rsidRPr="001415DB" w:rsidRDefault="0056216D" w:rsidP="007B4697">
            <w:pPr>
              <w:jc w:val="center"/>
              <w:rPr>
                <w:rFonts w:ascii="Times New Roman" w:hAnsi="Times New Roman"/>
                <w:bCs/>
              </w:rPr>
            </w:pPr>
            <w:r w:rsidRPr="001415DB">
              <w:rPr>
                <w:rFonts w:ascii="Times New Roman" w:hAnsi="Times New Roman"/>
              </w:rPr>
              <w:t>18 (15)</w:t>
            </w:r>
          </w:p>
        </w:tc>
      </w:tr>
      <w:tr w:rsidR="0056216D" w:rsidRPr="001415DB" w14:paraId="33DCF2DA" w14:textId="77777777" w:rsidTr="0056216D">
        <w:tc>
          <w:tcPr>
            <w:tcW w:w="2849" w:type="pct"/>
          </w:tcPr>
          <w:p w14:paraId="69CB70D2" w14:textId="77777777" w:rsidR="0056216D" w:rsidRPr="001415DB" w:rsidRDefault="0056216D" w:rsidP="007B4697">
            <w:pPr>
              <w:ind w:left="250"/>
              <w:rPr>
                <w:rFonts w:ascii="Times New Roman" w:hAnsi="Times New Roman"/>
                <w:bCs/>
              </w:rPr>
            </w:pPr>
            <w:r w:rsidRPr="001415DB">
              <w:rPr>
                <w:rFonts w:ascii="Times New Roman" w:hAnsi="Times New Roman"/>
                <w:bCs/>
              </w:rPr>
              <w:t>Other</w:t>
            </w:r>
          </w:p>
        </w:tc>
        <w:tc>
          <w:tcPr>
            <w:tcW w:w="1201" w:type="pct"/>
          </w:tcPr>
          <w:p w14:paraId="150DFE8D" w14:textId="3E8DCCAA" w:rsidR="0056216D" w:rsidRPr="001415DB" w:rsidRDefault="0056216D" w:rsidP="007B4697">
            <w:pPr>
              <w:jc w:val="center"/>
              <w:rPr>
                <w:rFonts w:ascii="Times New Roman" w:hAnsi="Times New Roman"/>
              </w:rPr>
            </w:pPr>
            <w:r w:rsidRPr="001415DB">
              <w:rPr>
                <w:rFonts w:ascii="Times New Roman" w:hAnsi="Times New Roman"/>
              </w:rPr>
              <w:t>16 (7)</w:t>
            </w:r>
          </w:p>
        </w:tc>
        <w:tc>
          <w:tcPr>
            <w:tcW w:w="950" w:type="pct"/>
          </w:tcPr>
          <w:p w14:paraId="3CB4099F" w14:textId="4C708E40" w:rsidR="0056216D" w:rsidRPr="001415DB" w:rsidRDefault="0056216D" w:rsidP="007B4697">
            <w:pPr>
              <w:jc w:val="center"/>
              <w:rPr>
                <w:rFonts w:ascii="Times New Roman" w:hAnsi="Times New Roman"/>
              </w:rPr>
            </w:pPr>
            <w:r w:rsidRPr="001415DB">
              <w:rPr>
                <w:rFonts w:ascii="Times New Roman" w:hAnsi="Times New Roman"/>
              </w:rPr>
              <w:t>5 (4)</w:t>
            </w:r>
          </w:p>
        </w:tc>
      </w:tr>
      <w:tr w:rsidR="0056216D" w:rsidRPr="001415DB" w14:paraId="56621CEA" w14:textId="77777777" w:rsidTr="0056216D">
        <w:tc>
          <w:tcPr>
            <w:tcW w:w="2849" w:type="pct"/>
          </w:tcPr>
          <w:p w14:paraId="3E5D6286" w14:textId="77777777" w:rsidR="0056216D" w:rsidRPr="001415DB" w:rsidRDefault="0056216D" w:rsidP="007B4697">
            <w:pPr>
              <w:ind w:left="250"/>
              <w:rPr>
                <w:rFonts w:ascii="Times New Roman" w:hAnsi="Times New Roman"/>
                <w:bCs/>
              </w:rPr>
            </w:pPr>
            <w:r w:rsidRPr="001415DB">
              <w:rPr>
                <w:rFonts w:ascii="Times New Roman" w:hAnsi="Times New Roman"/>
                <w:bCs/>
              </w:rPr>
              <w:t>Missing</w:t>
            </w:r>
          </w:p>
        </w:tc>
        <w:tc>
          <w:tcPr>
            <w:tcW w:w="1201" w:type="pct"/>
          </w:tcPr>
          <w:p w14:paraId="1862716A" w14:textId="60F15C30" w:rsidR="0056216D" w:rsidRPr="001415DB" w:rsidRDefault="0056216D" w:rsidP="007B4697">
            <w:pPr>
              <w:jc w:val="center"/>
              <w:rPr>
                <w:rFonts w:ascii="Times New Roman" w:hAnsi="Times New Roman"/>
              </w:rPr>
            </w:pPr>
            <w:r w:rsidRPr="001415DB">
              <w:rPr>
                <w:rFonts w:ascii="Times New Roman" w:hAnsi="Times New Roman"/>
              </w:rPr>
              <w:t>2 (1)</w:t>
            </w:r>
          </w:p>
        </w:tc>
        <w:tc>
          <w:tcPr>
            <w:tcW w:w="950" w:type="pct"/>
          </w:tcPr>
          <w:p w14:paraId="1F99738B" w14:textId="28F69FF0" w:rsidR="0056216D" w:rsidRPr="001415DB" w:rsidRDefault="0056216D" w:rsidP="007B4697">
            <w:pPr>
              <w:jc w:val="center"/>
              <w:rPr>
                <w:rFonts w:ascii="Times New Roman" w:hAnsi="Times New Roman"/>
              </w:rPr>
            </w:pPr>
            <w:r w:rsidRPr="001415DB">
              <w:rPr>
                <w:rFonts w:ascii="Times New Roman" w:hAnsi="Times New Roman"/>
              </w:rPr>
              <w:t>0</w:t>
            </w:r>
          </w:p>
        </w:tc>
      </w:tr>
      <w:tr w:rsidR="0056216D" w:rsidRPr="001415DB" w14:paraId="4B2441FC" w14:textId="77777777" w:rsidTr="0056216D">
        <w:tc>
          <w:tcPr>
            <w:tcW w:w="2849" w:type="pct"/>
          </w:tcPr>
          <w:p w14:paraId="0CFC156D" w14:textId="77777777" w:rsidR="0056216D" w:rsidRPr="001415DB" w:rsidRDefault="0056216D" w:rsidP="007B4697">
            <w:pPr>
              <w:rPr>
                <w:rFonts w:ascii="Times New Roman" w:hAnsi="Times New Roman"/>
                <w:b/>
                <w:bCs/>
              </w:rPr>
            </w:pPr>
            <w:r w:rsidRPr="001415DB">
              <w:rPr>
                <w:rFonts w:ascii="Times New Roman" w:hAnsi="Times New Roman"/>
                <w:b/>
                <w:bCs/>
              </w:rPr>
              <w:t>IAT treatment</w:t>
            </w:r>
          </w:p>
        </w:tc>
        <w:tc>
          <w:tcPr>
            <w:tcW w:w="1201" w:type="pct"/>
          </w:tcPr>
          <w:p w14:paraId="68794CEF" w14:textId="77777777" w:rsidR="0056216D" w:rsidRPr="001415DB" w:rsidRDefault="0056216D" w:rsidP="007B4697">
            <w:pPr>
              <w:jc w:val="center"/>
              <w:rPr>
                <w:rFonts w:ascii="Times New Roman" w:hAnsi="Times New Roman"/>
              </w:rPr>
            </w:pPr>
          </w:p>
        </w:tc>
        <w:tc>
          <w:tcPr>
            <w:tcW w:w="950" w:type="pct"/>
          </w:tcPr>
          <w:p w14:paraId="3DCEB6F6" w14:textId="35CBDA0F" w:rsidR="0056216D" w:rsidRPr="001415DB" w:rsidRDefault="0056216D" w:rsidP="007B4697">
            <w:pPr>
              <w:jc w:val="center"/>
              <w:rPr>
                <w:rFonts w:ascii="Times New Roman" w:hAnsi="Times New Roman"/>
              </w:rPr>
            </w:pPr>
          </w:p>
        </w:tc>
      </w:tr>
      <w:tr w:rsidR="0056216D" w:rsidRPr="001415DB" w14:paraId="51012EAB" w14:textId="77777777" w:rsidTr="0056216D">
        <w:tc>
          <w:tcPr>
            <w:tcW w:w="2849" w:type="pct"/>
          </w:tcPr>
          <w:p w14:paraId="490448D9" w14:textId="77777777" w:rsidR="0056216D" w:rsidRPr="001415DB" w:rsidRDefault="0056216D" w:rsidP="007B4697">
            <w:pPr>
              <w:ind w:left="251"/>
              <w:rPr>
                <w:rFonts w:ascii="Times New Roman" w:hAnsi="Times New Roman"/>
              </w:rPr>
            </w:pPr>
            <w:r w:rsidRPr="001415DB">
              <w:rPr>
                <w:rFonts w:ascii="Times New Roman" w:hAnsi="Times New Roman"/>
              </w:rPr>
              <w:t>Foscarnet</w:t>
            </w:r>
          </w:p>
        </w:tc>
        <w:tc>
          <w:tcPr>
            <w:tcW w:w="1201" w:type="pct"/>
          </w:tcPr>
          <w:p w14:paraId="48B80E3B" w14:textId="266A93C0" w:rsidR="0056216D" w:rsidRPr="001415DB" w:rsidRDefault="0056216D" w:rsidP="007B4697">
            <w:pPr>
              <w:jc w:val="center"/>
              <w:rPr>
                <w:rFonts w:ascii="Times New Roman" w:hAnsi="Times New Roman"/>
              </w:rPr>
            </w:pPr>
            <w:r w:rsidRPr="001415DB">
              <w:rPr>
                <w:rFonts w:ascii="Times New Roman" w:hAnsi="Times New Roman"/>
              </w:rPr>
              <w:t>n/a</w:t>
            </w:r>
          </w:p>
        </w:tc>
        <w:tc>
          <w:tcPr>
            <w:tcW w:w="950" w:type="pct"/>
          </w:tcPr>
          <w:p w14:paraId="446B80AD" w14:textId="71EA6881" w:rsidR="0056216D" w:rsidRPr="001415DB" w:rsidRDefault="0056216D" w:rsidP="007B4697">
            <w:pPr>
              <w:jc w:val="center"/>
              <w:rPr>
                <w:rFonts w:ascii="Times New Roman" w:hAnsi="Times New Roman"/>
              </w:rPr>
            </w:pPr>
            <w:r w:rsidRPr="001415DB">
              <w:rPr>
                <w:rFonts w:ascii="Times New Roman" w:hAnsi="Times New Roman"/>
              </w:rPr>
              <w:t>47 (41)</w:t>
            </w:r>
          </w:p>
        </w:tc>
      </w:tr>
      <w:tr w:rsidR="0056216D" w:rsidRPr="001415DB" w14:paraId="4BEB32F7" w14:textId="77777777" w:rsidTr="0056216D">
        <w:tc>
          <w:tcPr>
            <w:tcW w:w="2849" w:type="pct"/>
          </w:tcPr>
          <w:p w14:paraId="35682CD0" w14:textId="77777777" w:rsidR="0056216D" w:rsidRPr="001415DB" w:rsidRDefault="0056216D" w:rsidP="007B4697">
            <w:pPr>
              <w:ind w:left="251"/>
              <w:rPr>
                <w:rFonts w:ascii="Times New Roman" w:hAnsi="Times New Roman"/>
              </w:rPr>
            </w:pPr>
            <w:r w:rsidRPr="001415DB">
              <w:rPr>
                <w:rFonts w:ascii="Times New Roman" w:hAnsi="Times New Roman"/>
              </w:rPr>
              <w:lastRenderedPageBreak/>
              <w:t>Ganciclovir/ Valganciclovir</w:t>
            </w:r>
          </w:p>
        </w:tc>
        <w:tc>
          <w:tcPr>
            <w:tcW w:w="1201" w:type="pct"/>
          </w:tcPr>
          <w:p w14:paraId="29137BC4" w14:textId="61B2FF52" w:rsidR="0056216D" w:rsidRPr="001415DB" w:rsidRDefault="0056216D" w:rsidP="007B4697">
            <w:pPr>
              <w:jc w:val="center"/>
              <w:rPr>
                <w:rFonts w:ascii="Times New Roman" w:hAnsi="Times New Roman"/>
              </w:rPr>
            </w:pPr>
            <w:r w:rsidRPr="001415DB">
              <w:rPr>
                <w:rFonts w:ascii="Times New Roman" w:hAnsi="Times New Roman"/>
              </w:rPr>
              <w:t>n/a</w:t>
            </w:r>
          </w:p>
        </w:tc>
        <w:tc>
          <w:tcPr>
            <w:tcW w:w="950" w:type="pct"/>
          </w:tcPr>
          <w:p w14:paraId="788C0778" w14:textId="0AE90939" w:rsidR="0056216D" w:rsidRPr="001415DB" w:rsidRDefault="0056216D" w:rsidP="007B4697">
            <w:pPr>
              <w:jc w:val="center"/>
              <w:rPr>
                <w:rFonts w:ascii="Times New Roman" w:hAnsi="Times New Roman"/>
              </w:rPr>
            </w:pPr>
            <w:r w:rsidRPr="001415DB">
              <w:rPr>
                <w:rFonts w:ascii="Times New Roman" w:hAnsi="Times New Roman"/>
              </w:rPr>
              <w:t>56 (48)</w:t>
            </w:r>
          </w:p>
        </w:tc>
      </w:tr>
      <w:tr w:rsidR="0056216D" w:rsidRPr="001415DB" w14:paraId="79577F2E" w14:textId="77777777" w:rsidTr="0056216D">
        <w:tc>
          <w:tcPr>
            <w:tcW w:w="2849" w:type="pct"/>
          </w:tcPr>
          <w:p w14:paraId="190EFAE9" w14:textId="77777777" w:rsidR="0056216D" w:rsidRPr="001415DB" w:rsidRDefault="0056216D" w:rsidP="007B4697">
            <w:pPr>
              <w:ind w:left="251"/>
              <w:rPr>
                <w:rFonts w:ascii="Times New Roman" w:hAnsi="Times New Roman"/>
              </w:rPr>
            </w:pPr>
            <w:r w:rsidRPr="001415DB">
              <w:rPr>
                <w:rFonts w:ascii="Times New Roman" w:hAnsi="Times New Roman"/>
              </w:rPr>
              <w:t>Cidofovir</w:t>
            </w:r>
          </w:p>
        </w:tc>
        <w:tc>
          <w:tcPr>
            <w:tcW w:w="1201" w:type="pct"/>
          </w:tcPr>
          <w:p w14:paraId="583CC747" w14:textId="2AF9CD13" w:rsidR="0056216D" w:rsidRPr="001415DB" w:rsidRDefault="0056216D" w:rsidP="007B4697">
            <w:pPr>
              <w:jc w:val="center"/>
              <w:rPr>
                <w:rFonts w:ascii="Times New Roman" w:hAnsi="Times New Roman"/>
              </w:rPr>
            </w:pPr>
            <w:r w:rsidRPr="001415DB">
              <w:rPr>
                <w:rFonts w:ascii="Times New Roman" w:hAnsi="Times New Roman"/>
              </w:rPr>
              <w:t>n/a</w:t>
            </w:r>
          </w:p>
        </w:tc>
        <w:tc>
          <w:tcPr>
            <w:tcW w:w="950" w:type="pct"/>
          </w:tcPr>
          <w:p w14:paraId="6EBC7390" w14:textId="6F457F97" w:rsidR="0056216D" w:rsidRPr="001415DB" w:rsidRDefault="0056216D" w:rsidP="007B4697">
            <w:pPr>
              <w:jc w:val="center"/>
              <w:rPr>
                <w:rFonts w:ascii="Times New Roman" w:hAnsi="Times New Roman"/>
              </w:rPr>
            </w:pPr>
            <w:r w:rsidRPr="001415DB">
              <w:rPr>
                <w:rFonts w:ascii="Times New Roman" w:hAnsi="Times New Roman"/>
              </w:rPr>
              <w:t xml:space="preserve">6 (5) </w:t>
            </w:r>
          </w:p>
        </w:tc>
      </w:tr>
      <w:tr w:rsidR="0056216D" w:rsidRPr="001415DB" w14:paraId="05B5862A" w14:textId="77777777" w:rsidTr="0056216D">
        <w:tc>
          <w:tcPr>
            <w:tcW w:w="2849" w:type="pct"/>
          </w:tcPr>
          <w:p w14:paraId="2CB70D89" w14:textId="0FAD907A" w:rsidR="0056216D" w:rsidRPr="001415DB" w:rsidRDefault="0056216D" w:rsidP="007B4697">
            <w:pPr>
              <w:ind w:left="251"/>
              <w:rPr>
                <w:rFonts w:ascii="Times New Roman" w:hAnsi="Times New Roman"/>
              </w:rPr>
            </w:pPr>
            <w:r w:rsidRPr="001415DB">
              <w:rPr>
                <w:rFonts w:ascii="Times New Roman" w:hAnsi="Times New Roman"/>
              </w:rPr>
              <w:t>Foscarnet</w:t>
            </w:r>
            <w:r>
              <w:rPr>
                <w:rFonts w:ascii="Times New Roman" w:hAnsi="Times New Roman"/>
              </w:rPr>
              <w:t xml:space="preserve"> </w:t>
            </w:r>
            <w:r w:rsidRPr="001415DB">
              <w:rPr>
                <w:rFonts w:ascii="Times New Roman" w:hAnsi="Times New Roman"/>
              </w:rPr>
              <w:t>+ Ganciclovir/Valganciclovir</w:t>
            </w:r>
          </w:p>
        </w:tc>
        <w:tc>
          <w:tcPr>
            <w:tcW w:w="1201" w:type="pct"/>
          </w:tcPr>
          <w:p w14:paraId="31CF3538" w14:textId="4C3D150A" w:rsidR="0056216D" w:rsidRPr="001415DB" w:rsidRDefault="0056216D" w:rsidP="007B4697">
            <w:pPr>
              <w:jc w:val="center"/>
              <w:rPr>
                <w:rFonts w:ascii="Times New Roman" w:hAnsi="Times New Roman"/>
              </w:rPr>
            </w:pPr>
            <w:r w:rsidRPr="001415DB">
              <w:rPr>
                <w:rFonts w:ascii="Times New Roman" w:hAnsi="Times New Roman"/>
              </w:rPr>
              <w:t>n/a</w:t>
            </w:r>
          </w:p>
        </w:tc>
        <w:tc>
          <w:tcPr>
            <w:tcW w:w="950" w:type="pct"/>
          </w:tcPr>
          <w:p w14:paraId="058F0422" w14:textId="3F441465" w:rsidR="0056216D" w:rsidRPr="001415DB" w:rsidRDefault="0056216D" w:rsidP="007B4697">
            <w:pPr>
              <w:jc w:val="center"/>
              <w:rPr>
                <w:rFonts w:ascii="Times New Roman" w:hAnsi="Times New Roman"/>
              </w:rPr>
            </w:pPr>
            <w:r w:rsidRPr="001415DB">
              <w:rPr>
                <w:rFonts w:ascii="Times New Roman" w:hAnsi="Times New Roman"/>
              </w:rPr>
              <w:t>7 (6)</w:t>
            </w:r>
          </w:p>
        </w:tc>
      </w:tr>
      <w:tr w:rsidR="0056216D" w:rsidRPr="001415DB" w14:paraId="63263324" w14:textId="77777777" w:rsidTr="0056216D">
        <w:tc>
          <w:tcPr>
            <w:tcW w:w="2849" w:type="pct"/>
          </w:tcPr>
          <w:p w14:paraId="1FE8A3D2" w14:textId="77777777" w:rsidR="0056216D" w:rsidRPr="001415DB" w:rsidRDefault="0056216D" w:rsidP="007B4697">
            <w:pPr>
              <w:rPr>
                <w:rFonts w:ascii="Times New Roman" w:hAnsi="Times New Roman"/>
                <w:b/>
                <w:bCs/>
              </w:rPr>
            </w:pPr>
            <w:r w:rsidRPr="001415DB">
              <w:rPr>
                <w:rFonts w:ascii="Times New Roman" w:hAnsi="Times New Roman"/>
                <w:b/>
                <w:bCs/>
              </w:rPr>
              <w:t>Transplant type, n (%)</w:t>
            </w:r>
          </w:p>
        </w:tc>
        <w:tc>
          <w:tcPr>
            <w:tcW w:w="1201" w:type="pct"/>
          </w:tcPr>
          <w:p w14:paraId="59A56CC0" w14:textId="77777777" w:rsidR="0056216D" w:rsidRPr="001415DB" w:rsidRDefault="0056216D" w:rsidP="007B4697">
            <w:pPr>
              <w:jc w:val="center"/>
              <w:rPr>
                <w:rFonts w:ascii="Times New Roman" w:hAnsi="Times New Roman"/>
              </w:rPr>
            </w:pPr>
          </w:p>
        </w:tc>
        <w:tc>
          <w:tcPr>
            <w:tcW w:w="950" w:type="pct"/>
          </w:tcPr>
          <w:p w14:paraId="3AE1695C" w14:textId="57B86FCA" w:rsidR="0056216D" w:rsidRPr="001415DB" w:rsidRDefault="0056216D" w:rsidP="007B4697">
            <w:pPr>
              <w:jc w:val="center"/>
              <w:rPr>
                <w:rFonts w:ascii="Times New Roman" w:hAnsi="Times New Roman"/>
              </w:rPr>
            </w:pPr>
          </w:p>
        </w:tc>
      </w:tr>
      <w:tr w:rsidR="0056216D" w:rsidRPr="001415DB" w14:paraId="5E574B2E" w14:textId="77777777" w:rsidTr="0056216D">
        <w:tc>
          <w:tcPr>
            <w:tcW w:w="2849" w:type="pct"/>
          </w:tcPr>
          <w:p w14:paraId="4B84DB59" w14:textId="77777777" w:rsidR="0056216D" w:rsidRPr="001415DB" w:rsidRDefault="0056216D" w:rsidP="007B4697">
            <w:pPr>
              <w:ind w:left="240"/>
              <w:rPr>
                <w:rFonts w:ascii="Times New Roman" w:hAnsi="Times New Roman"/>
                <w:bCs/>
              </w:rPr>
            </w:pPr>
            <w:r w:rsidRPr="001415DB">
              <w:rPr>
                <w:rFonts w:ascii="Times New Roman" w:hAnsi="Times New Roman"/>
                <w:bCs/>
              </w:rPr>
              <w:t>HSCT</w:t>
            </w:r>
          </w:p>
        </w:tc>
        <w:tc>
          <w:tcPr>
            <w:tcW w:w="1201" w:type="pct"/>
          </w:tcPr>
          <w:p w14:paraId="391E144C" w14:textId="5E5CF0E1" w:rsidR="0056216D" w:rsidRPr="001415DB" w:rsidRDefault="0056216D" w:rsidP="007B4697">
            <w:pPr>
              <w:jc w:val="center"/>
              <w:rPr>
                <w:rFonts w:ascii="Times New Roman" w:hAnsi="Times New Roman"/>
              </w:rPr>
            </w:pPr>
            <w:r w:rsidRPr="001415DB">
              <w:rPr>
                <w:rFonts w:ascii="Times New Roman" w:hAnsi="Times New Roman"/>
              </w:rPr>
              <w:t>93 (40)</w:t>
            </w:r>
          </w:p>
        </w:tc>
        <w:tc>
          <w:tcPr>
            <w:tcW w:w="950" w:type="pct"/>
          </w:tcPr>
          <w:p w14:paraId="42DFB50E" w14:textId="37DD1FEA" w:rsidR="0056216D" w:rsidRPr="001415DB" w:rsidRDefault="0056216D" w:rsidP="007B4697">
            <w:pPr>
              <w:jc w:val="center"/>
              <w:rPr>
                <w:rFonts w:ascii="Times New Roman" w:hAnsi="Times New Roman"/>
                <w:bCs/>
              </w:rPr>
            </w:pPr>
            <w:r w:rsidRPr="001415DB">
              <w:rPr>
                <w:rFonts w:ascii="Times New Roman" w:hAnsi="Times New Roman"/>
              </w:rPr>
              <w:t>48 (41)</w:t>
            </w:r>
          </w:p>
        </w:tc>
      </w:tr>
      <w:tr w:rsidR="0056216D" w:rsidRPr="001415DB" w14:paraId="78EB1EB0" w14:textId="77777777" w:rsidTr="0056216D">
        <w:tc>
          <w:tcPr>
            <w:tcW w:w="2849" w:type="pct"/>
          </w:tcPr>
          <w:p w14:paraId="55EC0C16" w14:textId="77777777" w:rsidR="0056216D" w:rsidRPr="001415DB" w:rsidRDefault="0056216D" w:rsidP="007B4697">
            <w:pPr>
              <w:ind w:left="240"/>
              <w:rPr>
                <w:rFonts w:ascii="Times New Roman" w:hAnsi="Times New Roman"/>
                <w:bCs/>
              </w:rPr>
            </w:pPr>
            <w:proofErr w:type="spellStart"/>
            <w:r w:rsidRPr="001415DB">
              <w:rPr>
                <w:rFonts w:ascii="Times New Roman" w:hAnsi="Times New Roman"/>
              </w:rPr>
              <w:t>SOT</w:t>
            </w:r>
            <w:r w:rsidRPr="001415DB">
              <w:rPr>
                <w:rFonts w:ascii="Times New Roman" w:hAnsi="Times New Roman"/>
                <w:vertAlign w:val="superscript"/>
              </w:rPr>
              <w:t>c</w:t>
            </w:r>
            <w:proofErr w:type="spellEnd"/>
          </w:p>
        </w:tc>
        <w:tc>
          <w:tcPr>
            <w:tcW w:w="1201" w:type="pct"/>
          </w:tcPr>
          <w:p w14:paraId="11CB2B09" w14:textId="2E91D62F" w:rsidR="0056216D" w:rsidRPr="001415DB" w:rsidRDefault="0056216D" w:rsidP="007B4697">
            <w:pPr>
              <w:jc w:val="center"/>
              <w:rPr>
                <w:rFonts w:ascii="Times New Roman" w:hAnsi="Times New Roman"/>
              </w:rPr>
            </w:pPr>
            <w:r w:rsidRPr="001415DB">
              <w:rPr>
                <w:rFonts w:ascii="Times New Roman" w:hAnsi="Times New Roman"/>
              </w:rPr>
              <w:t>142 (60)</w:t>
            </w:r>
          </w:p>
        </w:tc>
        <w:tc>
          <w:tcPr>
            <w:tcW w:w="950" w:type="pct"/>
          </w:tcPr>
          <w:p w14:paraId="5B9882CE" w14:textId="18C9D3B3" w:rsidR="0056216D" w:rsidRPr="001415DB" w:rsidRDefault="0056216D" w:rsidP="007B4697">
            <w:pPr>
              <w:jc w:val="center"/>
              <w:rPr>
                <w:rFonts w:ascii="Times New Roman" w:hAnsi="Times New Roman"/>
                <w:bCs/>
              </w:rPr>
            </w:pPr>
            <w:r w:rsidRPr="001415DB">
              <w:rPr>
                <w:rFonts w:ascii="Times New Roman" w:hAnsi="Times New Roman"/>
              </w:rPr>
              <w:t>69 (59)</w:t>
            </w:r>
          </w:p>
        </w:tc>
      </w:tr>
      <w:tr w:rsidR="0056216D" w:rsidRPr="001415DB" w14:paraId="6534D1D0" w14:textId="77777777" w:rsidTr="0056216D">
        <w:tc>
          <w:tcPr>
            <w:tcW w:w="2849" w:type="pct"/>
          </w:tcPr>
          <w:p w14:paraId="6F053F65" w14:textId="77777777" w:rsidR="0056216D" w:rsidRPr="001415DB" w:rsidRDefault="0056216D" w:rsidP="007B4697">
            <w:pPr>
              <w:ind w:left="429"/>
              <w:rPr>
                <w:rFonts w:ascii="Times New Roman" w:hAnsi="Times New Roman"/>
              </w:rPr>
            </w:pPr>
            <w:r w:rsidRPr="001415DB">
              <w:rPr>
                <w:rFonts w:ascii="Times New Roman" w:hAnsi="Times New Roman"/>
              </w:rPr>
              <w:t>Kidney</w:t>
            </w:r>
            <w:r w:rsidRPr="001415DB">
              <w:rPr>
                <w:rFonts w:ascii="Times New Roman" w:hAnsi="Times New Roman"/>
                <w:vertAlign w:val="superscript"/>
              </w:rPr>
              <w:t xml:space="preserve"> f</w:t>
            </w:r>
          </w:p>
        </w:tc>
        <w:tc>
          <w:tcPr>
            <w:tcW w:w="1201" w:type="pct"/>
          </w:tcPr>
          <w:p w14:paraId="146798D7" w14:textId="2BD298E0" w:rsidR="0056216D" w:rsidRPr="001415DB" w:rsidRDefault="0056216D" w:rsidP="007B4697">
            <w:pPr>
              <w:jc w:val="center"/>
              <w:rPr>
                <w:rFonts w:ascii="Times New Roman" w:hAnsi="Times New Roman"/>
              </w:rPr>
            </w:pPr>
            <w:r w:rsidRPr="001415DB">
              <w:rPr>
                <w:rFonts w:ascii="Times New Roman" w:hAnsi="Times New Roman"/>
              </w:rPr>
              <w:t>74 (52)</w:t>
            </w:r>
          </w:p>
        </w:tc>
        <w:tc>
          <w:tcPr>
            <w:tcW w:w="950" w:type="pct"/>
          </w:tcPr>
          <w:p w14:paraId="375DF077" w14:textId="0B2E906F" w:rsidR="0056216D" w:rsidRPr="001415DB" w:rsidRDefault="0056216D" w:rsidP="007B4697">
            <w:pPr>
              <w:jc w:val="center"/>
              <w:rPr>
                <w:rFonts w:ascii="Times New Roman" w:hAnsi="Times New Roman"/>
              </w:rPr>
            </w:pPr>
            <w:r w:rsidRPr="001415DB">
              <w:rPr>
                <w:rFonts w:ascii="Times New Roman" w:hAnsi="Times New Roman"/>
              </w:rPr>
              <w:t>32 (46)</w:t>
            </w:r>
          </w:p>
        </w:tc>
      </w:tr>
      <w:tr w:rsidR="0056216D" w:rsidRPr="001415DB" w14:paraId="4BFC426A" w14:textId="77777777" w:rsidTr="0056216D">
        <w:tc>
          <w:tcPr>
            <w:tcW w:w="2849" w:type="pct"/>
          </w:tcPr>
          <w:p w14:paraId="366210F9" w14:textId="77777777" w:rsidR="0056216D" w:rsidRPr="001415DB" w:rsidRDefault="0056216D" w:rsidP="007B4697">
            <w:pPr>
              <w:ind w:left="429"/>
              <w:rPr>
                <w:rFonts w:ascii="Times New Roman" w:hAnsi="Times New Roman"/>
              </w:rPr>
            </w:pPr>
            <w:r w:rsidRPr="001415DB">
              <w:rPr>
                <w:rFonts w:ascii="Times New Roman" w:hAnsi="Times New Roman"/>
              </w:rPr>
              <w:t>Lung</w:t>
            </w:r>
            <w:r w:rsidRPr="001415DB">
              <w:rPr>
                <w:rFonts w:ascii="Times New Roman" w:hAnsi="Times New Roman"/>
                <w:vertAlign w:val="superscript"/>
              </w:rPr>
              <w:t xml:space="preserve"> f</w:t>
            </w:r>
          </w:p>
        </w:tc>
        <w:tc>
          <w:tcPr>
            <w:tcW w:w="1201" w:type="pct"/>
          </w:tcPr>
          <w:p w14:paraId="5A169B39" w14:textId="493F8E02" w:rsidR="0056216D" w:rsidRPr="001415DB" w:rsidRDefault="0056216D" w:rsidP="007B4697">
            <w:pPr>
              <w:jc w:val="center"/>
              <w:rPr>
                <w:rFonts w:ascii="Times New Roman" w:hAnsi="Times New Roman"/>
              </w:rPr>
            </w:pPr>
            <w:r w:rsidRPr="001415DB">
              <w:rPr>
                <w:rFonts w:ascii="Times New Roman" w:hAnsi="Times New Roman"/>
              </w:rPr>
              <w:t>40 (28)</w:t>
            </w:r>
          </w:p>
        </w:tc>
        <w:tc>
          <w:tcPr>
            <w:tcW w:w="950" w:type="pct"/>
          </w:tcPr>
          <w:p w14:paraId="6B31F653" w14:textId="3F206D87" w:rsidR="0056216D" w:rsidRPr="001415DB" w:rsidRDefault="0056216D" w:rsidP="007B4697">
            <w:pPr>
              <w:jc w:val="center"/>
              <w:rPr>
                <w:rFonts w:ascii="Times New Roman" w:hAnsi="Times New Roman"/>
              </w:rPr>
            </w:pPr>
            <w:r w:rsidRPr="001415DB">
              <w:rPr>
                <w:rFonts w:ascii="Times New Roman" w:hAnsi="Times New Roman"/>
              </w:rPr>
              <w:t>22 (32)</w:t>
            </w:r>
          </w:p>
        </w:tc>
      </w:tr>
      <w:tr w:rsidR="0056216D" w:rsidRPr="001415DB" w14:paraId="672F990D" w14:textId="77777777" w:rsidTr="0056216D">
        <w:tc>
          <w:tcPr>
            <w:tcW w:w="2849" w:type="pct"/>
          </w:tcPr>
          <w:p w14:paraId="278CC449" w14:textId="77777777" w:rsidR="0056216D" w:rsidRPr="001415DB" w:rsidRDefault="0056216D" w:rsidP="007B4697">
            <w:pPr>
              <w:ind w:left="429"/>
              <w:rPr>
                <w:rFonts w:ascii="Times New Roman" w:hAnsi="Times New Roman"/>
              </w:rPr>
            </w:pPr>
            <w:r w:rsidRPr="001415DB">
              <w:rPr>
                <w:rFonts w:ascii="Times New Roman" w:hAnsi="Times New Roman"/>
              </w:rPr>
              <w:t>Heart</w:t>
            </w:r>
            <w:r w:rsidRPr="001415DB">
              <w:rPr>
                <w:rFonts w:ascii="Times New Roman" w:hAnsi="Times New Roman"/>
                <w:vertAlign w:val="superscript"/>
              </w:rPr>
              <w:t xml:space="preserve"> f</w:t>
            </w:r>
          </w:p>
        </w:tc>
        <w:tc>
          <w:tcPr>
            <w:tcW w:w="1201" w:type="pct"/>
          </w:tcPr>
          <w:p w14:paraId="379CB754" w14:textId="2637CB41" w:rsidR="0056216D" w:rsidRPr="001415DB" w:rsidRDefault="0056216D" w:rsidP="007B4697">
            <w:pPr>
              <w:jc w:val="center"/>
              <w:rPr>
                <w:rFonts w:ascii="Times New Roman" w:hAnsi="Times New Roman"/>
              </w:rPr>
            </w:pPr>
            <w:r w:rsidRPr="001415DB">
              <w:rPr>
                <w:rFonts w:ascii="Times New Roman" w:hAnsi="Times New Roman"/>
              </w:rPr>
              <w:t>14 (10)</w:t>
            </w:r>
          </w:p>
        </w:tc>
        <w:tc>
          <w:tcPr>
            <w:tcW w:w="950" w:type="pct"/>
          </w:tcPr>
          <w:p w14:paraId="5E52EDF3" w14:textId="04832E88" w:rsidR="0056216D" w:rsidRPr="001415DB" w:rsidRDefault="0056216D" w:rsidP="007B4697">
            <w:pPr>
              <w:jc w:val="center"/>
              <w:rPr>
                <w:rFonts w:ascii="Times New Roman" w:hAnsi="Times New Roman"/>
              </w:rPr>
            </w:pPr>
            <w:r w:rsidRPr="001415DB">
              <w:rPr>
                <w:rFonts w:ascii="Times New Roman" w:hAnsi="Times New Roman"/>
              </w:rPr>
              <w:t>9 (13)</w:t>
            </w:r>
          </w:p>
        </w:tc>
      </w:tr>
      <w:tr w:rsidR="0056216D" w:rsidRPr="001415DB" w14:paraId="7BA43D7A" w14:textId="77777777" w:rsidTr="0056216D">
        <w:trPr>
          <w:trHeight w:val="251"/>
        </w:trPr>
        <w:tc>
          <w:tcPr>
            <w:tcW w:w="2849" w:type="pct"/>
          </w:tcPr>
          <w:p w14:paraId="280F76FE" w14:textId="77777777" w:rsidR="0056216D" w:rsidRPr="001415DB" w:rsidRDefault="0056216D" w:rsidP="007B4697">
            <w:pPr>
              <w:ind w:left="429"/>
              <w:rPr>
                <w:rFonts w:ascii="Times New Roman" w:hAnsi="Times New Roman"/>
              </w:rPr>
            </w:pPr>
            <w:r w:rsidRPr="001415DB">
              <w:rPr>
                <w:rFonts w:ascii="Times New Roman" w:hAnsi="Times New Roman"/>
              </w:rPr>
              <w:t>Multiple</w:t>
            </w:r>
            <w:r w:rsidRPr="001415DB">
              <w:rPr>
                <w:rFonts w:ascii="Times New Roman" w:hAnsi="Times New Roman"/>
                <w:vertAlign w:val="superscript"/>
              </w:rPr>
              <w:t xml:space="preserve"> f</w:t>
            </w:r>
          </w:p>
        </w:tc>
        <w:tc>
          <w:tcPr>
            <w:tcW w:w="1201" w:type="pct"/>
          </w:tcPr>
          <w:p w14:paraId="583B4BE6" w14:textId="457D3F00" w:rsidR="0056216D" w:rsidRPr="001415DB" w:rsidRDefault="0056216D" w:rsidP="007B4697">
            <w:pPr>
              <w:jc w:val="center"/>
              <w:rPr>
                <w:rFonts w:ascii="Times New Roman" w:hAnsi="Times New Roman"/>
              </w:rPr>
            </w:pPr>
            <w:r w:rsidRPr="001415DB">
              <w:rPr>
                <w:rFonts w:ascii="Times New Roman" w:hAnsi="Times New Roman"/>
              </w:rPr>
              <w:t>5 (4)</w:t>
            </w:r>
          </w:p>
        </w:tc>
        <w:tc>
          <w:tcPr>
            <w:tcW w:w="950" w:type="pct"/>
          </w:tcPr>
          <w:p w14:paraId="7454BDFF" w14:textId="5E35FD17" w:rsidR="0056216D" w:rsidRPr="001415DB" w:rsidRDefault="0056216D" w:rsidP="007B4697">
            <w:pPr>
              <w:jc w:val="center"/>
              <w:rPr>
                <w:rFonts w:ascii="Times New Roman" w:hAnsi="Times New Roman"/>
              </w:rPr>
            </w:pPr>
            <w:r w:rsidRPr="001415DB">
              <w:rPr>
                <w:rFonts w:ascii="Times New Roman" w:hAnsi="Times New Roman"/>
              </w:rPr>
              <w:t>5 (7)</w:t>
            </w:r>
          </w:p>
        </w:tc>
      </w:tr>
      <w:tr w:rsidR="0056216D" w:rsidRPr="001415DB" w14:paraId="0E055FD7" w14:textId="77777777" w:rsidTr="0056216D">
        <w:tc>
          <w:tcPr>
            <w:tcW w:w="2849" w:type="pct"/>
          </w:tcPr>
          <w:p w14:paraId="66D760BD" w14:textId="77777777" w:rsidR="0056216D" w:rsidRPr="001415DB" w:rsidRDefault="0056216D" w:rsidP="007B4697">
            <w:pPr>
              <w:ind w:left="429"/>
              <w:rPr>
                <w:rFonts w:ascii="Times New Roman" w:hAnsi="Times New Roman"/>
              </w:rPr>
            </w:pPr>
            <w:r w:rsidRPr="001415DB">
              <w:rPr>
                <w:rFonts w:ascii="Times New Roman" w:hAnsi="Times New Roman"/>
              </w:rPr>
              <w:t>Liver</w:t>
            </w:r>
            <w:r w:rsidRPr="001415DB">
              <w:rPr>
                <w:rFonts w:ascii="Times New Roman" w:hAnsi="Times New Roman"/>
                <w:vertAlign w:val="superscript"/>
              </w:rPr>
              <w:t xml:space="preserve"> f</w:t>
            </w:r>
          </w:p>
        </w:tc>
        <w:tc>
          <w:tcPr>
            <w:tcW w:w="1201" w:type="pct"/>
          </w:tcPr>
          <w:p w14:paraId="42B0C354" w14:textId="70E6BA4A" w:rsidR="0056216D" w:rsidRPr="001415DB" w:rsidRDefault="0056216D" w:rsidP="007B4697">
            <w:pPr>
              <w:jc w:val="center"/>
              <w:rPr>
                <w:rFonts w:ascii="Times New Roman" w:hAnsi="Times New Roman"/>
              </w:rPr>
            </w:pPr>
            <w:r w:rsidRPr="001415DB">
              <w:rPr>
                <w:rFonts w:ascii="Times New Roman" w:hAnsi="Times New Roman"/>
              </w:rPr>
              <w:t>6 (4)</w:t>
            </w:r>
          </w:p>
        </w:tc>
        <w:tc>
          <w:tcPr>
            <w:tcW w:w="950" w:type="pct"/>
          </w:tcPr>
          <w:p w14:paraId="6FA71065" w14:textId="686D4303" w:rsidR="0056216D" w:rsidRPr="001415DB" w:rsidRDefault="0056216D" w:rsidP="007B4697">
            <w:pPr>
              <w:jc w:val="center"/>
              <w:rPr>
                <w:rFonts w:ascii="Times New Roman" w:hAnsi="Times New Roman"/>
              </w:rPr>
            </w:pPr>
            <w:r w:rsidRPr="001415DB">
              <w:rPr>
                <w:rFonts w:ascii="Times New Roman" w:hAnsi="Times New Roman"/>
              </w:rPr>
              <w:t>1 (1)</w:t>
            </w:r>
          </w:p>
        </w:tc>
      </w:tr>
      <w:tr w:rsidR="0056216D" w:rsidRPr="001415DB" w14:paraId="5C960776" w14:textId="77777777" w:rsidTr="0056216D">
        <w:tc>
          <w:tcPr>
            <w:tcW w:w="2849" w:type="pct"/>
          </w:tcPr>
          <w:p w14:paraId="7F3A8475" w14:textId="77777777" w:rsidR="0056216D" w:rsidRPr="001415DB" w:rsidRDefault="0056216D" w:rsidP="007B4697">
            <w:pPr>
              <w:ind w:left="429"/>
              <w:rPr>
                <w:rFonts w:ascii="Times New Roman" w:hAnsi="Times New Roman"/>
              </w:rPr>
            </w:pPr>
            <w:r w:rsidRPr="001415DB">
              <w:rPr>
                <w:rFonts w:ascii="Times New Roman" w:hAnsi="Times New Roman"/>
              </w:rPr>
              <w:t>Pancreas</w:t>
            </w:r>
            <w:r w:rsidRPr="001415DB">
              <w:rPr>
                <w:rFonts w:ascii="Times New Roman" w:hAnsi="Times New Roman"/>
                <w:vertAlign w:val="superscript"/>
              </w:rPr>
              <w:t xml:space="preserve"> f</w:t>
            </w:r>
          </w:p>
        </w:tc>
        <w:tc>
          <w:tcPr>
            <w:tcW w:w="1201" w:type="pct"/>
          </w:tcPr>
          <w:p w14:paraId="370393DD" w14:textId="5E859A2C" w:rsidR="0056216D" w:rsidRPr="001415DB" w:rsidRDefault="0056216D" w:rsidP="007B4697">
            <w:pPr>
              <w:jc w:val="center"/>
              <w:rPr>
                <w:rFonts w:ascii="Times New Roman" w:hAnsi="Times New Roman"/>
              </w:rPr>
            </w:pPr>
            <w:r w:rsidRPr="001415DB">
              <w:rPr>
                <w:rFonts w:ascii="Times New Roman" w:hAnsi="Times New Roman"/>
              </w:rPr>
              <w:t>2 (1)</w:t>
            </w:r>
          </w:p>
        </w:tc>
        <w:tc>
          <w:tcPr>
            <w:tcW w:w="950" w:type="pct"/>
          </w:tcPr>
          <w:p w14:paraId="02F8760B" w14:textId="0D34A0A5" w:rsidR="0056216D" w:rsidRPr="001415DB" w:rsidRDefault="0056216D" w:rsidP="007B4697">
            <w:pPr>
              <w:jc w:val="center"/>
              <w:rPr>
                <w:rFonts w:ascii="Times New Roman" w:hAnsi="Times New Roman"/>
              </w:rPr>
            </w:pPr>
            <w:r w:rsidRPr="001415DB">
              <w:rPr>
                <w:rFonts w:ascii="Times New Roman" w:hAnsi="Times New Roman"/>
              </w:rPr>
              <w:t>0</w:t>
            </w:r>
          </w:p>
        </w:tc>
      </w:tr>
      <w:tr w:rsidR="0056216D" w:rsidRPr="001415DB" w14:paraId="1C8D433E" w14:textId="77777777" w:rsidTr="0056216D">
        <w:tc>
          <w:tcPr>
            <w:tcW w:w="2849" w:type="pct"/>
          </w:tcPr>
          <w:p w14:paraId="02A91BE1" w14:textId="77777777" w:rsidR="0056216D" w:rsidRPr="001415DB" w:rsidRDefault="0056216D" w:rsidP="007B4697">
            <w:pPr>
              <w:ind w:left="429"/>
              <w:rPr>
                <w:rFonts w:ascii="Times New Roman" w:hAnsi="Times New Roman"/>
              </w:rPr>
            </w:pPr>
            <w:r w:rsidRPr="001415DB">
              <w:rPr>
                <w:rFonts w:ascii="Times New Roman" w:hAnsi="Times New Roman"/>
              </w:rPr>
              <w:t>Intestine</w:t>
            </w:r>
            <w:r w:rsidRPr="001415DB">
              <w:rPr>
                <w:rFonts w:ascii="Times New Roman" w:hAnsi="Times New Roman"/>
                <w:vertAlign w:val="superscript"/>
              </w:rPr>
              <w:t xml:space="preserve"> f</w:t>
            </w:r>
          </w:p>
        </w:tc>
        <w:tc>
          <w:tcPr>
            <w:tcW w:w="1201" w:type="pct"/>
          </w:tcPr>
          <w:p w14:paraId="1D0929CA" w14:textId="46787C66" w:rsidR="0056216D" w:rsidRPr="001415DB" w:rsidRDefault="0056216D" w:rsidP="007B4697">
            <w:pPr>
              <w:jc w:val="center"/>
              <w:rPr>
                <w:rFonts w:ascii="Times New Roman" w:hAnsi="Times New Roman"/>
              </w:rPr>
            </w:pPr>
            <w:r w:rsidRPr="001415DB">
              <w:rPr>
                <w:rFonts w:ascii="Times New Roman" w:hAnsi="Times New Roman"/>
              </w:rPr>
              <w:t>1 (1)</w:t>
            </w:r>
          </w:p>
        </w:tc>
        <w:tc>
          <w:tcPr>
            <w:tcW w:w="950" w:type="pct"/>
          </w:tcPr>
          <w:p w14:paraId="2C9F2A55" w14:textId="5E8E8820" w:rsidR="0056216D" w:rsidRPr="001415DB" w:rsidRDefault="0056216D" w:rsidP="007B4697">
            <w:pPr>
              <w:jc w:val="center"/>
              <w:rPr>
                <w:rFonts w:ascii="Times New Roman" w:hAnsi="Times New Roman"/>
              </w:rPr>
            </w:pPr>
            <w:r w:rsidRPr="001415DB">
              <w:rPr>
                <w:rFonts w:ascii="Times New Roman" w:hAnsi="Times New Roman"/>
              </w:rPr>
              <w:t>0</w:t>
            </w:r>
          </w:p>
        </w:tc>
      </w:tr>
      <w:tr w:rsidR="0056216D" w:rsidRPr="001415DB" w14:paraId="7EF84CE4" w14:textId="77777777" w:rsidTr="0056216D">
        <w:tc>
          <w:tcPr>
            <w:tcW w:w="2849" w:type="pct"/>
          </w:tcPr>
          <w:p w14:paraId="725963FB" w14:textId="77777777" w:rsidR="0056216D" w:rsidRPr="001415DB" w:rsidRDefault="0056216D" w:rsidP="007B4697">
            <w:pPr>
              <w:ind w:left="70"/>
              <w:rPr>
                <w:rFonts w:ascii="Times New Roman" w:hAnsi="Times New Roman"/>
                <w:b/>
                <w:bCs/>
              </w:rPr>
            </w:pPr>
            <w:r w:rsidRPr="001415DB">
              <w:rPr>
                <w:rFonts w:ascii="Times New Roman" w:hAnsi="Times New Roman"/>
                <w:b/>
                <w:bCs/>
              </w:rPr>
              <w:t>CMV DNA levels category as reported by central laboratory, n (</w:t>
            </w:r>
            <w:proofErr w:type="gramStart"/>
            <w:r w:rsidRPr="001415DB">
              <w:rPr>
                <w:rFonts w:ascii="Times New Roman" w:hAnsi="Times New Roman"/>
                <w:b/>
                <w:bCs/>
              </w:rPr>
              <w:t>%)</w:t>
            </w:r>
            <w:r w:rsidRPr="001415DB">
              <w:rPr>
                <w:rFonts w:ascii="Times New Roman" w:hAnsi="Times New Roman"/>
                <w:b/>
                <w:bCs/>
                <w:vertAlign w:val="superscript"/>
              </w:rPr>
              <w:t>d</w:t>
            </w:r>
            <w:proofErr w:type="gramEnd"/>
          </w:p>
        </w:tc>
        <w:tc>
          <w:tcPr>
            <w:tcW w:w="1201" w:type="pct"/>
          </w:tcPr>
          <w:p w14:paraId="55012F54" w14:textId="77777777" w:rsidR="0056216D" w:rsidRPr="001415DB" w:rsidRDefault="0056216D" w:rsidP="007B4697">
            <w:pPr>
              <w:jc w:val="center"/>
              <w:rPr>
                <w:rFonts w:ascii="Times New Roman" w:hAnsi="Times New Roman"/>
                <w:bCs/>
              </w:rPr>
            </w:pPr>
          </w:p>
        </w:tc>
        <w:tc>
          <w:tcPr>
            <w:tcW w:w="950" w:type="pct"/>
          </w:tcPr>
          <w:p w14:paraId="6A5D98CE" w14:textId="05A2E393" w:rsidR="0056216D" w:rsidRPr="001415DB" w:rsidRDefault="0056216D" w:rsidP="007B4697">
            <w:pPr>
              <w:jc w:val="center"/>
              <w:rPr>
                <w:rFonts w:ascii="Times New Roman" w:hAnsi="Times New Roman"/>
                <w:bCs/>
              </w:rPr>
            </w:pPr>
          </w:p>
        </w:tc>
      </w:tr>
      <w:tr w:rsidR="0056216D" w:rsidRPr="001415DB" w14:paraId="6FD12EBA" w14:textId="77777777" w:rsidTr="0056216D">
        <w:tc>
          <w:tcPr>
            <w:tcW w:w="2849" w:type="pct"/>
          </w:tcPr>
          <w:p w14:paraId="16AAC948" w14:textId="77777777" w:rsidR="0056216D" w:rsidRPr="001415DB" w:rsidRDefault="0056216D" w:rsidP="007B4697">
            <w:pPr>
              <w:ind w:left="250"/>
              <w:rPr>
                <w:rFonts w:ascii="Times New Roman" w:hAnsi="Times New Roman"/>
                <w:bCs/>
              </w:rPr>
            </w:pPr>
            <w:r w:rsidRPr="001415DB">
              <w:rPr>
                <w:rFonts w:ascii="Times New Roman" w:hAnsi="Times New Roman"/>
                <w:bCs/>
              </w:rPr>
              <w:t>High</w:t>
            </w:r>
          </w:p>
        </w:tc>
        <w:tc>
          <w:tcPr>
            <w:tcW w:w="1201" w:type="pct"/>
          </w:tcPr>
          <w:p w14:paraId="64A2F3FE" w14:textId="17493CE8" w:rsidR="0056216D" w:rsidRPr="001415DB" w:rsidRDefault="0056216D" w:rsidP="007B4697">
            <w:pPr>
              <w:jc w:val="center"/>
              <w:rPr>
                <w:rFonts w:ascii="Times New Roman" w:hAnsi="Times New Roman"/>
              </w:rPr>
            </w:pPr>
            <w:r w:rsidRPr="001415DB">
              <w:rPr>
                <w:rFonts w:ascii="Times New Roman" w:hAnsi="Times New Roman"/>
              </w:rPr>
              <w:t>14 (6)</w:t>
            </w:r>
          </w:p>
        </w:tc>
        <w:tc>
          <w:tcPr>
            <w:tcW w:w="950" w:type="pct"/>
          </w:tcPr>
          <w:p w14:paraId="30F88BC6" w14:textId="267B561A" w:rsidR="0056216D" w:rsidRPr="001415DB" w:rsidRDefault="0056216D" w:rsidP="007B4697">
            <w:pPr>
              <w:jc w:val="center"/>
              <w:rPr>
                <w:rFonts w:ascii="Times New Roman" w:hAnsi="Times New Roman"/>
                <w:bCs/>
              </w:rPr>
            </w:pPr>
            <w:r w:rsidRPr="001415DB">
              <w:rPr>
                <w:rFonts w:ascii="Times New Roman" w:hAnsi="Times New Roman"/>
              </w:rPr>
              <w:t>7 (6)</w:t>
            </w:r>
          </w:p>
        </w:tc>
      </w:tr>
      <w:tr w:rsidR="0056216D" w:rsidRPr="001415DB" w14:paraId="58D5D0B1" w14:textId="77777777" w:rsidTr="0056216D">
        <w:tc>
          <w:tcPr>
            <w:tcW w:w="2849" w:type="pct"/>
          </w:tcPr>
          <w:p w14:paraId="46FA9180" w14:textId="77777777" w:rsidR="0056216D" w:rsidRPr="001415DB" w:rsidRDefault="0056216D" w:rsidP="007B4697">
            <w:pPr>
              <w:ind w:left="250"/>
              <w:rPr>
                <w:rFonts w:ascii="Times New Roman" w:hAnsi="Times New Roman"/>
                <w:bCs/>
              </w:rPr>
            </w:pPr>
            <w:r w:rsidRPr="001415DB">
              <w:rPr>
                <w:rFonts w:ascii="Times New Roman" w:hAnsi="Times New Roman"/>
                <w:bCs/>
              </w:rPr>
              <w:t>Intermediate</w:t>
            </w:r>
          </w:p>
        </w:tc>
        <w:tc>
          <w:tcPr>
            <w:tcW w:w="1201" w:type="pct"/>
          </w:tcPr>
          <w:p w14:paraId="4D05248A" w14:textId="6FB260AD" w:rsidR="0056216D" w:rsidRPr="001415DB" w:rsidRDefault="0056216D" w:rsidP="007B4697">
            <w:pPr>
              <w:jc w:val="center"/>
              <w:rPr>
                <w:rFonts w:ascii="Times New Roman" w:hAnsi="Times New Roman"/>
              </w:rPr>
            </w:pPr>
            <w:r w:rsidRPr="001415DB">
              <w:rPr>
                <w:rFonts w:ascii="Times New Roman" w:hAnsi="Times New Roman"/>
              </w:rPr>
              <w:t>68 (29)</w:t>
            </w:r>
          </w:p>
        </w:tc>
        <w:tc>
          <w:tcPr>
            <w:tcW w:w="950" w:type="pct"/>
          </w:tcPr>
          <w:p w14:paraId="15ACC620" w14:textId="39715CE2" w:rsidR="0056216D" w:rsidRPr="001415DB" w:rsidRDefault="0056216D" w:rsidP="007B4697">
            <w:pPr>
              <w:jc w:val="center"/>
              <w:rPr>
                <w:rFonts w:ascii="Times New Roman" w:hAnsi="Times New Roman"/>
                <w:bCs/>
              </w:rPr>
            </w:pPr>
            <w:r w:rsidRPr="001415DB">
              <w:rPr>
                <w:rFonts w:ascii="Times New Roman" w:hAnsi="Times New Roman"/>
              </w:rPr>
              <w:t>25 (21)</w:t>
            </w:r>
          </w:p>
        </w:tc>
      </w:tr>
      <w:tr w:rsidR="0056216D" w:rsidRPr="001415DB" w14:paraId="59629057" w14:textId="77777777" w:rsidTr="0056216D">
        <w:tc>
          <w:tcPr>
            <w:tcW w:w="2849" w:type="pct"/>
          </w:tcPr>
          <w:p w14:paraId="1DB3EBB9" w14:textId="77777777" w:rsidR="0056216D" w:rsidRPr="001415DB" w:rsidRDefault="0056216D" w:rsidP="007B4697">
            <w:pPr>
              <w:ind w:left="250"/>
              <w:rPr>
                <w:rFonts w:ascii="Times New Roman" w:hAnsi="Times New Roman"/>
                <w:bCs/>
              </w:rPr>
            </w:pPr>
            <w:r w:rsidRPr="001415DB">
              <w:rPr>
                <w:rFonts w:ascii="Times New Roman" w:hAnsi="Times New Roman"/>
                <w:bCs/>
              </w:rPr>
              <w:t>Low</w:t>
            </w:r>
          </w:p>
        </w:tc>
        <w:tc>
          <w:tcPr>
            <w:tcW w:w="1201" w:type="pct"/>
          </w:tcPr>
          <w:p w14:paraId="56A35867" w14:textId="2933C93B" w:rsidR="0056216D" w:rsidRPr="001415DB" w:rsidRDefault="0056216D" w:rsidP="007B4697">
            <w:pPr>
              <w:jc w:val="center"/>
              <w:rPr>
                <w:rFonts w:ascii="Times New Roman" w:hAnsi="Times New Roman"/>
              </w:rPr>
            </w:pPr>
            <w:r w:rsidRPr="001415DB">
              <w:rPr>
                <w:rFonts w:ascii="Times New Roman" w:hAnsi="Times New Roman"/>
              </w:rPr>
              <w:t>153 (65)</w:t>
            </w:r>
          </w:p>
        </w:tc>
        <w:tc>
          <w:tcPr>
            <w:tcW w:w="950" w:type="pct"/>
          </w:tcPr>
          <w:p w14:paraId="1A66CE62" w14:textId="6160B8ED" w:rsidR="0056216D" w:rsidRPr="001415DB" w:rsidRDefault="0056216D" w:rsidP="007B4697">
            <w:pPr>
              <w:jc w:val="center"/>
              <w:rPr>
                <w:rFonts w:ascii="Times New Roman" w:hAnsi="Times New Roman"/>
                <w:bCs/>
              </w:rPr>
            </w:pPr>
            <w:r w:rsidRPr="001415DB">
              <w:rPr>
                <w:rFonts w:ascii="Times New Roman" w:hAnsi="Times New Roman"/>
              </w:rPr>
              <w:t>85 (73)</w:t>
            </w:r>
          </w:p>
        </w:tc>
      </w:tr>
      <w:tr w:rsidR="0056216D" w:rsidRPr="001415DB" w14:paraId="5D7D7219" w14:textId="77777777" w:rsidTr="0056216D">
        <w:tc>
          <w:tcPr>
            <w:tcW w:w="2849" w:type="pct"/>
          </w:tcPr>
          <w:p w14:paraId="35483565" w14:textId="77777777" w:rsidR="0056216D" w:rsidRPr="001415DB" w:rsidRDefault="0056216D" w:rsidP="007B4697">
            <w:pPr>
              <w:ind w:left="70"/>
              <w:rPr>
                <w:rFonts w:ascii="Times New Roman" w:hAnsi="Times New Roman"/>
                <w:b/>
                <w:bCs/>
              </w:rPr>
            </w:pPr>
            <w:r w:rsidRPr="001415DB">
              <w:rPr>
                <w:rFonts w:ascii="Times New Roman" w:hAnsi="Times New Roman"/>
                <w:b/>
                <w:bCs/>
              </w:rPr>
              <w:t>Baseline symptomatic CMV infection</w:t>
            </w:r>
          </w:p>
        </w:tc>
        <w:tc>
          <w:tcPr>
            <w:tcW w:w="1201" w:type="pct"/>
          </w:tcPr>
          <w:p w14:paraId="2549E560" w14:textId="77777777" w:rsidR="0056216D" w:rsidRPr="001415DB" w:rsidRDefault="0056216D" w:rsidP="007B4697">
            <w:pPr>
              <w:jc w:val="center"/>
              <w:rPr>
                <w:rFonts w:ascii="Times New Roman" w:hAnsi="Times New Roman"/>
              </w:rPr>
            </w:pPr>
          </w:p>
        </w:tc>
        <w:tc>
          <w:tcPr>
            <w:tcW w:w="950" w:type="pct"/>
          </w:tcPr>
          <w:p w14:paraId="2E352ABA" w14:textId="2B70E690" w:rsidR="0056216D" w:rsidRPr="001415DB" w:rsidRDefault="0056216D" w:rsidP="007B4697">
            <w:pPr>
              <w:jc w:val="center"/>
              <w:rPr>
                <w:rFonts w:ascii="Times New Roman" w:hAnsi="Times New Roman"/>
              </w:rPr>
            </w:pPr>
          </w:p>
        </w:tc>
      </w:tr>
      <w:tr w:rsidR="0056216D" w:rsidRPr="001415DB" w14:paraId="1B5423D6" w14:textId="77777777" w:rsidTr="0056216D">
        <w:tc>
          <w:tcPr>
            <w:tcW w:w="2849" w:type="pct"/>
          </w:tcPr>
          <w:p w14:paraId="308F0C5D" w14:textId="77777777" w:rsidR="0056216D" w:rsidRPr="001415DB" w:rsidRDefault="0056216D" w:rsidP="007B4697">
            <w:pPr>
              <w:ind w:left="250"/>
              <w:rPr>
                <w:rFonts w:ascii="Times New Roman" w:hAnsi="Times New Roman"/>
                <w:bCs/>
              </w:rPr>
            </w:pPr>
            <w:r w:rsidRPr="001415DB">
              <w:rPr>
                <w:rFonts w:ascii="Times New Roman" w:hAnsi="Times New Roman"/>
                <w:bCs/>
              </w:rPr>
              <w:t>No</w:t>
            </w:r>
          </w:p>
        </w:tc>
        <w:tc>
          <w:tcPr>
            <w:tcW w:w="1201" w:type="pct"/>
          </w:tcPr>
          <w:p w14:paraId="378F1B5D" w14:textId="42BBA3FE" w:rsidR="0056216D" w:rsidRPr="001415DB" w:rsidRDefault="0056216D" w:rsidP="007B4697">
            <w:pPr>
              <w:jc w:val="center"/>
              <w:rPr>
                <w:rFonts w:ascii="Times New Roman" w:hAnsi="Times New Roman"/>
                <w:bCs/>
              </w:rPr>
            </w:pPr>
            <w:r w:rsidRPr="001415DB">
              <w:rPr>
                <w:rFonts w:ascii="Times New Roman" w:hAnsi="Times New Roman"/>
                <w:bCs/>
              </w:rPr>
              <w:t>214 (91)</w:t>
            </w:r>
          </w:p>
        </w:tc>
        <w:tc>
          <w:tcPr>
            <w:tcW w:w="950" w:type="pct"/>
          </w:tcPr>
          <w:p w14:paraId="7ADA191C" w14:textId="1B2362B9" w:rsidR="0056216D" w:rsidRPr="001415DB" w:rsidRDefault="0056216D" w:rsidP="007B4697">
            <w:pPr>
              <w:jc w:val="center"/>
              <w:rPr>
                <w:rFonts w:ascii="Times New Roman" w:hAnsi="Times New Roman"/>
                <w:bCs/>
              </w:rPr>
            </w:pPr>
            <w:r w:rsidRPr="001415DB">
              <w:rPr>
                <w:rFonts w:ascii="Times New Roman" w:hAnsi="Times New Roman"/>
                <w:bCs/>
              </w:rPr>
              <w:t>109 (93)</w:t>
            </w:r>
          </w:p>
        </w:tc>
      </w:tr>
      <w:tr w:rsidR="0056216D" w:rsidRPr="001415DB" w14:paraId="31EA3272" w14:textId="77777777" w:rsidTr="0056216D">
        <w:tc>
          <w:tcPr>
            <w:tcW w:w="2849" w:type="pct"/>
          </w:tcPr>
          <w:p w14:paraId="05EF85BD" w14:textId="77777777" w:rsidR="0056216D" w:rsidRPr="001415DB" w:rsidRDefault="0056216D" w:rsidP="007B4697">
            <w:pPr>
              <w:ind w:left="250"/>
              <w:rPr>
                <w:rFonts w:ascii="Times New Roman" w:hAnsi="Times New Roman"/>
              </w:rPr>
            </w:pPr>
            <w:proofErr w:type="spellStart"/>
            <w:r w:rsidRPr="001415DB">
              <w:rPr>
                <w:rFonts w:ascii="Times New Roman" w:hAnsi="Times New Roman"/>
              </w:rPr>
              <w:t>Yes</w:t>
            </w:r>
            <w:r w:rsidRPr="001415DB">
              <w:rPr>
                <w:rFonts w:ascii="Times New Roman" w:hAnsi="Times New Roman"/>
                <w:vertAlign w:val="superscript"/>
              </w:rPr>
              <w:t>e</w:t>
            </w:r>
            <w:proofErr w:type="spellEnd"/>
          </w:p>
        </w:tc>
        <w:tc>
          <w:tcPr>
            <w:tcW w:w="1201" w:type="pct"/>
          </w:tcPr>
          <w:p w14:paraId="42915E69" w14:textId="338F0CA8" w:rsidR="0056216D" w:rsidRPr="001415DB" w:rsidRDefault="0056216D" w:rsidP="007B4697">
            <w:pPr>
              <w:jc w:val="center"/>
              <w:rPr>
                <w:rFonts w:ascii="Times New Roman" w:hAnsi="Times New Roman"/>
              </w:rPr>
            </w:pPr>
            <w:r w:rsidRPr="001415DB">
              <w:rPr>
                <w:rFonts w:ascii="Times New Roman" w:hAnsi="Times New Roman"/>
              </w:rPr>
              <w:t>21 (9)</w:t>
            </w:r>
          </w:p>
        </w:tc>
        <w:tc>
          <w:tcPr>
            <w:tcW w:w="950" w:type="pct"/>
          </w:tcPr>
          <w:p w14:paraId="50EA5197" w14:textId="6DB48CFB" w:rsidR="0056216D" w:rsidRPr="001415DB" w:rsidRDefault="0056216D" w:rsidP="007B4697">
            <w:pPr>
              <w:jc w:val="center"/>
              <w:rPr>
                <w:rFonts w:ascii="Times New Roman" w:hAnsi="Times New Roman"/>
              </w:rPr>
            </w:pPr>
            <w:r w:rsidRPr="001415DB">
              <w:rPr>
                <w:rFonts w:ascii="Times New Roman" w:hAnsi="Times New Roman"/>
              </w:rPr>
              <w:t>8 (7)</w:t>
            </w:r>
          </w:p>
        </w:tc>
      </w:tr>
      <w:tr w:rsidR="0056216D" w:rsidRPr="001415DB" w14:paraId="0EB17AB3" w14:textId="77777777" w:rsidTr="0056216D">
        <w:tc>
          <w:tcPr>
            <w:tcW w:w="2849" w:type="pct"/>
          </w:tcPr>
          <w:p w14:paraId="009E1849" w14:textId="77777777" w:rsidR="0056216D" w:rsidRPr="001415DB" w:rsidRDefault="0056216D" w:rsidP="007B4697">
            <w:pPr>
              <w:ind w:left="431"/>
              <w:rPr>
                <w:rFonts w:ascii="Times New Roman" w:hAnsi="Times New Roman"/>
                <w:bCs/>
                <w:lang w:val="pt-BR"/>
              </w:rPr>
            </w:pPr>
            <w:r w:rsidRPr="001415DB">
              <w:rPr>
                <w:rFonts w:ascii="Times New Roman" w:hAnsi="Times New Roman"/>
                <w:lang w:val="pt-BR"/>
              </w:rPr>
              <w:t>CMV syndrome (SOT only), n (%)</w:t>
            </w:r>
            <w:r w:rsidRPr="001415DB">
              <w:rPr>
                <w:rFonts w:ascii="Times New Roman" w:hAnsi="Times New Roman"/>
                <w:vertAlign w:val="superscript"/>
                <w:lang w:val="pt-BR"/>
              </w:rPr>
              <w:t>e</w:t>
            </w:r>
            <w:r w:rsidRPr="001415DB">
              <w:rPr>
                <w:rFonts w:ascii="Times New Roman" w:hAnsi="Times New Roman"/>
                <w:vertAlign w:val="superscript"/>
              </w:rPr>
              <w:t>, f, g</w:t>
            </w:r>
          </w:p>
        </w:tc>
        <w:tc>
          <w:tcPr>
            <w:tcW w:w="1201" w:type="pct"/>
          </w:tcPr>
          <w:p w14:paraId="57ECB0F6" w14:textId="11E56A84" w:rsidR="0056216D" w:rsidRPr="001415DB" w:rsidRDefault="0056216D" w:rsidP="007B4697">
            <w:pPr>
              <w:jc w:val="center"/>
              <w:rPr>
                <w:rFonts w:ascii="Times New Roman" w:hAnsi="Times New Roman"/>
              </w:rPr>
            </w:pPr>
            <w:r w:rsidRPr="001415DB">
              <w:rPr>
                <w:rFonts w:ascii="Times New Roman" w:hAnsi="Times New Roman"/>
              </w:rPr>
              <w:t>10 (48)</w:t>
            </w:r>
          </w:p>
        </w:tc>
        <w:tc>
          <w:tcPr>
            <w:tcW w:w="950" w:type="pct"/>
          </w:tcPr>
          <w:p w14:paraId="4C1645F7" w14:textId="4568936E" w:rsidR="0056216D" w:rsidRPr="001415DB" w:rsidRDefault="0056216D" w:rsidP="007B4697">
            <w:pPr>
              <w:jc w:val="center"/>
              <w:rPr>
                <w:rFonts w:ascii="Times New Roman" w:hAnsi="Times New Roman"/>
                <w:bCs/>
              </w:rPr>
            </w:pPr>
            <w:r w:rsidRPr="001415DB">
              <w:rPr>
                <w:rFonts w:ascii="Times New Roman" w:hAnsi="Times New Roman"/>
              </w:rPr>
              <w:t>7 (88)</w:t>
            </w:r>
          </w:p>
        </w:tc>
      </w:tr>
      <w:tr w:rsidR="0056216D" w:rsidRPr="001415DB" w14:paraId="60883E44" w14:textId="77777777" w:rsidTr="0056216D">
        <w:tc>
          <w:tcPr>
            <w:tcW w:w="2849" w:type="pct"/>
          </w:tcPr>
          <w:p w14:paraId="49BCF02E" w14:textId="77777777" w:rsidR="0056216D" w:rsidRPr="001415DB" w:rsidRDefault="0056216D" w:rsidP="007B4697">
            <w:pPr>
              <w:ind w:left="431"/>
              <w:rPr>
                <w:rFonts w:ascii="Times New Roman" w:hAnsi="Times New Roman"/>
                <w:lang w:val="pt-BR"/>
              </w:rPr>
            </w:pPr>
            <w:r w:rsidRPr="001415DB">
              <w:rPr>
                <w:rFonts w:ascii="Times New Roman" w:hAnsi="Times New Roman"/>
                <w:lang w:val="pt-BR"/>
              </w:rPr>
              <w:t>Tissue Invasive disease, n (%)</w:t>
            </w:r>
            <w:r w:rsidRPr="00CA71E4">
              <w:rPr>
                <w:rFonts w:ascii="Times New Roman" w:hAnsi="Times New Roman"/>
                <w:vertAlign w:val="superscript"/>
                <w:lang w:val="pt-BR"/>
              </w:rPr>
              <w:t>e, f, g</w:t>
            </w:r>
          </w:p>
        </w:tc>
        <w:tc>
          <w:tcPr>
            <w:tcW w:w="1201" w:type="pct"/>
          </w:tcPr>
          <w:p w14:paraId="496C00E9" w14:textId="2934097E" w:rsidR="0056216D" w:rsidRPr="001415DB" w:rsidRDefault="0056216D" w:rsidP="007B4697">
            <w:pPr>
              <w:jc w:val="center"/>
              <w:rPr>
                <w:rFonts w:ascii="Times New Roman" w:hAnsi="Times New Roman"/>
                <w:lang w:val="pt-BR"/>
              </w:rPr>
            </w:pPr>
            <w:r w:rsidRPr="001415DB">
              <w:rPr>
                <w:rFonts w:ascii="Times New Roman" w:hAnsi="Times New Roman"/>
                <w:lang w:val="pt-BR"/>
              </w:rPr>
              <w:t>12 (57)</w:t>
            </w:r>
          </w:p>
        </w:tc>
        <w:tc>
          <w:tcPr>
            <w:tcW w:w="950" w:type="pct"/>
          </w:tcPr>
          <w:p w14:paraId="7056F5AA" w14:textId="312A9391" w:rsidR="0056216D" w:rsidRPr="001415DB" w:rsidRDefault="0056216D" w:rsidP="007B4697">
            <w:pPr>
              <w:jc w:val="center"/>
              <w:rPr>
                <w:rFonts w:ascii="Times New Roman" w:hAnsi="Times New Roman"/>
                <w:lang w:val="pt-BR"/>
              </w:rPr>
            </w:pPr>
            <w:r w:rsidRPr="001415DB">
              <w:rPr>
                <w:rFonts w:ascii="Times New Roman" w:hAnsi="Times New Roman"/>
                <w:lang w:val="pt-BR"/>
              </w:rPr>
              <w:t>1 (13)</w:t>
            </w:r>
          </w:p>
        </w:tc>
      </w:tr>
    </w:tbl>
    <w:bookmarkEnd w:id="5"/>
    <w:p w14:paraId="7919E29D" w14:textId="369A9CF3" w:rsidR="000D652C" w:rsidRPr="001415DB" w:rsidRDefault="000D652C" w:rsidP="000D652C">
      <w:pPr>
        <w:spacing w:after="0" w:line="240" w:lineRule="auto"/>
        <w:rPr>
          <w:rFonts w:ascii="Times New Roman" w:eastAsia="Times New Roman" w:hAnsi="Times New Roman" w:cs="Times New Roman"/>
          <w:sz w:val="20"/>
          <w:szCs w:val="20"/>
          <w:lang w:eastAsia="ja-JP"/>
        </w:rPr>
      </w:pPr>
      <w:r w:rsidRPr="001415DB">
        <w:rPr>
          <w:rFonts w:ascii="Times New Roman" w:eastAsia="Times New Roman" w:hAnsi="Times New Roman" w:cs="Times New Roman"/>
          <w:sz w:val="20"/>
          <w:szCs w:val="20"/>
          <w:lang w:eastAsia="ja-JP"/>
        </w:rPr>
        <w:t>CMV=cytomegalovirus, DNA=deoxyribonucleic acid, HSCT=hematopoietic stem cell transplant, IAT=investigator assigned anti-CMV treatment, max=maximum, min=minimum, N=number of patients, , n/a not applicable, SD=standard deviation, SOT=solid organ transplant</w:t>
      </w:r>
      <w:r w:rsidRPr="001415DB">
        <w:rPr>
          <w:rFonts w:ascii="Times New Roman" w:eastAsia="Times New Roman" w:hAnsi="Times New Roman" w:cs="Times New Roman"/>
          <w:sz w:val="20"/>
          <w:szCs w:val="20"/>
          <w:lang w:eastAsia="ja-JP"/>
        </w:rPr>
        <w:br w:type="textWrapping" w:clear="all"/>
      </w:r>
      <w:r w:rsidRPr="001415DB">
        <w:rPr>
          <w:rFonts w:ascii="Times New Roman" w:hAnsi="Times New Roman" w:cs="Times New Roman"/>
          <w:vertAlign w:val="superscript"/>
        </w:rPr>
        <w:t>a</w:t>
      </w:r>
      <w:r w:rsidRPr="001415DB">
        <w:rPr>
          <w:rFonts w:ascii="Times New Roman" w:hAnsi="Times New Roman" w:cs="Times New Roman"/>
          <w:sz w:val="20"/>
          <w:szCs w:val="20"/>
        </w:rPr>
        <w:t xml:space="preserve"> </w:t>
      </w:r>
      <w:r w:rsidRPr="001415DB">
        <w:rPr>
          <w:rFonts w:ascii="Times New Roman" w:eastAsia="Times New Roman" w:hAnsi="Times New Roman" w:cs="Times New Roman"/>
          <w:sz w:val="20"/>
          <w:szCs w:val="20"/>
          <w:lang w:eastAsia="ja-JP"/>
        </w:rPr>
        <w:t>Baseline was defined as the last value on or before the first dose date of study-assigned treatment, or date of randomi</w:t>
      </w:r>
      <w:r w:rsidR="00834235">
        <w:rPr>
          <w:rFonts w:ascii="Times New Roman" w:eastAsia="Times New Roman" w:hAnsi="Times New Roman" w:cs="Times New Roman"/>
          <w:sz w:val="20"/>
          <w:szCs w:val="20"/>
          <w:lang w:eastAsia="ja-JP"/>
        </w:rPr>
        <w:t>s</w:t>
      </w:r>
      <w:r w:rsidRPr="001415DB">
        <w:rPr>
          <w:rFonts w:ascii="Times New Roman" w:eastAsia="Times New Roman" w:hAnsi="Times New Roman" w:cs="Times New Roman"/>
          <w:sz w:val="20"/>
          <w:szCs w:val="20"/>
          <w:lang w:eastAsia="ja-JP"/>
        </w:rPr>
        <w:t>ation for patients who did not receive study-assigned treatment.</w:t>
      </w:r>
      <w:r w:rsidRPr="001415DB">
        <w:rPr>
          <w:rFonts w:ascii="Times New Roman" w:eastAsia="Times New Roman" w:hAnsi="Times New Roman" w:cs="Times New Roman"/>
          <w:sz w:val="20"/>
          <w:szCs w:val="20"/>
          <w:lang w:eastAsia="ja-JP"/>
        </w:rPr>
        <w:br w:type="textWrapping" w:clear="all"/>
      </w:r>
      <w:r w:rsidRPr="001415DB">
        <w:rPr>
          <w:rFonts w:ascii="Times New Roman" w:hAnsi="Times New Roman" w:cs="Times New Roman"/>
          <w:vertAlign w:val="superscript"/>
        </w:rPr>
        <w:t>b</w:t>
      </w:r>
      <w:r w:rsidRPr="001415DB">
        <w:rPr>
          <w:rFonts w:ascii="Times New Roman" w:hAnsi="Times New Roman" w:cs="Times New Roman"/>
          <w:sz w:val="20"/>
          <w:szCs w:val="20"/>
        </w:rPr>
        <w:t xml:space="preserve"> </w:t>
      </w:r>
      <w:r w:rsidRPr="001415DB">
        <w:rPr>
          <w:rFonts w:ascii="Times New Roman" w:eastAsia="Times New Roman" w:hAnsi="Times New Roman" w:cs="Times New Roman"/>
          <w:sz w:val="20"/>
          <w:szCs w:val="20"/>
          <w:lang w:eastAsia="ja-JP"/>
        </w:rPr>
        <w:t>Age was calculated as the difference between date of birth and date of informed consent, truncated to years.</w:t>
      </w:r>
    </w:p>
    <w:p w14:paraId="055E20C3" w14:textId="4DDED839" w:rsidR="000D652C" w:rsidRPr="001415DB" w:rsidRDefault="000D652C" w:rsidP="000D652C">
      <w:pPr>
        <w:spacing w:after="0" w:line="240" w:lineRule="auto"/>
        <w:rPr>
          <w:rFonts w:ascii="Times New Roman" w:eastAsia="Times New Roman" w:hAnsi="Times New Roman" w:cs="Times New Roman"/>
          <w:sz w:val="20"/>
          <w:szCs w:val="20"/>
          <w:lang w:eastAsia="ja-JP"/>
        </w:rPr>
      </w:pPr>
      <w:r w:rsidRPr="001415DB">
        <w:rPr>
          <w:rFonts w:ascii="Times New Roman" w:hAnsi="Times New Roman" w:cs="Times New Roman"/>
          <w:sz w:val="20"/>
          <w:vertAlign w:val="superscript"/>
        </w:rPr>
        <w:t>c</w:t>
      </w:r>
      <w:r w:rsidRPr="001415DB">
        <w:rPr>
          <w:rFonts w:ascii="Times New Roman" w:hAnsi="Times New Roman" w:cs="Times New Roman"/>
          <w:sz w:val="20"/>
        </w:rPr>
        <w:t xml:space="preserve"> </w:t>
      </w:r>
      <w:proofErr w:type="gramStart"/>
      <w:r w:rsidRPr="001415DB">
        <w:rPr>
          <w:rFonts w:ascii="Times New Roman" w:eastAsia="Times New Roman" w:hAnsi="Times New Roman" w:cs="Times New Roman"/>
          <w:sz w:val="20"/>
          <w:szCs w:val="20"/>
          <w:lang w:eastAsia="ja-JP"/>
        </w:rPr>
        <w:t>The</w:t>
      </w:r>
      <w:proofErr w:type="gramEnd"/>
      <w:r w:rsidRPr="001415DB">
        <w:rPr>
          <w:rFonts w:ascii="Times New Roman" w:eastAsia="Times New Roman" w:hAnsi="Times New Roman" w:cs="Times New Roman"/>
          <w:sz w:val="20"/>
          <w:szCs w:val="20"/>
          <w:lang w:eastAsia="ja-JP"/>
        </w:rPr>
        <w:t xml:space="preserve"> most recent transplant </w:t>
      </w:r>
    </w:p>
    <w:p w14:paraId="071B7DDC" w14:textId="46ED60C4" w:rsidR="000D652C" w:rsidRPr="001415DB" w:rsidRDefault="000D652C" w:rsidP="000D652C">
      <w:pPr>
        <w:spacing w:after="0" w:line="240" w:lineRule="auto"/>
        <w:rPr>
          <w:rFonts w:ascii="Times New Roman" w:eastAsia="Times New Roman" w:hAnsi="Times New Roman" w:cs="Times New Roman"/>
          <w:sz w:val="20"/>
          <w:szCs w:val="20"/>
          <w:lang w:eastAsia="ja-JP"/>
        </w:rPr>
      </w:pPr>
      <w:r w:rsidRPr="001415DB">
        <w:rPr>
          <w:rFonts w:ascii="Times New Roman" w:hAnsi="Times New Roman" w:cs="Times New Roman"/>
          <w:sz w:val="20"/>
          <w:vertAlign w:val="superscript"/>
        </w:rPr>
        <w:t>d</w:t>
      </w:r>
      <w:r w:rsidRPr="001415DB">
        <w:rPr>
          <w:rFonts w:ascii="Times New Roman" w:hAnsi="Times New Roman" w:cs="Times New Roman"/>
          <w:sz w:val="20"/>
        </w:rPr>
        <w:t xml:space="preserve"> </w:t>
      </w:r>
      <w:r w:rsidRPr="001415DB">
        <w:rPr>
          <w:rFonts w:ascii="Times New Roman" w:eastAsia="Times New Roman" w:hAnsi="Times New Roman" w:cs="Times New Roman"/>
          <w:sz w:val="20"/>
          <w:szCs w:val="20"/>
          <w:lang w:eastAsia="ja-JP"/>
        </w:rPr>
        <w:t>Viral load was defined for analysis by the baseline central specialty laboratory plasma CMV DNA qPCR results as high (≥91,000 IU/mL), intermediate (≥9,100 and &lt;91,000 IU/mL), and low (&lt;9,100 IU/mL).</w:t>
      </w:r>
    </w:p>
    <w:p w14:paraId="44B80A0F" w14:textId="77777777" w:rsidR="000D652C" w:rsidRPr="001415DB" w:rsidRDefault="000D652C" w:rsidP="000D652C">
      <w:pPr>
        <w:keepNext/>
        <w:spacing w:after="0" w:line="240" w:lineRule="auto"/>
        <w:rPr>
          <w:rFonts w:ascii="Times New Roman" w:eastAsia="Times New Roman" w:hAnsi="Times New Roman" w:cs="Times New Roman"/>
          <w:sz w:val="20"/>
          <w:szCs w:val="20"/>
          <w:lang w:eastAsia="ja-JP"/>
        </w:rPr>
      </w:pPr>
      <w:r w:rsidRPr="001415DB">
        <w:rPr>
          <w:rFonts w:ascii="Times New Roman" w:hAnsi="Times New Roman" w:cs="Times New Roman"/>
          <w:snapToGrid w:val="0"/>
          <w:sz w:val="20"/>
          <w:vertAlign w:val="superscript"/>
        </w:rPr>
        <w:t>e</w:t>
      </w:r>
      <w:r w:rsidRPr="001415DB">
        <w:rPr>
          <w:rFonts w:ascii="Times New Roman" w:hAnsi="Times New Roman" w:cs="Times New Roman"/>
          <w:snapToGrid w:val="0"/>
          <w:sz w:val="20"/>
        </w:rPr>
        <w:t xml:space="preserve"> </w:t>
      </w:r>
      <w:r w:rsidRPr="001415DB">
        <w:rPr>
          <w:rFonts w:ascii="Times New Roman" w:eastAsia="Times New Roman" w:hAnsi="Times New Roman" w:cs="Times New Roman"/>
          <w:sz w:val="20"/>
          <w:szCs w:val="20"/>
          <w:lang w:eastAsia="ja-JP"/>
        </w:rPr>
        <w:t>Confirmed by Endpoint Adjudication Committee (EAC)</w:t>
      </w:r>
    </w:p>
    <w:p w14:paraId="6366B092" w14:textId="77777777" w:rsidR="000D652C" w:rsidRPr="001415DB" w:rsidRDefault="000D652C" w:rsidP="000D652C">
      <w:pPr>
        <w:keepNext/>
        <w:spacing w:after="0" w:line="240" w:lineRule="auto"/>
        <w:rPr>
          <w:rFonts w:ascii="Times New Roman" w:eastAsia="Times New Roman" w:hAnsi="Times New Roman" w:cs="Times New Roman"/>
          <w:sz w:val="20"/>
          <w:szCs w:val="20"/>
          <w:lang w:eastAsia="ja-JP"/>
        </w:rPr>
      </w:pPr>
      <w:r w:rsidRPr="001415DB">
        <w:rPr>
          <w:rFonts w:ascii="Times New Roman" w:hAnsi="Times New Roman" w:cs="Times New Roman"/>
          <w:vertAlign w:val="superscript"/>
        </w:rPr>
        <w:t>f</w:t>
      </w:r>
      <w:r w:rsidRPr="001415DB">
        <w:rPr>
          <w:rFonts w:ascii="Times New Roman" w:hAnsi="Times New Roman" w:cs="Times New Roman"/>
          <w:sz w:val="20"/>
          <w:szCs w:val="20"/>
        </w:rPr>
        <w:t xml:space="preserve"> </w:t>
      </w:r>
      <w:r w:rsidRPr="001415DB">
        <w:rPr>
          <w:rFonts w:ascii="Times New Roman" w:eastAsia="Times New Roman" w:hAnsi="Times New Roman" w:cs="Times New Roman"/>
          <w:sz w:val="20"/>
          <w:szCs w:val="20"/>
          <w:lang w:eastAsia="ja-JP"/>
        </w:rPr>
        <w:t>Percentages are based on the number of patients within the category.</w:t>
      </w:r>
    </w:p>
    <w:p w14:paraId="7590CA0C" w14:textId="77777777" w:rsidR="000D652C" w:rsidRPr="001415DB" w:rsidRDefault="000D652C" w:rsidP="000D652C">
      <w:pPr>
        <w:keepNext/>
        <w:spacing w:after="0" w:line="240" w:lineRule="auto"/>
        <w:rPr>
          <w:rFonts w:ascii="Times New Roman" w:eastAsia="Times New Roman" w:hAnsi="Times New Roman" w:cs="Times New Roman"/>
          <w:sz w:val="20"/>
          <w:szCs w:val="20"/>
          <w:lang w:eastAsia="ja-JP"/>
        </w:rPr>
      </w:pPr>
      <w:r w:rsidRPr="001415DB">
        <w:rPr>
          <w:rFonts w:ascii="Times New Roman" w:hAnsi="Times New Roman" w:cs="Times New Roman"/>
          <w:snapToGrid w:val="0"/>
          <w:sz w:val="20"/>
          <w:vertAlign w:val="superscript"/>
        </w:rPr>
        <w:t>g</w:t>
      </w:r>
      <w:r w:rsidRPr="001415DB">
        <w:rPr>
          <w:rFonts w:ascii="Times New Roman" w:hAnsi="Times New Roman" w:cs="Times New Roman"/>
          <w:snapToGrid w:val="0"/>
          <w:sz w:val="20"/>
        </w:rPr>
        <w:t xml:space="preserve"> </w:t>
      </w:r>
      <w:r w:rsidRPr="001415DB">
        <w:rPr>
          <w:rFonts w:ascii="Times New Roman" w:eastAsia="Times New Roman" w:hAnsi="Times New Roman" w:cs="Times New Roman"/>
          <w:sz w:val="20"/>
          <w:szCs w:val="20"/>
          <w:lang w:eastAsia="ja-JP"/>
        </w:rPr>
        <w:t>Patients could have CMV syndrome and tissue invasive disease.</w:t>
      </w:r>
    </w:p>
    <w:p w14:paraId="12ABE8DB" w14:textId="77777777" w:rsidR="00C83DA9" w:rsidRDefault="00C83DA9" w:rsidP="00A87CE9">
      <w:pPr>
        <w:rPr>
          <w:rFonts w:ascii="Times New Roman" w:hAnsi="Times New Roman" w:cs="Times New Roman"/>
          <w:sz w:val="24"/>
          <w:szCs w:val="24"/>
        </w:rPr>
      </w:pPr>
    </w:p>
    <w:p w14:paraId="5F6E524E" w14:textId="6BF78B67" w:rsidR="00A87CE9" w:rsidRPr="001415DB" w:rsidRDefault="00A87CE9" w:rsidP="00A87CE9">
      <w:pPr>
        <w:rPr>
          <w:rFonts w:ascii="Times New Roman" w:hAnsi="Times New Roman" w:cs="Times New Roman"/>
          <w:sz w:val="24"/>
          <w:szCs w:val="24"/>
        </w:rPr>
      </w:pPr>
      <w:r w:rsidRPr="001415DB">
        <w:rPr>
          <w:rFonts w:ascii="Times New Roman" w:hAnsi="Times New Roman" w:cs="Times New Roman"/>
          <w:sz w:val="24"/>
          <w:szCs w:val="24"/>
        </w:rPr>
        <w:t>The primary efficacy endpoint was confirmed CMV viremia clearance (plasma CMV DNA concentration below the lower limit of quantification (&lt;</w:t>
      </w:r>
      <w:proofErr w:type="gramStart"/>
      <w:r w:rsidRPr="001415DB">
        <w:rPr>
          <w:rFonts w:ascii="Times New Roman" w:hAnsi="Times New Roman" w:cs="Times New Roman"/>
          <w:sz w:val="24"/>
          <w:szCs w:val="24"/>
        </w:rPr>
        <w:t>LLOQ</w:t>
      </w:r>
      <w:r w:rsidR="00DF5B13" w:rsidRPr="001415DB">
        <w:rPr>
          <w:rFonts w:ascii="Times New Roman" w:hAnsi="Times New Roman" w:cs="Times New Roman"/>
          <w:sz w:val="24"/>
          <w:szCs w:val="24"/>
        </w:rPr>
        <w:t>;</w:t>
      </w:r>
      <w:proofErr w:type="gramEnd"/>
      <w:r w:rsidRPr="001415DB">
        <w:rPr>
          <w:rFonts w:ascii="Times New Roman" w:hAnsi="Times New Roman" w:cs="Times New Roman"/>
          <w:sz w:val="24"/>
          <w:szCs w:val="24"/>
        </w:rPr>
        <w:t xml:space="preserve"> i.e., &lt;137 IU/mL) as assessed by COBAS</w:t>
      </w:r>
      <w:r w:rsidRPr="001415DB">
        <w:rPr>
          <w:rFonts w:ascii="Times New Roman" w:hAnsi="Times New Roman" w:cs="Times New Roman"/>
          <w:sz w:val="24"/>
          <w:szCs w:val="24"/>
          <w:vertAlign w:val="superscript"/>
        </w:rPr>
        <w:t>®</w:t>
      </w:r>
      <w:r w:rsidRPr="001415DB">
        <w:rPr>
          <w:rFonts w:ascii="Times New Roman" w:hAnsi="Times New Roman" w:cs="Times New Roman"/>
          <w:sz w:val="24"/>
          <w:szCs w:val="24"/>
        </w:rPr>
        <w:t xml:space="preserve"> </w:t>
      </w:r>
      <w:proofErr w:type="spellStart"/>
      <w:r w:rsidRPr="001415DB">
        <w:rPr>
          <w:rFonts w:ascii="Times New Roman" w:hAnsi="Times New Roman" w:cs="Times New Roman"/>
          <w:sz w:val="24"/>
          <w:szCs w:val="24"/>
        </w:rPr>
        <w:t>AmpliPrep</w:t>
      </w:r>
      <w:proofErr w:type="spellEnd"/>
      <w:r w:rsidRPr="001415DB">
        <w:rPr>
          <w:rFonts w:ascii="Times New Roman" w:hAnsi="Times New Roman" w:cs="Times New Roman"/>
          <w:sz w:val="24"/>
          <w:szCs w:val="24"/>
        </w:rPr>
        <w:t>/COBAS</w:t>
      </w:r>
      <w:r w:rsidRPr="001415DB">
        <w:rPr>
          <w:rFonts w:ascii="Times New Roman" w:hAnsi="Times New Roman" w:cs="Times New Roman"/>
          <w:sz w:val="24"/>
          <w:szCs w:val="24"/>
          <w:vertAlign w:val="superscript"/>
        </w:rPr>
        <w:t>®</w:t>
      </w:r>
      <w:r w:rsidRPr="001415DB">
        <w:rPr>
          <w:rFonts w:ascii="Times New Roman" w:hAnsi="Times New Roman" w:cs="Times New Roman"/>
          <w:sz w:val="24"/>
          <w:szCs w:val="24"/>
        </w:rPr>
        <w:t xml:space="preserve"> TaqMan</w:t>
      </w:r>
      <w:r w:rsidRPr="001415DB">
        <w:rPr>
          <w:rFonts w:ascii="Times New Roman" w:hAnsi="Times New Roman" w:cs="Times New Roman"/>
          <w:sz w:val="24"/>
          <w:szCs w:val="24"/>
          <w:vertAlign w:val="superscript"/>
        </w:rPr>
        <w:t>®</w:t>
      </w:r>
      <w:r w:rsidRPr="001415DB">
        <w:rPr>
          <w:rFonts w:ascii="Times New Roman" w:hAnsi="Times New Roman" w:cs="Times New Roman"/>
          <w:sz w:val="24"/>
          <w:szCs w:val="24"/>
        </w:rPr>
        <w:t xml:space="preserve"> CMV test) at Week 8. The key secondary endpoint was CMV viremia clearance and CMV infection symptom control at the end of Study Week 8 with maintenance of this treatment effect through Study Week 16. </w:t>
      </w:r>
    </w:p>
    <w:p w14:paraId="2F79B0B3" w14:textId="738948A8" w:rsidR="0055357E" w:rsidRPr="001415DB" w:rsidRDefault="00A87CE9" w:rsidP="00A87CE9">
      <w:pPr>
        <w:rPr>
          <w:rFonts w:ascii="Times New Roman" w:hAnsi="Times New Roman" w:cs="Times New Roman"/>
          <w:sz w:val="24"/>
          <w:szCs w:val="24"/>
        </w:rPr>
      </w:pPr>
      <w:r w:rsidRPr="001415DB">
        <w:rPr>
          <w:rFonts w:ascii="Times New Roman" w:hAnsi="Times New Roman" w:cs="Times New Roman"/>
          <w:sz w:val="24"/>
          <w:szCs w:val="24"/>
        </w:rPr>
        <w:t xml:space="preserve">For the primary endpoint, </w:t>
      </w:r>
      <w:r w:rsidR="00541358"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was superior to IAT (56% vs. 24%, respectively). For the key secondary endpoint, 19% v</w:t>
      </w:r>
      <w:r w:rsidR="00CA71E4">
        <w:rPr>
          <w:rFonts w:ascii="Times New Roman" w:hAnsi="Times New Roman" w:cs="Times New Roman"/>
          <w:sz w:val="24"/>
          <w:szCs w:val="24"/>
        </w:rPr>
        <w:t>s</w:t>
      </w:r>
      <w:r w:rsidRPr="001415DB">
        <w:rPr>
          <w:rFonts w:ascii="Times New Roman" w:hAnsi="Times New Roman" w:cs="Times New Roman"/>
          <w:sz w:val="24"/>
          <w:szCs w:val="24"/>
        </w:rPr>
        <w:t xml:space="preserve"> 10% achieved both CMV viremia clearance and CMV infection symptom control in the </w:t>
      </w:r>
      <w:r w:rsidR="00541358"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and IAT group, respectively (see Table </w:t>
      </w:r>
      <w:r w:rsidR="004E3D50" w:rsidRPr="001415DB">
        <w:rPr>
          <w:rFonts w:ascii="Times New Roman" w:hAnsi="Times New Roman" w:cs="Times New Roman"/>
          <w:sz w:val="24"/>
          <w:szCs w:val="24"/>
        </w:rPr>
        <w:t>5</w:t>
      </w:r>
      <w:r w:rsidRPr="001415DB">
        <w:rPr>
          <w:rFonts w:ascii="Times New Roman" w:hAnsi="Times New Roman" w:cs="Times New Roman"/>
          <w:sz w:val="24"/>
          <w:szCs w:val="24"/>
        </w:rPr>
        <w:t>).</w:t>
      </w:r>
    </w:p>
    <w:p w14:paraId="2E863050" w14:textId="6483F68F" w:rsidR="00C70F20" w:rsidRPr="00917048" w:rsidRDefault="00C70F20" w:rsidP="005B09A7">
      <w:pPr>
        <w:pStyle w:val="Caption"/>
        <w:spacing w:after="240" w:line="300" w:lineRule="exact"/>
        <w:ind w:left="864" w:hanging="864"/>
        <w:rPr>
          <w:sz w:val="20"/>
          <w:lang w:val="en-AU"/>
        </w:rPr>
      </w:pPr>
      <w:r w:rsidRPr="001415DB">
        <w:rPr>
          <w:lang w:val="en-AU"/>
        </w:rPr>
        <w:lastRenderedPageBreak/>
        <w:t xml:space="preserve">Table </w:t>
      </w:r>
      <w:r w:rsidR="004E3D50" w:rsidRPr="001415DB">
        <w:rPr>
          <w:lang w:val="en-AU"/>
        </w:rPr>
        <w:t>5</w:t>
      </w:r>
      <w:r w:rsidRPr="001415DB">
        <w:rPr>
          <w:lang w:val="en-AU"/>
        </w:rPr>
        <w:t xml:space="preserve">: </w:t>
      </w:r>
      <w:r w:rsidRPr="00917048">
        <w:rPr>
          <w:sz w:val="20"/>
          <w:lang w:val="en-AU"/>
        </w:rPr>
        <w:t>Primary and Key Secondary Efficacy Endpoint Analysis (Randomi</w:t>
      </w:r>
      <w:r w:rsidR="00834235">
        <w:rPr>
          <w:sz w:val="20"/>
          <w:lang w:val="en-AU"/>
        </w:rPr>
        <w:t>s</w:t>
      </w:r>
      <w:r w:rsidRPr="00917048">
        <w:rPr>
          <w:sz w:val="20"/>
          <w:lang w:val="en-AU"/>
        </w:rPr>
        <w:t>ed Set) in Study 303</w:t>
      </w:r>
    </w:p>
    <w:tbl>
      <w:tblPr>
        <w:tblStyle w:val="C-Table"/>
        <w:tblW w:w="5038" w:type="pct"/>
        <w:tblLayout w:type="fixed"/>
        <w:tblLook w:val="01E0" w:firstRow="1" w:lastRow="1" w:firstColumn="1" w:lastColumn="1" w:noHBand="0" w:noVBand="0"/>
      </w:tblPr>
      <w:tblGrid>
        <w:gridCol w:w="5931"/>
        <w:gridCol w:w="1903"/>
        <w:gridCol w:w="1244"/>
      </w:tblGrid>
      <w:tr w:rsidR="002E428C" w:rsidRPr="001415DB" w14:paraId="5C69429A" w14:textId="77777777" w:rsidTr="003A5960">
        <w:trPr>
          <w:trHeight w:val="20"/>
          <w:tblHeader/>
        </w:trPr>
        <w:tc>
          <w:tcPr>
            <w:tcW w:w="3267" w:type="pct"/>
          </w:tcPr>
          <w:p w14:paraId="6CF83A03" w14:textId="77777777" w:rsidR="002E428C" w:rsidRPr="001415DB" w:rsidRDefault="002E428C" w:rsidP="007B4697">
            <w:pPr>
              <w:rPr>
                <w:b/>
                <w:bCs/>
              </w:rPr>
            </w:pPr>
          </w:p>
        </w:tc>
        <w:tc>
          <w:tcPr>
            <w:tcW w:w="1048" w:type="pct"/>
          </w:tcPr>
          <w:p w14:paraId="792A2439" w14:textId="77777777" w:rsidR="002E428C" w:rsidRPr="001415DB" w:rsidRDefault="002E428C" w:rsidP="007B4697">
            <w:pPr>
              <w:jc w:val="center"/>
              <w:rPr>
                <w:b/>
                <w:bCs/>
              </w:rPr>
            </w:pPr>
            <w:r w:rsidRPr="001415DB">
              <w:rPr>
                <w:b/>
                <w:bCs/>
              </w:rPr>
              <w:t>LIVTENCITY</w:t>
            </w:r>
          </w:p>
          <w:p w14:paraId="7573DDB5" w14:textId="60BC9D69" w:rsidR="002E428C" w:rsidRPr="001415DB" w:rsidRDefault="002E428C" w:rsidP="007B4697">
            <w:pPr>
              <w:jc w:val="center"/>
              <w:rPr>
                <w:b/>
                <w:bCs/>
              </w:rPr>
            </w:pPr>
            <w:r w:rsidRPr="001415DB">
              <w:rPr>
                <w:b/>
                <w:bCs/>
              </w:rPr>
              <w:t>400 mg Twice Daily</w:t>
            </w:r>
            <w:r w:rsidRPr="001415DB">
              <w:rPr>
                <w:b/>
                <w:bCs/>
              </w:rPr>
              <w:br/>
              <w:t>(N=235)</w:t>
            </w:r>
            <w:r w:rsidRPr="001415DB">
              <w:rPr>
                <w:b/>
                <w:bCs/>
              </w:rPr>
              <w:br/>
              <w:t>n (%)</w:t>
            </w:r>
          </w:p>
        </w:tc>
        <w:tc>
          <w:tcPr>
            <w:tcW w:w="686" w:type="pct"/>
          </w:tcPr>
          <w:p w14:paraId="09D673D6" w14:textId="56D64723" w:rsidR="002E428C" w:rsidRPr="001415DB" w:rsidRDefault="002E428C" w:rsidP="007B4697">
            <w:pPr>
              <w:jc w:val="center"/>
              <w:rPr>
                <w:b/>
                <w:bCs/>
              </w:rPr>
            </w:pPr>
            <w:r w:rsidRPr="001415DB">
              <w:rPr>
                <w:b/>
                <w:bCs/>
              </w:rPr>
              <w:t xml:space="preserve">IAT </w:t>
            </w:r>
            <w:r w:rsidRPr="001415DB">
              <w:rPr>
                <w:b/>
                <w:bCs/>
              </w:rPr>
              <w:br/>
              <w:t>(N=117)</w:t>
            </w:r>
            <w:r w:rsidRPr="001415DB">
              <w:rPr>
                <w:b/>
                <w:bCs/>
              </w:rPr>
              <w:br/>
              <w:t>n (%)</w:t>
            </w:r>
          </w:p>
        </w:tc>
      </w:tr>
      <w:tr w:rsidR="002E428C" w:rsidRPr="001415DB" w14:paraId="1D948D09" w14:textId="77777777" w:rsidTr="003A5960">
        <w:trPr>
          <w:trHeight w:val="20"/>
        </w:trPr>
        <w:tc>
          <w:tcPr>
            <w:tcW w:w="3267" w:type="pct"/>
          </w:tcPr>
          <w:p w14:paraId="4D2D005C" w14:textId="77777777" w:rsidR="002E428C" w:rsidRPr="001415DB" w:rsidRDefault="002E428C" w:rsidP="007B4697">
            <w:r w:rsidRPr="001415DB">
              <w:rPr>
                <w:b/>
                <w:bCs/>
                <w:lang w:val="en-GB"/>
              </w:rPr>
              <w:t>Primary Endpoint: CMV Viremia Clearance Response at Week 8</w:t>
            </w:r>
          </w:p>
        </w:tc>
        <w:tc>
          <w:tcPr>
            <w:tcW w:w="1048" w:type="pct"/>
          </w:tcPr>
          <w:p w14:paraId="284078B8" w14:textId="77777777" w:rsidR="002E428C" w:rsidRPr="001415DB" w:rsidRDefault="002E428C" w:rsidP="007B4697">
            <w:pPr>
              <w:jc w:val="center"/>
            </w:pPr>
          </w:p>
        </w:tc>
        <w:tc>
          <w:tcPr>
            <w:tcW w:w="686" w:type="pct"/>
          </w:tcPr>
          <w:p w14:paraId="5273B146" w14:textId="60012DA2" w:rsidR="002E428C" w:rsidRPr="001415DB" w:rsidRDefault="002E428C" w:rsidP="007B4697">
            <w:pPr>
              <w:jc w:val="center"/>
            </w:pPr>
          </w:p>
        </w:tc>
      </w:tr>
      <w:tr w:rsidR="002E428C" w:rsidRPr="001415DB" w14:paraId="4BBBC6AC" w14:textId="77777777" w:rsidTr="003A5960">
        <w:trPr>
          <w:trHeight w:val="20"/>
        </w:trPr>
        <w:tc>
          <w:tcPr>
            <w:tcW w:w="3267" w:type="pct"/>
          </w:tcPr>
          <w:p w14:paraId="66F359D3" w14:textId="77777777" w:rsidR="002E428C" w:rsidRPr="001415DB" w:rsidRDefault="002E428C" w:rsidP="007B4697">
            <w:r w:rsidRPr="001415DB">
              <w:rPr>
                <w:noProof/>
              </w:rPr>
              <mc:AlternateContent>
                <mc:Choice Requires="wps">
                  <w:drawing>
                    <wp:anchor distT="0" distB="0" distL="114300" distR="114300" simplePos="0" relativeHeight="251668480" behindDoc="0" locked="0" layoutInCell="1" allowOverlap="1" wp14:anchorId="324D2B3B" wp14:editId="55804448">
                      <wp:simplePos x="0" y="0"/>
                      <wp:positionH relativeFrom="column">
                        <wp:posOffset>3890589</wp:posOffset>
                      </wp:positionH>
                      <wp:positionV relativeFrom="paragraph">
                        <wp:posOffset>123521</wp:posOffset>
                      </wp:positionV>
                      <wp:extent cx="3448050" cy="2973788"/>
                      <wp:effectExtent l="0" t="0" r="0" b="0"/>
                      <wp:wrapNone/>
                      <wp:docPr id="2" name="Text Box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973788"/>
                              </a:xfrm>
                              <a:prstGeom prst="rect">
                                <a:avLst/>
                              </a:prstGeom>
                              <a:solidFill>
                                <a:srgbClr val="FFFFFF"/>
                              </a:solidFill>
                              <a:ln w="9525">
                                <a:solidFill>
                                  <a:srgbClr val="000000"/>
                                </a:solidFill>
                                <a:miter lim="800000"/>
                                <a:headEnd/>
                                <a:tailEnd/>
                              </a:ln>
                            </wps:spPr>
                            <wps:txbx>
                              <w:txbxContent>
                                <w:p w14:paraId="28D29C95" w14:textId="77777777" w:rsidR="002E428C" w:rsidRDefault="002E428C" w:rsidP="007B4697">
                                  <w:pPr>
                                    <w:autoSpaceDE w:val="0"/>
                                    <w:autoSpaceDN w:val="0"/>
                                    <w:adjustRightInd w:val="0"/>
                                    <w:rPr>
                                      <w:bCs/>
                                      <w:iCs/>
                                      <w:color w:val="000000"/>
                                      <w:sz w:val="20"/>
                                    </w:rPr>
                                  </w:pPr>
                                  <w:r>
                                    <w:rPr>
                                      <w:bCs/>
                                      <w:iCs/>
                                      <w:color w:val="000000"/>
                                      <w:sz w:val="20"/>
                                    </w:rPr>
                                    <w:t>Treatment group for Big N:  TRT01P</w:t>
                                  </w:r>
                                </w:p>
                                <w:p w14:paraId="32CDC4EA" w14:textId="77777777" w:rsidR="002E428C" w:rsidRDefault="002E428C" w:rsidP="007B4697">
                                  <w:pPr>
                                    <w:autoSpaceDE w:val="0"/>
                                    <w:autoSpaceDN w:val="0"/>
                                    <w:adjustRightInd w:val="0"/>
                                    <w:rPr>
                                      <w:bCs/>
                                      <w:iCs/>
                                      <w:color w:val="000000"/>
                                      <w:sz w:val="20"/>
                                    </w:rPr>
                                  </w:pPr>
                                  <w:r>
                                    <w:rPr>
                                      <w:bCs/>
                                      <w:iCs/>
                                      <w:color w:val="000000"/>
                                      <w:sz w:val="20"/>
                                    </w:rPr>
                                    <w:t>Dataset:  ADEFF where RANDFL = Y</w:t>
                                  </w:r>
                                </w:p>
                                <w:p w14:paraId="1B08151C" w14:textId="77777777" w:rsidR="002E428C" w:rsidRDefault="002E428C" w:rsidP="007B4697">
                                  <w:pPr>
                                    <w:autoSpaceDE w:val="0"/>
                                    <w:autoSpaceDN w:val="0"/>
                                    <w:adjustRightInd w:val="0"/>
                                    <w:rPr>
                                      <w:bCs/>
                                      <w:iCs/>
                                      <w:color w:val="000000"/>
                                      <w:sz w:val="20"/>
                                    </w:rPr>
                                  </w:pPr>
                                  <w:r>
                                    <w:rPr>
                                      <w:bCs/>
                                      <w:iCs/>
                                      <w:color w:val="000000"/>
                                      <w:sz w:val="20"/>
                                    </w:rPr>
                                    <w:t>PARAMCD:  PENDPT1</w:t>
                                  </w:r>
                                </w:p>
                                <w:p w14:paraId="201E8D52" w14:textId="77777777" w:rsidR="002E428C" w:rsidRDefault="002E428C" w:rsidP="007B4697">
                                  <w:pPr>
                                    <w:autoSpaceDE w:val="0"/>
                                    <w:autoSpaceDN w:val="0"/>
                                    <w:adjustRightInd w:val="0"/>
                                    <w:rPr>
                                      <w:bCs/>
                                      <w:iCs/>
                                      <w:color w:val="000000"/>
                                      <w:sz w:val="20"/>
                                    </w:rPr>
                                  </w:pPr>
                                </w:p>
                                <w:p w14:paraId="4F203477" w14:textId="77777777" w:rsidR="002E428C" w:rsidRDefault="002E428C" w:rsidP="007B4697">
                                  <w:pPr>
                                    <w:autoSpaceDE w:val="0"/>
                                    <w:autoSpaceDN w:val="0"/>
                                    <w:adjustRightInd w:val="0"/>
                                    <w:rPr>
                                      <w:bCs/>
                                      <w:iCs/>
                                      <w:color w:val="000000"/>
                                      <w:sz w:val="20"/>
                                    </w:rPr>
                                  </w:pPr>
                                </w:p>
                                <w:p w14:paraId="2189A37B" w14:textId="77777777" w:rsidR="002E428C" w:rsidRDefault="002E428C" w:rsidP="007B4697">
                                  <w:pPr>
                                    <w:autoSpaceDE w:val="0"/>
                                    <w:autoSpaceDN w:val="0"/>
                                    <w:adjustRightInd w:val="0"/>
                                    <w:rPr>
                                      <w:bCs/>
                                      <w:iCs/>
                                      <w:color w:val="000000"/>
                                      <w:sz w:val="20"/>
                                    </w:rPr>
                                  </w:pPr>
                                  <w:r>
                                    <w:rPr>
                                      <w:bCs/>
                                      <w:iCs/>
                                      <w:color w:val="000000"/>
                                      <w:sz w:val="20"/>
                                    </w:rPr>
                                    <w:t>Prod side: Using EFF_ADJPROP macro</w:t>
                                  </w:r>
                                </w:p>
                                <w:p w14:paraId="38516EE4" w14:textId="77777777" w:rsidR="002E428C" w:rsidRDefault="002E428C" w:rsidP="007B4697">
                                  <w:pPr>
                                    <w:autoSpaceDE w:val="0"/>
                                    <w:autoSpaceDN w:val="0"/>
                                    <w:adjustRightInd w:val="0"/>
                                    <w:rPr>
                                      <w:bCs/>
                                      <w:iCs/>
                                      <w:color w:val="000000"/>
                                      <w:sz w:val="20"/>
                                    </w:rPr>
                                  </w:pPr>
                                  <w:r>
                                    <w:rPr>
                                      <w:bCs/>
                                      <w:iCs/>
                                      <w:color w:val="000000"/>
                                      <w:sz w:val="20"/>
                                    </w:rPr>
                                    <w:t>Val side:  Using VEFF_ADJPROP macro</w:t>
                                  </w:r>
                                </w:p>
                                <w:p w14:paraId="2717E610" w14:textId="77777777" w:rsidR="002E428C" w:rsidRDefault="002E428C" w:rsidP="007B4697">
                                  <w:pPr>
                                    <w:autoSpaceDE w:val="0"/>
                                    <w:autoSpaceDN w:val="0"/>
                                    <w:adjustRightInd w:val="0"/>
                                    <w:rPr>
                                      <w:rFonts w:cs="Courier New"/>
                                      <w:color w:val="000000"/>
                                      <w:sz w:val="20"/>
                                      <w:shd w:val="clear" w:color="auto" w:fill="FFFFFF"/>
                                    </w:rPr>
                                  </w:pPr>
                                </w:p>
                                <w:p w14:paraId="5AE1C75B" w14:textId="77777777" w:rsidR="002E428C" w:rsidRDefault="002E428C" w:rsidP="007B4697">
                                  <w:pPr>
                                    <w:autoSpaceDE w:val="0"/>
                                    <w:autoSpaceDN w:val="0"/>
                                    <w:adjustRightInd w:val="0"/>
                                    <w:rPr>
                                      <w:rFonts w:cs="Courier New"/>
                                      <w:b/>
                                      <w:bCs/>
                                      <w:i/>
                                      <w:iCs/>
                                      <w:color w:val="000000"/>
                                      <w:sz w:val="20"/>
                                      <w:shd w:val="clear" w:color="auto" w:fill="FFFFFF"/>
                                    </w:rPr>
                                  </w:pPr>
                                  <w:r>
                                    <w:rPr>
                                      <w:rFonts w:cs="Courier New"/>
                                      <w:color w:val="000000"/>
                                      <w:sz w:val="20"/>
                                      <w:shd w:val="clear" w:color="auto" w:fill="FFFFFF"/>
                                    </w:rPr>
                                    <w:t>%</w:t>
                                  </w:r>
                                  <w:r>
                                    <w:rPr>
                                      <w:rFonts w:cs="Courier New"/>
                                      <w:b/>
                                      <w:bCs/>
                                      <w:i/>
                                      <w:iCs/>
                                      <w:color w:val="000000"/>
                                      <w:sz w:val="20"/>
                                      <w:shd w:val="clear" w:color="auto" w:fill="FFFFFF"/>
                                    </w:rPr>
                                    <w:t>EFF_ADJPROP</w:t>
                                  </w:r>
                                </w:p>
                                <w:p w14:paraId="22A9DC35"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w:t>
                                  </w:r>
                                  <w:proofErr w:type="spellStart"/>
                                  <w:r>
                                    <w:rPr>
                                      <w:rFonts w:cs="Courier New"/>
                                      <w:color w:val="000000"/>
                                      <w:sz w:val="20"/>
                                      <w:shd w:val="clear" w:color="auto" w:fill="FFFFFF"/>
                                    </w:rPr>
                                    <w:t>dsin</w:t>
                                  </w:r>
                                  <w:proofErr w:type="spellEnd"/>
                                  <w:r>
                                    <w:rPr>
                                      <w:rFonts w:cs="Courier New"/>
                                      <w:color w:val="000000"/>
                                      <w:sz w:val="20"/>
                                      <w:shd w:val="clear" w:color="auto" w:fill="FFFFFF"/>
                                    </w:rPr>
                                    <w:t>=</w:t>
                                  </w:r>
                                  <w:proofErr w:type="spellStart"/>
                                  <w:r>
                                    <w:rPr>
                                      <w:rFonts w:cs="Courier New"/>
                                      <w:color w:val="000000"/>
                                      <w:sz w:val="20"/>
                                      <w:shd w:val="clear" w:color="auto" w:fill="FFFFFF"/>
                                    </w:rPr>
                                    <w:t>adeff</w:t>
                                  </w:r>
                                  <w:proofErr w:type="spellEnd"/>
                                  <w:r>
                                    <w:rPr>
                                      <w:rFonts w:cs="Courier New"/>
                                      <w:color w:val="000000"/>
                                      <w:sz w:val="20"/>
                                      <w:shd w:val="clear" w:color="auto" w:fill="FFFFFF"/>
                                    </w:rPr>
                                    <w:t xml:space="preserve">, </w:t>
                                  </w:r>
                                  <w:proofErr w:type="spellStart"/>
                                  <w:r>
                                    <w:rPr>
                                      <w:rFonts w:cs="Courier New"/>
                                      <w:color w:val="000000"/>
                                      <w:sz w:val="20"/>
                                      <w:shd w:val="clear" w:color="auto" w:fill="FFFFFF"/>
                                    </w:rPr>
                                    <w:t>popfl</w:t>
                                  </w:r>
                                  <w:proofErr w:type="spellEnd"/>
                                  <w:r>
                                    <w:rPr>
                                      <w:rFonts w:cs="Courier New"/>
                                      <w:color w:val="000000"/>
                                      <w:sz w:val="20"/>
                                      <w:shd w:val="clear" w:color="auto" w:fill="FFFFFF"/>
                                    </w:rPr>
                                    <w:t xml:space="preserve">=RANDFL, </w:t>
                                  </w:r>
                                </w:p>
                                <w:p w14:paraId="6971912D" w14:textId="77777777" w:rsidR="002E428C" w:rsidRDefault="002E428C" w:rsidP="007B4697">
                                  <w:pPr>
                                    <w:autoSpaceDE w:val="0"/>
                                    <w:autoSpaceDN w:val="0"/>
                                    <w:adjustRightInd w:val="0"/>
                                    <w:rPr>
                                      <w:rFonts w:cs="Courier New"/>
                                      <w:color w:val="000000"/>
                                      <w:sz w:val="20"/>
                                      <w:shd w:val="clear" w:color="auto" w:fill="FFFFFF"/>
                                    </w:rPr>
                                  </w:pPr>
                                  <w:proofErr w:type="spellStart"/>
                                  <w:r>
                                    <w:rPr>
                                      <w:rFonts w:cs="Courier New"/>
                                      <w:color w:val="000000"/>
                                      <w:sz w:val="20"/>
                                      <w:shd w:val="clear" w:color="auto" w:fill="FFFFFF"/>
                                    </w:rPr>
                                    <w:t>trtgrp</w:t>
                                  </w:r>
                                  <w:proofErr w:type="spellEnd"/>
                                  <w:r>
                                    <w:rPr>
                                      <w:rFonts w:cs="Courier New"/>
                                      <w:color w:val="000000"/>
                                      <w:sz w:val="20"/>
                                      <w:shd w:val="clear" w:color="auto" w:fill="FFFFFF"/>
                                    </w:rPr>
                                    <w:t xml:space="preserve">= TRT01PN, </w:t>
                                  </w:r>
                                  <w:proofErr w:type="spellStart"/>
                                  <w:r>
                                    <w:rPr>
                                      <w:rFonts w:cs="Courier New"/>
                                      <w:color w:val="000000"/>
                                      <w:sz w:val="20"/>
                                      <w:shd w:val="clear" w:color="auto" w:fill="FFFFFF"/>
                                    </w:rPr>
                                    <w:t>endpt</w:t>
                                  </w:r>
                                  <w:proofErr w:type="spellEnd"/>
                                  <w:r>
                                    <w:rPr>
                                      <w:rFonts w:cs="Courier New"/>
                                      <w:color w:val="000000"/>
                                      <w:sz w:val="20"/>
                                      <w:shd w:val="clear" w:color="auto" w:fill="FFFFFF"/>
                                    </w:rPr>
                                    <w:t xml:space="preserve">=PENDPT1, </w:t>
                                  </w:r>
                                </w:p>
                                <w:p w14:paraId="44DB66D4" w14:textId="77777777" w:rsidR="002E428C" w:rsidRDefault="002E428C" w:rsidP="007B4697">
                                  <w:pPr>
                                    <w:autoSpaceDE w:val="0"/>
                                    <w:autoSpaceDN w:val="0"/>
                                    <w:adjustRightInd w:val="0"/>
                                    <w:rPr>
                                      <w:rFonts w:cs="Courier New"/>
                                      <w:color w:val="000000"/>
                                      <w:sz w:val="20"/>
                                      <w:shd w:val="clear" w:color="auto" w:fill="FFFFFF"/>
                                    </w:rPr>
                                  </w:pPr>
                                  <w:proofErr w:type="spellStart"/>
                                  <w:r>
                                    <w:rPr>
                                      <w:rFonts w:cs="Courier New"/>
                                      <w:color w:val="000000"/>
                                      <w:sz w:val="20"/>
                                      <w:shd w:val="clear" w:color="auto" w:fill="FFFFFF"/>
                                    </w:rPr>
                                    <w:t>tpstrvar</w:t>
                                  </w:r>
                                  <w:proofErr w:type="spellEnd"/>
                                  <w:r>
                                    <w:rPr>
                                      <w:rFonts w:cs="Courier New"/>
                                      <w:color w:val="000000"/>
                                      <w:sz w:val="20"/>
                                      <w:shd w:val="clear" w:color="auto" w:fill="FFFFFF"/>
                                    </w:rPr>
                                    <w:t xml:space="preserve">=SV01VALC, </w:t>
                                  </w:r>
                                  <w:proofErr w:type="spellStart"/>
                                  <w:r>
                                    <w:rPr>
                                      <w:rFonts w:cs="Courier New"/>
                                      <w:color w:val="000000"/>
                                      <w:sz w:val="20"/>
                                      <w:shd w:val="clear" w:color="auto" w:fill="FFFFFF"/>
                                    </w:rPr>
                                    <w:t>vlstrvar</w:t>
                                  </w:r>
                                  <w:proofErr w:type="spellEnd"/>
                                  <w:r>
                                    <w:rPr>
                                      <w:rFonts w:cs="Courier New"/>
                                      <w:color w:val="000000"/>
                                      <w:sz w:val="20"/>
                                      <w:shd w:val="clear" w:color="auto" w:fill="FFFFFF"/>
                                    </w:rPr>
                                    <w:t>=SV02VALC</w:t>
                                  </w:r>
                                  <w:proofErr w:type="gramStart"/>
                                  <w:r>
                                    <w:rPr>
                                      <w:rFonts w:cs="Courier New"/>
                                      <w:color w:val="000000"/>
                                      <w:sz w:val="20"/>
                                      <w:shd w:val="clear" w:color="auto" w:fill="FFFFFF"/>
                                    </w:rPr>
                                    <w:t>);</w:t>
                                  </w:r>
                                  <w:proofErr w:type="gramEnd"/>
                                </w:p>
                                <w:p w14:paraId="3004BA0B" w14:textId="77777777" w:rsidR="002E428C" w:rsidRDefault="002E428C" w:rsidP="007B4697">
                                  <w:pPr>
                                    <w:autoSpaceDE w:val="0"/>
                                    <w:autoSpaceDN w:val="0"/>
                                    <w:adjustRightInd w:val="0"/>
                                    <w:rPr>
                                      <w:rFonts w:cs="Courier New"/>
                                      <w:color w:val="000000"/>
                                      <w:sz w:val="20"/>
                                      <w:shd w:val="clear" w:color="auto" w:fill="FFFFFF"/>
                                    </w:rPr>
                                  </w:pPr>
                                </w:p>
                                <w:p w14:paraId="40620878"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Responders:     data from row 1</w:t>
                                  </w:r>
                                </w:p>
                                <w:p w14:paraId="0BEBC095"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Non-responders: data from row 2</w:t>
                                  </w:r>
                                </w:p>
                                <w:p w14:paraId="6E47D790"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Adjusted Diff Prop:  data from row 3</w:t>
                                  </w:r>
                                </w:p>
                                <w:p w14:paraId="55259B6F"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95 CI:  data from row 4</w:t>
                                  </w:r>
                                </w:p>
                                <w:p w14:paraId="1EC8CF5D"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 xml:space="preserve">Adjusted </w:t>
                                  </w:r>
                                  <w:proofErr w:type="spellStart"/>
                                  <w:r>
                                    <w:rPr>
                                      <w:rFonts w:cs="Courier New"/>
                                      <w:color w:val="000000"/>
                                      <w:sz w:val="20"/>
                                      <w:shd w:val="clear" w:color="auto" w:fill="FFFFFF"/>
                                    </w:rPr>
                                    <w:t>pvalue</w:t>
                                  </w:r>
                                  <w:proofErr w:type="spellEnd"/>
                                  <w:r>
                                    <w:rPr>
                                      <w:rFonts w:cs="Courier New"/>
                                      <w:color w:val="000000"/>
                                      <w:sz w:val="20"/>
                                      <w:shd w:val="clear" w:color="auto" w:fill="FFFFFF"/>
                                    </w:rPr>
                                    <w:t>:  data from row 5</w:t>
                                  </w:r>
                                </w:p>
                                <w:p w14:paraId="18C7D4B1"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 xml:space="preserve">Homogeneity </w:t>
                                  </w:r>
                                  <w:proofErr w:type="spellStart"/>
                                  <w:r>
                                    <w:rPr>
                                      <w:rFonts w:cs="Courier New"/>
                                      <w:color w:val="000000"/>
                                      <w:sz w:val="20"/>
                                      <w:shd w:val="clear" w:color="auto" w:fill="FFFFFF"/>
                                    </w:rPr>
                                    <w:t>pvalue</w:t>
                                  </w:r>
                                  <w:proofErr w:type="spellEnd"/>
                                  <w:r>
                                    <w:rPr>
                                      <w:rFonts w:cs="Courier New"/>
                                      <w:color w:val="000000"/>
                                      <w:sz w:val="20"/>
                                      <w:shd w:val="clear" w:color="auto" w:fill="FFFFFF"/>
                                    </w:rPr>
                                    <w:t>:  data from row 6</w:t>
                                  </w:r>
                                </w:p>
                                <w:p w14:paraId="45373CBA" w14:textId="77777777" w:rsidR="002E428C" w:rsidRDefault="002E428C" w:rsidP="007B4697">
                                  <w:pPr>
                                    <w:autoSpaceDE w:val="0"/>
                                    <w:autoSpaceDN w:val="0"/>
                                    <w:adjustRightInd w:val="0"/>
                                    <w:rPr>
                                      <w:rFonts w:cs="Courier New"/>
                                      <w:color w:val="000000"/>
                                      <w:sz w:val="20"/>
                                      <w:shd w:val="clear" w:color="auto" w:fill="FFFFFF"/>
                                    </w:rPr>
                                  </w:pPr>
                                </w:p>
                                <w:p w14:paraId="73218EC6" w14:textId="77777777" w:rsidR="002E428C" w:rsidRDefault="002E428C" w:rsidP="007B4697">
                                  <w:pPr>
                                    <w:autoSpaceDE w:val="0"/>
                                    <w:autoSpaceDN w:val="0"/>
                                    <w:adjustRightInd w:val="0"/>
                                    <w:rPr>
                                      <w:rFonts w:cs="Courier New"/>
                                      <w:color w:val="000000"/>
                                      <w:sz w:val="20"/>
                                      <w:shd w:val="clear" w:color="auto" w:fill="FFFFFF"/>
                                    </w:rPr>
                                  </w:pPr>
                                </w:p>
                                <w:p w14:paraId="696F2EA6" w14:textId="77777777" w:rsidR="002E428C" w:rsidRDefault="002E428C" w:rsidP="007B4697">
                                  <w:pPr>
                                    <w:spacing w:after="120"/>
                                    <w:rPr>
                                      <w:bCs/>
                                      <w:color w:val="000000"/>
                                      <w:sz w:val="18"/>
                                      <w:szCs w:val="18"/>
                                    </w:rPr>
                                  </w:pPr>
                                </w:p>
                                <w:p w14:paraId="695D85B9" w14:textId="77777777" w:rsidR="002E428C" w:rsidRDefault="002E428C" w:rsidP="007B4697">
                                  <w:pPr>
                                    <w:spacing w:after="120"/>
                                    <w:rPr>
                                      <w:bCs/>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2B3B" id="Text Box 18" o:spid="_x0000_s1027" type="#_x0000_t202" style="position:absolute;margin-left:306.35pt;margin-top:9.75pt;width:271.5pt;height:234.1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">
                      <v:textbox>
                        <w:txbxContent>
                          <w:p w14:paraId="28D29C95" w14:textId="77777777" w:rsidR="002E428C" w:rsidRDefault="002E428C" w:rsidP="007B4697">
                            <w:pPr>
                              <w:autoSpaceDE w:val="0"/>
                              <w:autoSpaceDN w:val="0"/>
                              <w:adjustRightInd w:val="0"/>
                              <w:rPr>
                                <w:bCs/>
                                <w:iCs/>
                                <w:color w:val="000000"/>
                                <w:sz w:val="20"/>
                              </w:rPr>
                            </w:pPr>
                            <w:r>
                              <w:rPr>
                                <w:bCs/>
                                <w:iCs/>
                                <w:color w:val="000000"/>
                                <w:sz w:val="20"/>
                              </w:rPr>
                              <w:t>Treatment group for Big N:  TRT01P</w:t>
                            </w:r>
                          </w:p>
                          <w:p w14:paraId="32CDC4EA" w14:textId="77777777" w:rsidR="002E428C" w:rsidRDefault="002E428C" w:rsidP="007B4697">
                            <w:pPr>
                              <w:autoSpaceDE w:val="0"/>
                              <w:autoSpaceDN w:val="0"/>
                              <w:adjustRightInd w:val="0"/>
                              <w:rPr>
                                <w:bCs/>
                                <w:iCs/>
                                <w:color w:val="000000"/>
                                <w:sz w:val="20"/>
                              </w:rPr>
                            </w:pPr>
                            <w:r>
                              <w:rPr>
                                <w:bCs/>
                                <w:iCs/>
                                <w:color w:val="000000"/>
                                <w:sz w:val="20"/>
                              </w:rPr>
                              <w:t>Dataset:  ADEFF where RANDFL = Y</w:t>
                            </w:r>
                          </w:p>
                          <w:p w14:paraId="1B08151C" w14:textId="77777777" w:rsidR="002E428C" w:rsidRDefault="002E428C" w:rsidP="007B4697">
                            <w:pPr>
                              <w:autoSpaceDE w:val="0"/>
                              <w:autoSpaceDN w:val="0"/>
                              <w:adjustRightInd w:val="0"/>
                              <w:rPr>
                                <w:bCs/>
                                <w:iCs/>
                                <w:color w:val="000000"/>
                                <w:sz w:val="20"/>
                              </w:rPr>
                            </w:pPr>
                            <w:r>
                              <w:rPr>
                                <w:bCs/>
                                <w:iCs/>
                                <w:color w:val="000000"/>
                                <w:sz w:val="20"/>
                              </w:rPr>
                              <w:t>PARAMCD:  PENDPT1</w:t>
                            </w:r>
                          </w:p>
                          <w:p w14:paraId="201E8D52" w14:textId="77777777" w:rsidR="002E428C" w:rsidRDefault="002E428C" w:rsidP="007B4697">
                            <w:pPr>
                              <w:autoSpaceDE w:val="0"/>
                              <w:autoSpaceDN w:val="0"/>
                              <w:adjustRightInd w:val="0"/>
                              <w:rPr>
                                <w:bCs/>
                                <w:iCs/>
                                <w:color w:val="000000"/>
                                <w:sz w:val="20"/>
                              </w:rPr>
                            </w:pPr>
                          </w:p>
                          <w:p w14:paraId="4F203477" w14:textId="77777777" w:rsidR="002E428C" w:rsidRDefault="002E428C" w:rsidP="007B4697">
                            <w:pPr>
                              <w:autoSpaceDE w:val="0"/>
                              <w:autoSpaceDN w:val="0"/>
                              <w:adjustRightInd w:val="0"/>
                              <w:rPr>
                                <w:bCs/>
                                <w:iCs/>
                                <w:color w:val="000000"/>
                                <w:sz w:val="20"/>
                              </w:rPr>
                            </w:pPr>
                          </w:p>
                          <w:p w14:paraId="2189A37B" w14:textId="77777777" w:rsidR="002E428C" w:rsidRDefault="002E428C" w:rsidP="007B4697">
                            <w:pPr>
                              <w:autoSpaceDE w:val="0"/>
                              <w:autoSpaceDN w:val="0"/>
                              <w:adjustRightInd w:val="0"/>
                              <w:rPr>
                                <w:bCs/>
                                <w:iCs/>
                                <w:color w:val="000000"/>
                                <w:sz w:val="20"/>
                              </w:rPr>
                            </w:pPr>
                            <w:r>
                              <w:rPr>
                                <w:bCs/>
                                <w:iCs/>
                                <w:color w:val="000000"/>
                                <w:sz w:val="20"/>
                              </w:rPr>
                              <w:t>Prod side: Using EFF_ADJPROP macro</w:t>
                            </w:r>
                          </w:p>
                          <w:p w14:paraId="38516EE4" w14:textId="77777777" w:rsidR="002E428C" w:rsidRDefault="002E428C" w:rsidP="007B4697">
                            <w:pPr>
                              <w:autoSpaceDE w:val="0"/>
                              <w:autoSpaceDN w:val="0"/>
                              <w:adjustRightInd w:val="0"/>
                              <w:rPr>
                                <w:bCs/>
                                <w:iCs/>
                                <w:color w:val="000000"/>
                                <w:sz w:val="20"/>
                              </w:rPr>
                            </w:pPr>
                            <w:r>
                              <w:rPr>
                                <w:bCs/>
                                <w:iCs/>
                                <w:color w:val="000000"/>
                                <w:sz w:val="20"/>
                              </w:rPr>
                              <w:t>Val side:  Using VEFF_ADJPROP macro</w:t>
                            </w:r>
                          </w:p>
                          <w:p w14:paraId="2717E610" w14:textId="77777777" w:rsidR="002E428C" w:rsidRDefault="002E428C" w:rsidP="007B4697">
                            <w:pPr>
                              <w:autoSpaceDE w:val="0"/>
                              <w:autoSpaceDN w:val="0"/>
                              <w:adjustRightInd w:val="0"/>
                              <w:rPr>
                                <w:rFonts w:cs="Courier New"/>
                                <w:color w:val="000000"/>
                                <w:sz w:val="20"/>
                                <w:shd w:val="clear" w:color="auto" w:fill="FFFFFF"/>
                              </w:rPr>
                            </w:pPr>
                          </w:p>
                          <w:p w14:paraId="5AE1C75B" w14:textId="77777777" w:rsidR="002E428C" w:rsidRDefault="002E428C" w:rsidP="007B4697">
                            <w:pPr>
                              <w:autoSpaceDE w:val="0"/>
                              <w:autoSpaceDN w:val="0"/>
                              <w:adjustRightInd w:val="0"/>
                              <w:rPr>
                                <w:rFonts w:cs="Courier New"/>
                                <w:b/>
                                <w:bCs/>
                                <w:i/>
                                <w:iCs/>
                                <w:color w:val="000000"/>
                                <w:sz w:val="20"/>
                                <w:shd w:val="clear" w:color="auto" w:fill="FFFFFF"/>
                              </w:rPr>
                            </w:pPr>
                            <w:r>
                              <w:rPr>
                                <w:rFonts w:cs="Courier New"/>
                                <w:color w:val="000000"/>
                                <w:sz w:val="20"/>
                                <w:shd w:val="clear" w:color="auto" w:fill="FFFFFF"/>
                              </w:rPr>
                              <w:t>%</w:t>
                            </w:r>
                            <w:r>
                              <w:rPr>
                                <w:rFonts w:cs="Courier New"/>
                                <w:b/>
                                <w:bCs/>
                                <w:i/>
                                <w:iCs/>
                                <w:color w:val="000000"/>
                                <w:sz w:val="20"/>
                                <w:shd w:val="clear" w:color="auto" w:fill="FFFFFF"/>
                              </w:rPr>
                              <w:t>EFF_ADJPROP</w:t>
                            </w:r>
                          </w:p>
                          <w:p w14:paraId="22A9DC35"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w:t>
                            </w:r>
                            <w:proofErr w:type="spellStart"/>
                            <w:r>
                              <w:rPr>
                                <w:rFonts w:cs="Courier New"/>
                                <w:color w:val="000000"/>
                                <w:sz w:val="20"/>
                                <w:shd w:val="clear" w:color="auto" w:fill="FFFFFF"/>
                              </w:rPr>
                              <w:t>dsin</w:t>
                            </w:r>
                            <w:proofErr w:type="spellEnd"/>
                            <w:r>
                              <w:rPr>
                                <w:rFonts w:cs="Courier New"/>
                                <w:color w:val="000000"/>
                                <w:sz w:val="20"/>
                                <w:shd w:val="clear" w:color="auto" w:fill="FFFFFF"/>
                              </w:rPr>
                              <w:t>=</w:t>
                            </w:r>
                            <w:proofErr w:type="spellStart"/>
                            <w:r>
                              <w:rPr>
                                <w:rFonts w:cs="Courier New"/>
                                <w:color w:val="000000"/>
                                <w:sz w:val="20"/>
                                <w:shd w:val="clear" w:color="auto" w:fill="FFFFFF"/>
                              </w:rPr>
                              <w:t>adeff</w:t>
                            </w:r>
                            <w:proofErr w:type="spellEnd"/>
                            <w:r>
                              <w:rPr>
                                <w:rFonts w:cs="Courier New"/>
                                <w:color w:val="000000"/>
                                <w:sz w:val="20"/>
                                <w:shd w:val="clear" w:color="auto" w:fill="FFFFFF"/>
                              </w:rPr>
                              <w:t xml:space="preserve">, </w:t>
                            </w:r>
                            <w:proofErr w:type="spellStart"/>
                            <w:r>
                              <w:rPr>
                                <w:rFonts w:cs="Courier New"/>
                                <w:color w:val="000000"/>
                                <w:sz w:val="20"/>
                                <w:shd w:val="clear" w:color="auto" w:fill="FFFFFF"/>
                              </w:rPr>
                              <w:t>popfl</w:t>
                            </w:r>
                            <w:proofErr w:type="spellEnd"/>
                            <w:r>
                              <w:rPr>
                                <w:rFonts w:cs="Courier New"/>
                                <w:color w:val="000000"/>
                                <w:sz w:val="20"/>
                                <w:shd w:val="clear" w:color="auto" w:fill="FFFFFF"/>
                              </w:rPr>
                              <w:t xml:space="preserve">=RANDFL, </w:t>
                            </w:r>
                          </w:p>
                          <w:p w14:paraId="6971912D" w14:textId="77777777" w:rsidR="002E428C" w:rsidRDefault="002E428C" w:rsidP="007B4697">
                            <w:pPr>
                              <w:autoSpaceDE w:val="0"/>
                              <w:autoSpaceDN w:val="0"/>
                              <w:adjustRightInd w:val="0"/>
                              <w:rPr>
                                <w:rFonts w:cs="Courier New"/>
                                <w:color w:val="000000"/>
                                <w:sz w:val="20"/>
                                <w:shd w:val="clear" w:color="auto" w:fill="FFFFFF"/>
                              </w:rPr>
                            </w:pPr>
                            <w:proofErr w:type="spellStart"/>
                            <w:r>
                              <w:rPr>
                                <w:rFonts w:cs="Courier New"/>
                                <w:color w:val="000000"/>
                                <w:sz w:val="20"/>
                                <w:shd w:val="clear" w:color="auto" w:fill="FFFFFF"/>
                              </w:rPr>
                              <w:t>trtgrp</w:t>
                            </w:r>
                            <w:proofErr w:type="spellEnd"/>
                            <w:r>
                              <w:rPr>
                                <w:rFonts w:cs="Courier New"/>
                                <w:color w:val="000000"/>
                                <w:sz w:val="20"/>
                                <w:shd w:val="clear" w:color="auto" w:fill="FFFFFF"/>
                              </w:rPr>
                              <w:t xml:space="preserve">= TRT01PN, </w:t>
                            </w:r>
                            <w:proofErr w:type="spellStart"/>
                            <w:r>
                              <w:rPr>
                                <w:rFonts w:cs="Courier New"/>
                                <w:color w:val="000000"/>
                                <w:sz w:val="20"/>
                                <w:shd w:val="clear" w:color="auto" w:fill="FFFFFF"/>
                              </w:rPr>
                              <w:t>endpt</w:t>
                            </w:r>
                            <w:proofErr w:type="spellEnd"/>
                            <w:r>
                              <w:rPr>
                                <w:rFonts w:cs="Courier New"/>
                                <w:color w:val="000000"/>
                                <w:sz w:val="20"/>
                                <w:shd w:val="clear" w:color="auto" w:fill="FFFFFF"/>
                              </w:rPr>
                              <w:t xml:space="preserve">=PENDPT1, </w:t>
                            </w:r>
                          </w:p>
                          <w:p w14:paraId="44DB66D4" w14:textId="77777777" w:rsidR="002E428C" w:rsidRDefault="002E428C" w:rsidP="007B4697">
                            <w:pPr>
                              <w:autoSpaceDE w:val="0"/>
                              <w:autoSpaceDN w:val="0"/>
                              <w:adjustRightInd w:val="0"/>
                              <w:rPr>
                                <w:rFonts w:cs="Courier New"/>
                                <w:color w:val="000000"/>
                                <w:sz w:val="20"/>
                                <w:shd w:val="clear" w:color="auto" w:fill="FFFFFF"/>
                              </w:rPr>
                            </w:pPr>
                            <w:proofErr w:type="spellStart"/>
                            <w:r>
                              <w:rPr>
                                <w:rFonts w:cs="Courier New"/>
                                <w:color w:val="000000"/>
                                <w:sz w:val="20"/>
                                <w:shd w:val="clear" w:color="auto" w:fill="FFFFFF"/>
                              </w:rPr>
                              <w:t>tpstrvar</w:t>
                            </w:r>
                            <w:proofErr w:type="spellEnd"/>
                            <w:r>
                              <w:rPr>
                                <w:rFonts w:cs="Courier New"/>
                                <w:color w:val="000000"/>
                                <w:sz w:val="20"/>
                                <w:shd w:val="clear" w:color="auto" w:fill="FFFFFF"/>
                              </w:rPr>
                              <w:t xml:space="preserve">=SV01VALC, </w:t>
                            </w:r>
                            <w:proofErr w:type="spellStart"/>
                            <w:r>
                              <w:rPr>
                                <w:rFonts w:cs="Courier New"/>
                                <w:color w:val="000000"/>
                                <w:sz w:val="20"/>
                                <w:shd w:val="clear" w:color="auto" w:fill="FFFFFF"/>
                              </w:rPr>
                              <w:t>vlstrvar</w:t>
                            </w:r>
                            <w:proofErr w:type="spellEnd"/>
                            <w:r>
                              <w:rPr>
                                <w:rFonts w:cs="Courier New"/>
                                <w:color w:val="000000"/>
                                <w:sz w:val="20"/>
                                <w:shd w:val="clear" w:color="auto" w:fill="FFFFFF"/>
                              </w:rPr>
                              <w:t>=SV02VALC</w:t>
                            </w:r>
                            <w:proofErr w:type="gramStart"/>
                            <w:r>
                              <w:rPr>
                                <w:rFonts w:cs="Courier New"/>
                                <w:color w:val="000000"/>
                                <w:sz w:val="20"/>
                                <w:shd w:val="clear" w:color="auto" w:fill="FFFFFF"/>
                              </w:rPr>
                              <w:t>);</w:t>
                            </w:r>
                            <w:proofErr w:type="gramEnd"/>
                          </w:p>
                          <w:p w14:paraId="3004BA0B" w14:textId="77777777" w:rsidR="002E428C" w:rsidRDefault="002E428C" w:rsidP="007B4697">
                            <w:pPr>
                              <w:autoSpaceDE w:val="0"/>
                              <w:autoSpaceDN w:val="0"/>
                              <w:adjustRightInd w:val="0"/>
                              <w:rPr>
                                <w:rFonts w:cs="Courier New"/>
                                <w:color w:val="000000"/>
                                <w:sz w:val="20"/>
                                <w:shd w:val="clear" w:color="auto" w:fill="FFFFFF"/>
                              </w:rPr>
                            </w:pPr>
                          </w:p>
                          <w:p w14:paraId="40620878"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Responders:     data from row 1</w:t>
                            </w:r>
                          </w:p>
                          <w:p w14:paraId="0BEBC095"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Non-responders: data from row 2</w:t>
                            </w:r>
                          </w:p>
                          <w:p w14:paraId="6E47D790"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Adjusted Diff Prop:  data from row 3</w:t>
                            </w:r>
                          </w:p>
                          <w:p w14:paraId="55259B6F"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95 CI:  data from row 4</w:t>
                            </w:r>
                          </w:p>
                          <w:p w14:paraId="1EC8CF5D"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 xml:space="preserve">Adjusted </w:t>
                            </w:r>
                            <w:proofErr w:type="spellStart"/>
                            <w:r>
                              <w:rPr>
                                <w:rFonts w:cs="Courier New"/>
                                <w:color w:val="000000"/>
                                <w:sz w:val="20"/>
                                <w:shd w:val="clear" w:color="auto" w:fill="FFFFFF"/>
                              </w:rPr>
                              <w:t>pvalue</w:t>
                            </w:r>
                            <w:proofErr w:type="spellEnd"/>
                            <w:r>
                              <w:rPr>
                                <w:rFonts w:cs="Courier New"/>
                                <w:color w:val="000000"/>
                                <w:sz w:val="20"/>
                                <w:shd w:val="clear" w:color="auto" w:fill="FFFFFF"/>
                              </w:rPr>
                              <w:t>:  data from row 5</w:t>
                            </w:r>
                          </w:p>
                          <w:p w14:paraId="18C7D4B1"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 xml:space="preserve">Homogeneity </w:t>
                            </w:r>
                            <w:proofErr w:type="spellStart"/>
                            <w:r>
                              <w:rPr>
                                <w:rFonts w:cs="Courier New"/>
                                <w:color w:val="000000"/>
                                <w:sz w:val="20"/>
                                <w:shd w:val="clear" w:color="auto" w:fill="FFFFFF"/>
                              </w:rPr>
                              <w:t>pvalue</w:t>
                            </w:r>
                            <w:proofErr w:type="spellEnd"/>
                            <w:r>
                              <w:rPr>
                                <w:rFonts w:cs="Courier New"/>
                                <w:color w:val="000000"/>
                                <w:sz w:val="20"/>
                                <w:shd w:val="clear" w:color="auto" w:fill="FFFFFF"/>
                              </w:rPr>
                              <w:t>:  data from row 6</w:t>
                            </w:r>
                          </w:p>
                          <w:p w14:paraId="45373CBA" w14:textId="77777777" w:rsidR="002E428C" w:rsidRDefault="002E428C" w:rsidP="007B4697">
                            <w:pPr>
                              <w:autoSpaceDE w:val="0"/>
                              <w:autoSpaceDN w:val="0"/>
                              <w:adjustRightInd w:val="0"/>
                              <w:rPr>
                                <w:rFonts w:cs="Courier New"/>
                                <w:color w:val="000000"/>
                                <w:sz w:val="20"/>
                                <w:shd w:val="clear" w:color="auto" w:fill="FFFFFF"/>
                              </w:rPr>
                            </w:pPr>
                          </w:p>
                          <w:p w14:paraId="73218EC6" w14:textId="77777777" w:rsidR="002E428C" w:rsidRDefault="002E428C" w:rsidP="007B4697">
                            <w:pPr>
                              <w:autoSpaceDE w:val="0"/>
                              <w:autoSpaceDN w:val="0"/>
                              <w:adjustRightInd w:val="0"/>
                              <w:rPr>
                                <w:rFonts w:cs="Courier New"/>
                                <w:color w:val="000000"/>
                                <w:sz w:val="20"/>
                                <w:shd w:val="clear" w:color="auto" w:fill="FFFFFF"/>
                              </w:rPr>
                            </w:pPr>
                          </w:p>
                          <w:p w14:paraId="696F2EA6" w14:textId="77777777" w:rsidR="002E428C" w:rsidRDefault="002E428C" w:rsidP="007B4697">
                            <w:pPr>
                              <w:spacing w:after="120"/>
                              <w:rPr>
                                <w:bCs/>
                                <w:color w:val="000000"/>
                                <w:sz w:val="18"/>
                                <w:szCs w:val="18"/>
                              </w:rPr>
                            </w:pPr>
                          </w:p>
                          <w:p w14:paraId="695D85B9" w14:textId="77777777" w:rsidR="002E428C" w:rsidRDefault="002E428C" w:rsidP="007B4697">
                            <w:pPr>
                              <w:spacing w:after="120"/>
                              <w:rPr>
                                <w:bCs/>
                                <w:color w:val="000000"/>
                                <w:sz w:val="18"/>
                                <w:szCs w:val="18"/>
                              </w:rPr>
                            </w:pPr>
                          </w:p>
                        </w:txbxContent>
                      </v:textbox>
                    </v:shape>
                  </w:pict>
                </mc:Fallback>
              </mc:AlternateContent>
            </w:r>
            <w:r w:rsidRPr="001415DB">
              <w:t>Overall</w:t>
            </w:r>
          </w:p>
        </w:tc>
        <w:tc>
          <w:tcPr>
            <w:tcW w:w="1048" w:type="pct"/>
          </w:tcPr>
          <w:p w14:paraId="3E62EF68" w14:textId="77777777" w:rsidR="002E428C" w:rsidRPr="001415DB" w:rsidRDefault="002E428C" w:rsidP="007B4697">
            <w:pPr>
              <w:jc w:val="center"/>
            </w:pPr>
          </w:p>
        </w:tc>
        <w:tc>
          <w:tcPr>
            <w:tcW w:w="686" w:type="pct"/>
          </w:tcPr>
          <w:p w14:paraId="20C9DF67" w14:textId="6C84D16B" w:rsidR="002E428C" w:rsidRPr="001415DB" w:rsidRDefault="002E428C" w:rsidP="007B4697">
            <w:pPr>
              <w:jc w:val="center"/>
            </w:pPr>
          </w:p>
        </w:tc>
      </w:tr>
      <w:tr w:rsidR="002E428C" w:rsidRPr="001415DB" w14:paraId="69599E34" w14:textId="77777777" w:rsidTr="003A5960">
        <w:trPr>
          <w:trHeight w:val="20"/>
        </w:trPr>
        <w:tc>
          <w:tcPr>
            <w:tcW w:w="3267" w:type="pct"/>
          </w:tcPr>
          <w:p w14:paraId="7DC18F85" w14:textId="77777777" w:rsidR="002E428C" w:rsidRPr="001415DB" w:rsidRDefault="002E428C" w:rsidP="007B4697">
            <w:r w:rsidRPr="001415DB">
              <w:t>Responders</w:t>
            </w:r>
          </w:p>
        </w:tc>
        <w:tc>
          <w:tcPr>
            <w:tcW w:w="1048" w:type="pct"/>
          </w:tcPr>
          <w:p w14:paraId="2CB45985" w14:textId="3EEFA4FA" w:rsidR="002E428C" w:rsidRPr="001415DB" w:rsidRDefault="002E428C" w:rsidP="007B4697">
            <w:pPr>
              <w:jc w:val="center"/>
              <w:rPr>
                <w:lang w:val="en-GB"/>
              </w:rPr>
            </w:pPr>
            <w:r w:rsidRPr="001415DB">
              <w:rPr>
                <w:lang w:val="en-GB"/>
              </w:rPr>
              <w:t>131 (56)</w:t>
            </w:r>
          </w:p>
        </w:tc>
        <w:tc>
          <w:tcPr>
            <w:tcW w:w="686" w:type="pct"/>
          </w:tcPr>
          <w:p w14:paraId="05ABD5C2" w14:textId="4B08D3DB" w:rsidR="002E428C" w:rsidRPr="001415DB" w:rsidRDefault="002E428C" w:rsidP="007B4697">
            <w:pPr>
              <w:jc w:val="center"/>
            </w:pPr>
            <w:r w:rsidRPr="001415DB">
              <w:rPr>
                <w:lang w:val="en-GB"/>
              </w:rPr>
              <w:t>28 (24)</w:t>
            </w:r>
          </w:p>
        </w:tc>
      </w:tr>
      <w:tr w:rsidR="002E428C" w:rsidRPr="001415DB" w14:paraId="1C03CBCD" w14:textId="77777777" w:rsidTr="003A5960">
        <w:trPr>
          <w:trHeight w:val="20"/>
        </w:trPr>
        <w:tc>
          <w:tcPr>
            <w:tcW w:w="3267" w:type="pct"/>
          </w:tcPr>
          <w:p w14:paraId="2E172F25" w14:textId="77777777" w:rsidR="002E428C" w:rsidRPr="001415DB" w:rsidRDefault="002E428C" w:rsidP="007B4697">
            <w:r w:rsidRPr="001415DB">
              <w:t xml:space="preserve">Adjusted difference in proportion of responders (95% </w:t>
            </w:r>
            <w:proofErr w:type="gramStart"/>
            <w:r w:rsidRPr="001415DB">
              <w:t>CI)</w:t>
            </w:r>
            <w:r w:rsidRPr="001415DB">
              <w:rPr>
                <w:vertAlign w:val="superscript"/>
              </w:rPr>
              <w:t>a</w:t>
            </w:r>
            <w:proofErr w:type="gramEnd"/>
          </w:p>
        </w:tc>
        <w:tc>
          <w:tcPr>
            <w:tcW w:w="1048" w:type="pct"/>
          </w:tcPr>
          <w:p w14:paraId="26A6B86D" w14:textId="0A98F0E0" w:rsidR="002E428C" w:rsidRPr="001415DB" w:rsidRDefault="002E428C" w:rsidP="007B4697">
            <w:pPr>
              <w:jc w:val="center"/>
            </w:pPr>
            <w:r w:rsidRPr="001415DB">
              <w:rPr>
                <w:lang w:val="en-GB"/>
              </w:rPr>
              <w:t>32.8 (22.8, 42.7)</w:t>
            </w:r>
          </w:p>
        </w:tc>
        <w:tc>
          <w:tcPr>
            <w:tcW w:w="686" w:type="pct"/>
          </w:tcPr>
          <w:p w14:paraId="4A787AC1" w14:textId="3FE7474A" w:rsidR="002E428C" w:rsidRPr="001415DB" w:rsidRDefault="002E428C" w:rsidP="007B4697">
            <w:pPr>
              <w:jc w:val="center"/>
            </w:pPr>
          </w:p>
        </w:tc>
      </w:tr>
      <w:tr w:rsidR="002E428C" w:rsidRPr="001415DB" w14:paraId="0E660C61" w14:textId="77777777" w:rsidTr="003A5960">
        <w:trPr>
          <w:trHeight w:val="20"/>
        </w:trPr>
        <w:tc>
          <w:tcPr>
            <w:tcW w:w="3267" w:type="pct"/>
          </w:tcPr>
          <w:p w14:paraId="58AE2BB2" w14:textId="77777777" w:rsidR="002E428C" w:rsidRPr="001415DB" w:rsidRDefault="002E428C" w:rsidP="007B4697">
            <w:r w:rsidRPr="001415DB">
              <w:rPr>
                <w:lang w:val="en-GB"/>
              </w:rPr>
              <w:t xml:space="preserve">p-value: </w:t>
            </w:r>
            <w:proofErr w:type="spellStart"/>
            <w:r w:rsidRPr="001415DB">
              <w:rPr>
                <w:lang w:val="en-GB"/>
              </w:rPr>
              <w:t>adjusted</w:t>
            </w:r>
            <w:r w:rsidRPr="001415DB">
              <w:rPr>
                <w:vertAlign w:val="superscript"/>
                <w:lang w:val="en-GB"/>
              </w:rPr>
              <w:t>a</w:t>
            </w:r>
            <w:proofErr w:type="spellEnd"/>
          </w:p>
        </w:tc>
        <w:tc>
          <w:tcPr>
            <w:tcW w:w="1048" w:type="pct"/>
          </w:tcPr>
          <w:p w14:paraId="4BF5FB7F" w14:textId="285D83FD" w:rsidR="002E428C" w:rsidRPr="001415DB" w:rsidRDefault="002E428C" w:rsidP="007B4697">
            <w:pPr>
              <w:jc w:val="center"/>
            </w:pPr>
            <w:r w:rsidRPr="001415DB">
              <w:t>&lt;0.001</w:t>
            </w:r>
          </w:p>
        </w:tc>
        <w:tc>
          <w:tcPr>
            <w:tcW w:w="686" w:type="pct"/>
          </w:tcPr>
          <w:p w14:paraId="2CCF3CA8" w14:textId="2E74A54B" w:rsidR="002E428C" w:rsidRPr="001415DB" w:rsidRDefault="002E428C" w:rsidP="007B4697">
            <w:pPr>
              <w:jc w:val="center"/>
            </w:pPr>
          </w:p>
        </w:tc>
      </w:tr>
      <w:tr w:rsidR="002E428C" w:rsidRPr="001415DB" w14:paraId="32977192" w14:textId="77777777" w:rsidTr="003A5960">
        <w:trPr>
          <w:trHeight w:val="20"/>
        </w:trPr>
        <w:tc>
          <w:tcPr>
            <w:tcW w:w="3267" w:type="pct"/>
          </w:tcPr>
          <w:p w14:paraId="7BF58DC5" w14:textId="77777777" w:rsidR="002E428C" w:rsidRPr="001415DB" w:rsidRDefault="002E428C" w:rsidP="007B4697">
            <w:r w:rsidRPr="001415DB">
              <w:rPr>
                <w:b/>
                <w:bCs/>
              </w:rPr>
              <w:t xml:space="preserve">Key Secondary Endpoint: Achievement of CMV Viremia Clearance and CMV Infection Symptom </w:t>
            </w:r>
            <w:proofErr w:type="spellStart"/>
            <w:r w:rsidRPr="001415DB">
              <w:rPr>
                <w:b/>
                <w:bCs/>
              </w:rPr>
              <w:t>Control</w:t>
            </w:r>
            <w:r w:rsidRPr="001415DB">
              <w:rPr>
                <w:b/>
                <w:bCs/>
                <w:vertAlign w:val="superscript"/>
              </w:rPr>
              <w:t>c</w:t>
            </w:r>
            <w:proofErr w:type="spellEnd"/>
            <w:r w:rsidRPr="001415DB">
              <w:rPr>
                <w:b/>
                <w:bCs/>
              </w:rPr>
              <w:t xml:space="preserve"> at Week 8, With Maintenance Through Week 16</w:t>
            </w:r>
            <w:r w:rsidRPr="001415DB">
              <w:rPr>
                <w:b/>
                <w:bCs/>
                <w:vertAlign w:val="superscript"/>
                <w:lang w:val="en-GB"/>
              </w:rPr>
              <w:t>b</w:t>
            </w:r>
          </w:p>
        </w:tc>
        <w:tc>
          <w:tcPr>
            <w:tcW w:w="1048" w:type="pct"/>
          </w:tcPr>
          <w:p w14:paraId="65A46CAA" w14:textId="77777777" w:rsidR="002E428C" w:rsidRPr="001415DB" w:rsidRDefault="002E428C" w:rsidP="007B4697">
            <w:pPr>
              <w:jc w:val="center"/>
            </w:pPr>
          </w:p>
        </w:tc>
        <w:tc>
          <w:tcPr>
            <w:tcW w:w="686" w:type="pct"/>
          </w:tcPr>
          <w:p w14:paraId="164CC909" w14:textId="1059F1F8" w:rsidR="002E428C" w:rsidRPr="001415DB" w:rsidRDefault="002E428C" w:rsidP="007B4697">
            <w:pPr>
              <w:jc w:val="center"/>
            </w:pPr>
          </w:p>
        </w:tc>
      </w:tr>
      <w:tr w:rsidR="002E428C" w:rsidRPr="001415DB" w14:paraId="2AC58EB9" w14:textId="77777777" w:rsidTr="003A5960">
        <w:trPr>
          <w:trHeight w:val="20"/>
        </w:trPr>
        <w:tc>
          <w:tcPr>
            <w:tcW w:w="3267" w:type="pct"/>
          </w:tcPr>
          <w:p w14:paraId="76ECC939" w14:textId="77777777" w:rsidR="002E428C" w:rsidRPr="001415DB" w:rsidRDefault="002E428C" w:rsidP="007B4697">
            <w:r w:rsidRPr="001415DB">
              <w:rPr>
                <w:noProof/>
              </w:rPr>
              <mc:AlternateContent>
                <mc:Choice Requires="wps">
                  <w:drawing>
                    <wp:anchor distT="0" distB="0" distL="114300" distR="114300" simplePos="0" relativeHeight="251669504" behindDoc="0" locked="0" layoutInCell="1" allowOverlap="1" wp14:anchorId="34C873CB" wp14:editId="090F1355">
                      <wp:simplePos x="0" y="0"/>
                      <wp:positionH relativeFrom="column">
                        <wp:posOffset>3890589</wp:posOffset>
                      </wp:positionH>
                      <wp:positionV relativeFrom="paragraph">
                        <wp:posOffset>123521</wp:posOffset>
                      </wp:positionV>
                      <wp:extent cx="3448050" cy="2973788"/>
                      <wp:effectExtent l="0" t="0" r="0" b="0"/>
                      <wp:wrapNone/>
                      <wp:docPr id="8" name="Text Box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973788"/>
                              </a:xfrm>
                              <a:prstGeom prst="rect">
                                <a:avLst/>
                              </a:prstGeom>
                              <a:solidFill>
                                <a:srgbClr val="FFFFFF"/>
                              </a:solidFill>
                              <a:ln w="9525">
                                <a:solidFill>
                                  <a:srgbClr val="000000"/>
                                </a:solidFill>
                                <a:miter lim="800000"/>
                                <a:headEnd/>
                                <a:tailEnd/>
                              </a:ln>
                            </wps:spPr>
                            <wps:txbx>
                              <w:txbxContent>
                                <w:p w14:paraId="7FCF0B6F" w14:textId="77777777" w:rsidR="002E428C" w:rsidRDefault="002E428C" w:rsidP="007B4697">
                                  <w:pPr>
                                    <w:autoSpaceDE w:val="0"/>
                                    <w:autoSpaceDN w:val="0"/>
                                    <w:adjustRightInd w:val="0"/>
                                    <w:rPr>
                                      <w:bCs/>
                                      <w:iCs/>
                                      <w:color w:val="000000"/>
                                      <w:sz w:val="20"/>
                                    </w:rPr>
                                  </w:pPr>
                                  <w:r>
                                    <w:rPr>
                                      <w:bCs/>
                                      <w:iCs/>
                                      <w:color w:val="000000"/>
                                      <w:sz w:val="20"/>
                                    </w:rPr>
                                    <w:t>Treatment group for Big N:  TRT01P</w:t>
                                  </w:r>
                                </w:p>
                                <w:p w14:paraId="44F68EB8" w14:textId="77777777" w:rsidR="002E428C" w:rsidRDefault="002E428C" w:rsidP="007B4697">
                                  <w:pPr>
                                    <w:autoSpaceDE w:val="0"/>
                                    <w:autoSpaceDN w:val="0"/>
                                    <w:adjustRightInd w:val="0"/>
                                    <w:rPr>
                                      <w:bCs/>
                                      <w:iCs/>
                                      <w:color w:val="000000"/>
                                      <w:sz w:val="20"/>
                                    </w:rPr>
                                  </w:pPr>
                                  <w:r>
                                    <w:rPr>
                                      <w:bCs/>
                                      <w:iCs/>
                                      <w:color w:val="000000"/>
                                      <w:sz w:val="20"/>
                                    </w:rPr>
                                    <w:t>Dataset:  ADEFF where RANDFL = Y</w:t>
                                  </w:r>
                                </w:p>
                                <w:p w14:paraId="41CE0A2D" w14:textId="77777777" w:rsidR="002E428C" w:rsidRDefault="002E428C" w:rsidP="007B4697">
                                  <w:pPr>
                                    <w:autoSpaceDE w:val="0"/>
                                    <w:autoSpaceDN w:val="0"/>
                                    <w:adjustRightInd w:val="0"/>
                                    <w:rPr>
                                      <w:bCs/>
                                      <w:iCs/>
                                      <w:color w:val="000000"/>
                                      <w:sz w:val="20"/>
                                    </w:rPr>
                                  </w:pPr>
                                  <w:r>
                                    <w:rPr>
                                      <w:bCs/>
                                      <w:iCs/>
                                      <w:color w:val="000000"/>
                                      <w:sz w:val="20"/>
                                    </w:rPr>
                                    <w:t>PARAMCD:  PENDPT1</w:t>
                                  </w:r>
                                </w:p>
                                <w:p w14:paraId="18693851" w14:textId="77777777" w:rsidR="002E428C" w:rsidRDefault="002E428C" w:rsidP="007B4697">
                                  <w:pPr>
                                    <w:autoSpaceDE w:val="0"/>
                                    <w:autoSpaceDN w:val="0"/>
                                    <w:adjustRightInd w:val="0"/>
                                    <w:rPr>
                                      <w:bCs/>
                                      <w:iCs/>
                                      <w:color w:val="000000"/>
                                      <w:sz w:val="20"/>
                                    </w:rPr>
                                  </w:pPr>
                                </w:p>
                                <w:p w14:paraId="17A23858" w14:textId="77777777" w:rsidR="002E428C" w:rsidRDefault="002E428C" w:rsidP="007B4697">
                                  <w:pPr>
                                    <w:autoSpaceDE w:val="0"/>
                                    <w:autoSpaceDN w:val="0"/>
                                    <w:adjustRightInd w:val="0"/>
                                    <w:rPr>
                                      <w:bCs/>
                                      <w:iCs/>
                                      <w:color w:val="000000"/>
                                      <w:sz w:val="20"/>
                                    </w:rPr>
                                  </w:pPr>
                                </w:p>
                                <w:p w14:paraId="4558554B" w14:textId="77777777" w:rsidR="002E428C" w:rsidRDefault="002E428C" w:rsidP="007B4697">
                                  <w:pPr>
                                    <w:autoSpaceDE w:val="0"/>
                                    <w:autoSpaceDN w:val="0"/>
                                    <w:adjustRightInd w:val="0"/>
                                    <w:rPr>
                                      <w:bCs/>
                                      <w:iCs/>
                                      <w:color w:val="000000"/>
                                      <w:sz w:val="20"/>
                                    </w:rPr>
                                  </w:pPr>
                                  <w:r>
                                    <w:rPr>
                                      <w:bCs/>
                                      <w:iCs/>
                                      <w:color w:val="000000"/>
                                      <w:sz w:val="20"/>
                                    </w:rPr>
                                    <w:t>Prod side: Using EFF_ADJPROP macro</w:t>
                                  </w:r>
                                </w:p>
                                <w:p w14:paraId="68CD0977" w14:textId="77777777" w:rsidR="002E428C" w:rsidRDefault="002E428C" w:rsidP="007B4697">
                                  <w:pPr>
                                    <w:autoSpaceDE w:val="0"/>
                                    <w:autoSpaceDN w:val="0"/>
                                    <w:adjustRightInd w:val="0"/>
                                    <w:rPr>
                                      <w:bCs/>
                                      <w:iCs/>
                                      <w:color w:val="000000"/>
                                      <w:sz w:val="20"/>
                                    </w:rPr>
                                  </w:pPr>
                                  <w:r>
                                    <w:rPr>
                                      <w:bCs/>
                                      <w:iCs/>
                                      <w:color w:val="000000"/>
                                      <w:sz w:val="20"/>
                                    </w:rPr>
                                    <w:t>Val side:  Using VEFF_ADJPROP macro</w:t>
                                  </w:r>
                                </w:p>
                                <w:p w14:paraId="1CF117AA" w14:textId="77777777" w:rsidR="002E428C" w:rsidRDefault="002E428C" w:rsidP="007B4697">
                                  <w:pPr>
                                    <w:autoSpaceDE w:val="0"/>
                                    <w:autoSpaceDN w:val="0"/>
                                    <w:adjustRightInd w:val="0"/>
                                    <w:rPr>
                                      <w:rFonts w:cs="Courier New"/>
                                      <w:color w:val="000000"/>
                                      <w:sz w:val="20"/>
                                      <w:shd w:val="clear" w:color="auto" w:fill="FFFFFF"/>
                                    </w:rPr>
                                  </w:pPr>
                                </w:p>
                                <w:p w14:paraId="68258AC7" w14:textId="77777777" w:rsidR="002E428C" w:rsidRDefault="002E428C" w:rsidP="007B4697">
                                  <w:pPr>
                                    <w:autoSpaceDE w:val="0"/>
                                    <w:autoSpaceDN w:val="0"/>
                                    <w:adjustRightInd w:val="0"/>
                                    <w:rPr>
                                      <w:rFonts w:cs="Courier New"/>
                                      <w:b/>
                                      <w:bCs/>
                                      <w:i/>
                                      <w:iCs/>
                                      <w:color w:val="000000"/>
                                      <w:sz w:val="20"/>
                                      <w:shd w:val="clear" w:color="auto" w:fill="FFFFFF"/>
                                    </w:rPr>
                                  </w:pPr>
                                  <w:r>
                                    <w:rPr>
                                      <w:rFonts w:cs="Courier New"/>
                                      <w:color w:val="000000"/>
                                      <w:sz w:val="20"/>
                                      <w:shd w:val="clear" w:color="auto" w:fill="FFFFFF"/>
                                    </w:rPr>
                                    <w:t>%</w:t>
                                  </w:r>
                                  <w:r>
                                    <w:rPr>
                                      <w:rFonts w:cs="Courier New"/>
                                      <w:b/>
                                      <w:bCs/>
                                      <w:i/>
                                      <w:iCs/>
                                      <w:color w:val="000000"/>
                                      <w:sz w:val="20"/>
                                      <w:shd w:val="clear" w:color="auto" w:fill="FFFFFF"/>
                                    </w:rPr>
                                    <w:t>EFF_ADJPROP</w:t>
                                  </w:r>
                                </w:p>
                                <w:p w14:paraId="0349F313"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w:t>
                                  </w:r>
                                  <w:proofErr w:type="spellStart"/>
                                  <w:r>
                                    <w:rPr>
                                      <w:rFonts w:cs="Courier New"/>
                                      <w:color w:val="000000"/>
                                      <w:sz w:val="20"/>
                                      <w:shd w:val="clear" w:color="auto" w:fill="FFFFFF"/>
                                    </w:rPr>
                                    <w:t>dsin</w:t>
                                  </w:r>
                                  <w:proofErr w:type="spellEnd"/>
                                  <w:r>
                                    <w:rPr>
                                      <w:rFonts w:cs="Courier New"/>
                                      <w:color w:val="000000"/>
                                      <w:sz w:val="20"/>
                                      <w:shd w:val="clear" w:color="auto" w:fill="FFFFFF"/>
                                    </w:rPr>
                                    <w:t>=</w:t>
                                  </w:r>
                                  <w:proofErr w:type="spellStart"/>
                                  <w:r>
                                    <w:rPr>
                                      <w:rFonts w:cs="Courier New"/>
                                      <w:color w:val="000000"/>
                                      <w:sz w:val="20"/>
                                      <w:shd w:val="clear" w:color="auto" w:fill="FFFFFF"/>
                                    </w:rPr>
                                    <w:t>adeff</w:t>
                                  </w:r>
                                  <w:proofErr w:type="spellEnd"/>
                                  <w:r>
                                    <w:rPr>
                                      <w:rFonts w:cs="Courier New"/>
                                      <w:color w:val="000000"/>
                                      <w:sz w:val="20"/>
                                      <w:shd w:val="clear" w:color="auto" w:fill="FFFFFF"/>
                                    </w:rPr>
                                    <w:t xml:space="preserve">, </w:t>
                                  </w:r>
                                  <w:proofErr w:type="spellStart"/>
                                  <w:r>
                                    <w:rPr>
                                      <w:rFonts w:cs="Courier New"/>
                                      <w:color w:val="000000"/>
                                      <w:sz w:val="20"/>
                                      <w:shd w:val="clear" w:color="auto" w:fill="FFFFFF"/>
                                    </w:rPr>
                                    <w:t>popfl</w:t>
                                  </w:r>
                                  <w:proofErr w:type="spellEnd"/>
                                  <w:r>
                                    <w:rPr>
                                      <w:rFonts w:cs="Courier New"/>
                                      <w:color w:val="000000"/>
                                      <w:sz w:val="20"/>
                                      <w:shd w:val="clear" w:color="auto" w:fill="FFFFFF"/>
                                    </w:rPr>
                                    <w:t xml:space="preserve">=RANDFL, </w:t>
                                  </w:r>
                                </w:p>
                                <w:p w14:paraId="46FEE044" w14:textId="77777777" w:rsidR="002E428C" w:rsidRDefault="002E428C" w:rsidP="007B4697">
                                  <w:pPr>
                                    <w:autoSpaceDE w:val="0"/>
                                    <w:autoSpaceDN w:val="0"/>
                                    <w:adjustRightInd w:val="0"/>
                                    <w:rPr>
                                      <w:rFonts w:cs="Courier New"/>
                                      <w:color w:val="000000"/>
                                      <w:sz w:val="20"/>
                                      <w:shd w:val="clear" w:color="auto" w:fill="FFFFFF"/>
                                    </w:rPr>
                                  </w:pPr>
                                  <w:proofErr w:type="spellStart"/>
                                  <w:r>
                                    <w:rPr>
                                      <w:rFonts w:cs="Courier New"/>
                                      <w:color w:val="000000"/>
                                      <w:sz w:val="20"/>
                                      <w:shd w:val="clear" w:color="auto" w:fill="FFFFFF"/>
                                    </w:rPr>
                                    <w:t>trtgrp</w:t>
                                  </w:r>
                                  <w:proofErr w:type="spellEnd"/>
                                  <w:r>
                                    <w:rPr>
                                      <w:rFonts w:cs="Courier New"/>
                                      <w:color w:val="000000"/>
                                      <w:sz w:val="20"/>
                                      <w:shd w:val="clear" w:color="auto" w:fill="FFFFFF"/>
                                    </w:rPr>
                                    <w:t xml:space="preserve">= TRT01PN, </w:t>
                                  </w:r>
                                  <w:proofErr w:type="spellStart"/>
                                  <w:r>
                                    <w:rPr>
                                      <w:rFonts w:cs="Courier New"/>
                                      <w:color w:val="000000"/>
                                      <w:sz w:val="20"/>
                                      <w:shd w:val="clear" w:color="auto" w:fill="FFFFFF"/>
                                    </w:rPr>
                                    <w:t>endpt</w:t>
                                  </w:r>
                                  <w:proofErr w:type="spellEnd"/>
                                  <w:r>
                                    <w:rPr>
                                      <w:rFonts w:cs="Courier New"/>
                                      <w:color w:val="000000"/>
                                      <w:sz w:val="20"/>
                                      <w:shd w:val="clear" w:color="auto" w:fill="FFFFFF"/>
                                    </w:rPr>
                                    <w:t xml:space="preserve">=PENDPT1, </w:t>
                                  </w:r>
                                </w:p>
                                <w:p w14:paraId="3AEE6BAB" w14:textId="77777777" w:rsidR="002E428C" w:rsidRDefault="002E428C" w:rsidP="007B4697">
                                  <w:pPr>
                                    <w:autoSpaceDE w:val="0"/>
                                    <w:autoSpaceDN w:val="0"/>
                                    <w:adjustRightInd w:val="0"/>
                                    <w:rPr>
                                      <w:rFonts w:cs="Courier New"/>
                                      <w:color w:val="000000"/>
                                      <w:sz w:val="20"/>
                                      <w:shd w:val="clear" w:color="auto" w:fill="FFFFFF"/>
                                    </w:rPr>
                                  </w:pPr>
                                  <w:proofErr w:type="spellStart"/>
                                  <w:r>
                                    <w:rPr>
                                      <w:rFonts w:cs="Courier New"/>
                                      <w:color w:val="000000"/>
                                      <w:sz w:val="20"/>
                                      <w:shd w:val="clear" w:color="auto" w:fill="FFFFFF"/>
                                    </w:rPr>
                                    <w:t>tpstrvar</w:t>
                                  </w:r>
                                  <w:proofErr w:type="spellEnd"/>
                                  <w:r>
                                    <w:rPr>
                                      <w:rFonts w:cs="Courier New"/>
                                      <w:color w:val="000000"/>
                                      <w:sz w:val="20"/>
                                      <w:shd w:val="clear" w:color="auto" w:fill="FFFFFF"/>
                                    </w:rPr>
                                    <w:t xml:space="preserve">=SV01VALC, </w:t>
                                  </w:r>
                                  <w:proofErr w:type="spellStart"/>
                                  <w:r>
                                    <w:rPr>
                                      <w:rFonts w:cs="Courier New"/>
                                      <w:color w:val="000000"/>
                                      <w:sz w:val="20"/>
                                      <w:shd w:val="clear" w:color="auto" w:fill="FFFFFF"/>
                                    </w:rPr>
                                    <w:t>vlstrvar</w:t>
                                  </w:r>
                                  <w:proofErr w:type="spellEnd"/>
                                  <w:r>
                                    <w:rPr>
                                      <w:rFonts w:cs="Courier New"/>
                                      <w:color w:val="000000"/>
                                      <w:sz w:val="20"/>
                                      <w:shd w:val="clear" w:color="auto" w:fill="FFFFFF"/>
                                    </w:rPr>
                                    <w:t>=SV02VALC</w:t>
                                  </w:r>
                                  <w:proofErr w:type="gramStart"/>
                                  <w:r>
                                    <w:rPr>
                                      <w:rFonts w:cs="Courier New"/>
                                      <w:color w:val="000000"/>
                                      <w:sz w:val="20"/>
                                      <w:shd w:val="clear" w:color="auto" w:fill="FFFFFF"/>
                                    </w:rPr>
                                    <w:t>);</w:t>
                                  </w:r>
                                  <w:proofErr w:type="gramEnd"/>
                                </w:p>
                                <w:p w14:paraId="67A55D3B" w14:textId="77777777" w:rsidR="002E428C" w:rsidRDefault="002E428C" w:rsidP="007B4697">
                                  <w:pPr>
                                    <w:autoSpaceDE w:val="0"/>
                                    <w:autoSpaceDN w:val="0"/>
                                    <w:adjustRightInd w:val="0"/>
                                    <w:rPr>
                                      <w:rFonts w:cs="Courier New"/>
                                      <w:color w:val="000000"/>
                                      <w:sz w:val="20"/>
                                      <w:shd w:val="clear" w:color="auto" w:fill="FFFFFF"/>
                                    </w:rPr>
                                  </w:pPr>
                                </w:p>
                                <w:p w14:paraId="4DF67FAB"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Responders:     data from row 1</w:t>
                                  </w:r>
                                </w:p>
                                <w:p w14:paraId="048C97CB"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Non-responders: data from row 2</w:t>
                                  </w:r>
                                </w:p>
                                <w:p w14:paraId="20A803F7"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Adjusted Diff Prop:  data from row 3</w:t>
                                  </w:r>
                                </w:p>
                                <w:p w14:paraId="68ACDD90"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95 CI:  data from row 4</w:t>
                                  </w:r>
                                </w:p>
                                <w:p w14:paraId="4ABCDE6A"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 xml:space="preserve">Adjusted </w:t>
                                  </w:r>
                                  <w:proofErr w:type="spellStart"/>
                                  <w:r>
                                    <w:rPr>
                                      <w:rFonts w:cs="Courier New"/>
                                      <w:color w:val="000000"/>
                                      <w:sz w:val="20"/>
                                      <w:shd w:val="clear" w:color="auto" w:fill="FFFFFF"/>
                                    </w:rPr>
                                    <w:t>pvalue</w:t>
                                  </w:r>
                                  <w:proofErr w:type="spellEnd"/>
                                  <w:r>
                                    <w:rPr>
                                      <w:rFonts w:cs="Courier New"/>
                                      <w:color w:val="000000"/>
                                      <w:sz w:val="20"/>
                                      <w:shd w:val="clear" w:color="auto" w:fill="FFFFFF"/>
                                    </w:rPr>
                                    <w:t>:  data from row 5</w:t>
                                  </w:r>
                                </w:p>
                                <w:p w14:paraId="4AAD6113"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 xml:space="preserve">Homogeneity </w:t>
                                  </w:r>
                                  <w:proofErr w:type="spellStart"/>
                                  <w:r>
                                    <w:rPr>
                                      <w:rFonts w:cs="Courier New"/>
                                      <w:color w:val="000000"/>
                                      <w:sz w:val="20"/>
                                      <w:shd w:val="clear" w:color="auto" w:fill="FFFFFF"/>
                                    </w:rPr>
                                    <w:t>pvalue</w:t>
                                  </w:r>
                                  <w:proofErr w:type="spellEnd"/>
                                  <w:r>
                                    <w:rPr>
                                      <w:rFonts w:cs="Courier New"/>
                                      <w:color w:val="000000"/>
                                      <w:sz w:val="20"/>
                                      <w:shd w:val="clear" w:color="auto" w:fill="FFFFFF"/>
                                    </w:rPr>
                                    <w:t>:  data from row 6</w:t>
                                  </w:r>
                                </w:p>
                                <w:p w14:paraId="7871E433" w14:textId="77777777" w:rsidR="002E428C" w:rsidRDefault="002E428C" w:rsidP="007B4697">
                                  <w:pPr>
                                    <w:autoSpaceDE w:val="0"/>
                                    <w:autoSpaceDN w:val="0"/>
                                    <w:adjustRightInd w:val="0"/>
                                    <w:rPr>
                                      <w:rFonts w:cs="Courier New"/>
                                      <w:color w:val="000000"/>
                                      <w:sz w:val="20"/>
                                      <w:shd w:val="clear" w:color="auto" w:fill="FFFFFF"/>
                                    </w:rPr>
                                  </w:pPr>
                                </w:p>
                                <w:p w14:paraId="444C719D" w14:textId="77777777" w:rsidR="002E428C" w:rsidRDefault="002E428C" w:rsidP="007B4697">
                                  <w:pPr>
                                    <w:autoSpaceDE w:val="0"/>
                                    <w:autoSpaceDN w:val="0"/>
                                    <w:adjustRightInd w:val="0"/>
                                    <w:rPr>
                                      <w:rFonts w:cs="Courier New"/>
                                      <w:color w:val="000000"/>
                                      <w:sz w:val="20"/>
                                      <w:shd w:val="clear" w:color="auto" w:fill="FFFFFF"/>
                                    </w:rPr>
                                  </w:pPr>
                                </w:p>
                                <w:p w14:paraId="43AF5BE4" w14:textId="77777777" w:rsidR="002E428C" w:rsidRDefault="002E428C" w:rsidP="007B4697">
                                  <w:pPr>
                                    <w:spacing w:after="120"/>
                                    <w:rPr>
                                      <w:bCs/>
                                      <w:color w:val="000000"/>
                                      <w:sz w:val="18"/>
                                      <w:szCs w:val="18"/>
                                    </w:rPr>
                                  </w:pPr>
                                </w:p>
                                <w:p w14:paraId="39651B16" w14:textId="77777777" w:rsidR="002E428C" w:rsidRDefault="002E428C" w:rsidP="007B4697">
                                  <w:pPr>
                                    <w:spacing w:after="120"/>
                                    <w:rPr>
                                      <w:bCs/>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873CB" id="_x0000_s1028" type="#_x0000_t202" style="position:absolute;margin-left:306.35pt;margin-top:9.75pt;width:271.5pt;height:234.1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m1Gw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">
                      <v:textbox>
                        <w:txbxContent>
                          <w:p w14:paraId="7FCF0B6F" w14:textId="77777777" w:rsidR="002E428C" w:rsidRDefault="002E428C" w:rsidP="007B4697">
                            <w:pPr>
                              <w:autoSpaceDE w:val="0"/>
                              <w:autoSpaceDN w:val="0"/>
                              <w:adjustRightInd w:val="0"/>
                              <w:rPr>
                                <w:bCs/>
                                <w:iCs/>
                                <w:color w:val="000000"/>
                                <w:sz w:val="20"/>
                              </w:rPr>
                            </w:pPr>
                            <w:r>
                              <w:rPr>
                                <w:bCs/>
                                <w:iCs/>
                                <w:color w:val="000000"/>
                                <w:sz w:val="20"/>
                              </w:rPr>
                              <w:t>Treatment group for Big N:  TRT01P</w:t>
                            </w:r>
                          </w:p>
                          <w:p w14:paraId="44F68EB8" w14:textId="77777777" w:rsidR="002E428C" w:rsidRDefault="002E428C" w:rsidP="007B4697">
                            <w:pPr>
                              <w:autoSpaceDE w:val="0"/>
                              <w:autoSpaceDN w:val="0"/>
                              <w:adjustRightInd w:val="0"/>
                              <w:rPr>
                                <w:bCs/>
                                <w:iCs/>
                                <w:color w:val="000000"/>
                                <w:sz w:val="20"/>
                              </w:rPr>
                            </w:pPr>
                            <w:r>
                              <w:rPr>
                                <w:bCs/>
                                <w:iCs/>
                                <w:color w:val="000000"/>
                                <w:sz w:val="20"/>
                              </w:rPr>
                              <w:t>Dataset:  ADEFF where RANDFL = Y</w:t>
                            </w:r>
                          </w:p>
                          <w:p w14:paraId="41CE0A2D" w14:textId="77777777" w:rsidR="002E428C" w:rsidRDefault="002E428C" w:rsidP="007B4697">
                            <w:pPr>
                              <w:autoSpaceDE w:val="0"/>
                              <w:autoSpaceDN w:val="0"/>
                              <w:adjustRightInd w:val="0"/>
                              <w:rPr>
                                <w:bCs/>
                                <w:iCs/>
                                <w:color w:val="000000"/>
                                <w:sz w:val="20"/>
                              </w:rPr>
                            </w:pPr>
                            <w:r>
                              <w:rPr>
                                <w:bCs/>
                                <w:iCs/>
                                <w:color w:val="000000"/>
                                <w:sz w:val="20"/>
                              </w:rPr>
                              <w:t>PARAMCD:  PENDPT1</w:t>
                            </w:r>
                          </w:p>
                          <w:p w14:paraId="18693851" w14:textId="77777777" w:rsidR="002E428C" w:rsidRDefault="002E428C" w:rsidP="007B4697">
                            <w:pPr>
                              <w:autoSpaceDE w:val="0"/>
                              <w:autoSpaceDN w:val="0"/>
                              <w:adjustRightInd w:val="0"/>
                              <w:rPr>
                                <w:bCs/>
                                <w:iCs/>
                                <w:color w:val="000000"/>
                                <w:sz w:val="20"/>
                              </w:rPr>
                            </w:pPr>
                          </w:p>
                          <w:p w14:paraId="17A23858" w14:textId="77777777" w:rsidR="002E428C" w:rsidRDefault="002E428C" w:rsidP="007B4697">
                            <w:pPr>
                              <w:autoSpaceDE w:val="0"/>
                              <w:autoSpaceDN w:val="0"/>
                              <w:adjustRightInd w:val="0"/>
                              <w:rPr>
                                <w:bCs/>
                                <w:iCs/>
                                <w:color w:val="000000"/>
                                <w:sz w:val="20"/>
                              </w:rPr>
                            </w:pPr>
                          </w:p>
                          <w:p w14:paraId="4558554B" w14:textId="77777777" w:rsidR="002E428C" w:rsidRDefault="002E428C" w:rsidP="007B4697">
                            <w:pPr>
                              <w:autoSpaceDE w:val="0"/>
                              <w:autoSpaceDN w:val="0"/>
                              <w:adjustRightInd w:val="0"/>
                              <w:rPr>
                                <w:bCs/>
                                <w:iCs/>
                                <w:color w:val="000000"/>
                                <w:sz w:val="20"/>
                              </w:rPr>
                            </w:pPr>
                            <w:r>
                              <w:rPr>
                                <w:bCs/>
                                <w:iCs/>
                                <w:color w:val="000000"/>
                                <w:sz w:val="20"/>
                              </w:rPr>
                              <w:t>Prod side: Using EFF_ADJPROP macro</w:t>
                            </w:r>
                          </w:p>
                          <w:p w14:paraId="68CD0977" w14:textId="77777777" w:rsidR="002E428C" w:rsidRDefault="002E428C" w:rsidP="007B4697">
                            <w:pPr>
                              <w:autoSpaceDE w:val="0"/>
                              <w:autoSpaceDN w:val="0"/>
                              <w:adjustRightInd w:val="0"/>
                              <w:rPr>
                                <w:bCs/>
                                <w:iCs/>
                                <w:color w:val="000000"/>
                                <w:sz w:val="20"/>
                              </w:rPr>
                            </w:pPr>
                            <w:r>
                              <w:rPr>
                                <w:bCs/>
                                <w:iCs/>
                                <w:color w:val="000000"/>
                                <w:sz w:val="20"/>
                              </w:rPr>
                              <w:t>Val side:  Using VEFF_ADJPROP macro</w:t>
                            </w:r>
                          </w:p>
                          <w:p w14:paraId="1CF117AA" w14:textId="77777777" w:rsidR="002E428C" w:rsidRDefault="002E428C" w:rsidP="007B4697">
                            <w:pPr>
                              <w:autoSpaceDE w:val="0"/>
                              <w:autoSpaceDN w:val="0"/>
                              <w:adjustRightInd w:val="0"/>
                              <w:rPr>
                                <w:rFonts w:cs="Courier New"/>
                                <w:color w:val="000000"/>
                                <w:sz w:val="20"/>
                                <w:shd w:val="clear" w:color="auto" w:fill="FFFFFF"/>
                              </w:rPr>
                            </w:pPr>
                          </w:p>
                          <w:p w14:paraId="68258AC7" w14:textId="77777777" w:rsidR="002E428C" w:rsidRDefault="002E428C" w:rsidP="007B4697">
                            <w:pPr>
                              <w:autoSpaceDE w:val="0"/>
                              <w:autoSpaceDN w:val="0"/>
                              <w:adjustRightInd w:val="0"/>
                              <w:rPr>
                                <w:rFonts w:cs="Courier New"/>
                                <w:b/>
                                <w:bCs/>
                                <w:i/>
                                <w:iCs/>
                                <w:color w:val="000000"/>
                                <w:sz w:val="20"/>
                                <w:shd w:val="clear" w:color="auto" w:fill="FFFFFF"/>
                              </w:rPr>
                            </w:pPr>
                            <w:r>
                              <w:rPr>
                                <w:rFonts w:cs="Courier New"/>
                                <w:color w:val="000000"/>
                                <w:sz w:val="20"/>
                                <w:shd w:val="clear" w:color="auto" w:fill="FFFFFF"/>
                              </w:rPr>
                              <w:t>%</w:t>
                            </w:r>
                            <w:r>
                              <w:rPr>
                                <w:rFonts w:cs="Courier New"/>
                                <w:b/>
                                <w:bCs/>
                                <w:i/>
                                <w:iCs/>
                                <w:color w:val="000000"/>
                                <w:sz w:val="20"/>
                                <w:shd w:val="clear" w:color="auto" w:fill="FFFFFF"/>
                              </w:rPr>
                              <w:t>EFF_ADJPROP</w:t>
                            </w:r>
                          </w:p>
                          <w:p w14:paraId="0349F313"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w:t>
                            </w:r>
                            <w:proofErr w:type="spellStart"/>
                            <w:r>
                              <w:rPr>
                                <w:rFonts w:cs="Courier New"/>
                                <w:color w:val="000000"/>
                                <w:sz w:val="20"/>
                                <w:shd w:val="clear" w:color="auto" w:fill="FFFFFF"/>
                              </w:rPr>
                              <w:t>dsin</w:t>
                            </w:r>
                            <w:proofErr w:type="spellEnd"/>
                            <w:r>
                              <w:rPr>
                                <w:rFonts w:cs="Courier New"/>
                                <w:color w:val="000000"/>
                                <w:sz w:val="20"/>
                                <w:shd w:val="clear" w:color="auto" w:fill="FFFFFF"/>
                              </w:rPr>
                              <w:t>=</w:t>
                            </w:r>
                            <w:proofErr w:type="spellStart"/>
                            <w:r>
                              <w:rPr>
                                <w:rFonts w:cs="Courier New"/>
                                <w:color w:val="000000"/>
                                <w:sz w:val="20"/>
                                <w:shd w:val="clear" w:color="auto" w:fill="FFFFFF"/>
                              </w:rPr>
                              <w:t>adeff</w:t>
                            </w:r>
                            <w:proofErr w:type="spellEnd"/>
                            <w:r>
                              <w:rPr>
                                <w:rFonts w:cs="Courier New"/>
                                <w:color w:val="000000"/>
                                <w:sz w:val="20"/>
                                <w:shd w:val="clear" w:color="auto" w:fill="FFFFFF"/>
                              </w:rPr>
                              <w:t xml:space="preserve">, </w:t>
                            </w:r>
                            <w:proofErr w:type="spellStart"/>
                            <w:r>
                              <w:rPr>
                                <w:rFonts w:cs="Courier New"/>
                                <w:color w:val="000000"/>
                                <w:sz w:val="20"/>
                                <w:shd w:val="clear" w:color="auto" w:fill="FFFFFF"/>
                              </w:rPr>
                              <w:t>popfl</w:t>
                            </w:r>
                            <w:proofErr w:type="spellEnd"/>
                            <w:r>
                              <w:rPr>
                                <w:rFonts w:cs="Courier New"/>
                                <w:color w:val="000000"/>
                                <w:sz w:val="20"/>
                                <w:shd w:val="clear" w:color="auto" w:fill="FFFFFF"/>
                              </w:rPr>
                              <w:t xml:space="preserve">=RANDFL, </w:t>
                            </w:r>
                          </w:p>
                          <w:p w14:paraId="46FEE044" w14:textId="77777777" w:rsidR="002E428C" w:rsidRDefault="002E428C" w:rsidP="007B4697">
                            <w:pPr>
                              <w:autoSpaceDE w:val="0"/>
                              <w:autoSpaceDN w:val="0"/>
                              <w:adjustRightInd w:val="0"/>
                              <w:rPr>
                                <w:rFonts w:cs="Courier New"/>
                                <w:color w:val="000000"/>
                                <w:sz w:val="20"/>
                                <w:shd w:val="clear" w:color="auto" w:fill="FFFFFF"/>
                              </w:rPr>
                            </w:pPr>
                            <w:proofErr w:type="spellStart"/>
                            <w:r>
                              <w:rPr>
                                <w:rFonts w:cs="Courier New"/>
                                <w:color w:val="000000"/>
                                <w:sz w:val="20"/>
                                <w:shd w:val="clear" w:color="auto" w:fill="FFFFFF"/>
                              </w:rPr>
                              <w:t>trtgrp</w:t>
                            </w:r>
                            <w:proofErr w:type="spellEnd"/>
                            <w:r>
                              <w:rPr>
                                <w:rFonts w:cs="Courier New"/>
                                <w:color w:val="000000"/>
                                <w:sz w:val="20"/>
                                <w:shd w:val="clear" w:color="auto" w:fill="FFFFFF"/>
                              </w:rPr>
                              <w:t xml:space="preserve">= TRT01PN, </w:t>
                            </w:r>
                            <w:proofErr w:type="spellStart"/>
                            <w:r>
                              <w:rPr>
                                <w:rFonts w:cs="Courier New"/>
                                <w:color w:val="000000"/>
                                <w:sz w:val="20"/>
                                <w:shd w:val="clear" w:color="auto" w:fill="FFFFFF"/>
                              </w:rPr>
                              <w:t>endpt</w:t>
                            </w:r>
                            <w:proofErr w:type="spellEnd"/>
                            <w:r>
                              <w:rPr>
                                <w:rFonts w:cs="Courier New"/>
                                <w:color w:val="000000"/>
                                <w:sz w:val="20"/>
                                <w:shd w:val="clear" w:color="auto" w:fill="FFFFFF"/>
                              </w:rPr>
                              <w:t xml:space="preserve">=PENDPT1, </w:t>
                            </w:r>
                          </w:p>
                          <w:p w14:paraId="3AEE6BAB" w14:textId="77777777" w:rsidR="002E428C" w:rsidRDefault="002E428C" w:rsidP="007B4697">
                            <w:pPr>
                              <w:autoSpaceDE w:val="0"/>
                              <w:autoSpaceDN w:val="0"/>
                              <w:adjustRightInd w:val="0"/>
                              <w:rPr>
                                <w:rFonts w:cs="Courier New"/>
                                <w:color w:val="000000"/>
                                <w:sz w:val="20"/>
                                <w:shd w:val="clear" w:color="auto" w:fill="FFFFFF"/>
                              </w:rPr>
                            </w:pPr>
                            <w:proofErr w:type="spellStart"/>
                            <w:r>
                              <w:rPr>
                                <w:rFonts w:cs="Courier New"/>
                                <w:color w:val="000000"/>
                                <w:sz w:val="20"/>
                                <w:shd w:val="clear" w:color="auto" w:fill="FFFFFF"/>
                              </w:rPr>
                              <w:t>tpstrvar</w:t>
                            </w:r>
                            <w:proofErr w:type="spellEnd"/>
                            <w:r>
                              <w:rPr>
                                <w:rFonts w:cs="Courier New"/>
                                <w:color w:val="000000"/>
                                <w:sz w:val="20"/>
                                <w:shd w:val="clear" w:color="auto" w:fill="FFFFFF"/>
                              </w:rPr>
                              <w:t xml:space="preserve">=SV01VALC, </w:t>
                            </w:r>
                            <w:proofErr w:type="spellStart"/>
                            <w:r>
                              <w:rPr>
                                <w:rFonts w:cs="Courier New"/>
                                <w:color w:val="000000"/>
                                <w:sz w:val="20"/>
                                <w:shd w:val="clear" w:color="auto" w:fill="FFFFFF"/>
                              </w:rPr>
                              <w:t>vlstrvar</w:t>
                            </w:r>
                            <w:proofErr w:type="spellEnd"/>
                            <w:r>
                              <w:rPr>
                                <w:rFonts w:cs="Courier New"/>
                                <w:color w:val="000000"/>
                                <w:sz w:val="20"/>
                                <w:shd w:val="clear" w:color="auto" w:fill="FFFFFF"/>
                              </w:rPr>
                              <w:t>=SV02VALC</w:t>
                            </w:r>
                            <w:proofErr w:type="gramStart"/>
                            <w:r>
                              <w:rPr>
                                <w:rFonts w:cs="Courier New"/>
                                <w:color w:val="000000"/>
                                <w:sz w:val="20"/>
                                <w:shd w:val="clear" w:color="auto" w:fill="FFFFFF"/>
                              </w:rPr>
                              <w:t>);</w:t>
                            </w:r>
                            <w:proofErr w:type="gramEnd"/>
                          </w:p>
                          <w:p w14:paraId="67A55D3B" w14:textId="77777777" w:rsidR="002E428C" w:rsidRDefault="002E428C" w:rsidP="007B4697">
                            <w:pPr>
                              <w:autoSpaceDE w:val="0"/>
                              <w:autoSpaceDN w:val="0"/>
                              <w:adjustRightInd w:val="0"/>
                              <w:rPr>
                                <w:rFonts w:cs="Courier New"/>
                                <w:color w:val="000000"/>
                                <w:sz w:val="20"/>
                                <w:shd w:val="clear" w:color="auto" w:fill="FFFFFF"/>
                              </w:rPr>
                            </w:pPr>
                          </w:p>
                          <w:p w14:paraId="4DF67FAB"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Responders:     data from row 1</w:t>
                            </w:r>
                          </w:p>
                          <w:p w14:paraId="048C97CB"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Non-responders: data from row 2</w:t>
                            </w:r>
                          </w:p>
                          <w:p w14:paraId="20A803F7"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Adjusted Diff Prop:  data from row 3</w:t>
                            </w:r>
                          </w:p>
                          <w:p w14:paraId="68ACDD90"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95 CI:  data from row 4</w:t>
                            </w:r>
                          </w:p>
                          <w:p w14:paraId="4ABCDE6A"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 xml:space="preserve">Adjusted </w:t>
                            </w:r>
                            <w:proofErr w:type="spellStart"/>
                            <w:r>
                              <w:rPr>
                                <w:rFonts w:cs="Courier New"/>
                                <w:color w:val="000000"/>
                                <w:sz w:val="20"/>
                                <w:shd w:val="clear" w:color="auto" w:fill="FFFFFF"/>
                              </w:rPr>
                              <w:t>pvalue</w:t>
                            </w:r>
                            <w:proofErr w:type="spellEnd"/>
                            <w:r>
                              <w:rPr>
                                <w:rFonts w:cs="Courier New"/>
                                <w:color w:val="000000"/>
                                <w:sz w:val="20"/>
                                <w:shd w:val="clear" w:color="auto" w:fill="FFFFFF"/>
                              </w:rPr>
                              <w:t>:  data from row 5</w:t>
                            </w:r>
                          </w:p>
                          <w:p w14:paraId="4AAD6113" w14:textId="77777777" w:rsidR="002E428C" w:rsidRDefault="002E428C" w:rsidP="007B4697">
                            <w:pPr>
                              <w:autoSpaceDE w:val="0"/>
                              <w:autoSpaceDN w:val="0"/>
                              <w:adjustRightInd w:val="0"/>
                              <w:rPr>
                                <w:rFonts w:cs="Courier New"/>
                                <w:color w:val="000000"/>
                                <w:sz w:val="20"/>
                                <w:shd w:val="clear" w:color="auto" w:fill="FFFFFF"/>
                              </w:rPr>
                            </w:pPr>
                            <w:r>
                              <w:rPr>
                                <w:rFonts w:cs="Courier New"/>
                                <w:color w:val="000000"/>
                                <w:sz w:val="20"/>
                                <w:shd w:val="clear" w:color="auto" w:fill="FFFFFF"/>
                              </w:rPr>
                              <w:t xml:space="preserve">Homogeneity </w:t>
                            </w:r>
                            <w:proofErr w:type="spellStart"/>
                            <w:r>
                              <w:rPr>
                                <w:rFonts w:cs="Courier New"/>
                                <w:color w:val="000000"/>
                                <w:sz w:val="20"/>
                                <w:shd w:val="clear" w:color="auto" w:fill="FFFFFF"/>
                              </w:rPr>
                              <w:t>pvalue</w:t>
                            </w:r>
                            <w:proofErr w:type="spellEnd"/>
                            <w:r>
                              <w:rPr>
                                <w:rFonts w:cs="Courier New"/>
                                <w:color w:val="000000"/>
                                <w:sz w:val="20"/>
                                <w:shd w:val="clear" w:color="auto" w:fill="FFFFFF"/>
                              </w:rPr>
                              <w:t>:  data from row 6</w:t>
                            </w:r>
                          </w:p>
                          <w:p w14:paraId="7871E433" w14:textId="77777777" w:rsidR="002E428C" w:rsidRDefault="002E428C" w:rsidP="007B4697">
                            <w:pPr>
                              <w:autoSpaceDE w:val="0"/>
                              <w:autoSpaceDN w:val="0"/>
                              <w:adjustRightInd w:val="0"/>
                              <w:rPr>
                                <w:rFonts w:cs="Courier New"/>
                                <w:color w:val="000000"/>
                                <w:sz w:val="20"/>
                                <w:shd w:val="clear" w:color="auto" w:fill="FFFFFF"/>
                              </w:rPr>
                            </w:pPr>
                          </w:p>
                          <w:p w14:paraId="444C719D" w14:textId="77777777" w:rsidR="002E428C" w:rsidRDefault="002E428C" w:rsidP="007B4697">
                            <w:pPr>
                              <w:autoSpaceDE w:val="0"/>
                              <w:autoSpaceDN w:val="0"/>
                              <w:adjustRightInd w:val="0"/>
                              <w:rPr>
                                <w:rFonts w:cs="Courier New"/>
                                <w:color w:val="000000"/>
                                <w:sz w:val="20"/>
                                <w:shd w:val="clear" w:color="auto" w:fill="FFFFFF"/>
                              </w:rPr>
                            </w:pPr>
                          </w:p>
                          <w:p w14:paraId="43AF5BE4" w14:textId="77777777" w:rsidR="002E428C" w:rsidRDefault="002E428C" w:rsidP="007B4697">
                            <w:pPr>
                              <w:spacing w:after="120"/>
                              <w:rPr>
                                <w:bCs/>
                                <w:color w:val="000000"/>
                                <w:sz w:val="18"/>
                                <w:szCs w:val="18"/>
                              </w:rPr>
                            </w:pPr>
                          </w:p>
                          <w:p w14:paraId="39651B16" w14:textId="77777777" w:rsidR="002E428C" w:rsidRDefault="002E428C" w:rsidP="007B4697">
                            <w:pPr>
                              <w:spacing w:after="120"/>
                              <w:rPr>
                                <w:bCs/>
                                <w:color w:val="000000"/>
                                <w:sz w:val="18"/>
                                <w:szCs w:val="18"/>
                              </w:rPr>
                            </w:pPr>
                          </w:p>
                        </w:txbxContent>
                      </v:textbox>
                    </v:shape>
                  </w:pict>
                </mc:Fallback>
              </mc:AlternateContent>
            </w:r>
            <w:r w:rsidRPr="001415DB">
              <w:t>Overall</w:t>
            </w:r>
          </w:p>
        </w:tc>
        <w:tc>
          <w:tcPr>
            <w:tcW w:w="1048" w:type="pct"/>
          </w:tcPr>
          <w:p w14:paraId="474A7C2C" w14:textId="77777777" w:rsidR="002E428C" w:rsidRPr="001415DB" w:rsidRDefault="002E428C" w:rsidP="007B4697">
            <w:pPr>
              <w:jc w:val="center"/>
            </w:pPr>
          </w:p>
        </w:tc>
        <w:tc>
          <w:tcPr>
            <w:tcW w:w="686" w:type="pct"/>
          </w:tcPr>
          <w:p w14:paraId="74F09214" w14:textId="50542634" w:rsidR="002E428C" w:rsidRPr="001415DB" w:rsidRDefault="002E428C" w:rsidP="007B4697">
            <w:pPr>
              <w:jc w:val="center"/>
            </w:pPr>
          </w:p>
        </w:tc>
      </w:tr>
      <w:tr w:rsidR="002E428C" w:rsidRPr="001415DB" w14:paraId="7448E1B7" w14:textId="77777777" w:rsidTr="003A5960">
        <w:trPr>
          <w:trHeight w:val="20"/>
        </w:trPr>
        <w:tc>
          <w:tcPr>
            <w:tcW w:w="3267" w:type="pct"/>
          </w:tcPr>
          <w:p w14:paraId="780108E6" w14:textId="77777777" w:rsidR="002E428C" w:rsidRPr="001415DB" w:rsidRDefault="002E428C" w:rsidP="007B4697">
            <w:r w:rsidRPr="001415DB">
              <w:t>Responders</w:t>
            </w:r>
          </w:p>
        </w:tc>
        <w:tc>
          <w:tcPr>
            <w:tcW w:w="1048" w:type="pct"/>
          </w:tcPr>
          <w:p w14:paraId="484F36DC" w14:textId="269D46BF" w:rsidR="002E428C" w:rsidRPr="001415DB" w:rsidRDefault="002E428C" w:rsidP="007B4697">
            <w:pPr>
              <w:jc w:val="center"/>
              <w:rPr>
                <w:lang w:val="en-GB"/>
              </w:rPr>
            </w:pPr>
            <w:r w:rsidRPr="001415DB">
              <w:rPr>
                <w:lang w:val="en-GB"/>
              </w:rPr>
              <w:t>44 (19)</w:t>
            </w:r>
          </w:p>
        </w:tc>
        <w:tc>
          <w:tcPr>
            <w:tcW w:w="686" w:type="pct"/>
          </w:tcPr>
          <w:p w14:paraId="5ABF5A83" w14:textId="57F40ACD" w:rsidR="002E428C" w:rsidRPr="001415DB" w:rsidRDefault="002E428C" w:rsidP="007B4697">
            <w:pPr>
              <w:jc w:val="center"/>
            </w:pPr>
            <w:r w:rsidRPr="001415DB">
              <w:rPr>
                <w:lang w:val="en-GB"/>
              </w:rPr>
              <w:t>12 (10)</w:t>
            </w:r>
          </w:p>
        </w:tc>
      </w:tr>
      <w:tr w:rsidR="002E428C" w:rsidRPr="001415DB" w14:paraId="6D1B2453" w14:textId="77777777" w:rsidTr="003A5960">
        <w:trPr>
          <w:trHeight w:val="20"/>
        </w:trPr>
        <w:tc>
          <w:tcPr>
            <w:tcW w:w="3267" w:type="pct"/>
          </w:tcPr>
          <w:p w14:paraId="2B082616" w14:textId="77777777" w:rsidR="002E428C" w:rsidRPr="001415DB" w:rsidRDefault="002E428C" w:rsidP="007B4697">
            <w:r w:rsidRPr="001415DB">
              <w:t xml:space="preserve">Adjusted difference in proportion of responders (95% </w:t>
            </w:r>
            <w:proofErr w:type="gramStart"/>
            <w:r w:rsidRPr="001415DB">
              <w:t>CI)</w:t>
            </w:r>
            <w:r w:rsidRPr="001415DB">
              <w:rPr>
                <w:vertAlign w:val="superscript"/>
              </w:rPr>
              <w:t>a</w:t>
            </w:r>
            <w:proofErr w:type="gramEnd"/>
          </w:p>
        </w:tc>
        <w:tc>
          <w:tcPr>
            <w:tcW w:w="1048" w:type="pct"/>
          </w:tcPr>
          <w:p w14:paraId="1A66CE8F" w14:textId="7AAFCBF3" w:rsidR="002E428C" w:rsidRPr="001415DB" w:rsidRDefault="002E428C" w:rsidP="007B4697">
            <w:pPr>
              <w:jc w:val="center"/>
            </w:pPr>
            <w:r w:rsidRPr="001415DB">
              <w:rPr>
                <w:lang w:val="en-GB"/>
              </w:rPr>
              <w:t>9.45 (2.0, 16.9)</w:t>
            </w:r>
          </w:p>
        </w:tc>
        <w:tc>
          <w:tcPr>
            <w:tcW w:w="686" w:type="pct"/>
          </w:tcPr>
          <w:p w14:paraId="72A9F687" w14:textId="6EAA680E" w:rsidR="002E428C" w:rsidRPr="001415DB" w:rsidRDefault="002E428C" w:rsidP="007B4697">
            <w:pPr>
              <w:jc w:val="center"/>
            </w:pPr>
          </w:p>
        </w:tc>
      </w:tr>
      <w:tr w:rsidR="002E428C" w:rsidRPr="001415DB" w14:paraId="2BF15671" w14:textId="77777777" w:rsidTr="003A5960">
        <w:trPr>
          <w:trHeight w:val="20"/>
        </w:trPr>
        <w:tc>
          <w:tcPr>
            <w:tcW w:w="3267" w:type="pct"/>
          </w:tcPr>
          <w:p w14:paraId="454D6DE0" w14:textId="77777777" w:rsidR="002E428C" w:rsidRPr="001415DB" w:rsidRDefault="002E428C" w:rsidP="007B4697">
            <w:r w:rsidRPr="001415DB">
              <w:rPr>
                <w:lang w:val="en-GB"/>
              </w:rPr>
              <w:t xml:space="preserve">p-value: </w:t>
            </w:r>
            <w:proofErr w:type="spellStart"/>
            <w:r w:rsidRPr="001415DB">
              <w:rPr>
                <w:lang w:val="en-GB"/>
              </w:rPr>
              <w:t>adjusted</w:t>
            </w:r>
            <w:r w:rsidRPr="001415DB">
              <w:rPr>
                <w:vertAlign w:val="superscript"/>
                <w:lang w:val="en-GB"/>
              </w:rPr>
              <w:t>a</w:t>
            </w:r>
            <w:proofErr w:type="spellEnd"/>
          </w:p>
        </w:tc>
        <w:tc>
          <w:tcPr>
            <w:tcW w:w="1048" w:type="pct"/>
          </w:tcPr>
          <w:p w14:paraId="5B710010" w14:textId="45301CD1" w:rsidR="002E428C" w:rsidRPr="001415DB" w:rsidRDefault="002E428C" w:rsidP="007B4697">
            <w:pPr>
              <w:jc w:val="center"/>
            </w:pPr>
            <w:r w:rsidRPr="001415DB">
              <w:t>0.013</w:t>
            </w:r>
          </w:p>
        </w:tc>
        <w:tc>
          <w:tcPr>
            <w:tcW w:w="686" w:type="pct"/>
          </w:tcPr>
          <w:p w14:paraId="467D0F9A" w14:textId="17EF893F" w:rsidR="002E428C" w:rsidRPr="001415DB" w:rsidRDefault="002E428C" w:rsidP="007B4697">
            <w:pPr>
              <w:jc w:val="center"/>
            </w:pPr>
          </w:p>
        </w:tc>
      </w:tr>
    </w:tbl>
    <w:p w14:paraId="5B2965FE" w14:textId="77777777" w:rsidR="00B97660" w:rsidRDefault="00B97660" w:rsidP="00B97660">
      <w:pPr>
        <w:spacing w:before="240" w:line="240" w:lineRule="auto"/>
        <w:ind w:left="90"/>
        <w:contextualSpacing/>
        <w:rPr>
          <w:rFonts w:ascii="Times New Roman" w:eastAsia="Times New Roman" w:hAnsi="Times New Roman" w:cs="Times New Roman"/>
          <w:sz w:val="20"/>
          <w:szCs w:val="20"/>
        </w:rPr>
      </w:pPr>
    </w:p>
    <w:p w14:paraId="648DE77E" w14:textId="53681639" w:rsidR="00C70F20" w:rsidRPr="001415DB" w:rsidRDefault="00C70F20" w:rsidP="00B97660">
      <w:pPr>
        <w:spacing w:before="240" w:line="240" w:lineRule="auto"/>
        <w:ind w:left="90"/>
        <w:contextualSpacing/>
        <w:rPr>
          <w:rFonts w:ascii="Times New Roman" w:eastAsia="Times New Roman" w:hAnsi="Times New Roman" w:cs="Times New Roman"/>
          <w:sz w:val="20"/>
          <w:szCs w:val="20"/>
        </w:rPr>
      </w:pPr>
      <w:r w:rsidRPr="001415DB">
        <w:rPr>
          <w:rFonts w:ascii="Times New Roman" w:eastAsia="Times New Roman" w:hAnsi="Times New Roman" w:cs="Times New Roman"/>
          <w:sz w:val="20"/>
          <w:szCs w:val="20"/>
        </w:rPr>
        <w:t>CI=confidence interval; CMV=cytomegalovirus; IAT=investigator</w:t>
      </w:r>
      <w:r w:rsidRPr="001415DB">
        <w:rPr>
          <w:rFonts w:ascii="Times New Roman" w:eastAsia="Times New Roman" w:hAnsi="Times New Roman" w:cs="Times New Roman"/>
          <w:sz w:val="20"/>
          <w:szCs w:val="20"/>
        </w:rPr>
        <w:noBreakHyphen/>
        <w:t>assigned anti</w:t>
      </w:r>
      <w:r w:rsidRPr="001415DB">
        <w:rPr>
          <w:rFonts w:ascii="Times New Roman" w:eastAsia="Times New Roman" w:hAnsi="Times New Roman" w:cs="Times New Roman"/>
          <w:sz w:val="20"/>
          <w:szCs w:val="20"/>
        </w:rPr>
        <w:noBreakHyphen/>
        <w:t>CMV treatment; N=number of patients.</w:t>
      </w:r>
    </w:p>
    <w:p w14:paraId="32F6C0B0" w14:textId="77777777" w:rsidR="00C70F20" w:rsidRPr="001415DB" w:rsidRDefault="00C70F20" w:rsidP="00C70F20">
      <w:pPr>
        <w:spacing w:line="240" w:lineRule="auto"/>
        <w:ind w:left="90"/>
        <w:contextualSpacing/>
        <w:rPr>
          <w:rFonts w:ascii="Times New Roman" w:eastAsia="Times New Roman" w:hAnsi="Times New Roman" w:cs="Times New Roman"/>
          <w:sz w:val="20"/>
          <w:szCs w:val="20"/>
        </w:rPr>
      </w:pPr>
      <w:r w:rsidRPr="001415DB">
        <w:rPr>
          <w:rFonts w:ascii="Times New Roman" w:eastAsia="Times New Roman" w:hAnsi="Times New Roman" w:cs="Times New Roman"/>
          <w:sz w:val="20"/>
          <w:szCs w:val="20"/>
          <w:vertAlign w:val="superscript"/>
        </w:rPr>
        <w:t>a</w:t>
      </w:r>
      <w:r w:rsidRPr="001415DB">
        <w:rPr>
          <w:rFonts w:ascii="Times New Roman" w:eastAsia="Times New Roman" w:hAnsi="Times New Roman" w:cs="Times New Roman"/>
          <w:sz w:val="20"/>
          <w:szCs w:val="20"/>
        </w:rPr>
        <w:t xml:space="preserve"> Cochran-Mantel-Haenszel weighted average approach was used for the adjusted difference in proportion (maribavir – IAT), the corresponding 95% CI, and the p-value after adjusting for the transplant type and baseline plasma CMV DNA concentration. Only those with both stratification factors were included in the computation.</w:t>
      </w:r>
    </w:p>
    <w:p w14:paraId="3F4AF9B4" w14:textId="12BFBD85" w:rsidR="00C70F20" w:rsidRDefault="00C70F20" w:rsidP="00C70F20">
      <w:pPr>
        <w:spacing w:line="240" w:lineRule="auto"/>
        <w:ind w:left="90"/>
        <w:contextualSpacing/>
        <w:rPr>
          <w:rFonts w:ascii="Times New Roman" w:hAnsi="Times New Roman" w:cs="Times New Roman"/>
          <w:sz w:val="20"/>
          <w:szCs w:val="20"/>
        </w:rPr>
      </w:pPr>
      <w:r w:rsidRPr="001415DB">
        <w:rPr>
          <w:rFonts w:ascii="Times New Roman" w:hAnsi="Times New Roman" w:cs="Times New Roman"/>
          <w:vertAlign w:val="superscript"/>
        </w:rPr>
        <w:t>b</w:t>
      </w:r>
      <w:r w:rsidRPr="001415DB">
        <w:rPr>
          <w:rFonts w:ascii="Times New Roman" w:hAnsi="Times New Roman" w:cs="Times New Roman"/>
          <w:sz w:val="20"/>
          <w:szCs w:val="20"/>
        </w:rPr>
        <w:t xml:space="preserve"> CMV infection symptom control was defined as resolution or improvement of tissue-invasive disease or CMV syndrome for symptomatic patients at baseline, or no new symptoms for patients who were asymptomatic at baseline.</w:t>
      </w:r>
    </w:p>
    <w:p w14:paraId="0A2F4FC5" w14:textId="77777777" w:rsidR="00B97660" w:rsidRDefault="00B97660" w:rsidP="00EF6D2C">
      <w:pPr>
        <w:rPr>
          <w:rFonts w:ascii="Times New Roman" w:hAnsi="Times New Roman" w:cs="Times New Roman"/>
          <w:sz w:val="24"/>
          <w:szCs w:val="24"/>
        </w:rPr>
      </w:pPr>
    </w:p>
    <w:p w14:paraId="464E0EF5" w14:textId="5E3AA095" w:rsidR="00EF6D2C" w:rsidRDefault="00EF6D2C" w:rsidP="00EF6D2C">
      <w:pPr>
        <w:rPr>
          <w:rFonts w:ascii="Times New Roman" w:hAnsi="Times New Roman" w:cs="Times New Roman"/>
          <w:sz w:val="24"/>
          <w:szCs w:val="24"/>
        </w:rPr>
      </w:pPr>
      <w:r>
        <w:rPr>
          <w:rFonts w:ascii="Times New Roman" w:hAnsi="Times New Roman" w:cs="Times New Roman"/>
          <w:sz w:val="24"/>
          <w:szCs w:val="24"/>
        </w:rPr>
        <w:t>The reasons for failure to meet the primary endpoint are summarized in Table 6.</w:t>
      </w:r>
    </w:p>
    <w:p w14:paraId="3BA0AF4F" w14:textId="77777777" w:rsidR="00EF6D2C" w:rsidRDefault="00EF6D2C" w:rsidP="00EF6D2C">
      <w:pPr>
        <w:rPr>
          <w:rFonts w:ascii="Times New Roman" w:hAnsi="Times New Roman" w:cs="Times New Roman"/>
          <w:b/>
          <w:sz w:val="24"/>
          <w:szCs w:val="24"/>
        </w:rPr>
      </w:pPr>
      <w:r>
        <w:rPr>
          <w:rFonts w:ascii="Times New Roman" w:hAnsi="Times New Roman" w:cs="Times New Roman"/>
          <w:b/>
          <w:sz w:val="24"/>
          <w:szCs w:val="24"/>
        </w:rPr>
        <w:t>Table 6: Analysis of Failures for Primary Efficacy Endpoint</w:t>
      </w:r>
    </w:p>
    <w:tbl>
      <w:tblPr>
        <w:tblStyle w:val="TableGrid"/>
        <w:tblW w:w="9085" w:type="dxa"/>
        <w:tblLook w:val="04A0" w:firstRow="1" w:lastRow="0" w:firstColumn="1" w:lastColumn="0" w:noHBand="0" w:noVBand="1"/>
        <w:tblCaption w:val="Table 10: Analysis of Failures for Primary Efficacy Endpoint"/>
        <w:tblDescription w:val="Table 10: Analysis of Failures for Primary Efficacy Endpoint"/>
      </w:tblPr>
      <w:tblGrid>
        <w:gridCol w:w="4945"/>
        <w:gridCol w:w="2070"/>
        <w:gridCol w:w="2070"/>
      </w:tblGrid>
      <w:tr w:rsidR="009244EC" w14:paraId="64F3616C" w14:textId="77777777" w:rsidTr="009244EC">
        <w:tc>
          <w:tcPr>
            <w:tcW w:w="4945" w:type="dxa"/>
          </w:tcPr>
          <w:p w14:paraId="1E724F87" w14:textId="77777777" w:rsidR="009244EC" w:rsidRDefault="009244EC" w:rsidP="007B4697">
            <w:pPr>
              <w:rPr>
                <w:rFonts w:ascii="Times New Roman" w:hAnsi="Times New Roman" w:cs="Times New Roman"/>
              </w:rPr>
            </w:pPr>
            <w:r>
              <w:rPr>
                <w:rFonts w:ascii="Times New Roman" w:hAnsi="Times New Roman" w:cs="Times New Roman"/>
                <w:b/>
                <w:bCs/>
              </w:rPr>
              <w:t>Outcome at Week 8</w:t>
            </w:r>
          </w:p>
        </w:tc>
        <w:tc>
          <w:tcPr>
            <w:tcW w:w="2070" w:type="dxa"/>
          </w:tcPr>
          <w:p w14:paraId="3550CD34" w14:textId="77777777" w:rsidR="009244EC" w:rsidRDefault="009244EC" w:rsidP="007B4697">
            <w:pPr>
              <w:jc w:val="center"/>
              <w:rPr>
                <w:rFonts w:ascii="Times New Roman" w:hAnsi="Times New Roman" w:cs="Times New Roman"/>
                <w:b/>
                <w:bCs/>
              </w:rPr>
            </w:pPr>
            <w:r>
              <w:rPr>
                <w:rFonts w:ascii="Times New Roman" w:hAnsi="Times New Roman" w:cs="Times New Roman"/>
                <w:b/>
              </w:rPr>
              <w:t>LIVTENCITY</w:t>
            </w:r>
          </w:p>
          <w:p w14:paraId="77DD1DE0" w14:textId="77777777" w:rsidR="009244EC" w:rsidRDefault="009244EC" w:rsidP="007B4697">
            <w:pPr>
              <w:jc w:val="center"/>
              <w:rPr>
                <w:rFonts w:ascii="Times New Roman" w:hAnsi="Times New Roman" w:cs="Times New Roman"/>
                <w:b/>
                <w:bCs/>
              </w:rPr>
            </w:pPr>
            <w:r>
              <w:rPr>
                <w:rFonts w:ascii="Times New Roman" w:hAnsi="Times New Roman" w:cs="Times New Roman"/>
                <w:b/>
                <w:bCs/>
              </w:rPr>
              <w:t>(N=235)</w:t>
            </w:r>
          </w:p>
          <w:p w14:paraId="1B6BD603" w14:textId="78D02058" w:rsidR="009244EC" w:rsidRDefault="009244EC" w:rsidP="007B4697">
            <w:pPr>
              <w:jc w:val="center"/>
              <w:rPr>
                <w:rFonts w:ascii="Times New Roman" w:hAnsi="Times New Roman" w:cs="Times New Roman"/>
                <w:b/>
                <w:bCs/>
              </w:rPr>
            </w:pPr>
            <w:r>
              <w:rPr>
                <w:rFonts w:ascii="Times New Roman" w:hAnsi="Times New Roman" w:cs="Times New Roman"/>
                <w:b/>
                <w:bCs/>
              </w:rPr>
              <w:t>n (%)</w:t>
            </w:r>
          </w:p>
        </w:tc>
        <w:tc>
          <w:tcPr>
            <w:tcW w:w="2070" w:type="dxa"/>
          </w:tcPr>
          <w:p w14:paraId="33973B62" w14:textId="212ECC99" w:rsidR="009244EC" w:rsidRDefault="009244EC" w:rsidP="007B4697">
            <w:pPr>
              <w:jc w:val="center"/>
              <w:rPr>
                <w:rFonts w:ascii="Times New Roman" w:hAnsi="Times New Roman" w:cs="Times New Roman"/>
                <w:b/>
                <w:bCs/>
              </w:rPr>
            </w:pPr>
            <w:r>
              <w:rPr>
                <w:rFonts w:ascii="Times New Roman" w:hAnsi="Times New Roman" w:cs="Times New Roman"/>
                <w:b/>
                <w:bCs/>
              </w:rPr>
              <w:t>IAT</w:t>
            </w:r>
          </w:p>
          <w:p w14:paraId="4BCDFD89" w14:textId="77777777" w:rsidR="009244EC" w:rsidRDefault="009244EC" w:rsidP="007B4697">
            <w:pPr>
              <w:jc w:val="center"/>
              <w:rPr>
                <w:rFonts w:ascii="Times New Roman" w:hAnsi="Times New Roman" w:cs="Times New Roman"/>
                <w:b/>
                <w:bCs/>
              </w:rPr>
            </w:pPr>
            <w:r>
              <w:rPr>
                <w:rFonts w:ascii="Times New Roman" w:hAnsi="Times New Roman" w:cs="Times New Roman"/>
                <w:b/>
                <w:bCs/>
              </w:rPr>
              <w:t>(N=117)</w:t>
            </w:r>
          </w:p>
          <w:p w14:paraId="2AFB9077" w14:textId="38844FEE" w:rsidR="009244EC" w:rsidRDefault="009244EC" w:rsidP="007B4697">
            <w:pPr>
              <w:jc w:val="center"/>
              <w:rPr>
                <w:rFonts w:ascii="Times New Roman" w:hAnsi="Times New Roman" w:cs="Times New Roman"/>
                <w:b/>
              </w:rPr>
            </w:pPr>
            <w:r>
              <w:rPr>
                <w:rFonts w:ascii="Times New Roman" w:hAnsi="Times New Roman" w:cs="Times New Roman"/>
                <w:b/>
                <w:bCs/>
              </w:rPr>
              <w:t>n (%)</w:t>
            </w:r>
          </w:p>
        </w:tc>
      </w:tr>
      <w:tr w:rsidR="009244EC" w14:paraId="3573A796" w14:textId="77777777" w:rsidTr="009244EC">
        <w:tc>
          <w:tcPr>
            <w:tcW w:w="4945" w:type="dxa"/>
          </w:tcPr>
          <w:p w14:paraId="67ED4DDD" w14:textId="77777777" w:rsidR="009244EC" w:rsidRDefault="009244EC" w:rsidP="007B4697">
            <w:pPr>
              <w:rPr>
                <w:rFonts w:ascii="Times New Roman" w:hAnsi="Times New Roman" w:cs="Times New Roman"/>
              </w:rPr>
            </w:pPr>
            <w:r>
              <w:rPr>
                <w:rFonts w:ascii="Times New Roman" w:hAnsi="Times New Roman" w:cs="Times New Roman"/>
                <w:b/>
                <w:bCs/>
              </w:rPr>
              <w:t>Responders (Confirmed DNA Level &lt; LLOQ)</w:t>
            </w:r>
            <w:r>
              <w:rPr>
                <w:rFonts w:ascii="Times New Roman" w:hAnsi="Times New Roman" w:cs="Times New Roman"/>
                <w:b/>
                <w:bCs/>
                <w:vertAlign w:val="superscript"/>
              </w:rPr>
              <w:t>a</w:t>
            </w:r>
          </w:p>
        </w:tc>
        <w:tc>
          <w:tcPr>
            <w:tcW w:w="2070" w:type="dxa"/>
          </w:tcPr>
          <w:p w14:paraId="6375C77A" w14:textId="77777777" w:rsidR="009244EC" w:rsidRDefault="009244EC" w:rsidP="007B4697">
            <w:pPr>
              <w:jc w:val="center"/>
              <w:rPr>
                <w:rFonts w:ascii="Times New Roman" w:hAnsi="Times New Roman" w:cs="Times New Roman"/>
                <w:b/>
                <w:bCs/>
              </w:rPr>
            </w:pPr>
            <w:r>
              <w:rPr>
                <w:rFonts w:ascii="Times New Roman" w:hAnsi="Times New Roman" w:cs="Times New Roman"/>
                <w:b/>
                <w:bCs/>
              </w:rPr>
              <w:t>131 (56)</w:t>
            </w:r>
          </w:p>
          <w:p w14:paraId="0CF2D6D3" w14:textId="77777777" w:rsidR="009244EC" w:rsidRDefault="009244EC" w:rsidP="007B4697">
            <w:pPr>
              <w:jc w:val="center"/>
              <w:rPr>
                <w:rFonts w:ascii="Times New Roman" w:hAnsi="Times New Roman" w:cs="Times New Roman"/>
                <w:b/>
                <w:bCs/>
              </w:rPr>
            </w:pPr>
          </w:p>
        </w:tc>
        <w:tc>
          <w:tcPr>
            <w:tcW w:w="2070" w:type="dxa"/>
          </w:tcPr>
          <w:p w14:paraId="20D5BDF1" w14:textId="5C9CF86A" w:rsidR="009244EC" w:rsidRDefault="009244EC" w:rsidP="007B4697">
            <w:pPr>
              <w:jc w:val="center"/>
              <w:rPr>
                <w:rFonts w:ascii="Times New Roman" w:hAnsi="Times New Roman" w:cs="Times New Roman"/>
                <w:b/>
                <w:bCs/>
              </w:rPr>
            </w:pPr>
            <w:r>
              <w:rPr>
                <w:rFonts w:ascii="Times New Roman" w:hAnsi="Times New Roman" w:cs="Times New Roman"/>
                <w:b/>
                <w:bCs/>
              </w:rPr>
              <w:t>28 (24)</w:t>
            </w:r>
          </w:p>
        </w:tc>
      </w:tr>
      <w:tr w:rsidR="009244EC" w14:paraId="35226C66" w14:textId="77777777" w:rsidTr="009244EC">
        <w:tc>
          <w:tcPr>
            <w:tcW w:w="4945" w:type="dxa"/>
          </w:tcPr>
          <w:p w14:paraId="30F0F6DE" w14:textId="77777777" w:rsidR="009244EC" w:rsidRDefault="009244EC" w:rsidP="007B4697">
            <w:pPr>
              <w:rPr>
                <w:rFonts w:ascii="Times New Roman" w:hAnsi="Times New Roman" w:cs="Times New Roman"/>
                <w:b/>
                <w:bCs/>
              </w:rPr>
            </w:pPr>
            <w:r>
              <w:rPr>
                <w:rFonts w:ascii="Times New Roman" w:hAnsi="Times New Roman" w:cs="Times New Roman"/>
                <w:b/>
                <w:bCs/>
              </w:rPr>
              <w:t xml:space="preserve">Non-responders:        </w:t>
            </w:r>
          </w:p>
          <w:p w14:paraId="273B602B" w14:textId="77777777" w:rsidR="009244EC" w:rsidRDefault="009244EC" w:rsidP="007B4697">
            <w:pPr>
              <w:rPr>
                <w:rFonts w:ascii="Times New Roman" w:hAnsi="Times New Roman" w:cs="Times New Roman"/>
                <w:b/>
                <w:bCs/>
              </w:rPr>
            </w:pPr>
            <w:r>
              <w:rPr>
                <w:rFonts w:ascii="Times New Roman" w:hAnsi="Times New Roman" w:cs="Times New Roman"/>
                <w:b/>
                <w:bCs/>
              </w:rPr>
              <w:t xml:space="preserve">    Due to virologic </w:t>
            </w:r>
            <w:proofErr w:type="spellStart"/>
            <w:r>
              <w:rPr>
                <w:rFonts w:ascii="Times New Roman" w:hAnsi="Times New Roman" w:cs="Times New Roman"/>
                <w:b/>
                <w:bCs/>
              </w:rPr>
              <w:t>failure</w:t>
            </w:r>
            <w:r>
              <w:rPr>
                <w:rFonts w:ascii="Times New Roman" w:hAnsi="Times New Roman" w:cs="Times New Roman"/>
                <w:b/>
                <w:bCs/>
                <w:vertAlign w:val="superscript"/>
              </w:rPr>
              <w:t>b</w:t>
            </w:r>
            <w:proofErr w:type="spellEnd"/>
            <w:r>
              <w:rPr>
                <w:rFonts w:ascii="Times New Roman" w:hAnsi="Times New Roman" w:cs="Times New Roman"/>
                <w:b/>
                <w:bCs/>
              </w:rPr>
              <w:t>:</w:t>
            </w:r>
          </w:p>
          <w:p w14:paraId="2BE509F8" w14:textId="77777777" w:rsidR="009244EC" w:rsidRDefault="009244EC" w:rsidP="007B4697">
            <w:pPr>
              <w:pStyle w:val="ListParagraph"/>
              <w:numPr>
                <w:ilvl w:val="0"/>
                <w:numId w:val="25"/>
              </w:numPr>
              <w:spacing w:after="160"/>
              <w:rPr>
                <w:rFonts w:ascii="Times New Roman" w:hAnsi="Times New Roman" w:cs="Times New Roman"/>
                <w:b/>
                <w:bCs/>
              </w:rPr>
            </w:pPr>
            <w:r>
              <w:rPr>
                <w:rFonts w:ascii="Times New Roman" w:hAnsi="Times New Roman" w:cs="Times New Roman"/>
              </w:rPr>
              <w:t>CMV DNA never &lt; LLOQ</w:t>
            </w:r>
          </w:p>
          <w:p w14:paraId="0CBC395A" w14:textId="77777777" w:rsidR="009244EC" w:rsidRDefault="009244EC" w:rsidP="007B4697">
            <w:pPr>
              <w:pStyle w:val="ListParagraph"/>
              <w:numPr>
                <w:ilvl w:val="0"/>
                <w:numId w:val="26"/>
              </w:numPr>
              <w:spacing w:after="160"/>
              <w:rPr>
                <w:rFonts w:ascii="Times New Roman" w:hAnsi="Times New Roman" w:cs="Times New Roman"/>
              </w:rPr>
            </w:pPr>
            <w:r>
              <w:rPr>
                <w:rFonts w:ascii="Times New Roman" w:hAnsi="Times New Roman" w:cs="Times New Roman"/>
              </w:rPr>
              <w:t xml:space="preserve">CMV DNA </w:t>
            </w:r>
            <w:proofErr w:type="spellStart"/>
            <w:r>
              <w:rPr>
                <w:rFonts w:ascii="Times New Roman" w:hAnsi="Times New Roman" w:cs="Times New Roman"/>
              </w:rPr>
              <w:t>breakthrough</w:t>
            </w:r>
            <w:r>
              <w:rPr>
                <w:rFonts w:ascii="Times New Roman" w:hAnsi="Times New Roman" w:cs="Times New Roman"/>
                <w:vertAlign w:val="superscript"/>
              </w:rPr>
              <w:t>b</w:t>
            </w:r>
            <w:proofErr w:type="spellEnd"/>
          </w:p>
          <w:p w14:paraId="2BF0E566" w14:textId="77777777" w:rsidR="009244EC" w:rsidRDefault="009244EC" w:rsidP="007B4697">
            <w:pPr>
              <w:rPr>
                <w:rFonts w:ascii="Times New Roman" w:hAnsi="Times New Roman" w:cs="Times New Roman"/>
                <w:b/>
                <w:bCs/>
              </w:rPr>
            </w:pPr>
            <w:r>
              <w:rPr>
                <w:rFonts w:ascii="Times New Roman" w:hAnsi="Times New Roman" w:cs="Times New Roman"/>
                <w:b/>
                <w:bCs/>
              </w:rPr>
              <w:t xml:space="preserve">    Due to drug/study discontinuation:</w:t>
            </w:r>
          </w:p>
          <w:p w14:paraId="539D3A44" w14:textId="77777777" w:rsidR="009244EC" w:rsidRDefault="009244EC" w:rsidP="007B4697">
            <w:pPr>
              <w:pStyle w:val="ListParagraph"/>
              <w:numPr>
                <w:ilvl w:val="0"/>
                <w:numId w:val="27"/>
              </w:numPr>
              <w:spacing w:after="160"/>
              <w:rPr>
                <w:rFonts w:ascii="Times New Roman" w:hAnsi="Times New Roman" w:cs="Times New Roman"/>
              </w:rPr>
            </w:pPr>
            <w:r>
              <w:rPr>
                <w:rFonts w:ascii="Times New Roman" w:hAnsi="Times New Roman" w:cs="Times New Roman"/>
              </w:rPr>
              <w:t>Adverse events</w:t>
            </w:r>
          </w:p>
          <w:p w14:paraId="51D13618" w14:textId="77777777" w:rsidR="009244EC" w:rsidRDefault="009244EC" w:rsidP="007B4697">
            <w:pPr>
              <w:pStyle w:val="ListParagraph"/>
              <w:numPr>
                <w:ilvl w:val="0"/>
                <w:numId w:val="27"/>
              </w:numPr>
              <w:spacing w:after="160"/>
              <w:rPr>
                <w:rFonts w:ascii="Times New Roman" w:hAnsi="Times New Roman" w:cs="Times New Roman"/>
              </w:rPr>
            </w:pPr>
            <w:r>
              <w:rPr>
                <w:rFonts w:ascii="Times New Roman" w:hAnsi="Times New Roman" w:cs="Times New Roman"/>
              </w:rPr>
              <w:t>Deaths</w:t>
            </w:r>
          </w:p>
          <w:p w14:paraId="62150611" w14:textId="77777777" w:rsidR="009244EC" w:rsidRDefault="009244EC" w:rsidP="007B4697">
            <w:pPr>
              <w:pStyle w:val="ListParagraph"/>
              <w:numPr>
                <w:ilvl w:val="0"/>
                <w:numId w:val="27"/>
              </w:numPr>
              <w:spacing w:after="160"/>
              <w:rPr>
                <w:rFonts w:ascii="Times New Roman" w:hAnsi="Times New Roman" w:cs="Times New Roman"/>
              </w:rPr>
            </w:pPr>
            <w:r>
              <w:rPr>
                <w:rFonts w:ascii="Times New Roman" w:hAnsi="Times New Roman" w:cs="Times New Roman"/>
              </w:rPr>
              <w:t>Withdrawal of consent</w:t>
            </w:r>
          </w:p>
          <w:p w14:paraId="5B96A1BA" w14:textId="77777777" w:rsidR="009244EC" w:rsidRDefault="009244EC" w:rsidP="007B4697">
            <w:pPr>
              <w:pStyle w:val="ListParagraph"/>
              <w:numPr>
                <w:ilvl w:val="0"/>
                <w:numId w:val="27"/>
              </w:numPr>
              <w:spacing w:after="160"/>
              <w:rPr>
                <w:rFonts w:ascii="Times New Roman" w:hAnsi="Times New Roman" w:cs="Times New Roman"/>
                <w:b/>
                <w:bCs/>
              </w:rPr>
            </w:pPr>
            <w:r>
              <w:rPr>
                <w:rFonts w:ascii="Times New Roman" w:hAnsi="Times New Roman" w:cs="Times New Roman"/>
              </w:rPr>
              <w:t xml:space="preserve">Other </w:t>
            </w:r>
            <w:proofErr w:type="spellStart"/>
            <w:r>
              <w:rPr>
                <w:rFonts w:ascii="Times New Roman" w:hAnsi="Times New Roman" w:cs="Times New Roman"/>
              </w:rPr>
              <w:t>reasons</w:t>
            </w:r>
            <w:r>
              <w:rPr>
                <w:rFonts w:ascii="Times New Roman" w:hAnsi="Times New Roman" w:cs="Times New Roman"/>
                <w:vertAlign w:val="superscript"/>
              </w:rPr>
              <w:t>c</w:t>
            </w:r>
            <w:proofErr w:type="spellEnd"/>
          </w:p>
          <w:p w14:paraId="3CC73775" w14:textId="77777777" w:rsidR="009244EC" w:rsidRDefault="009244EC" w:rsidP="007B4697">
            <w:pPr>
              <w:rPr>
                <w:rFonts w:ascii="Times New Roman" w:hAnsi="Times New Roman" w:cs="Times New Roman"/>
              </w:rPr>
            </w:pPr>
            <w:r>
              <w:rPr>
                <w:rFonts w:ascii="Times New Roman" w:hAnsi="Times New Roman" w:cs="Times New Roman"/>
                <w:b/>
                <w:bCs/>
              </w:rPr>
              <w:t xml:space="preserve">     Due to other reasons but remained on </w:t>
            </w:r>
            <w:proofErr w:type="spellStart"/>
            <w:r>
              <w:rPr>
                <w:rFonts w:ascii="Times New Roman" w:hAnsi="Times New Roman" w:cs="Times New Roman"/>
                <w:b/>
                <w:bCs/>
              </w:rPr>
              <w:t>study</w:t>
            </w:r>
            <w:r>
              <w:rPr>
                <w:rFonts w:ascii="Times New Roman" w:hAnsi="Times New Roman" w:cs="Times New Roman"/>
                <w:b/>
                <w:bCs/>
                <w:vertAlign w:val="superscript"/>
              </w:rPr>
              <w:t>d</w:t>
            </w:r>
            <w:proofErr w:type="spellEnd"/>
          </w:p>
        </w:tc>
        <w:tc>
          <w:tcPr>
            <w:tcW w:w="2070" w:type="dxa"/>
          </w:tcPr>
          <w:p w14:paraId="387288BC" w14:textId="77777777" w:rsidR="009244EC" w:rsidRDefault="009244EC" w:rsidP="007B4697">
            <w:pPr>
              <w:jc w:val="center"/>
              <w:rPr>
                <w:rFonts w:ascii="Times New Roman" w:hAnsi="Times New Roman" w:cs="Times New Roman"/>
                <w:b/>
                <w:bCs/>
              </w:rPr>
            </w:pPr>
            <w:r>
              <w:rPr>
                <w:rFonts w:ascii="Times New Roman" w:hAnsi="Times New Roman" w:cs="Times New Roman"/>
                <w:b/>
                <w:bCs/>
              </w:rPr>
              <w:t>104 (44)</w:t>
            </w:r>
          </w:p>
          <w:p w14:paraId="1CF45FFA" w14:textId="77777777" w:rsidR="009244EC" w:rsidRDefault="009244EC" w:rsidP="007B4697">
            <w:pPr>
              <w:jc w:val="center"/>
              <w:rPr>
                <w:rFonts w:ascii="Times New Roman" w:hAnsi="Times New Roman" w:cs="Times New Roman"/>
                <w:b/>
                <w:bCs/>
              </w:rPr>
            </w:pPr>
            <w:r>
              <w:rPr>
                <w:rFonts w:ascii="Times New Roman" w:hAnsi="Times New Roman" w:cs="Times New Roman"/>
                <w:b/>
                <w:bCs/>
              </w:rPr>
              <w:t>80 (34)</w:t>
            </w:r>
          </w:p>
          <w:p w14:paraId="6612BED4" w14:textId="77777777" w:rsidR="009244EC" w:rsidRDefault="009244EC" w:rsidP="007B4697">
            <w:pPr>
              <w:jc w:val="center"/>
              <w:rPr>
                <w:rFonts w:ascii="Times New Roman" w:hAnsi="Times New Roman" w:cs="Times New Roman"/>
              </w:rPr>
            </w:pPr>
            <w:r>
              <w:rPr>
                <w:rFonts w:ascii="Times New Roman" w:hAnsi="Times New Roman" w:cs="Times New Roman"/>
              </w:rPr>
              <w:t>48 (20)</w:t>
            </w:r>
          </w:p>
          <w:p w14:paraId="782FB004" w14:textId="77777777" w:rsidR="009244EC" w:rsidRDefault="009244EC" w:rsidP="007B4697">
            <w:pPr>
              <w:jc w:val="center"/>
              <w:rPr>
                <w:rFonts w:ascii="Times New Roman" w:hAnsi="Times New Roman" w:cs="Times New Roman"/>
              </w:rPr>
            </w:pPr>
            <w:r>
              <w:rPr>
                <w:rFonts w:ascii="Times New Roman" w:hAnsi="Times New Roman" w:cs="Times New Roman"/>
              </w:rPr>
              <w:t>32 (14)</w:t>
            </w:r>
          </w:p>
          <w:p w14:paraId="588083F6" w14:textId="77777777" w:rsidR="009244EC" w:rsidRDefault="009244EC" w:rsidP="007B4697">
            <w:pPr>
              <w:jc w:val="center"/>
              <w:rPr>
                <w:rFonts w:ascii="Times New Roman" w:hAnsi="Times New Roman" w:cs="Times New Roman"/>
              </w:rPr>
            </w:pPr>
          </w:p>
          <w:p w14:paraId="55534D9B" w14:textId="77777777" w:rsidR="009244EC" w:rsidRDefault="009244EC" w:rsidP="007B4697">
            <w:pPr>
              <w:jc w:val="center"/>
              <w:rPr>
                <w:rFonts w:ascii="Times New Roman" w:hAnsi="Times New Roman" w:cs="Times New Roman"/>
                <w:b/>
                <w:bCs/>
              </w:rPr>
            </w:pPr>
            <w:r>
              <w:rPr>
                <w:rFonts w:ascii="Times New Roman" w:hAnsi="Times New Roman" w:cs="Times New Roman"/>
                <w:b/>
                <w:bCs/>
              </w:rPr>
              <w:t>21 (9)</w:t>
            </w:r>
          </w:p>
          <w:p w14:paraId="77D519F5" w14:textId="77777777" w:rsidR="009244EC" w:rsidRDefault="009244EC" w:rsidP="007B4697">
            <w:pPr>
              <w:jc w:val="center"/>
              <w:rPr>
                <w:rFonts w:ascii="Times New Roman" w:hAnsi="Times New Roman" w:cs="Times New Roman"/>
              </w:rPr>
            </w:pPr>
            <w:r>
              <w:rPr>
                <w:rFonts w:ascii="Times New Roman" w:hAnsi="Times New Roman" w:cs="Times New Roman"/>
              </w:rPr>
              <w:t>8 (3)</w:t>
            </w:r>
          </w:p>
          <w:p w14:paraId="4551C65D" w14:textId="77777777" w:rsidR="009244EC" w:rsidRDefault="009244EC" w:rsidP="007B4697">
            <w:pPr>
              <w:jc w:val="center"/>
              <w:rPr>
                <w:rFonts w:ascii="Times New Roman" w:hAnsi="Times New Roman" w:cs="Times New Roman"/>
              </w:rPr>
            </w:pPr>
            <w:r>
              <w:rPr>
                <w:rFonts w:ascii="Times New Roman" w:hAnsi="Times New Roman" w:cs="Times New Roman"/>
              </w:rPr>
              <w:t>10 (4)</w:t>
            </w:r>
          </w:p>
          <w:p w14:paraId="6D33A916" w14:textId="77777777" w:rsidR="009244EC" w:rsidRDefault="009244EC" w:rsidP="007B4697">
            <w:pPr>
              <w:jc w:val="center"/>
              <w:rPr>
                <w:rFonts w:ascii="Times New Roman" w:hAnsi="Times New Roman" w:cs="Times New Roman"/>
              </w:rPr>
            </w:pPr>
            <w:r>
              <w:rPr>
                <w:rFonts w:ascii="Times New Roman" w:hAnsi="Times New Roman" w:cs="Times New Roman"/>
              </w:rPr>
              <w:t>1 (&lt;1)</w:t>
            </w:r>
          </w:p>
          <w:p w14:paraId="71EA9FE2" w14:textId="77777777" w:rsidR="009244EC" w:rsidRDefault="009244EC" w:rsidP="007B4697">
            <w:pPr>
              <w:jc w:val="center"/>
              <w:rPr>
                <w:rFonts w:ascii="Times New Roman" w:hAnsi="Times New Roman" w:cs="Times New Roman"/>
              </w:rPr>
            </w:pPr>
            <w:r>
              <w:rPr>
                <w:rFonts w:ascii="Times New Roman" w:hAnsi="Times New Roman" w:cs="Times New Roman"/>
              </w:rPr>
              <w:t>2 (1)</w:t>
            </w:r>
          </w:p>
          <w:p w14:paraId="51049AB6" w14:textId="77777777" w:rsidR="009244EC" w:rsidRDefault="009244EC" w:rsidP="007B4697">
            <w:pPr>
              <w:jc w:val="center"/>
              <w:rPr>
                <w:rFonts w:ascii="Times New Roman" w:hAnsi="Times New Roman" w:cs="Times New Roman"/>
              </w:rPr>
            </w:pPr>
          </w:p>
          <w:p w14:paraId="505F3D89" w14:textId="38B00A77" w:rsidR="009244EC" w:rsidRDefault="009244EC" w:rsidP="007B4697">
            <w:pPr>
              <w:jc w:val="center"/>
              <w:rPr>
                <w:rFonts w:ascii="Times New Roman" w:hAnsi="Times New Roman" w:cs="Times New Roman"/>
                <w:b/>
                <w:bCs/>
              </w:rPr>
            </w:pPr>
            <w:r>
              <w:rPr>
                <w:rFonts w:ascii="Times New Roman" w:hAnsi="Times New Roman" w:cs="Times New Roman"/>
                <w:b/>
                <w:bCs/>
              </w:rPr>
              <w:t>3 (1)</w:t>
            </w:r>
          </w:p>
        </w:tc>
        <w:tc>
          <w:tcPr>
            <w:tcW w:w="2070" w:type="dxa"/>
          </w:tcPr>
          <w:p w14:paraId="2CB3AB99" w14:textId="6B024007" w:rsidR="009244EC" w:rsidRDefault="009244EC" w:rsidP="007B4697">
            <w:pPr>
              <w:jc w:val="center"/>
              <w:rPr>
                <w:rFonts w:ascii="Times New Roman" w:hAnsi="Times New Roman" w:cs="Times New Roman"/>
                <w:b/>
                <w:bCs/>
              </w:rPr>
            </w:pPr>
            <w:r>
              <w:rPr>
                <w:rFonts w:ascii="Times New Roman" w:hAnsi="Times New Roman" w:cs="Times New Roman"/>
                <w:b/>
                <w:bCs/>
              </w:rPr>
              <w:t>89 (76)</w:t>
            </w:r>
          </w:p>
          <w:p w14:paraId="03CACF0C" w14:textId="77777777" w:rsidR="009244EC" w:rsidRDefault="009244EC" w:rsidP="007B4697">
            <w:pPr>
              <w:jc w:val="center"/>
              <w:rPr>
                <w:rFonts w:ascii="Times New Roman" w:hAnsi="Times New Roman" w:cs="Times New Roman"/>
                <w:b/>
                <w:bCs/>
              </w:rPr>
            </w:pPr>
            <w:r>
              <w:rPr>
                <w:rFonts w:ascii="Times New Roman" w:hAnsi="Times New Roman" w:cs="Times New Roman"/>
                <w:b/>
                <w:bCs/>
              </w:rPr>
              <w:t>42 (36)</w:t>
            </w:r>
          </w:p>
          <w:p w14:paraId="1675B742" w14:textId="77777777" w:rsidR="009244EC" w:rsidRDefault="009244EC" w:rsidP="007B4697">
            <w:pPr>
              <w:jc w:val="center"/>
              <w:rPr>
                <w:rFonts w:ascii="Times New Roman" w:hAnsi="Times New Roman" w:cs="Times New Roman"/>
              </w:rPr>
            </w:pPr>
            <w:r>
              <w:rPr>
                <w:rFonts w:ascii="Times New Roman" w:hAnsi="Times New Roman" w:cs="Times New Roman"/>
              </w:rPr>
              <w:t>35 (30)</w:t>
            </w:r>
          </w:p>
          <w:p w14:paraId="3D0425C9" w14:textId="77777777" w:rsidR="009244EC" w:rsidRDefault="009244EC" w:rsidP="007B4697">
            <w:pPr>
              <w:jc w:val="center"/>
              <w:rPr>
                <w:rFonts w:ascii="Times New Roman" w:hAnsi="Times New Roman" w:cs="Times New Roman"/>
              </w:rPr>
            </w:pPr>
            <w:r>
              <w:rPr>
                <w:rFonts w:ascii="Times New Roman" w:hAnsi="Times New Roman" w:cs="Times New Roman"/>
              </w:rPr>
              <w:t>7 (6)</w:t>
            </w:r>
          </w:p>
          <w:p w14:paraId="632A5C72" w14:textId="77777777" w:rsidR="009244EC" w:rsidRDefault="009244EC" w:rsidP="007B4697">
            <w:pPr>
              <w:jc w:val="center"/>
              <w:rPr>
                <w:rFonts w:ascii="Times New Roman" w:hAnsi="Times New Roman" w:cs="Times New Roman"/>
                <w:b/>
                <w:bCs/>
              </w:rPr>
            </w:pPr>
          </w:p>
          <w:p w14:paraId="6B2965BE" w14:textId="77777777" w:rsidR="009244EC" w:rsidRDefault="009244EC" w:rsidP="007B4697">
            <w:pPr>
              <w:jc w:val="center"/>
              <w:rPr>
                <w:rFonts w:ascii="Times New Roman" w:hAnsi="Times New Roman" w:cs="Times New Roman"/>
                <w:b/>
                <w:bCs/>
              </w:rPr>
            </w:pPr>
            <w:r>
              <w:rPr>
                <w:rFonts w:ascii="Times New Roman" w:hAnsi="Times New Roman" w:cs="Times New Roman"/>
                <w:b/>
                <w:bCs/>
              </w:rPr>
              <w:t>44 (38)</w:t>
            </w:r>
          </w:p>
          <w:p w14:paraId="2E310C2E" w14:textId="77777777" w:rsidR="009244EC" w:rsidRDefault="009244EC" w:rsidP="007B4697">
            <w:pPr>
              <w:jc w:val="center"/>
              <w:rPr>
                <w:rFonts w:ascii="Times New Roman" w:hAnsi="Times New Roman" w:cs="Times New Roman"/>
              </w:rPr>
            </w:pPr>
            <w:r>
              <w:rPr>
                <w:rFonts w:ascii="Times New Roman" w:hAnsi="Times New Roman" w:cs="Times New Roman"/>
              </w:rPr>
              <w:t>26 (22)</w:t>
            </w:r>
          </w:p>
          <w:p w14:paraId="2AAD18C1" w14:textId="77777777" w:rsidR="009244EC" w:rsidRDefault="009244EC" w:rsidP="007B4697">
            <w:pPr>
              <w:jc w:val="center"/>
              <w:rPr>
                <w:rFonts w:ascii="Times New Roman" w:hAnsi="Times New Roman" w:cs="Times New Roman"/>
              </w:rPr>
            </w:pPr>
            <w:r>
              <w:rPr>
                <w:rFonts w:ascii="Times New Roman" w:hAnsi="Times New Roman" w:cs="Times New Roman"/>
              </w:rPr>
              <w:t>3 (3)</w:t>
            </w:r>
          </w:p>
          <w:p w14:paraId="4D9B67FF" w14:textId="77777777" w:rsidR="009244EC" w:rsidRDefault="009244EC" w:rsidP="007B4697">
            <w:pPr>
              <w:jc w:val="center"/>
              <w:rPr>
                <w:rFonts w:ascii="Times New Roman" w:hAnsi="Times New Roman" w:cs="Times New Roman"/>
              </w:rPr>
            </w:pPr>
            <w:r>
              <w:rPr>
                <w:rFonts w:ascii="Times New Roman" w:hAnsi="Times New Roman" w:cs="Times New Roman"/>
              </w:rPr>
              <w:t>9 (8)</w:t>
            </w:r>
          </w:p>
          <w:p w14:paraId="5DF19134" w14:textId="77777777" w:rsidR="009244EC" w:rsidRDefault="009244EC" w:rsidP="007B4697">
            <w:pPr>
              <w:jc w:val="center"/>
              <w:rPr>
                <w:rFonts w:ascii="Times New Roman" w:hAnsi="Times New Roman" w:cs="Times New Roman"/>
              </w:rPr>
            </w:pPr>
            <w:r>
              <w:rPr>
                <w:rFonts w:ascii="Times New Roman" w:hAnsi="Times New Roman" w:cs="Times New Roman"/>
              </w:rPr>
              <w:t>6 (5)</w:t>
            </w:r>
          </w:p>
          <w:p w14:paraId="175C637E" w14:textId="77777777" w:rsidR="009244EC" w:rsidRDefault="009244EC" w:rsidP="007B4697">
            <w:pPr>
              <w:jc w:val="center"/>
              <w:rPr>
                <w:rFonts w:ascii="Times New Roman" w:hAnsi="Times New Roman" w:cs="Times New Roman"/>
              </w:rPr>
            </w:pPr>
          </w:p>
          <w:p w14:paraId="184F1EA5" w14:textId="4E6185F4" w:rsidR="009244EC" w:rsidRDefault="009244EC" w:rsidP="007B4697">
            <w:pPr>
              <w:jc w:val="center"/>
              <w:rPr>
                <w:rFonts w:ascii="Times New Roman" w:hAnsi="Times New Roman" w:cs="Times New Roman"/>
                <w:b/>
                <w:bCs/>
              </w:rPr>
            </w:pPr>
            <w:r>
              <w:rPr>
                <w:rFonts w:ascii="Times New Roman" w:hAnsi="Times New Roman" w:cs="Times New Roman"/>
                <w:b/>
                <w:bCs/>
              </w:rPr>
              <w:t>3 (3)</w:t>
            </w:r>
          </w:p>
        </w:tc>
      </w:tr>
    </w:tbl>
    <w:p w14:paraId="04A54A5E" w14:textId="77777777" w:rsidR="00EF6D2C" w:rsidRDefault="00EF6D2C" w:rsidP="00BE408D">
      <w:pPr>
        <w:pStyle w:val="ListParagraph"/>
        <w:spacing w:before="120"/>
        <w:ind w:left="0"/>
        <w:rPr>
          <w:rFonts w:ascii="Times New Roman" w:hAnsi="Times New Roman" w:cs="Times New Roman"/>
        </w:rPr>
      </w:pPr>
      <w:r>
        <w:rPr>
          <w:rFonts w:ascii="Times New Roman" w:hAnsi="Times New Roman" w:cs="Times New Roman"/>
        </w:rPr>
        <w:lastRenderedPageBreak/>
        <w:t xml:space="preserve">CMV=Cytomegalovirus, IAT=Investigator-assigned anti-CMV Treatment, MBV=maribavir.                                                    </w:t>
      </w:r>
    </w:p>
    <w:p w14:paraId="5422AC4C" w14:textId="77777777" w:rsidR="00EF6D2C" w:rsidRDefault="00EF6D2C" w:rsidP="00BE408D">
      <w:pPr>
        <w:pStyle w:val="ListParagraph"/>
        <w:spacing w:before="120"/>
        <w:ind w:left="0"/>
        <w:rPr>
          <w:rFonts w:ascii="Times New Roman" w:hAnsi="Times New Roman" w:cs="Times New Roman"/>
        </w:rPr>
      </w:pPr>
      <w:r>
        <w:rPr>
          <w:rFonts w:ascii="Times New Roman" w:hAnsi="Times New Roman" w:cs="Times New Roman"/>
        </w:rPr>
        <w:t xml:space="preserve">Percentages are based on the number of subjects in the Randomised Set.                                                                     </w:t>
      </w:r>
    </w:p>
    <w:p w14:paraId="5138C9A2" w14:textId="77777777" w:rsidR="00EF6D2C" w:rsidRDefault="00EF6D2C" w:rsidP="00BE408D">
      <w:pPr>
        <w:pStyle w:val="ListParagraph"/>
        <w:spacing w:before="120"/>
        <w:ind w:left="0"/>
        <w:rPr>
          <w:rFonts w:ascii="Times New Roman" w:hAnsi="Times New Roman" w:cs="Times New Roman"/>
        </w:rPr>
      </w:pPr>
      <w:r>
        <w:rPr>
          <w:rFonts w:ascii="Times New Roman" w:hAnsi="Times New Roman" w:cs="Times New Roman"/>
          <w:vertAlign w:val="superscript"/>
        </w:rPr>
        <w:t>a</w:t>
      </w:r>
      <w:r>
        <w:rPr>
          <w:rFonts w:ascii="Times New Roman" w:hAnsi="Times New Roman" w:cs="Times New Roman"/>
        </w:rPr>
        <w:t xml:space="preserve"> Confirmed CMV DNA level </w:t>
      </w:r>
      <w:r>
        <w:rPr>
          <w:rFonts w:ascii="Times New Roman" w:eastAsia="Times New Roman" w:hAnsi="Times New Roman" w:cs="Times New Roman"/>
          <w:color w:val="000000" w:themeColor="text1"/>
        </w:rPr>
        <w:t>&lt; LLOQ</w:t>
      </w:r>
      <w:r>
        <w:rPr>
          <w:rFonts w:ascii="Times New Roman" w:hAnsi="Times New Roman" w:cs="Times New Roman"/>
        </w:rPr>
        <w:t xml:space="preserve"> at the end of Week 8 (2 consecutive samples separated by at least 5 days with DNA levels &lt; LLOQ [</w:t>
      </w:r>
      <w:proofErr w:type="spellStart"/>
      <w:r>
        <w:rPr>
          <w:rFonts w:ascii="Times New Roman" w:hAnsi="Times New Roman" w:cs="Times New Roman"/>
        </w:rPr>
        <w:t>ie</w:t>
      </w:r>
      <w:proofErr w:type="spellEnd"/>
      <w:r>
        <w:rPr>
          <w:rFonts w:ascii="Times New Roman" w:hAnsi="Times New Roman" w:cs="Times New Roman"/>
        </w:rPr>
        <w:t xml:space="preserve">, &lt;137 IU/mL]).   </w:t>
      </w:r>
    </w:p>
    <w:p w14:paraId="0A9C2685" w14:textId="77777777" w:rsidR="00EF6D2C" w:rsidRDefault="00EF6D2C" w:rsidP="00BE408D">
      <w:pPr>
        <w:pStyle w:val="ListParagraph"/>
        <w:spacing w:before="120"/>
        <w:ind w:left="0"/>
        <w:rPr>
          <w:rFonts w:ascii="Times New Roman" w:hAnsi="Times New Roman" w:cs="Times New Roman"/>
        </w:rPr>
      </w:pPr>
      <w:proofErr w:type="spellStart"/>
      <w:r w:rsidRPr="00A4229F">
        <w:rPr>
          <w:rFonts w:ascii="Times New Roman" w:hAnsi="Times New Roman" w:cs="Times New Roman"/>
          <w:vertAlign w:val="superscript"/>
        </w:rPr>
        <w:t>b</w:t>
      </w:r>
      <w:r>
        <w:rPr>
          <w:rFonts w:ascii="Times New Roman" w:hAnsi="Times New Roman" w:cs="Times New Roman"/>
        </w:rPr>
        <w:t>CMV</w:t>
      </w:r>
      <w:proofErr w:type="spellEnd"/>
      <w:r>
        <w:rPr>
          <w:rFonts w:ascii="Times New Roman" w:hAnsi="Times New Roman" w:cs="Times New Roman"/>
        </w:rPr>
        <w:t xml:space="preserve"> DNA breakthrough=achieved confirmed CMV DNA level &lt; LLOQ and subsequently became detectable.                      </w:t>
      </w:r>
    </w:p>
    <w:p w14:paraId="237E678D" w14:textId="77777777" w:rsidR="00EF6D2C" w:rsidRDefault="00EF6D2C" w:rsidP="00BE408D">
      <w:pPr>
        <w:pStyle w:val="ListParagraph"/>
        <w:spacing w:before="120"/>
        <w:ind w:left="0"/>
        <w:rPr>
          <w:rFonts w:ascii="Times New Roman" w:hAnsi="Times New Roman" w:cs="Times New Roman"/>
        </w:rPr>
      </w:pPr>
      <w:r>
        <w:rPr>
          <w:rFonts w:ascii="Times New Roman" w:hAnsi="Times New Roman" w:cs="Times New Roman"/>
          <w:vertAlign w:val="superscript"/>
        </w:rPr>
        <w:t>c</w:t>
      </w:r>
      <w:r>
        <w:rPr>
          <w:rFonts w:ascii="Times New Roman" w:hAnsi="Times New Roman" w:cs="Times New Roman"/>
        </w:rPr>
        <w:t xml:space="preserve"> </w:t>
      </w:r>
      <w:proofErr w:type="gramStart"/>
      <w:r>
        <w:rPr>
          <w:rFonts w:ascii="Times New Roman" w:hAnsi="Times New Roman" w:cs="Times New Roman"/>
        </w:rPr>
        <w:t>Other</w:t>
      </w:r>
      <w:proofErr w:type="gramEnd"/>
      <w:r>
        <w:rPr>
          <w:rFonts w:ascii="Times New Roman" w:hAnsi="Times New Roman" w:cs="Times New Roman"/>
        </w:rPr>
        <w:t xml:space="preserve"> reasons= other reasons not including adverse events, deaths and lack of efficacy, withdrawal of consent, and non-compliance.          </w:t>
      </w:r>
    </w:p>
    <w:p w14:paraId="43575EA5" w14:textId="77777777" w:rsidR="00EF6D2C" w:rsidRDefault="00EF6D2C" w:rsidP="00BE408D">
      <w:pPr>
        <w:pStyle w:val="ListParagraph"/>
        <w:spacing w:before="120"/>
        <w:ind w:left="0"/>
        <w:rPr>
          <w:rFonts w:ascii="Times New Roman" w:hAnsi="Times New Roman" w:cs="Times New Roman"/>
        </w:rPr>
      </w:pPr>
      <w:r>
        <w:rPr>
          <w:rFonts w:ascii="Times New Roman" w:hAnsi="Times New Roman" w:cs="Times New Roman"/>
          <w:vertAlign w:val="superscript"/>
        </w:rPr>
        <w:t>d</w:t>
      </w:r>
      <w:r>
        <w:rPr>
          <w:rFonts w:ascii="Times New Roman" w:hAnsi="Times New Roman" w:cs="Times New Roman"/>
        </w:rPr>
        <w:t xml:space="preserve"> Includes subjects who completed study assigned treatment and were non-responders. </w:t>
      </w:r>
    </w:p>
    <w:p w14:paraId="1FA56E51" w14:textId="5A060DED" w:rsidR="00A4229F" w:rsidRDefault="00E373D1" w:rsidP="00BE408D">
      <w:pPr>
        <w:spacing w:before="240"/>
        <w:rPr>
          <w:rFonts w:ascii="Times New Roman" w:hAnsi="Times New Roman" w:cs="Times New Roman"/>
        </w:rPr>
      </w:pPr>
      <w:r w:rsidRPr="0067028B">
        <w:rPr>
          <w:rFonts w:ascii="Times New Roman" w:hAnsi="Times New Roman" w:cs="Times New Roman"/>
          <w:sz w:val="24"/>
          <w:szCs w:val="24"/>
        </w:rPr>
        <w:t xml:space="preserve">The treatment effect was consistent across key subgroups and supports the generalizability of the study outcomes (see </w:t>
      </w:r>
      <w:r w:rsidRPr="007C0E08">
        <w:rPr>
          <w:rFonts w:ascii="Times New Roman" w:hAnsi="Times New Roman" w:cs="Times New Roman"/>
          <w:sz w:val="24"/>
          <w:szCs w:val="24"/>
        </w:rPr>
        <w:t xml:space="preserve">Table </w:t>
      </w:r>
      <w:r w:rsidR="005D2D4D">
        <w:rPr>
          <w:rFonts w:ascii="Times New Roman" w:hAnsi="Times New Roman" w:cs="Times New Roman"/>
          <w:sz w:val="24"/>
          <w:szCs w:val="24"/>
        </w:rPr>
        <w:t>7</w:t>
      </w:r>
      <w:r w:rsidRPr="0067028B">
        <w:rPr>
          <w:rFonts w:ascii="Times New Roman" w:hAnsi="Times New Roman" w:cs="Times New Roman"/>
          <w:sz w:val="24"/>
          <w:szCs w:val="24"/>
        </w:rPr>
        <w:t>).</w:t>
      </w:r>
      <w:bookmarkStart w:id="6" w:name="_Hlk85923810"/>
      <w:r w:rsidR="00A4229F">
        <w:rPr>
          <w:rFonts w:ascii="Times New Roman" w:hAnsi="Times New Roman" w:cs="Times New Roman"/>
        </w:rPr>
        <w:t xml:space="preserve"> </w:t>
      </w:r>
    </w:p>
    <w:bookmarkEnd w:id="6"/>
    <w:p w14:paraId="60F66EC0" w14:textId="5109522A" w:rsidR="0000120A" w:rsidRPr="007C50B0" w:rsidRDefault="0000120A" w:rsidP="007C50B0">
      <w:pPr>
        <w:rPr>
          <w:rFonts w:ascii="Times New Roman" w:hAnsi="Times New Roman" w:cs="Times New Roman"/>
          <w:b/>
          <w:sz w:val="24"/>
          <w:szCs w:val="24"/>
        </w:rPr>
      </w:pPr>
      <w:r w:rsidRPr="007C50B0">
        <w:rPr>
          <w:rFonts w:ascii="Times New Roman" w:hAnsi="Times New Roman" w:cs="Times New Roman"/>
          <w:b/>
          <w:sz w:val="24"/>
          <w:szCs w:val="24"/>
        </w:rPr>
        <w:t xml:space="preserve">Table </w:t>
      </w:r>
      <w:r w:rsidR="007C0E08" w:rsidRPr="007C50B0">
        <w:rPr>
          <w:rFonts w:ascii="Times New Roman" w:hAnsi="Times New Roman" w:cs="Times New Roman"/>
          <w:b/>
          <w:sz w:val="24"/>
          <w:szCs w:val="24"/>
        </w:rPr>
        <w:t>7</w:t>
      </w:r>
      <w:r w:rsidRPr="007C50B0">
        <w:rPr>
          <w:rFonts w:ascii="Times New Roman" w:hAnsi="Times New Roman" w:cs="Times New Roman"/>
          <w:b/>
          <w:sz w:val="24"/>
          <w:szCs w:val="24"/>
        </w:rPr>
        <w:t>: Percentage of Responders by Subgroup in Study 303</w:t>
      </w:r>
    </w:p>
    <w:tbl>
      <w:tblPr>
        <w:tblStyle w:val="TableGrid"/>
        <w:tblW w:w="4845" w:type="pct"/>
        <w:tblLook w:val="04A0" w:firstRow="1" w:lastRow="0" w:firstColumn="1" w:lastColumn="0" w:noHBand="0" w:noVBand="1"/>
      </w:tblPr>
      <w:tblGrid>
        <w:gridCol w:w="4159"/>
        <w:gridCol w:w="939"/>
        <w:gridCol w:w="1917"/>
        <w:gridCol w:w="931"/>
        <w:gridCol w:w="791"/>
      </w:tblGrid>
      <w:tr w:rsidR="00AA5658" w:rsidRPr="001415DB" w14:paraId="59BC6860" w14:textId="77777777" w:rsidTr="009D6062">
        <w:trPr>
          <w:trHeight w:val="760"/>
          <w:tblHeader/>
        </w:trPr>
        <w:tc>
          <w:tcPr>
            <w:tcW w:w="2469" w:type="pct"/>
          </w:tcPr>
          <w:p w14:paraId="6903AF10" w14:textId="77777777" w:rsidR="00AA5658" w:rsidRPr="0067028B" w:rsidRDefault="00AA5658" w:rsidP="008543BD">
            <w:pPr>
              <w:rPr>
                <w:rFonts w:ascii="Times New Roman" w:hAnsi="Times New Roman" w:cs="Times New Roman"/>
                <w:bCs/>
              </w:rPr>
            </w:pPr>
            <w:bookmarkStart w:id="7" w:name="_Hlk109990760"/>
            <w:bookmarkStart w:id="8" w:name="_Hlk109990800"/>
          </w:p>
          <w:p w14:paraId="4D5FE78E" w14:textId="77777777" w:rsidR="00AA5658" w:rsidRPr="0067028B" w:rsidRDefault="00AA5658" w:rsidP="008543BD">
            <w:pPr>
              <w:rPr>
                <w:rFonts w:ascii="Times New Roman" w:hAnsi="Times New Roman" w:cs="Times New Roman"/>
                <w:bCs/>
              </w:rPr>
            </w:pPr>
          </w:p>
          <w:p w14:paraId="73431E41" w14:textId="77777777" w:rsidR="00AA5658" w:rsidRPr="0067028B" w:rsidRDefault="00AA5658" w:rsidP="008543BD">
            <w:pPr>
              <w:rPr>
                <w:rFonts w:ascii="Times New Roman" w:hAnsi="Times New Roman" w:cs="Times New Roman"/>
                <w:bCs/>
              </w:rPr>
            </w:pPr>
          </w:p>
        </w:tc>
        <w:tc>
          <w:tcPr>
            <w:tcW w:w="1369" w:type="pct"/>
            <w:gridSpan w:val="2"/>
          </w:tcPr>
          <w:p w14:paraId="647CEA50" w14:textId="77777777" w:rsidR="00AA5658" w:rsidRPr="0067028B" w:rsidRDefault="00AA5658" w:rsidP="008543BD">
            <w:pPr>
              <w:jc w:val="center"/>
              <w:rPr>
                <w:rFonts w:ascii="Times New Roman" w:hAnsi="Times New Roman" w:cs="Times New Roman"/>
                <w:b/>
                <w:bCs/>
              </w:rPr>
            </w:pPr>
            <w:r w:rsidRPr="0067028B">
              <w:rPr>
                <w:rFonts w:ascii="Times New Roman" w:hAnsi="Times New Roman" w:cs="Times New Roman"/>
                <w:b/>
                <w:bCs/>
              </w:rPr>
              <w:t>LIVTENCITY</w:t>
            </w:r>
          </w:p>
          <w:p w14:paraId="0E9235CB" w14:textId="2735E664" w:rsidR="00AA5658" w:rsidRPr="0067028B" w:rsidRDefault="00AA5658" w:rsidP="008543BD">
            <w:pPr>
              <w:jc w:val="center"/>
              <w:rPr>
                <w:rFonts w:ascii="Times New Roman" w:hAnsi="Times New Roman" w:cs="Times New Roman"/>
                <w:b/>
                <w:bCs/>
              </w:rPr>
            </w:pPr>
            <w:r w:rsidRPr="0067028B">
              <w:rPr>
                <w:rFonts w:ascii="Times New Roman" w:hAnsi="Times New Roman" w:cs="Times New Roman"/>
                <w:b/>
                <w:bCs/>
              </w:rPr>
              <w:t>400 mg Twice Daily</w:t>
            </w:r>
            <w:r w:rsidRPr="0067028B">
              <w:rPr>
                <w:rFonts w:ascii="Times New Roman" w:hAnsi="Times New Roman" w:cs="Times New Roman"/>
                <w:b/>
                <w:bCs/>
              </w:rPr>
              <w:br/>
              <w:t>(N=235)</w:t>
            </w:r>
          </w:p>
        </w:tc>
        <w:tc>
          <w:tcPr>
            <w:tcW w:w="1162" w:type="pct"/>
            <w:gridSpan w:val="2"/>
          </w:tcPr>
          <w:p w14:paraId="70ECA47D" w14:textId="229D7B5C" w:rsidR="00AA5658" w:rsidRPr="0067028B" w:rsidRDefault="00AA5658" w:rsidP="008543BD">
            <w:pPr>
              <w:jc w:val="center"/>
              <w:rPr>
                <w:rFonts w:ascii="Times New Roman" w:hAnsi="Times New Roman" w:cs="Times New Roman"/>
                <w:b/>
              </w:rPr>
            </w:pPr>
            <w:r w:rsidRPr="0067028B">
              <w:rPr>
                <w:rFonts w:ascii="Times New Roman" w:hAnsi="Times New Roman" w:cs="Times New Roman"/>
                <w:b/>
                <w:bCs/>
              </w:rPr>
              <w:t xml:space="preserve">IAT </w:t>
            </w:r>
            <w:r w:rsidRPr="0067028B">
              <w:rPr>
                <w:rFonts w:ascii="Times New Roman" w:hAnsi="Times New Roman" w:cs="Times New Roman"/>
                <w:b/>
                <w:bCs/>
              </w:rPr>
              <w:br/>
              <w:t>(N=117)</w:t>
            </w:r>
          </w:p>
        </w:tc>
      </w:tr>
      <w:bookmarkEnd w:id="7"/>
      <w:tr w:rsidR="00AA5658" w:rsidRPr="001415DB" w14:paraId="507906BE" w14:textId="77777777" w:rsidTr="00F72030">
        <w:trPr>
          <w:trHeight w:val="288"/>
        </w:trPr>
        <w:tc>
          <w:tcPr>
            <w:tcW w:w="2469" w:type="pct"/>
          </w:tcPr>
          <w:p w14:paraId="2BFD1F8A" w14:textId="77777777" w:rsidR="00AA5658" w:rsidRPr="0067028B" w:rsidRDefault="00AA5658" w:rsidP="008543BD">
            <w:pPr>
              <w:rPr>
                <w:rFonts w:ascii="Times New Roman" w:hAnsi="Times New Roman" w:cs="Times New Roman"/>
                <w:bCs/>
              </w:rPr>
            </w:pPr>
          </w:p>
        </w:tc>
        <w:tc>
          <w:tcPr>
            <w:tcW w:w="183" w:type="pct"/>
          </w:tcPr>
          <w:p w14:paraId="77CC7761" w14:textId="7D8C5776" w:rsidR="00AA5658" w:rsidRPr="0067028B" w:rsidRDefault="00AA5658" w:rsidP="008543BD">
            <w:pPr>
              <w:jc w:val="center"/>
              <w:rPr>
                <w:rFonts w:ascii="Times New Roman" w:hAnsi="Times New Roman" w:cs="Times New Roman"/>
                <w:b/>
              </w:rPr>
            </w:pPr>
            <w:r w:rsidRPr="0067028B">
              <w:rPr>
                <w:rFonts w:ascii="Times New Roman" w:hAnsi="Times New Roman" w:cs="Times New Roman"/>
                <w:b/>
              </w:rPr>
              <w:t>n/N</w:t>
            </w:r>
          </w:p>
        </w:tc>
        <w:tc>
          <w:tcPr>
            <w:tcW w:w="1186" w:type="pct"/>
          </w:tcPr>
          <w:p w14:paraId="4002BC2E" w14:textId="0C045829" w:rsidR="00AA5658" w:rsidRPr="0067028B" w:rsidRDefault="00AA5658" w:rsidP="008543BD">
            <w:pPr>
              <w:jc w:val="center"/>
              <w:rPr>
                <w:rFonts w:ascii="Times New Roman" w:hAnsi="Times New Roman" w:cs="Times New Roman"/>
                <w:b/>
              </w:rPr>
            </w:pPr>
            <w:r w:rsidRPr="0067028B">
              <w:rPr>
                <w:rFonts w:ascii="Times New Roman" w:hAnsi="Times New Roman" w:cs="Times New Roman"/>
                <w:b/>
              </w:rPr>
              <w:t>%</w:t>
            </w:r>
          </w:p>
        </w:tc>
        <w:tc>
          <w:tcPr>
            <w:tcW w:w="621" w:type="pct"/>
          </w:tcPr>
          <w:p w14:paraId="28AFC3DB" w14:textId="7B3F21DB" w:rsidR="00AA5658" w:rsidRPr="0067028B" w:rsidRDefault="00AA5658" w:rsidP="008543BD">
            <w:pPr>
              <w:jc w:val="center"/>
              <w:rPr>
                <w:rFonts w:ascii="Times New Roman" w:hAnsi="Times New Roman" w:cs="Times New Roman"/>
                <w:b/>
              </w:rPr>
            </w:pPr>
            <w:r w:rsidRPr="0067028B">
              <w:rPr>
                <w:rFonts w:ascii="Times New Roman" w:hAnsi="Times New Roman" w:cs="Times New Roman"/>
                <w:b/>
              </w:rPr>
              <w:t>n/N</w:t>
            </w:r>
          </w:p>
        </w:tc>
        <w:tc>
          <w:tcPr>
            <w:tcW w:w="541" w:type="pct"/>
          </w:tcPr>
          <w:p w14:paraId="79F97069" w14:textId="77777777" w:rsidR="00AA5658" w:rsidRPr="0067028B" w:rsidRDefault="00AA5658" w:rsidP="008543BD">
            <w:pPr>
              <w:jc w:val="center"/>
              <w:rPr>
                <w:rFonts w:ascii="Times New Roman" w:hAnsi="Times New Roman" w:cs="Times New Roman"/>
                <w:b/>
              </w:rPr>
            </w:pPr>
            <w:r w:rsidRPr="0067028B">
              <w:rPr>
                <w:rFonts w:ascii="Times New Roman" w:hAnsi="Times New Roman" w:cs="Times New Roman"/>
                <w:b/>
              </w:rPr>
              <w:t>%</w:t>
            </w:r>
          </w:p>
        </w:tc>
      </w:tr>
      <w:tr w:rsidR="00AA5658" w:rsidRPr="001415DB" w14:paraId="6ACB1D34" w14:textId="77777777" w:rsidTr="00F72030">
        <w:trPr>
          <w:trHeight w:val="288"/>
        </w:trPr>
        <w:tc>
          <w:tcPr>
            <w:tcW w:w="2469" w:type="pct"/>
          </w:tcPr>
          <w:p w14:paraId="033B7E15"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SOT</w:t>
            </w:r>
          </w:p>
        </w:tc>
        <w:tc>
          <w:tcPr>
            <w:tcW w:w="183" w:type="pct"/>
          </w:tcPr>
          <w:p w14:paraId="3ED9F3A9" w14:textId="2C2BAA5D"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79/142</w:t>
            </w:r>
          </w:p>
        </w:tc>
        <w:tc>
          <w:tcPr>
            <w:tcW w:w="1186" w:type="pct"/>
          </w:tcPr>
          <w:p w14:paraId="3E1F641F" w14:textId="22337945"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56</w:t>
            </w:r>
          </w:p>
        </w:tc>
        <w:tc>
          <w:tcPr>
            <w:tcW w:w="621" w:type="pct"/>
          </w:tcPr>
          <w:p w14:paraId="1C60996A" w14:textId="585E8BA0"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18/69</w:t>
            </w:r>
          </w:p>
        </w:tc>
        <w:tc>
          <w:tcPr>
            <w:tcW w:w="541" w:type="pct"/>
          </w:tcPr>
          <w:p w14:paraId="40EA2A50"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26</w:t>
            </w:r>
          </w:p>
        </w:tc>
      </w:tr>
      <w:tr w:rsidR="00AA5658" w:rsidRPr="001415DB" w14:paraId="756277EB" w14:textId="77777777" w:rsidTr="00F72030">
        <w:trPr>
          <w:trHeight w:val="288"/>
        </w:trPr>
        <w:tc>
          <w:tcPr>
            <w:tcW w:w="2469" w:type="pct"/>
          </w:tcPr>
          <w:p w14:paraId="0D2C463C"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HSCT</w:t>
            </w:r>
          </w:p>
        </w:tc>
        <w:tc>
          <w:tcPr>
            <w:tcW w:w="183" w:type="pct"/>
          </w:tcPr>
          <w:p w14:paraId="6F0DBD1F" w14:textId="2BC00A7C"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52/93</w:t>
            </w:r>
          </w:p>
        </w:tc>
        <w:tc>
          <w:tcPr>
            <w:tcW w:w="1186" w:type="pct"/>
          </w:tcPr>
          <w:p w14:paraId="628912D9" w14:textId="015EF64A"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56</w:t>
            </w:r>
          </w:p>
        </w:tc>
        <w:tc>
          <w:tcPr>
            <w:tcW w:w="621" w:type="pct"/>
          </w:tcPr>
          <w:p w14:paraId="768F2676" w14:textId="6E7390DB"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10/48</w:t>
            </w:r>
          </w:p>
        </w:tc>
        <w:tc>
          <w:tcPr>
            <w:tcW w:w="541" w:type="pct"/>
          </w:tcPr>
          <w:p w14:paraId="6CC385AF"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21</w:t>
            </w:r>
          </w:p>
        </w:tc>
      </w:tr>
      <w:tr w:rsidR="008543BD" w:rsidRPr="001415DB" w14:paraId="48EA03ED" w14:textId="77777777" w:rsidTr="00F72030">
        <w:trPr>
          <w:trHeight w:val="288"/>
        </w:trPr>
        <w:tc>
          <w:tcPr>
            <w:tcW w:w="5000" w:type="pct"/>
            <w:gridSpan w:val="5"/>
          </w:tcPr>
          <w:p w14:paraId="5D9F721F" w14:textId="69E57F45" w:rsidR="008543BD" w:rsidRPr="0067028B" w:rsidRDefault="008543BD" w:rsidP="008543BD">
            <w:pPr>
              <w:rPr>
                <w:rFonts w:ascii="Times New Roman" w:hAnsi="Times New Roman" w:cs="Times New Roman"/>
                <w:bCs/>
              </w:rPr>
            </w:pPr>
            <w:r w:rsidRPr="0067028B">
              <w:rPr>
                <w:rFonts w:ascii="Times New Roman" w:hAnsi="Times New Roman" w:cs="Times New Roman"/>
                <w:b/>
              </w:rPr>
              <w:t>Baseline CMV DNA viral load</w:t>
            </w:r>
          </w:p>
        </w:tc>
      </w:tr>
      <w:tr w:rsidR="00AA5658" w:rsidRPr="001415DB" w14:paraId="499982F3" w14:textId="77777777" w:rsidTr="00F72030">
        <w:trPr>
          <w:trHeight w:val="288"/>
        </w:trPr>
        <w:tc>
          <w:tcPr>
            <w:tcW w:w="2469" w:type="pct"/>
          </w:tcPr>
          <w:p w14:paraId="54A56DD1" w14:textId="70381080"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Low</w:t>
            </w:r>
            <w:r>
              <w:rPr>
                <w:rFonts w:ascii="Times New Roman" w:hAnsi="Times New Roman" w:cs="Times New Roman"/>
                <w:bCs/>
              </w:rPr>
              <w:t xml:space="preserve"> </w:t>
            </w:r>
            <w:r>
              <w:rPr>
                <w:rFonts w:ascii="Times New Roman" w:hAnsi="Times New Roman" w:cs="Times New Roman"/>
                <w:bCs/>
                <w:szCs w:val="24"/>
              </w:rPr>
              <w:t>(&lt;9,100 IU/mL)</w:t>
            </w:r>
          </w:p>
        </w:tc>
        <w:tc>
          <w:tcPr>
            <w:tcW w:w="183" w:type="pct"/>
          </w:tcPr>
          <w:p w14:paraId="66201F5F" w14:textId="317D1D6B"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95/153</w:t>
            </w:r>
          </w:p>
        </w:tc>
        <w:tc>
          <w:tcPr>
            <w:tcW w:w="1186" w:type="pct"/>
          </w:tcPr>
          <w:p w14:paraId="72A33020" w14:textId="27DE5C5A"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62</w:t>
            </w:r>
          </w:p>
        </w:tc>
        <w:tc>
          <w:tcPr>
            <w:tcW w:w="621" w:type="pct"/>
          </w:tcPr>
          <w:p w14:paraId="6972D925" w14:textId="03EE93A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21/85</w:t>
            </w:r>
          </w:p>
        </w:tc>
        <w:tc>
          <w:tcPr>
            <w:tcW w:w="541" w:type="pct"/>
          </w:tcPr>
          <w:p w14:paraId="760141B2"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25</w:t>
            </w:r>
          </w:p>
        </w:tc>
      </w:tr>
      <w:tr w:rsidR="00AA5658" w:rsidRPr="001415DB" w14:paraId="5DC39395" w14:textId="77777777" w:rsidTr="00F72030">
        <w:trPr>
          <w:trHeight w:val="288"/>
        </w:trPr>
        <w:tc>
          <w:tcPr>
            <w:tcW w:w="2469" w:type="pct"/>
          </w:tcPr>
          <w:p w14:paraId="03132CE6" w14:textId="096F1FBF" w:rsidR="00AA5658" w:rsidRDefault="00AA5658" w:rsidP="008543BD">
            <w:pPr>
              <w:spacing w:before="60" w:after="60"/>
              <w:ind w:left="160"/>
              <w:rPr>
                <w:rFonts w:ascii="Times New Roman" w:hAnsi="Times New Roman" w:cs="Times New Roman"/>
                <w:bCs/>
              </w:rPr>
            </w:pPr>
            <w:r w:rsidRPr="0067028B">
              <w:rPr>
                <w:rFonts w:ascii="Times New Roman" w:hAnsi="Times New Roman" w:cs="Times New Roman"/>
                <w:bCs/>
              </w:rPr>
              <w:t>Intermediate</w:t>
            </w:r>
            <w:r>
              <w:rPr>
                <w:rFonts w:ascii="Times New Roman" w:hAnsi="Times New Roman" w:cs="Times New Roman"/>
                <w:bCs/>
              </w:rPr>
              <w:t xml:space="preserve"> </w:t>
            </w:r>
            <w:r>
              <w:rPr>
                <w:rFonts w:ascii="Times New Roman" w:hAnsi="Times New Roman" w:cs="Times New Roman"/>
              </w:rPr>
              <w:t>(≥9,100 to &lt;91,000 IU/mL)</w:t>
            </w:r>
          </w:p>
          <w:p w14:paraId="11AE2EAD" w14:textId="77777777" w:rsidR="00AA5658" w:rsidRDefault="00AA5658" w:rsidP="008543BD">
            <w:pPr>
              <w:spacing w:before="60" w:after="60"/>
              <w:ind w:left="160"/>
              <w:rPr>
                <w:rFonts w:ascii="Times New Roman" w:hAnsi="Times New Roman" w:cs="Times New Roman"/>
                <w:bCs/>
              </w:rPr>
            </w:pPr>
            <w:r>
              <w:rPr>
                <w:rFonts w:ascii="Times New Roman" w:hAnsi="Times New Roman" w:cs="Times New Roman"/>
                <w:color w:val="000000" w:themeColor="text1"/>
              </w:rPr>
              <w:t xml:space="preserve">     ≥9,100 to &lt;50,000 IU/mL</w:t>
            </w:r>
          </w:p>
          <w:p w14:paraId="21418EE7" w14:textId="292431C6" w:rsidR="00AA5658" w:rsidRPr="0067028B" w:rsidRDefault="00AA5658" w:rsidP="008543BD">
            <w:pPr>
              <w:ind w:left="160"/>
              <w:rPr>
                <w:rFonts w:ascii="Times New Roman" w:hAnsi="Times New Roman" w:cs="Times New Roman"/>
                <w:bCs/>
              </w:rPr>
            </w:pPr>
            <w:r>
              <w:rPr>
                <w:rFonts w:ascii="Times New Roman" w:hAnsi="Times New Roman" w:cs="Times New Roman"/>
                <w:bCs/>
              </w:rPr>
              <w:t xml:space="preserve">     </w:t>
            </w:r>
            <w:r>
              <w:rPr>
                <w:rFonts w:ascii="Times New Roman" w:hAnsi="Times New Roman" w:cs="Times New Roman"/>
                <w:color w:val="000000" w:themeColor="text1"/>
              </w:rPr>
              <w:t>≥50,000 to &lt;91,000 IU/mL</w:t>
            </w:r>
          </w:p>
        </w:tc>
        <w:tc>
          <w:tcPr>
            <w:tcW w:w="183" w:type="pct"/>
          </w:tcPr>
          <w:p w14:paraId="7563B12F" w14:textId="77777777"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32/68</w:t>
            </w:r>
          </w:p>
          <w:p w14:paraId="0C914C97" w14:textId="77777777"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29/59</w:t>
            </w:r>
          </w:p>
          <w:p w14:paraId="6BAFB2A7" w14:textId="3D3401B7"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3/9</w:t>
            </w:r>
          </w:p>
        </w:tc>
        <w:tc>
          <w:tcPr>
            <w:tcW w:w="1186" w:type="pct"/>
          </w:tcPr>
          <w:p w14:paraId="2445F73F" w14:textId="77777777"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47</w:t>
            </w:r>
          </w:p>
          <w:p w14:paraId="2B2B044E" w14:textId="77777777"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49</w:t>
            </w:r>
          </w:p>
          <w:p w14:paraId="1330365C" w14:textId="2C50E4B3"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33</w:t>
            </w:r>
          </w:p>
        </w:tc>
        <w:tc>
          <w:tcPr>
            <w:tcW w:w="621" w:type="pct"/>
          </w:tcPr>
          <w:p w14:paraId="4ACCC56C" w14:textId="03DB9E46"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5/25</w:t>
            </w:r>
          </w:p>
          <w:p w14:paraId="2CBEA278" w14:textId="77777777"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4/20</w:t>
            </w:r>
          </w:p>
          <w:p w14:paraId="6B13F999" w14:textId="6C9654F0" w:rsidR="00AA5658" w:rsidRPr="0067028B" w:rsidRDefault="00AA5658" w:rsidP="008543BD">
            <w:pPr>
              <w:jc w:val="center"/>
              <w:rPr>
                <w:rFonts w:ascii="Times New Roman" w:hAnsi="Times New Roman" w:cs="Times New Roman"/>
                <w:bCs/>
              </w:rPr>
            </w:pPr>
            <w:r>
              <w:rPr>
                <w:rFonts w:ascii="Times New Roman" w:hAnsi="Times New Roman" w:cs="Times New Roman"/>
                <w:bCs/>
              </w:rPr>
              <w:t>1/5</w:t>
            </w:r>
          </w:p>
        </w:tc>
        <w:tc>
          <w:tcPr>
            <w:tcW w:w="541" w:type="pct"/>
          </w:tcPr>
          <w:p w14:paraId="71512CAE" w14:textId="7277A0F0"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20</w:t>
            </w:r>
          </w:p>
          <w:p w14:paraId="522BF689" w14:textId="77777777" w:rsidR="00AA5658" w:rsidRDefault="00AA5658" w:rsidP="008543BD">
            <w:pPr>
              <w:spacing w:before="60" w:after="60"/>
              <w:jc w:val="center"/>
              <w:rPr>
                <w:rFonts w:ascii="Times New Roman" w:hAnsi="Times New Roman" w:cs="Times New Roman"/>
                <w:bCs/>
              </w:rPr>
            </w:pPr>
            <w:r>
              <w:rPr>
                <w:rFonts w:ascii="Times New Roman" w:hAnsi="Times New Roman" w:cs="Times New Roman"/>
                <w:bCs/>
              </w:rPr>
              <w:t>20</w:t>
            </w:r>
          </w:p>
          <w:p w14:paraId="785B5FEF" w14:textId="5E457D7C" w:rsidR="00AA5658" w:rsidRPr="0067028B" w:rsidRDefault="00AA5658" w:rsidP="008543BD">
            <w:pPr>
              <w:jc w:val="center"/>
              <w:rPr>
                <w:rFonts w:ascii="Times New Roman" w:hAnsi="Times New Roman" w:cs="Times New Roman"/>
                <w:bCs/>
              </w:rPr>
            </w:pPr>
            <w:r>
              <w:rPr>
                <w:rFonts w:ascii="Times New Roman" w:hAnsi="Times New Roman" w:cs="Times New Roman"/>
                <w:bCs/>
              </w:rPr>
              <w:t>20</w:t>
            </w:r>
          </w:p>
        </w:tc>
      </w:tr>
      <w:tr w:rsidR="00AA5658" w:rsidRPr="001415DB" w14:paraId="6CDD4323" w14:textId="77777777" w:rsidTr="00F72030">
        <w:trPr>
          <w:trHeight w:val="288"/>
        </w:trPr>
        <w:tc>
          <w:tcPr>
            <w:tcW w:w="2469" w:type="pct"/>
          </w:tcPr>
          <w:p w14:paraId="1E6EE270" w14:textId="1583AAA2" w:rsidR="00AA5658" w:rsidRPr="0067028B" w:rsidRDefault="00AA5658" w:rsidP="008543BD">
            <w:pPr>
              <w:ind w:left="160"/>
              <w:rPr>
                <w:rFonts w:ascii="Times New Roman" w:hAnsi="Times New Roman" w:cs="Times New Roman"/>
                <w:bCs/>
              </w:rPr>
            </w:pPr>
            <w:r>
              <w:rPr>
                <w:rFonts w:ascii="Times New Roman" w:hAnsi="Times New Roman" w:cs="Times New Roman"/>
                <w:bCs/>
              </w:rPr>
              <w:t>High (</w:t>
            </w:r>
            <w:r>
              <w:rPr>
                <w:rFonts w:ascii="Times New Roman" w:hAnsi="Times New Roman" w:cs="Times New Roman"/>
                <w:bCs/>
                <w:szCs w:val="24"/>
              </w:rPr>
              <w:t>≥91,000 IU/mL)</w:t>
            </w:r>
          </w:p>
        </w:tc>
        <w:tc>
          <w:tcPr>
            <w:tcW w:w="183" w:type="pct"/>
          </w:tcPr>
          <w:p w14:paraId="4AFA1479" w14:textId="366281FE" w:rsidR="00AA5658" w:rsidRDefault="00AA5658" w:rsidP="008543BD">
            <w:pPr>
              <w:jc w:val="center"/>
              <w:rPr>
                <w:rFonts w:ascii="Times New Roman" w:hAnsi="Times New Roman" w:cs="Times New Roman"/>
                <w:bCs/>
              </w:rPr>
            </w:pPr>
            <w:r>
              <w:rPr>
                <w:rFonts w:ascii="Times New Roman" w:hAnsi="Times New Roman" w:cs="Times New Roman"/>
                <w:bCs/>
              </w:rPr>
              <w:t>4/14</w:t>
            </w:r>
          </w:p>
        </w:tc>
        <w:tc>
          <w:tcPr>
            <w:tcW w:w="1186" w:type="pct"/>
          </w:tcPr>
          <w:p w14:paraId="729A1F79" w14:textId="7C21B461" w:rsidR="00AA5658" w:rsidRDefault="00AA5658" w:rsidP="008543BD">
            <w:pPr>
              <w:jc w:val="center"/>
              <w:rPr>
                <w:rFonts w:ascii="Times New Roman" w:hAnsi="Times New Roman" w:cs="Times New Roman"/>
                <w:bCs/>
              </w:rPr>
            </w:pPr>
            <w:r>
              <w:rPr>
                <w:rFonts w:ascii="Times New Roman" w:hAnsi="Times New Roman" w:cs="Times New Roman"/>
                <w:bCs/>
              </w:rPr>
              <w:t>29</w:t>
            </w:r>
          </w:p>
        </w:tc>
        <w:tc>
          <w:tcPr>
            <w:tcW w:w="621" w:type="pct"/>
          </w:tcPr>
          <w:p w14:paraId="1EF19C16" w14:textId="53B8C63E" w:rsidR="00AA5658" w:rsidRPr="0067028B" w:rsidRDefault="00AA5658" w:rsidP="008543BD">
            <w:pPr>
              <w:jc w:val="center"/>
              <w:rPr>
                <w:rFonts w:ascii="Times New Roman" w:hAnsi="Times New Roman" w:cs="Times New Roman"/>
                <w:bCs/>
              </w:rPr>
            </w:pPr>
            <w:r>
              <w:rPr>
                <w:rFonts w:ascii="Times New Roman" w:hAnsi="Times New Roman" w:cs="Times New Roman"/>
                <w:bCs/>
              </w:rPr>
              <w:t>2/7</w:t>
            </w:r>
          </w:p>
        </w:tc>
        <w:tc>
          <w:tcPr>
            <w:tcW w:w="541" w:type="pct"/>
          </w:tcPr>
          <w:p w14:paraId="35FDB0B7" w14:textId="30946021" w:rsidR="00AA5658" w:rsidRPr="0067028B" w:rsidRDefault="00AA5658" w:rsidP="008543BD">
            <w:pPr>
              <w:jc w:val="center"/>
              <w:rPr>
                <w:rFonts w:ascii="Times New Roman" w:hAnsi="Times New Roman" w:cs="Times New Roman"/>
                <w:bCs/>
              </w:rPr>
            </w:pPr>
            <w:r>
              <w:rPr>
                <w:rFonts w:ascii="Times New Roman" w:hAnsi="Times New Roman" w:cs="Times New Roman"/>
                <w:bCs/>
              </w:rPr>
              <w:t>29</w:t>
            </w:r>
          </w:p>
        </w:tc>
      </w:tr>
      <w:tr w:rsidR="008543BD" w:rsidRPr="001415DB" w14:paraId="5EDF3E36" w14:textId="77777777" w:rsidTr="00F72030">
        <w:trPr>
          <w:trHeight w:val="288"/>
        </w:trPr>
        <w:tc>
          <w:tcPr>
            <w:tcW w:w="5000" w:type="pct"/>
            <w:gridSpan w:val="5"/>
          </w:tcPr>
          <w:p w14:paraId="330195DE" w14:textId="68222311" w:rsidR="008543BD" w:rsidRPr="0067028B" w:rsidRDefault="008543BD" w:rsidP="008543BD">
            <w:pPr>
              <w:rPr>
                <w:rFonts w:ascii="Times New Roman" w:hAnsi="Times New Roman" w:cs="Times New Roman"/>
                <w:bCs/>
              </w:rPr>
            </w:pPr>
            <w:r w:rsidRPr="0067028B">
              <w:rPr>
                <w:rFonts w:ascii="Times New Roman" w:hAnsi="Times New Roman" w:cs="Times New Roman"/>
                <w:b/>
              </w:rPr>
              <w:t>Genotypic resistance to other anti-CMV agents</w:t>
            </w:r>
          </w:p>
        </w:tc>
      </w:tr>
      <w:tr w:rsidR="00AA5658" w:rsidRPr="001415DB" w14:paraId="3EC608D4" w14:textId="77777777" w:rsidTr="00F72030">
        <w:trPr>
          <w:trHeight w:val="288"/>
        </w:trPr>
        <w:tc>
          <w:tcPr>
            <w:tcW w:w="2469" w:type="pct"/>
          </w:tcPr>
          <w:p w14:paraId="35629248"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Yes</w:t>
            </w:r>
          </w:p>
        </w:tc>
        <w:tc>
          <w:tcPr>
            <w:tcW w:w="183" w:type="pct"/>
          </w:tcPr>
          <w:p w14:paraId="2F96908D" w14:textId="5E3194CB"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76/121</w:t>
            </w:r>
          </w:p>
        </w:tc>
        <w:tc>
          <w:tcPr>
            <w:tcW w:w="1186" w:type="pct"/>
          </w:tcPr>
          <w:p w14:paraId="48599FB0" w14:textId="2F2605C4"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63</w:t>
            </w:r>
          </w:p>
        </w:tc>
        <w:tc>
          <w:tcPr>
            <w:tcW w:w="621" w:type="pct"/>
          </w:tcPr>
          <w:p w14:paraId="2192A6E1" w14:textId="77DBDA7B"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14/69</w:t>
            </w:r>
          </w:p>
        </w:tc>
        <w:tc>
          <w:tcPr>
            <w:tcW w:w="541" w:type="pct"/>
          </w:tcPr>
          <w:p w14:paraId="1218CD99"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20</w:t>
            </w:r>
          </w:p>
        </w:tc>
      </w:tr>
      <w:tr w:rsidR="00AA5658" w:rsidRPr="001415DB" w14:paraId="694FADD7" w14:textId="77777777" w:rsidTr="00F72030">
        <w:trPr>
          <w:trHeight w:val="288"/>
        </w:trPr>
        <w:tc>
          <w:tcPr>
            <w:tcW w:w="2469" w:type="pct"/>
          </w:tcPr>
          <w:p w14:paraId="4E4D79F7"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No</w:t>
            </w:r>
          </w:p>
        </w:tc>
        <w:tc>
          <w:tcPr>
            <w:tcW w:w="183" w:type="pct"/>
          </w:tcPr>
          <w:p w14:paraId="6BFB22B1" w14:textId="60B7F7C2"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42/96</w:t>
            </w:r>
          </w:p>
        </w:tc>
        <w:tc>
          <w:tcPr>
            <w:tcW w:w="1186" w:type="pct"/>
          </w:tcPr>
          <w:p w14:paraId="305AD752" w14:textId="0CA8B93A"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44</w:t>
            </w:r>
          </w:p>
        </w:tc>
        <w:tc>
          <w:tcPr>
            <w:tcW w:w="621" w:type="pct"/>
          </w:tcPr>
          <w:p w14:paraId="0D4CE77A" w14:textId="3E391EAE"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11/34</w:t>
            </w:r>
          </w:p>
        </w:tc>
        <w:tc>
          <w:tcPr>
            <w:tcW w:w="541" w:type="pct"/>
          </w:tcPr>
          <w:p w14:paraId="5A58F8A1"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32</w:t>
            </w:r>
          </w:p>
        </w:tc>
      </w:tr>
      <w:tr w:rsidR="008543BD" w:rsidRPr="001415DB" w14:paraId="44E1A399" w14:textId="77777777" w:rsidTr="00F72030">
        <w:trPr>
          <w:trHeight w:val="288"/>
        </w:trPr>
        <w:tc>
          <w:tcPr>
            <w:tcW w:w="5000" w:type="pct"/>
            <w:gridSpan w:val="5"/>
          </w:tcPr>
          <w:p w14:paraId="30CD0911" w14:textId="1A6E6FD9" w:rsidR="008543BD" w:rsidRPr="0067028B" w:rsidRDefault="008543BD" w:rsidP="008543BD">
            <w:pPr>
              <w:rPr>
                <w:rFonts w:ascii="Times New Roman" w:hAnsi="Times New Roman" w:cs="Times New Roman"/>
                <w:bCs/>
              </w:rPr>
            </w:pPr>
            <w:r w:rsidRPr="0067028B">
              <w:rPr>
                <w:rFonts w:ascii="Times New Roman" w:hAnsi="Times New Roman" w:cs="Times New Roman"/>
                <w:b/>
              </w:rPr>
              <w:t>CMV syndrome/disease at baseline</w:t>
            </w:r>
          </w:p>
        </w:tc>
      </w:tr>
      <w:tr w:rsidR="00AA5658" w:rsidRPr="001415DB" w14:paraId="30DDAC59" w14:textId="77777777" w:rsidTr="00F72030">
        <w:trPr>
          <w:trHeight w:val="288"/>
        </w:trPr>
        <w:tc>
          <w:tcPr>
            <w:tcW w:w="2469" w:type="pct"/>
          </w:tcPr>
          <w:p w14:paraId="1F4DF6EE"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Yes</w:t>
            </w:r>
          </w:p>
        </w:tc>
        <w:tc>
          <w:tcPr>
            <w:tcW w:w="183" w:type="pct"/>
          </w:tcPr>
          <w:p w14:paraId="1CAAF8D3" w14:textId="5D06818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10/21</w:t>
            </w:r>
          </w:p>
        </w:tc>
        <w:tc>
          <w:tcPr>
            <w:tcW w:w="1186" w:type="pct"/>
          </w:tcPr>
          <w:p w14:paraId="5870A213" w14:textId="5DA411F3"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48</w:t>
            </w:r>
          </w:p>
        </w:tc>
        <w:tc>
          <w:tcPr>
            <w:tcW w:w="621" w:type="pct"/>
          </w:tcPr>
          <w:p w14:paraId="0D06D3D8" w14:textId="2A82011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1/8</w:t>
            </w:r>
          </w:p>
        </w:tc>
        <w:tc>
          <w:tcPr>
            <w:tcW w:w="541" w:type="pct"/>
          </w:tcPr>
          <w:p w14:paraId="59F9AE9A"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13</w:t>
            </w:r>
          </w:p>
        </w:tc>
      </w:tr>
      <w:tr w:rsidR="00AA5658" w:rsidRPr="001415DB" w14:paraId="184CD8FA" w14:textId="77777777" w:rsidTr="00F72030">
        <w:trPr>
          <w:trHeight w:val="288"/>
        </w:trPr>
        <w:tc>
          <w:tcPr>
            <w:tcW w:w="2469" w:type="pct"/>
          </w:tcPr>
          <w:p w14:paraId="43299159"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No</w:t>
            </w:r>
          </w:p>
        </w:tc>
        <w:tc>
          <w:tcPr>
            <w:tcW w:w="183" w:type="pct"/>
          </w:tcPr>
          <w:p w14:paraId="429E2544" w14:textId="7A51856B"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121/214</w:t>
            </w:r>
          </w:p>
        </w:tc>
        <w:tc>
          <w:tcPr>
            <w:tcW w:w="1186" w:type="pct"/>
          </w:tcPr>
          <w:p w14:paraId="21F76235" w14:textId="24785A86"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57</w:t>
            </w:r>
          </w:p>
        </w:tc>
        <w:tc>
          <w:tcPr>
            <w:tcW w:w="621" w:type="pct"/>
          </w:tcPr>
          <w:p w14:paraId="2CB9D3F5" w14:textId="2773D6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27/109</w:t>
            </w:r>
          </w:p>
        </w:tc>
        <w:tc>
          <w:tcPr>
            <w:tcW w:w="541" w:type="pct"/>
          </w:tcPr>
          <w:p w14:paraId="70052290"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25</w:t>
            </w:r>
          </w:p>
        </w:tc>
      </w:tr>
      <w:tr w:rsidR="008543BD" w:rsidRPr="001415DB" w14:paraId="6929AEF3" w14:textId="77777777" w:rsidTr="00F72030">
        <w:trPr>
          <w:trHeight w:val="288"/>
        </w:trPr>
        <w:tc>
          <w:tcPr>
            <w:tcW w:w="5000" w:type="pct"/>
            <w:gridSpan w:val="5"/>
          </w:tcPr>
          <w:p w14:paraId="572CB507" w14:textId="2D32AE61" w:rsidR="008543BD" w:rsidRPr="0067028B" w:rsidRDefault="008543BD" w:rsidP="008543BD">
            <w:pPr>
              <w:rPr>
                <w:rFonts w:ascii="Times New Roman" w:hAnsi="Times New Roman" w:cs="Times New Roman"/>
                <w:bCs/>
              </w:rPr>
            </w:pPr>
            <w:r w:rsidRPr="0067028B">
              <w:rPr>
                <w:rFonts w:ascii="Times New Roman" w:hAnsi="Times New Roman" w:cs="Times New Roman"/>
                <w:b/>
              </w:rPr>
              <w:t>Age Group</w:t>
            </w:r>
          </w:p>
        </w:tc>
      </w:tr>
      <w:tr w:rsidR="00AA5658" w:rsidRPr="001415DB" w14:paraId="5ADCDAB6" w14:textId="77777777" w:rsidTr="00F72030">
        <w:trPr>
          <w:trHeight w:val="288"/>
        </w:trPr>
        <w:tc>
          <w:tcPr>
            <w:tcW w:w="2469" w:type="pct"/>
          </w:tcPr>
          <w:p w14:paraId="7F297F35"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18 to 44 years</w:t>
            </w:r>
          </w:p>
        </w:tc>
        <w:tc>
          <w:tcPr>
            <w:tcW w:w="183" w:type="pct"/>
          </w:tcPr>
          <w:p w14:paraId="26F8B9BB" w14:textId="550536BA"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28/55</w:t>
            </w:r>
          </w:p>
        </w:tc>
        <w:tc>
          <w:tcPr>
            <w:tcW w:w="1186" w:type="pct"/>
          </w:tcPr>
          <w:p w14:paraId="6564B3B9" w14:textId="44115589"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51</w:t>
            </w:r>
          </w:p>
        </w:tc>
        <w:tc>
          <w:tcPr>
            <w:tcW w:w="621" w:type="pct"/>
          </w:tcPr>
          <w:p w14:paraId="760219C6" w14:textId="6850233C"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8/32</w:t>
            </w:r>
          </w:p>
        </w:tc>
        <w:tc>
          <w:tcPr>
            <w:tcW w:w="541" w:type="pct"/>
          </w:tcPr>
          <w:p w14:paraId="49A3B525"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25</w:t>
            </w:r>
          </w:p>
        </w:tc>
      </w:tr>
      <w:tr w:rsidR="00AA5658" w:rsidRPr="001415DB" w14:paraId="213FBFCB" w14:textId="77777777" w:rsidTr="00F72030">
        <w:trPr>
          <w:trHeight w:val="288"/>
        </w:trPr>
        <w:tc>
          <w:tcPr>
            <w:tcW w:w="2469" w:type="pct"/>
          </w:tcPr>
          <w:p w14:paraId="65BF5E9E"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45 to 64 years</w:t>
            </w:r>
          </w:p>
        </w:tc>
        <w:tc>
          <w:tcPr>
            <w:tcW w:w="183" w:type="pct"/>
          </w:tcPr>
          <w:p w14:paraId="5965F223" w14:textId="680B4C0C"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71/126</w:t>
            </w:r>
          </w:p>
        </w:tc>
        <w:tc>
          <w:tcPr>
            <w:tcW w:w="1186" w:type="pct"/>
          </w:tcPr>
          <w:p w14:paraId="1BB0C66D" w14:textId="14715C0D"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56</w:t>
            </w:r>
          </w:p>
        </w:tc>
        <w:tc>
          <w:tcPr>
            <w:tcW w:w="621" w:type="pct"/>
          </w:tcPr>
          <w:p w14:paraId="799DBFD1" w14:textId="757B7126"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19/69</w:t>
            </w:r>
          </w:p>
        </w:tc>
        <w:tc>
          <w:tcPr>
            <w:tcW w:w="541" w:type="pct"/>
          </w:tcPr>
          <w:p w14:paraId="33D4AEC3"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28</w:t>
            </w:r>
          </w:p>
        </w:tc>
      </w:tr>
      <w:tr w:rsidR="00AA5658" w:rsidRPr="001415DB" w14:paraId="508E41A9" w14:textId="77777777" w:rsidTr="00F72030">
        <w:trPr>
          <w:trHeight w:val="288"/>
        </w:trPr>
        <w:tc>
          <w:tcPr>
            <w:tcW w:w="2469" w:type="pct"/>
          </w:tcPr>
          <w:p w14:paraId="25AD9F25" w14:textId="77777777" w:rsidR="00AA5658" w:rsidRPr="0067028B" w:rsidRDefault="00AA5658" w:rsidP="008543BD">
            <w:pPr>
              <w:ind w:left="160"/>
              <w:rPr>
                <w:rFonts w:ascii="Times New Roman" w:hAnsi="Times New Roman" w:cs="Times New Roman"/>
                <w:bCs/>
              </w:rPr>
            </w:pPr>
            <w:r w:rsidRPr="0067028B">
              <w:rPr>
                <w:rFonts w:ascii="Times New Roman" w:hAnsi="Times New Roman" w:cs="Times New Roman"/>
                <w:bCs/>
              </w:rPr>
              <w:t>≥ 65 years</w:t>
            </w:r>
          </w:p>
        </w:tc>
        <w:tc>
          <w:tcPr>
            <w:tcW w:w="183" w:type="pct"/>
          </w:tcPr>
          <w:p w14:paraId="3C78C08F" w14:textId="5BE52395"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32/54</w:t>
            </w:r>
          </w:p>
        </w:tc>
        <w:tc>
          <w:tcPr>
            <w:tcW w:w="1186" w:type="pct"/>
          </w:tcPr>
          <w:p w14:paraId="0085F745" w14:textId="0092E233"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59</w:t>
            </w:r>
          </w:p>
        </w:tc>
        <w:tc>
          <w:tcPr>
            <w:tcW w:w="621" w:type="pct"/>
          </w:tcPr>
          <w:p w14:paraId="10BF2476" w14:textId="1F905E7F"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1/16</w:t>
            </w:r>
          </w:p>
        </w:tc>
        <w:tc>
          <w:tcPr>
            <w:tcW w:w="541" w:type="pct"/>
          </w:tcPr>
          <w:p w14:paraId="0FE68A6D" w14:textId="77777777" w:rsidR="00AA5658" w:rsidRPr="0067028B" w:rsidRDefault="00AA5658" w:rsidP="008543BD">
            <w:pPr>
              <w:jc w:val="center"/>
              <w:rPr>
                <w:rFonts w:ascii="Times New Roman" w:hAnsi="Times New Roman" w:cs="Times New Roman"/>
                <w:bCs/>
              </w:rPr>
            </w:pPr>
            <w:r w:rsidRPr="0067028B">
              <w:rPr>
                <w:rFonts w:ascii="Times New Roman" w:hAnsi="Times New Roman" w:cs="Times New Roman"/>
                <w:bCs/>
              </w:rPr>
              <w:t>6</w:t>
            </w:r>
          </w:p>
        </w:tc>
      </w:tr>
    </w:tbl>
    <w:bookmarkEnd w:id="8"/>
    <w:p w14:paraId="7C79CB6E" w14:textId="77777777" w:rsidR="0000120A" w:rsidRPr="001415DB" w:rsidRDefault="0000120A" w:rsidP="0000120A">
      <w:pPr>
        <w:pStyle w:val="CCDSBodytext"/>
        <w:spacing w:line="240" w:lineRule="auto"/>
        <w:rPr>
          <w:sz w:val="20"/>
          <w:szCs w:val="20"/>
          <w:lang w:val="en-US"/>
        </w:rPr>
      </w:pPr>
      <w:r w:rsidRPr="001415DB">
        <w:rPr>
          <w:sz w:val="20"/>
          <w:szCs w:val="20"/>
          <w:lang w:val="en-US"/>
        </w:rPr>
        <w:t>CMV=cytomegalovirus, DNA=deoxyribonucleic acid, HSCT=hematopoietic stem cell transplant, SOT=solid organ transplant</w:t>
      </w:r>
    </w:p>
    <w:p w14:paraId="17540B37" w14:textId="38FC15A1" w:rsidR="00FF6F4F" w:rsidRPr="001415DB" w:rsidRDefault="00FF6F4F" w:rsidP="00E3274C">
      <w:pPr>
        <w:spacing w:before="240" w:after="0" w:line="240" w:lineRule="auto"/>
        <w:rPr>
          <w:rFonts w:ascii="Times New Roman" w:hAnsi="Times New Roman" w:cs="Times New Roman"/>
          <w:sz w:val="24"/>
          <w:szCs w:val="24"/>
          <w:u w:val="single"/>
        </w:rPr>
      </w:pPr>
      <w:r w:rsidRPr="001415DB">
        <w:rPr>
          <w:rFonts w:ascii="Times New Roman" w:hAnsi="Times New Roman" w:cs="Times New Roman"/>
          <w:sz w:val="24"/>
          <w:szCs w:val="24"/>
          <w:u w:val="single"/>
        </w:rPr>
        <w:t>Recurrence</w:t>
      </w:r>
    </w:p>
    <w:p w14:paraId="274F2C76" w14:textId="5B35F2D4" w:rsidR="00D10461" w:rsidRDefault="00FF6F4F" w:rsidP="0049269E">
      <w:pPr>
        <w:rPr>
          <w:rFonts w:ascii="Times New Roman" w:hAnsi="Times New Roman" w:cs="Times New Roman"/>
          <w:sz w:val="24"/>
          <w:szCs w:val="24"/>
          <w:u w:val="single"/>
        </w:rPr>
      </w:pPr>
      <w:r w:rsidRPr="001415DB">
        <w:rPr>
          <w:rFonts w:ascii="Times New Roman" w:hAnsi="Times New Roman" w:cs="Times New Roman"/>
          <w:sz w:val="24"/>
          <w:szCs w:val="24"/>
        </w:rPr>
        <w:t xml:space="preserve">Recurrence requiring anti-CMV treatment after Week 8 was reported for 34/131 (26.0%) </w:t>
      </w:r>
      <w:r w:rsidR="000F5488"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patients compared to 10/28 (35.7%) IAT patients. The median time to recurrence after CMV viremia clearance was 21 days (range 13, 80) in the</w:t>
      </w:r>
      <w:r w:rsidR="000F5488" w:rsidRPr="001415DB">
        <w:rPr>
          <w:rFonts w:ascii="Times New Roman" w:hAnsi="Times New Roman" w:cs="Times New Roman"/>
          <w:sz w:val="24"/>
          <w:szCs w:val="24"/>
        </w:rPr>
        <w:t xml:space="preserve"> LIVTENCITY</w:t>
      </w:r>
      <w:r w:rsidRPr="001415DB">
        <w:rPr>
          <w:rFonts w:ascii="Times New Roman" w:hAnsi="Times New Roman" w:cs="Times New Roman"/>
          <w:sz w:val="24"/>
          <w:szCs w:val="24"/>
        </w:rPr>
        <w:t xml:space="preserve"> group and 22 days (range 14, 36) in the IAT group. </w:t>
      </w:r>
    </w:p>
    <w:p w14:paraId="217BA015" w14:textId="044A0930" w:rsidR="00FF6F4F" w:rsidRPr="001415DB" w:rsidRDefault="00FF6F4F" w:rsidP="0067028B">
      <w:pPr>
        <w:spacing w:after="0" w:line="240" w:lineRule="auto"/>
        <w:rPr>
          <w:rFonts w:ascii="Times New Roman" w:hAnsi="Times New Roman" w:cs="Times New Roman"/>
          <w:sz w:val="24"/>
          <w:szCs w:val="24"/>
          <w:u w:val="single"/>
        </w:rPr>
      </w:pPr>
      <w:r w:rsidRPr="001415DB">
        <w:rPr>
          <w:rFonts w:ascii="Times New Roman" w:hAnsi="Times New Roman" w:cs="Times New Roman"/>
          <w:sz w:val="24"/>
          <w:szCs w:val="24"/>
          <w:u w:val="single"/>
        </w:rPr>
        <w:lastRenderedPageBreak/>
        <w:t>Rescue arm</w:t>
      </w:r>
    </w:p>
    <w:p w14:paraId="1EB909A1" w14:textId="61D4E373" w:rsidR="00FF6F4F" w:rsidRPr="001415DB" w:rsidRDefault="00FF6F4F" w:rsidP="00FF6F4F">
      <w:pPr>
        <w:rPr>
          <w:rFonts w:ascii="Times New Roman" w:hAnsi="Times New Roman" w:cs="Times New Roman"/>
          <w:sz w:val="24"/>
          <w:szCs w:val="24"/>
        </w:rPr>
      </w:pPr>
      <w:r w:rsidRPr="001415DB">
        <w:rPr>
          <w:rFonts w:ascii="Times New Roman" w:hAnsi="Times New Roman" w:cs="Times New Roman"/>
          <w:sz w:val="24"/>
          <w:szCs w:val="24"/>
        </w:rPr>
        <w:t xml:space="preserve">Twenty-two patients received </w:t>
      </w:r>
      <w:r w:rsidR="0087316C"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as rescue therapy due to worsening of CMV viremia or new/persistent symptomatic CMV infections 7 (31.8%) or lack of improvement in CMV infection plus intolerance to IAT 15 (68.2%). Of the 22 patients, 11 (50.0%) patients achieved confirmed CMV viremia clearance at Week 8 of the </w:t>
      </w:r>
      <w:r w:rsidR="0087316C"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rescue treatment phase and 11 (50.0%) patients were non</w:t>
      </w:r>
      <w:r w:rsidR="0087316C" w:rsidRPr="001415DB">
        <w:rPr>
          <w:rFonts w:ascii="Times New Roman" w:hAnsi="Times New Roman" w:cs="Times New Roman"/>
          <w:sz w:val="24"/>
          <w:szCs w:val="24"/>
        </w:rPr>
        <w:t>-</w:t>
      </w:r>
      <w:r w:rsidRPr="001415DB">
        <w:rPr>
          <w:rFonts w:ascii="Times New Roman" w:hAnsi="Times New Roman" w:cs="Times New Roman"/>
          <w:sz w:val="24"/>
          <w:szCs w:val="24"/>
        </w:rPr>
        <w:t xml:space="preserve">responders. </w:t>
      </w:r>
    </w:p>
    <w:p w14:paraId="4C9E8A39" w14:textId="77777777" w:rsidR="00291866" w:rsidRPr="009C3179" w:rsidRDefault="00291866" w:rsidP="00291866">
      <w:pPr>
        <w:spacing w:after="0" w:line="240" w:lineRule="auto"/>
        <w:rPr>
          <w:rFonts w:ascii="Times New Roman" w:hAnsi="Times New Roman" w:cs="Times New Roman"/>
          <w:sz w:val="24"/>
          <w:szCs w:val="24"/>
          <w:u w:val="single"/>
        </w:rPr>
      </w:pPr>
      <w:r w:rsidRPr="009C3179">
        <w:rPr>
          <w:rFonts w:ascii="Times New Roman" w:hAnsi="Times New Roman" w:cs="Times New Roman"/>
          <w:sz w:val="24"/>
          <w:szCs w:val="24"/>
          <w:u w:val="single"/>
        </w:rPr>
        <w:t>Effect on mortality</w:t>
      </w:r>
    </w:p>
    <w:p w14:paraId="79297935" w14:textId="77777777" w:rsidR="00291866" w:rsidRPr="001415DB" w:rsidRDefault="00291866" w:rsidP="00291866">
      <w:pPr>
        <w:rPr>
          <w:rFonts w:ascii="Times New Roman" w:hAnsi="Times New Roman" w:cs="Times New Roman"/>
          <w:sz w:val="24"/>
          <w:szCs w:val="24"/>
        </w:rPr>
      </w:pPr>
      <w:r w:rsidRPr="009C3179">
        <w:rPr>
          <w:rFonts w:ascii="Times New Roman" w:hAnsi="Times New Roman" w:cs="Times New Roman"/>
          <w:sz w:val="24"/>
          <w:szCs w:val="24"/>
        </w:rPr>
        <w:t>In pivotal study 303, the number of deaths reported was 14/235 (6.0%) in maribavir group compared with 5/116 (4.3%) within 8 weeks of observation. The number of reported deaths within 20 weeks of observation was 25/235 (10.7%) in maribavir group and 11/116 (9.5%) in IAT group.</w:t>
      </w:r>
    </w:p>
    <w:p w14:paraId="3BB325F7" w14:textId="141F1572" w:rsidR="00FF6F4F" w:rsidRPr="001415DB" w:rsidRDefault="00FF6F4F" w:rsidP="0067028B">
      <w:pPr>
        <w:spacing w:after="0" w:line="240" w:lineRule="auto"/>
        <w:rPr>
          <w:rFonts w:ascii="Times New Roman" w:hAnsi="Times New Roman" w:cs="Times New Roman"/>
          <w:sz w:val="24"/>
          <w:szCs w:val="24"/>
          <w:u w:val="single"/>
        </w:rPr>
      </w:pPr>
      <w:r w:rsidRPr="001415DB">
        <w:rPr>
          <w:rFonts w:ascii="Times New Roman" w:hAnsi="Times New Roman" w:cs="Times New Roman"/>
          <w:sz w:val="24"/>
          <w:szCs w:val="24"/>
          <w:u w:val="single"/>
        </w:rPr>
        <w:t>Phase 2 Studies</w:t>
      </w:r>
    </w:p>
    <w:p w14:paraId="62C446F6" w14:textId="23F9F420" w:rsidR="00FF6F4F" w:rsidRPr="001415DB" w:rsidRDefault="00FF6F4F" w:rsidP="00FF6F4F">
      <w:pPr>
        <w:rPr>
          <w:rFonts w:ascii="Times New Roman" w:hAnsi="Times New Roman" w:cs="Times New Roman"/>
          <w:sz w:val="24"/>
          <w:szCs w:val="24"/>
        </w:rPr>
      </w:pPr>
      <w:r w:rsidRPr="001415DB">
        <w:rPr>
          <w:rFonts w:ascii="Times New Roman" w:hAnsi="Times New Roman" w:cs="Times New Roman"/>
          <w:sz w:val="24"/>
          <w:szCs w:val="24"/>
        </w:rPr>
        <w:t>Study 202 was a Phase 2, randomi</w:t>
      </w:r>
      <w:r w:rsidR="00834235">
        <w:rPr>
          <w:rFonts w:ascii="Times New Roman" w:hAnsi="Times New Roman" w:cs="Times New Roman"/>
          <w:sz w:val="24"/>
          <w:szCs w:val="24"/>
        </w:rPr>
        <w:t>s</w:t>
      </w:r>
      <w:r w:rsidRPr="001415DB">
        <w:rPr>
          <w:rFonts w:ascii="Times New Roman" w:hAnsi="Times New Roman" w:cs="Times New Roman"/>
          <w:sz w:val="24"/>
          <w:szCs w:val="24"/>
        </w:rPr>
        <w:t>ed study to assess the safety and anti-CMV activity of 400 mg, 800 mg, and 1200 mg twice daily of</w:t>
      </w:r>
      <w:r w:rsidR="0087316C" w:rsidRPr="001415DB">
        <w:rPr>
          <w:rFonts w:ascii="Times New Roman" w:hAnsi="Times New Roman" w:cs="Times New Roman"/>
          <w:sz w:val="24"/>
          <w:szCs w:val="24"/>
        </w:rPr>
        <w:t xml:space="preserve"> LIVTENCITY</w:t>
      </w:r>
      <w:r w:rsidRPr="001415DB">
        <w:rPr>
          <w:rFonts w:ascii="Times New Roman" w:hAnsi="Times New Roman" w:cs="Times New Roman"/>
          <w:sz w:val="24"/>
          <w:szCs w:val="24"/>
        </w:rPr>
        <w:t xml:space="preserve"> for the treatment of 120 transplant recipients with CMV infections that are resistant or refractory to treatment with ganciclovir/valganciclovir or </w:t>
      </w:r>
      <w:proofErr w:type="spellStart"/>
      <w:r w:rsidRPr="001415DB">
        <w:rPr>
          <w:rFonts w:ascii="Times New Roman" w:hAnsi="Times New Roman" w:cs="Times New Roman"/>
          <w:sz w:val="24"/>
          <w:szCs w:val="24"/>
        </w:rPr>
        <w:t>foscarnet</w:t>
      </w:r>
      <w:proofErr w:type="spellEnd"/>
      <w:r w:rsidRPr="001415DB">
        <w:rPr>
          <w:rFonts w:ascii="Times New Roman" w:hAnsi="Times New Roman" w:cs="Times New Roman"/>
          <w:sz w:val="24"/>
          <w:szCs w:val="24"/>
        </w:rPr>
        <w:t xml:space="preserve">.  By Week 6, 28/40 (70%) patients receiving 400 mg twice daily had achieved confirmed undetectable plasma CMV DNA.  The mean (SD) exposure to patients receiving 400 mg </w:t>
      </w:r>
      <w:r w:rsidR="00922865"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-treated patients was 85 (55) days with a maximum of 177 days.  The virologic response of doses of 400 mg, 800 </w:t>
      </w:r>
      <w:r w:rsidR="00922865" w:rsidRPr="001415DB">
        <w:rPr>
          <w:rFonts w:ascii="Times New Roman" w:hAnsi="Times New Roman" w:cs="Times New Roman"/>
          <w:sz w:val="24"/>
          <w:szCs w:val="24"/>
        </w:rPr>
        <w:t>mg,</w:t>
      </w:r>
      <w:r w:rsidRPr="001415DB">
        <w:rPr>
          <w:rFonts w:ascii="Times New Roman" w:hAnsi="Times New Roman" w:cs="Times New Roman"/>
          <w:sz w:val="24"/>
          <w:szCs w:val="24"/>
        </w:rPr>
        <w:t xml:space="preserve"> or 1200 mg twice daily of </w:t>
      </w:r>
      <w:r w:rsidR="00922865"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were comparable within 6 weeks.  </w:t>
      </w:r>
    </w:p>
    <w:p w14:paraId="0FAE59D4" w14:textId="77777777" w:rsidR="007853C5" w:rsidRDefault="00FF6F4F" w:rsidP="00FF6F4F">
      <w:pPr>
        <w:rPr>
          <w:rFonts w:ascii="Times New Roman" w:hAnsi="Times New Roman" w:cs="Times New Roman"/>
          <w:sz w:val="24"/>
          <w:szCs w:val="24"/>
        </w:rPr>
      </w:pPr>
      <w:r w:rsidRPr="001415DB">
        <w:rPr>
          <w:rFonts w:ascii="Times New Roman" w:hAnsi="Times New Roman" w:cs="Times New Roman"/>
          <w:sz w:val="24"/>
          <w:szCs w:val="24"/>
        </w:rPr>
        <w:t>Study 203 was a Phase 2, randomi</w:t>
      </w:r>
      <w:r w:rsidR="00834235">
        <w:rPr>
          <w:rFonts w:ascii="Times New Roman" w:hAnsi="Times New Roman" w:cs="Times New Roman"/>
          <w:sz w:val="24"/>
          <w:szCs w:val="24"/>
        </w:rPr>
        <w:t>s</w:t>
      </w:r>
      <w:r w:rsidRPr="001415DB">
        <w:rPr>
          <w:rFonts w:ascii="Times New Roman" w:hAnsi="Times New Roman" w:cs="Times New Roman"/>
          <w:sz w:val="24"/>
          <w:szCs w:val="24"/>
        </w:rPr>
        <w:t xml:space="preserve">ed, dose-ranging study to assess the safety and anti-CMV activity of 400 mg, 800 </w:t>
      </w:r>
      <w:r w:rsidR="00C91689" w:rsidRPr="001415DB">
        <w:rPr>
          <w:rFonts w:ascii="Times New Roman" w:hAnsi="Times New Roman" w:cs="Times New Roman"/>
          <w:sz w:val="24"/>
          <w:szCs w:val="24"/>
        </w:rPr>
        <w:t>mg,</w:t>
      </w:r>
      <w:r w:rsidRPr="001415DB">
        <w:rPr>
          <w:rFonts w:ascii="Times New Roman" w:hAnsi="Times New Roman" w:cs="Times New Roman"/>
          <w:sz w:val="24"/>
          <w:szCs w:val="24"/>
        </w:rPr>
        <w:t xml:space="preserve"> and 1200 mg twice daily </w:t>
      </w:r>
      <w:r w:rsidR="00922865"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versus valganciclovir for the pre-emptive treatment of 159 SOT or HSCT recipients with CMV infection without CMV organ disease or resistant/refractory CMV infection.  </w:t>
      </w:r>
    </w:p>
    <w:p w14:paraId="1EE345CD" w14:textId="3EB0620D" w:rsidR="00FF6F4F" w:rsidRPr="001415DB" w:rsidRDefault="00FF6F4F" w:rsidP="00FF6F4F">
      <w:pPr>
        <w:rPr>
          <w:rFonts w:ascii="Times New Roman" w:hAnsi="Times New Roman" w:cs="Times New Roman"/>
          <w:sz w:val="24"/>
          <w:szCs w:val="24"/>
        </w:rPr>
      </w:pPr>
      <w:r w:rsidRPr="001415DB">
        <w:rPr>
          <w:rFonts w:ascii="Times New Roman" w:hAnsi="Times New Roman" w:cs="Times New Roman"/>
          <w:sz w:val="24"/>
          <w:szCs w:val="24"/>
        </w:rPr>
        <w:t xml:space="preserve">By Weeks 3 and 6, 26/40 (65%) and 31/40 (78%) patients receiving 400 mg twice daily had achieved confirmed undetectable plasma CMV DNA compared to 22/40 (55%) and 26/40 (65%) patients receiving valganciclovir, respectively.  The mean (SD) exposure to patients receiving 400 mg of </w:t>
      </w:r>
      <w:r w:rsidR="00381E5A"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was 50 (29) days with a maximum of 92 days.  The virologic response of doses up to 1200 mg twice daily and durations of up to 12 weeks of </w:t>
      </w:r>
      <w:r w:rsidR="00381E5A" w:rsidRPr="001415DB">
        <w:rPr>
          <w:rFonts w:ascii="Times New Roman" w:hAnsi="Times New Roman" w:cs="Times New Roman"/>
          <w:sz w:val="24"/>
          <w:szCs w:val="24"/>
        </w:rPr>
        <w:t>LIVTENCITY</w:t>
      </w:r>
      <w:r w:rsidRPr="001415DB">
        <w:rPr>
          <w:rFonts w:ascii="Times New Roman" w:hAnsi="Times New Roman" w:cs="Times New Roman"/>
          <w:sz w:val="24"/>
          <w:szCs w:val="24"/>
        </w:rPr>
        <w:t xml:space="preserve"> were comparable.   </w:t>
      </w:r>
    </w:p>
    <w:p w14:paraId="4512980D" w14:textId="42648352" w:rsidR="00305ABF" w:rsidRDefault="00FF6F4F" w:rsidP="00305ABF">
      <w:pPr>
        <w:pStyle w:val="Heading2"/>
        <w:keepNext/>
        <w:numPr>
          <w:ilvl w:val="0"/>
          <w:numId w:val="0"/>
        </w:numPr>
        <w:spacing w:before="0" w:after="120"/>
        <w:rPr>
          <w:rFonts w:ascii="Times New Roman" w:hAnsi="Times New Roman" w:cs="Times New Roman"/>
          <w:b w:val="0"/>
          <w:smallCaps w:val="0"/>
          <w:szCs w:val="24"/>
        </w:rPr>
      </w:pPr>
      <w:r w:rsidRPr="00305ABF">
        <w:rPr>
          <w:rFonts w:ascii="Times New Roman" w:hAnsi="Times New Roman" w:cs="Times New Roman"/>
          <w:b w:val="0"/>
          <w:smallCaps w:val="0"/>
          <w:szCs w:val="24"/>
        </w:rPr>
        <w:t xml:space="preserve">Overall, the </w:t>
      </w:r>
      <w:r w:rsidR="000F5488" w:rsidRPr="00305ABF">
        <w:rPr>
          <w:rFonts w:ascii="Times New Roman" w:hAnsi="Times New Roman" w:cs="Times New Roman"/>
          <w:b w:val="0"/>
          <w:smallCaps w:val="0"/>
          <w:szCs w:val="24"/>
        </w:rPr>
        <w:t>favourable</w:t>
      </w:r>
      <w:r w:rsidRPr="00305ABF">
        <w:rPr>
          <w:rFonts w:ascii="Times New Roman" w:hAnsi="Times New Roman" w:cs="Times New Roman"/>
          <w:b w:val="0"/>
          <w:smallCaps w:val="0"/>
          <w:szCs w:val="24"/>
        </w:rPr>
        <w:t xml:space="preserve"> results observed in Study 303 were consistent with the results from the Phase 2 studies; thus, these earlier studies provide further support for the use of </w:t>
      </w:r>
      <w:r w:rsidR="00381E5A" w:rsidRPr="00305ABF">
        <w:rPr>
          <w:rFonts w:ascii="Times New Roman" w:hAnsi="Times New Roman" w:cs="Times New Roman"/>
          <w:b w:val="0"/>
          <w:smallCaps w:val="0"/>
          <w:szCs w:val="24"/>
        </w:rPr>
        <w:t>LIVTENCITY</w:t>
      </w:r>
      <w:r w:rsidRPr="00305ABF">
        <w:rPr>
          <w:rFonts w:ascii="Times New Roman" w:hAnsi="Times New Roman" w:cs="Times New Roman"/>
          <w:b w:val="0"/>
          <w:smallCaps w:val="0"/>
          <w:szCs w:val="24"/>
        </w:rPr>
        <w:t xml:space="preserve"> in the treatment of post-transplant CMV infection and disease in adults. </w:t>
      </w:r>
    </w:p>
    <w:p w14:paraId="56246517" w14:textId="114FFFBC" w:rsidR="001A3992" w:rsidRPr="001415DB" w:rsidRDefault="001A3992" w:rsidP="0049269E">
      <w:pPr>
        <w:pStyle w:val="Heading2"/>
        <w:keepNext/>
        <w:spacing w:after="120"/>
        <w:rPr>
          <w:rFonts w:ascii="Times New Roman" w:hAnsi="Times New Roman" w:cs="Times New Roman"/>
        </w:rPr>
      </w:pPr>
      <w:r w:rsidRPr="001415DB">
        <w:rPr>
          <w:rFonts w:ascii="Times New Roman" w:hAnsi="Times New Roman" w:cs="Times New Roman"/>
        </w:rPr>
        <w:t xml:space="preserve">Pharmacokinetic properties </w:t>
      </w:r>
    </w:p>
    <w:p w14:paraId="5DAB8DD9" w14:textId="5A78A597" w:rsidR="00251BEA" w:rsidRDefault="00251BEA" w:rsidP="00251BEA">
      <w:pPr>
        <w:rPr>
          <w:rFonts w:ascii="Times New Roman" w:hAnsi="Times New Roman" w:cs="Times New Roman"/>
          <w:sz w:val="24"/>
          <w:szCs w:val="24"/>
        </w:rPr>
      </w:pPr>
      <w:r w:rsidRPr="001415DB">
        <w:rPr>
          <w:rFonts w:ascii="Times New Roman" w:hAnsi="Times New Roman" w:cs="Times New Roman"/>
          <w:sz w:val="24"/>
          <w:szCs w:val="24"/>
        </w:rPr>
        <w:t xml:space="preserve">Maribavir pharmacological activity is due to the parent drug. The pharmacokinetics of maribavir have been characterised following oral administration in healthy subjects and transplant patients.  Maribavir exposure increased in approximately dose proportionally. In </w:t>
      </w:r>
      <w:r w:rsidRPr="001415DB">
        <w:rPr>
          <w:rFonts w:ascii="Times New Roman" w:hAnsi="Times New Roman" w:cs="Times New Roman"/>
          <w:sz w:val="24"/>
          <w:szCs w:val="24"/>
        </w:rPr>
        <w:lastRenderedPageBreak/>
        <w:t>healthy subjects, the geometric mean steady state AUC</w:t>
      </w:r>
      <w:r w:rsidRPr="001415DB">
        <w:rPr>
          <w:rFonts w:ascii="Times New Roman" w:hAnsi="Times New Roman" w:cs="Times New Roman"/>
          <w:sz w:val="24"/>
          <w:szCs w:val="24"/>
          <w:vertAlign w:val="subscript"/>
        </w:rPr>
        <w:t>0-</w:t>
      </w:r>
      <w:r w:rsidR="009903D2" w:rsidRPr="001415DB">
        <w:rPr>
          <w:rFonts w:ascii="Times New Roman" w:hAnsi="Times New Roman" w:cs="Times New Roman"/>
          <w:sz w:val="24"/>
          <w:szCs w:val="24"/>
          <w:vertAlign w:val="subscript"/>
        </w:rPr>
        <w:t>τ</w:t>
      </w:r>
      <w:r w:rsidRPr="001415DB">
        <w:rPr>
          <w:rFonts w:ascii="Times New Roman" w:hAnsi="Times New Roman" w:cs="Times New Roman"/>
          <w:sz w:val="24"/>
          <w:szCs w:val="24"/>
        </w:rPr>
        <w:t xml:space="preserve">, </w:t>
      </w:r>
      <w:proofErr w:type="spellStart"/>
      <w:r w:rsidRPr="001415DB">
        <w:rPr>
          <w:rFonts w:ascii="Times New Roman" w:hAnsi="Times New Roman" w:cs="Times New Roman"/>
          <w:sz w:val="24"/>
          <w:szCs w:val="24"/>
        </w:rPr>
        <w:t>C</w:t>
      </w:r>
      <w:r w:rsidRPr="001415DB">
        <w:rPr>
          <w:rFonts w:ascii="Times New Roman" w:hAnsi="Times New Roman" w:cs="Times New Roman"/>
          <w:sz w:val="24"/>
          <w:szCs w:val="24"/>
          <w:vertAlign w:val="subscript"/>
        </w:rPr>
        <w:t>max</w:t>
      </w:r>
      <w:proofErr w:type="spellEnd"/>
      <w:r w:rsidRPr="001415DB">
        <w:rPr>
          <w:rFonts w:ascii="Times New Roman" w:hAnsi="Times New Roman" w:cs="Times New Roman"/>
          <w:sz w:val="24"/>
          <w:szCs w:val="24"/>
        </w:rPr>
        <w:t xml:space="preserve">, and </w:t>
      </w:r>
      <w:proofErr w:type="spellStart"/>
      <w:r w:rsidRPr="001415DB">
        <w:rPr>
          <w:rFonts w:ascii="Times New Roman" w:hAnsi="Times New Roman" w:cs="Times New Roman"/>
          <w:sz w:val="24"/>
          <w:szCs w:val="24"/>
        </w:rPr>
        <w:t>C</w:t>
      </w:r>
      <w:r w:rsidRPr="001415DB">
        <w:rPr>
          <w:rFonts w:ascii="Times New Roman" w:hAnsi="Times New Roman" w:cs="Times New Roman"/>
          <w:sz w:val="24"/>
          <w:szCs w:val="24"/>
          <w:vertAlign w:val="subscript"/>
        </w:rPr>
        <w:t>trough</w:t>
      </w:r>
      <w:proofErr w:type="spellEnd"/>
      <w:r w:rsidRPr="001415DB">
        <w:rPr>
          <w:rFonts w:ascii="Times New Roman" w:hAnsi="Times New Roman" w:cs="Times New Roman"/>
          <w:sz w:val="24"/>
          <w:szCs w:val="24"/>
        </w:rPr>
        <w:t xml:space="preserve"> values were 101</w:t>
      </w:r>
      <w:r w:rsidR="009A2A5C" w:rsidRPr="001415DB">
        <w:rPr>
          <w:rFonts w:ascii="Times New Roman" w:hAnsi="Times New Roman" w:cs="Times New Roman"/>
          <w:sz w:val="24"/>
          <w:szCs w:val="24"/>
        </w:rPr>
        <w:t xml:space="preserve"> </w:t>
      </w:r>
      <w:r w:rsidRPr="001415DB">
        <w:rPr>
          <w:rFonts w:ascii="Times New Roman" w:hAnsi="Times New Roman" w:cs="Times New Roman"/>
          <w:sz w:val="24"/>
          <w:szCs w:val="24"/>
        </w:rPr>
        <w:t>µg*h/mL, 16.4 µg/mL, and 2.89 µg/mL, respectively, following 400 mg twice daily oral maribavir doses.</w:t>
      </w:r>
      <w:r w:rsidR="00CD01FE" w:rsidRPr="001415DB">
        <w:rPr>
          <w:rFonts w:ascii="Times New Roman" w:hAnsi="Times New Roman" w:cs="Times New Roman"/>
          <w:sz w:val="24"/>
          <w:szCs w:val="24"/>
        </w:rPr>
        <w:t xml:space="preserve">  </w:t>
      </w:r>
      <w:r w:rsidRPr="001415DB">
        <w:rPr>
          <w:rFonts w:ascii="Times New Roman" w:hAnsi="Times New Roman" w:cs="Times New Roman"/>
          <w:sz w:val="24"/>
          <w:szCs w:val="24"/>
        </w:rPr>
        <w:t xml:space="preserve">In transplant recipients, maribavir steady state exposure following oral administration of 400 mg twice daily doses are provided below, based on a population pharmacokinetics analysis. </w:t>
      </w:r>
      <w:r w:rsidR="00FB661C" w:rsidRPr="001415DB">
        <w:rPr>
          <w:rFonts w:ascii="Times New Roman" w:hAnsi="Times New Roman" w:cs="Times New Roman"/>
          <w:sz w:val="24"/>
          <w:szCs w:val="24"/>
        </w:rPr>
        <w:t>Steady state</w:t>
      </w:r>
      <w:r w:rsidRPr="001415DB">
        <w:rPr>
          <w:rFonts w:ascii="Times New Roman" w:hAnsi="Times New Roman" w:cs="Times New Roman"/>
          <w:sz w:val="24"/>
          <w:szCs w:val="24"/>
        </w:rPr>
        <w:t xml:space="preserve"> was reached in 2 days, with an accumulation ratio of 1.47 for AUC and 1.37 for </w:t>
      </w:r>
      <w:proofErr w:type="spellStart"/>
      <w:r w:rsidRPr="001415DB">
        <w:rPr>
          <w:rFonts w:ascii="Times New Roman" w:hAnsi="Times New Roman" w:cs="Times New Roman"/>
          <w:sz w:val="24"/>
          <w:szCs w:val="24"/>
        </w:rPr>
        <w:t>C</w:t>
      </w:r>
      <w:r w:rsidRPr="001415DB">
        <w:rPr>
          <w:rFonts w:ascii="Times New Roman" w:hAnsi="Times New Roman" w:cs="Times New Roman"/>
          <w:sz w:val="24"/>
          <w:szCs w:val="24"/>
          <w:vertAlign w:val="subscript"/>
        </w:rPr>
        <w:t>max</w:t>
      </w:r>
      <w:proofErr w:type="spellEnd"/>
      <w:r w:rsidRPr="001415DB">
        <w:rPr>
          <w:rFonts w:ascii="Times New Roman" w:hAnsi="Times New Roman" w:cs="Times New Roman"/>
          <w:sz w:val="24"/>
          <w:szCs w:val="24"/>
        </w:rPr>
        <w:t>.</w:t>
      </w:r>
    </w:p>
    <w:p w14:paraId="735C0EA8" w14:textId="4D4B8339" w:rsidR="00C800DF" w:rsidRPr="00C800DF" w:rsidRDefault="00C800DF" w:rsidP="00C800DF">
      <w:pPr>
        <w:pStyle w:val="CM7"/>
        <w:rPr>
          <w:rFonts w:eastAsiaTheme="minorHAnsi"/>
          <w:lang w:val="en-AU"/>
        </w:rPr>
      </w:pPr>
      <w:r w:rsidRPr="00C800DF">
        <w:rPr>
          <w:rFonts w:eastAsiaTheme="minorHAnsi"/>
          <w:lang w:val="en-AU"/>
        </w:rPr>
        <w:t xml:space="preserve">The pharmacokinetic properties of maribavir following administration of LIVTENCITY are displayed in Table </w:t>
      </w:r>
      <w:r w:rsidR="00E8529E">
        <w:rPr>
          <w:rFonts w:eastAsiaTheme="minorHAnsi"/>
          <w:lang w:val="en-AU"/>
        </w:rPr>
        <w:t>8</w:t>
      </w:r>
      <w:r w:rsidRPr="00C800DF">
        <w:rPr>
          <w:rFonts w:eastAsiaTheme="minorHAnsi"/>
          <w:lang w:val="en-AU"/>
        </w:rPr>
        <w:t xml:space="preserve">. The multiple-dose pharmacokinetic parameters are provided in Table </w:t>
      </w:r>
      <w:r w:rsidR="00E8529E">
        <w:rPr>
          <w:rFonts w:eastAsiaTheme="minorHAnsi"/>
          <w:lang w:val="en-AU"/>
        </w:rPr>
        <w:t>9</w:t>
      </w:r>
      <w:r w:rsidRPr="00C800DF">
        <w:rPr>
          <w:rFonts w:eastAsiaTheme="minorHAnsi"/>
          <w:lang w:val="en-AU"/>
        </w:rPr>
        <w:t xml:space="preserve">. </w:t>
      </w:r>
    </w:p>
    <w:p w14:paraId="765DE5DA" w14:textId="6CC7A251" w:rsidR="0046263F" w:rsidRPr="00FD7560" w:rsidRDefault="0046263F" w:rsidP="00FD7560">
      <w:pPr>
        <w:pStyle w:val="Caption"/>
        <w:spacing w:after="120"/>
        <w:rPr>
          <w:lang w:val="en-AU"/>
        </w:rPr>
      </w:pPr>
      <w:r w:rsidRPr="00FD7560">
        <w:rPr>
          <w:lang w:val="en-AU"/>
        </w:rPr>
        <w:t xml:space="preserve">Table </w:t>
      </w:r>
      <w:r w:rsidR="0071446D">
        <w:rPr>
          <w:lang w:val="en-AU"/>
        </w:rPr>
        <w:t>8</w:t>
      </w:r>
      <w:r w:rsidRPr="00FD7560">
        <w:rPr>
          <w:lang w:val="en-AU"/>
        </w:rPr>
        <w:t>: Pharmacokinetic Properties of Maribavir</w:t>
      </w:r>
    </w:p>
    <w:tbl>
      <w:tblPr>
        <w:tblStyle w:val="TableGrid"/>
        <w:tblW w:w="5000" w:type="pct"/>
        <w:tblLook w:val="0000" w:firstRow="0" w:lastRow="0" w:firstColumn="0" w:lastColumn="0" w:noHBand="0" w:noVBand="0"/>
        <w:tblCaption w:val="Table 4: Pharmacokinetic Properties of Maribavir"/>
        <w:tblDescription w:val="Table 4: Pharmacokinetic Properties of Maribavir"/>
      </w:tblPr>
      <w:tblGrid>
        <w:gridCol w:w="4283"/>
        <w:gridCol w:w="4733"/>
      </w:tblGrid>
      <w:tr w:rsidR="0046263F" w14:paraId="5EAE2913" w14:textId="77777777" w:rsidTr="009F402D">
        <w:trPr>
          <w:cantSplit/>
          <w:trHeight w:val="198"/>
        </w:trPr>
        <w:tc>
          <w:tcPr>
            <w:tcW w:w="5000" w:type="pct"/>
            <w:gridSpan w:val="2"/>
          </w:tcPr>
          <w:p w14:paraId="0B47DB21" w14:textId="77777777" w:rsidR="0046263F" w:rsidRPr="00942231" w:rsidRDefault="0046263F" w:rsidP="00516BC5">
            <w:pPr>
              <w:pStyle w:val="BodyText"/>
              <w:spacing w:before="20" w:after="20" w:line="240" w:lineRule="auto"/>
              <w:ind w:leftChars="0" w:left="0"/>
              <w:rPr>
                <w:b/>
                <w:bCs/>
              </w:rPr>
            </w:pPr>
            <w:bookmarkStart w:id="9" w:name="_Hlk45885811"/>
            <w:proofErr w:type="spellStart"/>
            <w:r w:rsidRPr="00942231">
              <w:rPr>
                <w:b/>
                <w:bCs/>
              </w:rPr>
              <w:t>A</w:t>
            </w:r>
            <w:bookmarkEnd w:id="9"/>
            <w:r w:rsidRPr="00942231">
              <w:rPr>
                <w:b/>
                <w:bCs/>
              </w:rPr>
              <w:t>bsorption</w:t>
            </w:r>
            <w:r w:rsidRPr="00942231">
              <w:rPr>
                <w:b/>
                <w:bCs/>
                <w:vertAlign w:val="superscript"/>
              </w:rPr>
              <w:t>a</w:t>
            </w:r>
            <w:proofErr w:type="spellEnd"/>
          </w:p>
        </w:tc>
      </w:tr>
      <w:tr w:rsidR="0046263F" w14:paraId="25569B1B" w14:textId="77777777" w:rsidTr="009F402D">
        <w:trPr>
          <w:cantSplit/>
          <w:trHeight w:val="200"/>
        </w:trPr>
        <w:tc>
          <w:tcPr>
            <w:tcW w:w="2375" w:type="pct"/>
          </w:tcPr>
          <w:p w14:paraId="5A6A9E8F" w14:textId="77777777" w:rsidR="0046263F" w:rsidRPr="002219EB" w:rsidRDefault="0046263F" w:rsidP="00516BC5">
            <w:pPr>
              <w:pStyle w:val="BodyText"/>
              <w:spacing w:before="20" w:after="20" w:line="240" w:lineRule="auto"/>
              <w:ind w:leftChars="0" w:left="0"/>
            </w:pPr>
            <w:proofErr w:type="spellStart"/>
            <w:r w:rsidRPr="002219EB">
              <w:t>Tmax</w:t>
            </w:r>
            <w:proofErr w:type="spellEnd"/>
            <w:r w:rsidRPr="002219EB">
              <w:t xml:space="preserve"> (h), median </w:t>
            </w:r>
          </w:p>
        </w:tc>
        <w:tc>
          <w:tcPr>
            <w:tcW w:w="2625" w:type="pct"/>
          </w:tcPr>
          <w:p w14:paraId="4751B9ED" w14:textId="77777777" w:rsidR="0046263F" w:rsidRPr="002219EB" w:rsidRDefault="0046263F" w:rsidP="00516BC5">
            <w:pPr>
              <w:pStyle w:val="BodyText"/>
              <w:spacing w:before="20" w:after="20" w:line="240" w:lineRule="auto"/>
              <w:ind w:leftChars="0" w:left="0"/>
            </w:pPr>
            <w:r w:rsidRPr="002219EB">
              <w:t>1.0 to 3.0</w:t>
            </w:r>
          </w:p>
        </w:tc>
      </w:tr>
      <w:tr w:rsidR="0046263F" w14:paraId="56543164" w14:textId="77777777" w:rsidTr="009F402D">
        <w:trPr>
          <w:cantSplit/>
          <w:trHeight w:val="235"/>
        </w:trPr>
        <w:tc>
          <w:tcPr>
            <w:tcW w:w="5000" w:type="pct"/>
            <w:gridSpan w:val="2"/>
          </w:tcPr>
          <w:p w14:paraId="068924C4" w14:textId="77777777" w:rsidR="0046263F" w:rsidRPr="00942231" w:rsidRDefault="0046263F" w:rsidP="00516BC5">
            <w:pPr>
              <w:pStyle w:val="BodyText"/>
              <w:spacing w:before="20" w:after="20" w:line="240" w:lineRule="auto"/>
              <w:ind w:leftChars="0" w:left="0"/>
              <w:rPr>
                <w:b/>
                <w:bCs/>
              </w:rPr>
            </w:pPr>
            <w:r w:rsidRPr="00942231">
              <w:rPr>
                <w:b/>
                <w:bCs/>
              </w:rPr>
              <w:t>Distribution</w:t>
            </w:r>
          </w:p>
        </w:tc>
      </w:tr>
      <w:tr w:rsidR="0046263F" w14:paraId="2514B9FF" w14:textId="77777777" w:rsidTr="009F402D">
        <w:trPr>
          <w:cantSplit/>
          <w:trHeight w:val="235"/>
        </w:trPr>
        <w:tc>
          <w:tcPr>
            <w:tcW w:w="2375" w:type="pct"/>
          </w:tcPr>
          <w:p w14:paraId="76F7C063" w14:textId="77777777" w:rsidR="0046263F" w:rsidRPr="002219EB" w:rsidRDefault="0046263F" w:rsidP="00516BC5">
            <w:pPr>
              <w:pStyle w:val="BodyText"/>
              <w:spacing w:before="20" w:after="20" w:line="240" w:lineRule="auto"/>
              <w:ind w:leftChars="0" w:left="0"/>
            </w:pPr>
            <w:r w:rsidRPr="002219EB">
              <w:t>Mean apparent steady-state volume of distribution (</w:t>
            </w:r>
            <w:proofErr w:type="spellStart"/>
            <w:r w:rsidRPr="002219EB">
              <w:t>V</w:t>
            </w:r>
            <w:r w:rsidRPr="00DB05F8">
              <w:rPr>
                <w:vertAlign w:val="subscript"/>
              </w:rPr>
              <w:t>ss</w:t>
            </w:r>
            <w:proofErr w:type="spellEnd"/>
            <w:r w:rsidRPr="002219EB">
              <w:t>, L)</w:t>
            </w:r>
          </w:p>
        </w:tc>
        <w:tc>
          <w:tcPr>
            <w:tcW w:w="2625" w:type="pct"/>
          </w:tcPr>
          <w:p w14:paraId="199C87DC" w14:textId="77777777" w:rsidR="0046263F" w:rsidRPr="002219EB" w:rsidRDefault="0046263F" w:rsidP="00516BC5">
            <w:pPr>
              <w:pStyle w:val="BodyText"/>
              <w:spacing w:before="20" w:after="20" w:line="240" w:lineRule="auto"/>
              <w:ind w:leftChars="0" w:left="0"/>
            </w:pPr>
            <w:r w:rsidRPr="002219EB">
              <w:t>27.3</w:t>
            </w:r>
          </w:p>
        </w:tc>
      </w:tr>
      <w:tr w:rsidR="0046263F" w14:paraId="7A758552" w14:textId="77777777" w:rsidTr="009F402D">
        <w:trPr>
          <w:cantSplit/>
          <w:trHeight w:val="315"/>
        </w:trPr>
        <w:tc>
          <w:tcPr>
            <w:tcW w:w="2375" w:type="pct"/>
          </w:tcPr>
          <w:p w14:paraId="27303285" w14:textId="77777777" w:rsidR="0046263F" w:rsidRPr="002219EB" w:rsidRDefault="0046263F" w:rsidP="00516BC5">
            <w:pPr>
              <w:pStyle w:val="BodyText"/>
              <w:spacing w:before="20" w:after="20" w:line="240" w:lineRule="auto"/>
              <w:ind w:leftChars="0" w:left="0"/>
            </w:pPr>
            <w:r w:rsidRPr="002219EB">
              <w:t xml:space="preserve">% </w:t>
            </w:r>
            <w:proofErr w:type="gramStart"/>
            <w:r w:rsidRPr="002219EB">
              <w:t>bound</w:t>
            </w:r>
            <w:proofErr w:type="gramEnd"/>
            <w:r w:rsidRPr="002219EB">
              <w:t xml:space="preserve"> to human plasma proteins </w:t>
            </w:r>
          </w:p>
        </w:tc>
        <w:tc>
          <w:tcPr>
            <w:tcW w:w="2625" w:type="pct"/>
          </w:tcPr>
          <w:p w14:paraId="7F0EEBB5" w14:textId="77777777" w:rsidR="0046263F" w:rsidRPr="002219EB" w:rsidRDefault="0046263F" w:rsidP="00516BC5">
            <w:pPr>
              <w:pStyle w:val="BodyText"/>
              <w:spacing w:before="20" w:after="20" w:line="240" w:lineRule="auto"/>
              <w:ind w:leftChars="0" w:left="0"/>
            </w:pPr>
            <w:r w:rsidRPr="002219EB">
              <w:t xml:space="preserve">98.0 across the concentration range of 0.05-200 </w:t>
            </w:r>
            <w:proofErr w:type="spellStart"/>
            <w:r w:rsidRPr="002219EB">
              <w:t>μg</w:t>
            </w:r>
            <w:proofErr w:type="spellEnd"/>
            <w:r w:rsidRPr="002219EB">
              <w:t>/mL</w:t>
            </w:r>
          </w:p>
        </w:tc>
      </w:tr>
      <w:tr w:rsidR="0046263F" w14:paraId="3DF09F7E" w14:textId="77777777" w:rsidTr="009F402D">
        <w:trPr>
          <w:cantSplit/>
          <w:trHeight w:val="202"/>
        </w:trPr>
        <w:tc>
          <w:tcPr>
            <w:tcW w:w="2375" w:type="pct"/>
          </w:tcPr>
          <w:p w14:paraId="0988A3B0" w14:textId="77777777" w:rsidR="0046263F" w:rsidRPr="002219EB" w:rsidRDefault="0046263F" w:rsidP="00516BC5">
            <w:pPr>
              <w:pStyle w:val="BodyText"/>
              <w:spacing w:before="20" w:after="20" w:line="240" w:lineRule="auto"/>
              <w:ind w:leftChars="0" w:left="0"/>
            </w:pPr>
            <w:r w:rsidRPr="002219EB">
              <w:t xml:space="preserve">Blood-to plasma ratio </w:t>
            </w:r>
          </w:p>
        </w:tc>
        <w:tc>
          <w:tcPr>
            <w:tcW w:w="2625" w:type="pct"/>
          </w:tcPr>
          <w:p w14:paraId="59FC4504" w14:textId="77777777" w:rsidR="0046263F" w:rsidRPr="002219EB" w:rsidRDefault="0046263F" w:rsidP="00516BC5">
            <w:pPr>
              <w:pStyle w:val="BodyText"/>
              <w:spacing w:before="20" w:after="20" w:line="240" w:lineRule="auto"/>
              <w:ind w:leftChars="0" w:left="0"/>
            </w:pPr>
            <w:r w:rsidRPr="002219EB">
              <w:t xml:space="preserve">1.37 </w:t>
            </w:r>
          </w:p>
        </w:tc>
      </w:tr>
      <w:tr w:rsidR="0046263F" w14:paraId="1224F113" w14:textId="77777777" w:rsidTr="009F402D">
        <w:trPr>
          <w:cantSplit/>
          <w:trHeight w:val="198"/>
        </w:trPr>
        <w:tc>
          <w:tcPr>
            <w:tcW w:w="5000" w:type="pct"/>
            <w:gridSpan w:val="2"/>
          </w:tcPr>
          <w:p w14:paraId="532373F9" w14:textId="77777777" w:rsidR="0046263F" w:rsidRPr="00DB05F8" w:rsidRDefault="0046263F" w:rsidP="00516BC5">
            <w:pPr>
              <w:pStyle w:val="BodyText"/>
              <w:spacing w:before="20" w:after="20" w:line="240" w:lineRule="auto"/>
              <w:ind w:leftChars="0" w:left="0"/>
              <w:rPr>
                <w:b/>
                <w:bCs/>
              </w:rPr>
            </w:pPr>
            <w:r w:rsidRPr="00DB05F8">
              <w:rPr>
                <w:b/>
                <w:bCs/>
              </w:rPr>
              <w:t xml:space="preserve">Elimination </w:t>
            </w:r>
          </w:p>
        </w:tc>
      </w:tr>
      <w:tr w:rsidR="0046263F" w14:paraId="75286179" w14:textId="77777777" w:rsidTr="009F402D">
        <w:trPr>
          <w:cantSplit/>
          <w:trHeight w:val="200"/>
        </w:trPr>
        <w:tc>
          <w:tcPr>
            <w:tcW w:w="2375" w:type="pct"/>
          </w:tcPr>
          <w:p w14:paraId="2E4122AC" w14:textId="77777777" w:rsidR="0046263F" w:rsidRPr="002219EB" w:rsidRDefault="0046263F" w:rsidP="00516BC5">
            <w:pPr>
              <w:pStyle w:val="BodyText"/>
              <w:spacing w:before="20" w:after="20" w:line="240" w:lineRule="auto"/>
              <w:ind w:leftChars="0" w:left="0"/>
            </w:pPr>
            <w:r w:rsidRPr="002219EB">
              <w:t xml:space="preserve">Major route of elimination </w:t>
            </w:r>
          </w:p>
        </w:tc>
        <w:tc>
          <w:tcPr>
            <w:tcW w:w="2625" w:type="pct"/>
          </w:tcPr>
          <w:p w14:paraId="13DBDFE0" w14:textId="77777777" w:rsidR="0046263F" w:rsidRPr="002219EB" w:rsidRDefault="0046263F" w:rsidP="00516BC5">
            <w:pPr>
              <w:pStyle w:val="BodyText"/>
              <w:spacing w:before="20" w:after="20" w:line="240" w:lineRule="auto"/>
              <w:ind w:leftChars="0" w:left="0"/>
            </w:pPr>
            <w:r w:rsidRPr="002219EB">
              <w:t>Hepatic metabolism</w:t>
            </w:r>
          </w:p>
        </w:tc>
      </w:tr>
      <w:tr w:rsidR="0046263F" w14:paraId="70BA1834" w14:textId="77777777" w:rsidTr="009F402D">
        <w:trPr>
          <w:cantSplit/>
          <w:trHeight w:val="315"/>
        </w:trPr>
        <w:tc>
          <w:tcPr>
            <w:tcW w:w="2375" w:type="pct"/>
          </w:tcPr>
          <w:p w14:paraId="29305BA4" w14:textId="77777777" w:rsidR="0046263F" w:rsidRPr="002219EB" w:rsidRDefault="0046263F" w:rsidP="00516BC5">
            <w:pPr>
              <w:pStyle w:val="BodyText"/>
              <w:spacing w:before="20" w:after="20" w:line="240" w:lineRule="auto"/>
              <w:ind w:leftChars="0" w:left="0"/>
            </w:pPr>
            <w:r w:rsidRPr="002219EB">
              <w:t>Half-life (t</w:t>
            </w:r>
            <w:r w:rsidRPr="00DB05F8">
              <w:rPr>
                <w:vertAlign w:val="subscript"/>
              </w:rPr>
              <w:t>1/2</w:t>
            </w:r>
            <w:r w:rsidRPr="002219EB">
              <w:t>) in transplant patients (h), mean</w:t>
            </w:r>
          </w:p>
        </w:tc>
        <w:tc>
          <w:tcPr>
            <w:tcW w:w="2625" w:type="pct"/>
          </w:tcPr>
          <w:p w14:paraId="3F385FA5" w14:textId="77777777" w:rsidR="0046263F" w:rsidRPr="002219EB" w:rsidRDefault="0046263F" w:rsidP="00516BC5">
            <w:pPr>
              <w:pStyle w:val="BodyText"/>
              <w:spacing w:before="20" w:after="20" w:line="240" w:lineRule="auto"/>
              <w:ind w:leftChars="0" w:left="0"/>
            </w:pPr>
            <w:r w:rsidRPr="002219EB">
              <w:t>4.32</w:t>
            </w:r>
          </w:p>
        </w:tc>
      </w:tr>
      <w:tr w:rsidR="0046263F" w14:paraId="5120C13B" w14:textId="77777777" w:rsidTr="009F402D">
        <w:trPr>
          <w:cantSplit/>
          <w:trHeight w:val="198"/>
        </w:trPr>
        <w:tc>
          <w:tcPr>
            <w:tcW w:w="2375" w:type="pct"/>
          </w:tcPr>
          <w:p w14:paraId="2E3F65DF" w14:textId="77777777" w:rsidR="0046263F" w:rsidRPr="002219EB" w:rsidRDefault="0046263F" w:rsidP="00516BC5">
            <w:pPr>
              <w:pStyle w:val="BodyText"/>
              <w:spacing w:before="20" w:after="20" w:line="240" w:lineRule="auto"/>
              <w:ind w:leftChars="0" w:left="0"/>
            </w:pPr>
            <w:r w:rsidRPr="002219EB">
              <w:t>Oral clearance (CL/F) in transplant patients (L/h), mean</w:t>
            </w:r>
          </w:p>
        </w:tc>
        <w:tc>
          <w:tcPr>
            <w:tcW w:w="2625" w:type="pct"/>
          </w:tcPr>
          <w:p w14:paraId="5133F3E7" w14:textId="77777777" w:rsidR="0046263F" w:rsidRPr="002219EB" w:rsidRDefault="0046263F" w:rsidP="00516BC5">
            <w:pPr>
              <w:pStyle w:val="BodyText"/>
              <w:spacing w:before="20" w:after="20" w:line="240" w:lineRule="auto"/>
              <w:ind w:leftChars="0" w:left="0"/>
            </w:pPr>
            <w:r w:rsidRPr="002219EB">
              <w:t>2.85</w:t>
            </w:r>
          </w:p>
        </w:tc>
      </w:tr>
      <w:tr w:rsidR="0046263F" w14:paraId="09313397" w14:textId="77777777" w:rsidTr="009F402D">
        <w:trPr>
          <w:cantSplit/>
          <w:trHeight w:val="198"/>
        </w:trPr>
        <w:tc>
          <w:tcPr>
            <w:tcW w:w="5000" w:type="pct"/>
            <w:gridSpan w:val="2"/>
          </w:tcPr>
          <w:p w14:paraId="70A1C5E1" w14:textId="77777777" w:rsidR="0046263F" w:rsidRPr="00DB05F8" w:rsidRDefault="0046263F" w:rsidP="00516BC5">
            <w:pPr>
              <w:pStyle w:val="BodyText"/>
              <w:spacing w:before="20" w:after="20" w:line="240" w:lineRule="auto"/>
              <w:ind w:leftChars="0" w:left="0"/>
              <w:rPr>
                <w:b/>
                <w:bCs/>
                <w:i/>
                <w:iCs/>
              </w:rPr>
            </w:pPr>
            <w:r w:rsidRPr="00DB05F8">
              <w:rPr>
                <w:b/>
                <w:bCs/>
                <w:i/>
                <w:iCs/>
              </w:rPr>
              <w:t xml:space="preserve">Metabolism </w:t>
            </w:r>
          </w:p>
        </w:tc>
      </w:tr>
      <w:tr w:rsidR="0046263F" w14:paraId="205A7A4D" w14:textId="77777777" w:rsidTr="009F402D">
        <w:trPr>
          <w:cantSplit/>
          <w:trHeight w:val="207"/>
        </w:trPr>
        <w:tc>
          <w:tcPr>
            <w:tcW w:w="2375" w:type="pct"/>
          </w:tcPr>
          <w:p w14:paraId="3F94DC3B" w14:textId="77777777" w:rsidR="0046263F" w:rsidRPr="002219EB" w:rsidRDefault="0046263F" w:rsidP="00516BC5">
            <w:pPr>
              <w:pStyle w:val="BodyText"/>
              <w:spacing w:before="20" w:after="20" w:line="240" w:lineRule="auto"/>
              <w:ind w:leftChars="0" w:left="0"/>
            </w:pPr>
            <w:r w:rsidRPr="002219EB">
              <w:t xml:space="preserve">Metabolic </w:t>
            </w:r>
            <w:proofErr w:type="spellStart"/>
            <w:r w:rsidRPr="002219EB">
              <w:t>pathways</w:t>
            </w:r>
            <w:r w:rsidRPr="00DB05F8">
              <w:rPr>
                <w:vertAlign w:val="superscript"/>
              </w:rPr>
              <w:t>b</w:t>
            </w:r>
            <w:proofErr w:type="spellEnd"/>
            <w:r w:rsidRPr="002219EB">
              <w:t xml:space="preserve"> </w:t>
            </w:r>
          </w:p>
        </w:tc>
        <w:tc>
          <w:tcPr>
            <w:tcW w:w="2625" w:type="pct"/>
          </w:tcPr>
          <w:p w14:paraId="4CD19C00" w14:textId="77777777" w:rsidR="0046263F" w:rsidRPr="002219EB" w:rsidRDefault="0046263F" w:rsidP="00516BC5">
            <w:pPr>
              <w:pStyle w:val="BodyText"/>
              <w:spacing w:before="20" w:after="20" w:line="240" w:lineRule="auto"/>
              <w:ind w:leftChars="0" w:left="0"/>
            </w:pPr>
            <w:r w:rsidRPr="002219EB">
              <w:t>CYP3A4 (major) and CYP1A2 (minor)</w:t>
            </w:r>
          </w:p>
        </w:tc>
      </w:tr>
      <w:tr w:rsidR="0046263F" w14:paraId="18CE9193" w14:textId="77777777" w:rsidTr="009F402D">
        <w:trPr>
          <w:cantSplit/>
          <w:trHeight w:val="198"/>
        </w:trPr>
        <w:tc>
          <w:tcPr>
            <w:tcW w:w="2375" w:type="pct"/>
            <w:vAlign w:val="center"/>
          </w:tcPr>
          <w:p w14:paraId="4A12AEB1" w14:textId="77777777" w:rsidR="0046263F" w:rsidRPr="00DB05F8" w:rsidRDefault="0046263F" w:rsidP="00516BC5">
            <w:pPr>
              <w:pStyle w:val="BodyText"/>
              <w:spacing w:before="20" w:after="20" w:line="240" w:lineRule="auto"/>
              <w:ind w:leftChars="0" w:left="0"/>
              <w:rPr>
                <w:b/>
                <w:bCs/>
                <w:i/>
                <w:iCs/>
              </w:rPr>
            </w:pPr>
            <w:r w:rsidRPr="00DB05F8">
              <w:rPr>
                <w:b/>
                <w:bCs/>
                <w:i/>
                <w:iCs/>
              </w:rPr>
              <w:t>Excretion</w:t>
            </w:r>
          </w:p>
        </w:tc>
        <w:tc>
          <w:tcPr>
            <w:tcW w:w="2625" w:type="pct"/>
            <w:vAlign w:val="bottom"/>
          </w:tcPr>
          <w:p w14:paraId="49C4AA85" w14:textId="77777777" w:rsidR="0046263F" w:rsidRPr="002219EB" w:rsidRDefault="0046263F" w:rsidP="00516BC5">
            <w:pPr>
              <w:pStyle w:val="BodyText"/>
              <w:spacing w:before="20" w:after="20" w:line="240" w:lineRule="auto"/>
              <w:ind w:leftChars="0" w:left="0"/>
            </w:pPr>
          </w:p>
        </w:tc>
      </w:tr>
      <w:tr w:rsidR="0046263F" w14:paraId="33A03275" w14:textId="77777777" w:rsidTr="009F402D">
        <w:trPr>
          <w:cantSplit/>
          <w:trHeight w:val="200"/>
        </w:trPr>
        <w:tc>
          <w:tcPr>
            <w:tcW w:w="2375" w:type="pct"/>
          </w:tcPr>
          <w:p w14:paraId="47B38566" w14:textId="77777777" w:rsidR="0046263F" w:rsidRPr="002219EB" w:rsidRDefault="0046263F" w:rsidP="00516BC5">
            <w:pPr>
              <w:pStyle w:val="BodyText"/>
              <w:spacing w:before="20" w:after="20" w:line="240" w:lineRule="auto"/>
              <w:ind w:leftChars="0" w:left="0"/>
            </w:pPr>
            <w:r w:rsidRPr="002219EB">
              <w:t xml:space="preserve">% </w:t>
            </w:r>
            <w:proofErr w:type="gramStart"/>
            <w:r w:rsidRPr="002219EB">
              <w:t>of</w:t>
            </w:r>
            <w:proofErr w:type="gramEnd"/>
            <w:r w:rsidRPr="002219EB">
              <w:t xml:space="preserve"> dose excreted as total </w:t>
            </w:r>
            <w:r w:rsidRPr="00DB05F8">
              <w:rPr>
                <w:vertAlign w:val="superscript"/>
              </w:rPr>
              <w:t>14</w:t>
            </w:r>
            <w:r w:rsidRPr="002219EB">
              <w:t xml:space="preserve">C (unchanged drug) in </w:t>
            </w:r>
            <w:proofErr w:type="spellStart"/>
            <w:r w:rsidRPr="002219EB">
              <w:t>urine</w:t>
            </w:r>
            <w:r w:rsidRPr="00DB05F8">
              <w:rPr>
                <w:vertAlign w:val="superscript"/>
              </w:rPr>
              <w:t>c</w:t>
            </w:r>
            <w:proofErr w:type="spellEnd"/>
          </w:p>
        </w:tc>
        <w:tc>
          <w:tcPr>
            <w:tcW w:w="2625" w:type="pct"/>
          </w:tcPr>
          <w:p w14:paraId="4D118175" w14:textId="77777777" w:rsidR="0046263F" w:rsidRPr="002219EB" w:rsidRDefault="0046263F" w:rsidP="00516BC5">
            <w:pPr>
              <w:pStyle w:val="BodyText"/>
              <w:spacing w:before="20" w:after="20" w:line="240" w:lineRule="auto"/>
              <w:ind w:leftChars="0" w:left="0"/>
            </w:pPr>
            <w:r w:rsidRPr="002219EB">
              <w:t xml:space="preserve">61 (&lt;2) </w:t>
            </w:r>
          </w:p>
        </w:tc>
      </w:tr>
      <w:tr w:rsidR="0046263F" w14:paraId="280D5572" w14:textId="77777777" w:rsidTr="009F402D">
        <w:trPr>
          <w:cantSplit/>
          <w:trHeight w:val="200"/>
        </w:trPr>
        <w:tc>
          <w:tcPr>
            <w:tcW w:w="2375" w:type="pct"/>
          </w:tcPr>
          <w:p w14:paraId="23BC7AE3" w14:textId="5756EA74" w:rsidR="0046263F" w:rsidRPr="002219EB" w:rsidRDefault="0046263F" w:rsidP="00516BC5">
            <w:pPr>
              <w:pStyle w:val="BodyText"/>
              <w:spacing w:before="20" w:after="20" w:line="240" w:lineRule="auto"/>
              <w:ind w:leftChars="0" w:left="0"/>
            </w:pPr>
            <w:r>
              <w:t xml:space="preserve">% </w:t>
            </w:r>
            <w:proofErr w:type="gramStart"/>
            <w:r>
              <w:t>of</w:t>
            </w:r>
            <w:proofErr w:type="gramEnd"/>
            <w:r>
              <w:t xml:space="preserve"> dose excreted as total </w:t>
            </w:r>
            <w:r w:rsidRPr="00DB05F8">
              <w:rPr>
                <w:vertAlign w:val="superscript"/>
              </w:rPr>
              <w:t>14</w:t>
            </w:r>
            <w:r>
              <w:t xml:space="preserve">C (unchanged drug) in </w:t>
            </w:r>
            <w:proofErr w:type="spellStart"/>
            <w:r w:rsidR="00625B45">
              <w:t>feces</w:t>
            </w:r>
            <w:r w:rsidR="00774435" w:rsidRPr="00DB05F8">
              <w:rPr>
                <w:vertAlign w:val="superscript"/>
              </w:rPr>
              <w:t>c</w:t>
            </w:r>
            <w:proofErr w:type="spellEnd"/>
          </w:p>
        </w:tc>
        <w:tc>
          <w:tcPr>
            <w:tcW w:w="2625" w:type="pct"/>
          </w:tcPr>
          <w:p w14:paraId="10C31BC7" w14:textId="77777777" w:rsidR="0046263F" w:rsidRPr="002219EB" w:rsidRDefault="0046263F" w:rsidP="00516BC5">
            <w:pPr>
              <w:pStyle w:val="BodyText"/>
              <w:spacing w:before="20" w:after="20" w:line="240" w:lineRule="auto"/>
              <w:ind w:leftChars="0" w:left="0"/>
            </w:pPr>
            <w:r>
              <w:t>14 (5.7)</w:t>
            </w:r>
          </w:p>
        </w:tc>
      </w:tr>
    </w:tbl>
    <w:p w14:paraId="2293BA14" w14:textId="77777777" w:rsidR="0046263F" w:rsidRDefault="0046263F" w:rsidP="0049269E">
      <w:pPr>
        <w:spacing w:after="0" w:line="240" w:lineRule="auto"/>
        <w:ind w:right="-115"/>
        <w:rPr>
          <w:rFonts w:ascii="Times New Roman" w:eastAsia="Calibri" w:hAnsi="Times New Roman" w:cs="Times New Roman"/>
          <w:color w:val="000000" w:themeColor="text1"/>
          <w:sz w:val="18"/>
          <w:szCs w:val="18"/>
        </w:rPr>
      </w:pPr>
      <w:proofErr w:type="spellStart"/>
      <w:r>
        <w:rPr>
          <w:rFonts w:ascii="Times New Roman" w:eastAsia="Calibri" w:hAnsi="Times New Roman" w:cs="Times New Roman"/>
          <w:color w:val="000000" w:themeColor="text1"/>
          <w:sz w:val="18"/>
          <w:szCs w:val="18"/>
          <w:vertAlign w:val="superscript"/>
        </w:rPr>
        <w:t>a</w:t>
      </w:r>
      <w:proofErr w:type="spellEnd"/>
      <w:r>
        <w:rPr>
          <w:rFonts w:ascii="Times New Roman" w:eastAsia="Calibri" w:hAnsi="Times New Roman" w:cs="Times New Roman"/>
          <w:color w:val="000000" w:themeColor="text1"/>
          <w:sz w:val="18"/>
          <w:szCs w:val="18"/>
        </w:rPr>
        <w:t xml:space="preserve"> When taken orally with a moderate fat meal versus fasted, the AUC</w:t>
      </w:r>
      <w:r w:rsidRPr="00DB05F8">
        <w:rPr>
          <w:rFonts w:ascii="Times New Roman" w:eastAsia="Calibri" w:hAnsi="Times New Roman" w:cs="Times New Roman"/>
          <w:color w:val="000000" w:themeColor="text1"/>
          <w:sz w:val="18"/>
          <w:szCs w:val="18"/>
          <w:vertAlign w:val="subscript"/>
        </w:rPr>
        <w:t>0‑∞</w:t>
      </w:r>
      <w:r>
        <w:rPr>
          <w:rFonts w:ascii="Times New Roman" w:eastAsia="Calibri" w:hAnsi="Times New Roman" w:cs="Times New Roman"/>
          <w:color w:val="000000" w:themeColor="text1"/>
          <w:sz w:val="18"/>
          <w:szCs w:val="18"/>
        </w:rPr>
        <w:t xml:space="preserve"> and </w:t>
      </w:r>
      <w:proofErr w:type="spellStart"/>
      <w:r>
        <w:rPr>
          <w:rFonts w:ascii="Times New Roman" w:eastAsia="Calibri" w:hAnsi="Times New Roman" w:cs="Times New Roman"/>
          <w:color w:val="000000" w:themeColor="text1"/>
          <w:sz w:val="18"/>
          <w:szCs w:val="18"/>
        </w:rPr>
        <w:t>C</w:t>
      </w:r>
      <w:r w:rsidRPr="00DB05F8">
        <w:rPr>
          <w:rFonts w:ascii="Times New Roman" w:eastAsia="Calibri" w:hAnsi="Times New Roman" w:cs="Times New Roman"/>
          <w:color w:val="000000" w:themeColor="text1"/>
          <w:sz w:val="18"/>
          <w:szCs w:val="18"/>
          <w:vertAlign w:val="subscript"/>
        </w:rPr>
        <w:t>max</w:t>
      </w:r>
      <w:proofErr w:type="spellEnd"/>
      <w:r>
        <w:rPr>
          <w:rFonts w:ascii="Times New Roman" w:eastAsia="Calibri" w:hAnsi="Times New Roman" w:cs="Times New Roman"/>
          <w:color w:val="000000" w:themeColor="text1"/>
          <w:sz w:val="18"/>
          <w:szCs w:val="18"/>
        </w:rPr>
        <w:t xml:space="preserve"> (geometric mean ratio [90% CI] of maribavir are 0.864 [0.804, 0.929] and 0.722 [0.656, 0.793], respectively.</w:t>
      </w:r>
      <w:r>
        <w:rPr>
          <w:rFonts w:ascii="Times New Roman" w:hAnsi="Times New Roman" w:cs="Times New Roman"/>
          <w:color w:val="000000" w:themeColor="text1"/>
        </w:rPr>
        <w:t xml:space="preserve"> </w:t>
      </w:r>
    </w:p>
    <w:p w14:paraId="18564591" w14:textId="5954235B" w:rsidR="0046263F" w:rsidRDefault="0046263F" w:rsidP="0049269E">
      <w:pPr>
        <w:spacing w:after="0" w:line="240" w:lineRule="auto"/>
        <w:ind w:right="-108"/>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vertAlign w:val="superscript"/>
        </w:rPr>
        <w:t>b</w:t>
      </w:r>
      <w:r>
        <w:rPr>
          <w:rFonts w:ascii="Times New Roman" w:eastAsia="Calibri" w:hAnsi="Times New Roman" w:cs="Times New Roman"/>
          <w:color w:val="000000" w:themeColor="text1"/>
          <w:sz w:val="18"/>
          <w:szCs w:val="18"/>
        </w:rPr>
        <w:t xml:space="preserve"> In vitro studies have shown that maribavir is bio</w:t>
      </w:r>
      <w:r w:rsidR="00DB05F8">
        <w:rPr>
          <w:rFonts w:ascii="Times New Roman" w:eastAsia="Calibri" w:hAnsi="Times New Roman" w:cs="Times New Roman"/>
          <w:color w:val="000000" w:themeColor="text1"/>
          <w:sz w:val="18"/>
          <w:szCs w:val="18"/>
        </w:rPr>
        <w:t>-</w:t>
      </w:r>
      <w:r>
        <w:rPr>
          <w:rFonts w:ascii="Times New Roman" w:eastAsia="Calibri" w:hAnsi="Times New Roman" w:cs="Times New Roman"/>
          <w:color w:val="000000" w:themeColor="text1"/>
          <w:sz w:val="18"/>
          <w:szCs w:val="18"/>
        </w:rPr>
        <w:t>transformed into a major circulating inactive metabolite: VP 44469 (N-dealkylated metabolite), with a metabolic ratio of 0.15 - 0.20</w:t>
      </w:r>
    </w:p>
    <w:p w14:paraId="550E2CBF" w14:textId="1CE1D96E" w:rsidR="0076775F" w:rsidRPr="0076775F" w:rsidRDefault="0046263F" w:rsidP="0049269E">
      <w:pPr>
        <w:spacing w:line="240" w:lineRule="auto"/>
        <w:ind w:right="-108"/>
        <w:rPr>
          <w:rFonts w:ascii="Times New Roman" w:eastAsia="Calibri" w:hAnsi="Times New Roman" w:cs="Times New Roman"/>
          <w:color w:val="000000" w:themeColor="text1"/>
          <w:sz w:val="18"/>
          <w:szCs w:val="18"/>
        </w:rPr>
      </w:pPr>
      <w:r>
        <w:rPr>
          <w:rFonts w:ascii="Times New Roman" w:eastAsia="Calibri" w:hAnsi="Times New Roman" w:cs="Times New Roman"/>
          <w:color w:val="000000" w:themeColor="text1"/>
          <w:sz w:val="18"/>
          <w:szCs w:val="18"/>
          <w:vertAlign w:val="superscript"/>
        </w:rPr>
        <w:t>c</w:t>
      </w:r>
      <w:r>
        <w:rPr>
          <w:rFonts w:ascii="Times New Roman" w:eastAsia="Calibri" w:hAnsi="Times New Roman" w:cs="Times New Roman"/>
          <w:color w:val="000000" w:themeColor="text1"/>
          <w:sz w:val="18"/>
          <w:szCs w:val="18"/>
        </w:rPr>
        <w:t xml:space="preserve"> Dosing in mass balance study: single-dose administration of [</w:t>
      </w:r>
      <w:r>
        <w:rPr>
          <w:rFonts w:ascii="Times New Roman" w:eastAsia="Calibri" w:hAnsi="Times New Roman" w:cs="Times New Roman"/>
          <w:color w:val="000000" w:themeColor="text1"/>
          <w:sz w:val="18"/>
          <w:szCs w:val="18"/>
          <w:vertAlign w:val="superscript"/>
        </w:rPr>
        <w:t>14</w:t>
      </w:r>
      <w:r>
        <w:rPr>
          <w:rFonts w:ascii="Times New Roman" w:eastAsia="Calibri" w:hAnsi="Times New Roman" w:cs="Times New Roman"/>
          <w:color w:val="000000" w:themeColor="text1"/>
          <w:sz w:val="18"/>
          <w:szCs w:val="18"/>
        </w:rPr>
        <w:t xml:space="preserve">C] maribavir oral solution 400 mg containing 200 </w:t>
      </w:r>
      <w:proofErr w:type="spellStart"/>
      <w:r>
        <w:rPr>
          <w:rFonts w:ascii="Times New Roman" w:eastAsia="Calibri" w:hAnsi="Times New Roman" w:cs="Times New Roman"/>
          <w:color w:val="000000" w:themeColor="text1"/>
          <w:sz w:val="18"/>
          <w:szCs w:val="18"/>
        </w:rPr>
        <w:t>nC</w:t>
      </w:r>
      <w:r w:rsidRPr="00DB05F8">
        <w:rPr>
          <w:rFonts w:ascii="Times New Roman" w:eastAsia="Calibri" w:hAnsi="Times New Roman" w:cs="Times New Roman"/>
          <w:color w:val="000000" w:themeColor="text1"/>
          <w:sz w:val="18"/>
          <w:szCs w:val="18"/>
          <w:vertAlign w:val="subscript"/>
        </w:rPr>
        <w:t>i</w:t>
      </w:r>
      <w:proofErr w:type="spellEnd"/>
      <w:r>
        <w:rPr>
          <w:rFonts w:ascii="Times New Roman" w:eastAsia="Calibri" w:hAnsi="Times New Roman" w:cs="Times New Roman"/>
          <w:color w:val="000000" w:themeColor="text1"/>
          <w:sz w:val="18"/>
          <w:szCs w:val="18"/>
        </w:rPr>
        <w:t xml:space="preserve"> of total radioactivity.</w:t>
      </w:r>
    </w:p>
    <w:p w14:paraId="7D1BFEEB" w14:textId="710F8362" w:rsidR="00B41613" w:rsidRPr="001415DB" w:rsidRDefault="00B41613" w:rsidP="00B41613">
      <w:pPr>
        <w:pStyle w:val="Caption"/>
        <w:spacing w:after="120"/>
        <w:rPr>
          <w:lang w:val="en-AU"/>
        </w:rPr>
      </w:pPr>
      <w:r w:rsidRPr="001415DB">
        <w:rPr>
          <w:lang w:val="en-AU"/>
        </w:rPr>
        <w:t xml:space="preserve">Table </w:t>
      </w:r>
      <w:r w:rsidR="00E8529E">
        <w:rPr>
          <w:lang w:val="en-AU"/>
        </w:rPr>
        <w:t>9</w:t>
      </w:r>
      <w:r w:rsidRPr="001415DB">
        <w:rPr>
          <w:lang w:val="en-AU"/>
        </w:rPr>
        <w:t xml:space="preserve">: </w:t>
      </w:r>
      <w:r w:rsidR="00A959D4">
        <w:rPr>
          <w:lang w:val="en-AU"/>
        </w:rPr>
        <w:t>Multiple</w:t>
      </w:r>
      <w:r w:rsidR="00BC1948">
        <w:rPr>
          <w:lang w:val="en-AU"/>
        </w:rPr>
        <w:t>-Dose Pharmacokinetic Parameters of Maribavir</w:t>
      </w:r>
    </w:p>
    <w:tbl>
      <w:tblPr>
        <w:tblStyle w:val="TableGrid"/>
        <w:tblW w:w="0" w:type="auto"/>
        <w:tblInd w:w="220" w:type="dxa"/>
        <w:tblLook w:val="04A0" w:firstRow="1" w:lastRow="0" w:firstColumn="1" w:lastColumn="0" w:noHBand="0" w:noVBand="1"/>
      </w:tblPr>
      <w:tblGrid>
        <w:gridCol w:w="2889"/>
        <w:gridCol w:w="2000"/>
        <w:gridCol w:w="1838"/>
        <w:gridCol w:w="2069"/>
      </w:tblGrid>
      <w:tr w:rsidR="00B41613" w:rsidRPr="001415DB" w14:paraId="2424E847" w14:textId="77777777" w:rsidTr="00C438C7">
        <w:tc>
          <w:tcPr>
            <w:tcW w:w="3015" w:type="dxa"/>
          </w:tcPr>
          <w:p w14:paraId="360F6A78" w14:textId="77777777" w:rsidR="00B41613" w:rsidRPr="001415DB" w:rsidRDefault="00B41613" w:rsidP="00C438C7">
            <w:pPr>
              <w:pStyle w:val="BodyText"/>
              <w:spacing w:line="240" w:lineRule="auto"/>
              <w:ind w:leftChars="0" w:left="0"/>
              <w:rPr>
                <w:b/>
                <w:bCs/>
              </w:rPr>
            </w:pPr>
            <w:r w:rsidRPr="001415DB">
              <w:rPr>
                <w:b/>
                <w:bCs/>
              </w:rPr>
              <w:t>Parameter GM (% CV)</w:t>
            </w:r>
          </w:p>
        </w:tc>
        <w:tc>
          <w:tcPr>
            <w:tcW w:w="2070" w:type="dxa"/>
          </w:tcPr>
          <w:p w14:paraId="0874430E" w14:textId="4CB3ED7B" w:rsidR="00B41613" w:rsidRPr="001415DB" w:rsidRDefault="00B41613" w:rsidP="00C438C7">
            <w:pPr>
              <w:pStyle w:val="BodyText"/>
              <w:spacing w:line="240" w:lineRule="auto"/>
              <w:ind w:leftChars="0" w:left="0"/>
              <w:jc w:val="center"/>
              <w:rPr>
                <w:b/>
                <w:bCs/>
              </w:rPr>
            </w:pPr>
            <w:r w:rsidRPr="001415DB">
              <w:rPr>
                <w:b/>
                <w:bCs/>
              </w:rPr>
              <w:t>AUC</w:t>
            </w:r>
            <w:r w:rsidRPr="001415DB">
              <w:rPr>
                <w:b/>
                <w:bCs/>
                <w:vertAlign w:val="subscript"/>
              </w:rPr>
              <w:t>0-</w:t>
            </w:r>
            <w:r w:rsidR="00BB48ED" w:rsidRPr="001415DB">
              <w:rPr>
                <w:sz w:val="24"/>
                <w:szCs w:val="24"/>
                <w:vertAlign w:val="subscript"/>
              </w:rPr>
              <w:t xml:space="preserve"> τ</w:t>
            </w:r>
          </w:p>
          <w:p w14:paraId="6F3D322C" w14:textId="77777777" w:rsidR="00B41613" w:rsidRPr="001415DB" w:rsidRDefault="00B41613" w:rsidP="00C438C7">
            <w:pPr>
              <w:pStyle w:val="BodyText"/>
              <w:spacing w:line="240" w:lineRule="auto"/>
              <w:ind w:leftChars="0" w:left="0"/>
              <w:jc w:val="center"/>
              <w:rPr>
                <w:b/>
                <w:bCs/>
              </w:rPr>
            </w:pPr>
            <w:r w:rsidRPr="001415DB">
              <w:rPr>
                <w:b/>
                <w:bCs/>
              </w:rPr>
              <w:t>µg*h/mL</w:t>
            </w:r>
          </w:p>
        </w:tc>
        <w:tc>
          <w:tcPr>
            <w:tcW w:w="1890" w:type="dxa"/>
          </w:tcPr>
          <w:p w14:paraId="19BAA3C5" w14:textId="77777777" w:rsidR="00B41613" w:rsidRPr="001415DB" w:rsidRDefault="00B41613" w:rsidP="00C438C7">
            <w:pPr>
              <w:pStyle w:val="BodyText"/>
              <w:spacing w:line="240" w:lineRule="auto"/>
              <w:ind w:leftChars="0" w:left="0"/>
              <w:jc w:val="center"/>
              <w:rPr>
                <w:b/>
                <w:bCs/>
              </w:rPr>
            </w:pPr>
            <w:proofErr w:type="spellStart"/>
            <w:r w:rsidRPr="001415DB">
              <w:rPr>
                <w:b/>
                <w:bCs/>
              </w:rPr>
              <w:t>C</w:t>
            </w:r>
            <w:r w:rsidRPr="001415DB">
              <w:rPr>
                <w:b/>
                <w:bCs/>
                <w:vertAlign w:val="subscript"/>
              </w:rPr>
              <w:t>max</w:t>
            </w:r>
            <w:proofErr w:type="spellEnd"/>
          </w:p>
          <w:p w14:paraId="282971B1" w14:textId="77777777" w:rsidR="00B41613" w:rsidRPr="001415DB" w:rsidRDefault="00B41613" w:rsidP="00C438C7">
            <w:pPr>
              <w:pStyle w:val="BodyText"/>
              <w:spacing w:line="240" w:lineRule="auto"/>
              <w:ind w:leftChars="0" w:left="0"/>
              <w:jc w:val="center"/>
              <w:rPr>
                <w:b/>
                <w:bCs/>
              </w:rPr>
            </w:pPr>
            <w:r w:rsidRPr="001415DB">
              <w:rPr>
                <w:b/>
                <w:bCs/>
              </w:rPr>
              <w:t>µg/mL</w:t>
            </w:r>
          </w:p>
        </w:tc>
        <w:tc>
          <w:tcPr>
            <w:tcW w:w="2155" w:type="dxa"/>
          </w:tcPr>
          <w:p w14:paraId="58FB64D2" w14:textId="77777777" w:rsidR="00B41613" w:rsidRPr="001415DB" w:rsidRDefault="00B41613" w:rsidP="00C438C7">
            <w:pPr>
              <w:pStyle w:val="BodyText"/>
              <w:spacing w:line="240" w:lineRule="auto"/>
              <w:ind w:leftChars="0" w:left="0"/>
              <w:jc w:val="center"/>
              <w:rPr>
                <w:b/>
                <w:bCs/>
              </w:rPr>
            </w:pPr>
            <w:proofErr w:type="spellStart"/>
            <w:r w:rsidRPr="001415DB">
              <w:rPr>
                <w:b/>
                <w:bCs/>
              </w:rPr>
              <w:t>C</w:t>
            </w:r>
            <w:r w:rsidRPr="001415DB">
              <w:rPr>
                <w:b/>
                <w:bCs/>
                <w:vertAlign w:val="subscript"/>
              </w:rPr>
              <w:t>trough</w:t>
            </w:r>
            <w:proofErr w:type="spellEnd"/>
          </w:p>
          <w:p w14:paraId="3F57BE1B" w14:textId="77777777" w:rsidR="00B41613" w:rsidRPr="001415DB" w:rsidRDefault="00B41613" w:rsidP="00C438C7">
            <w:pPr>
              <w:pStyle w:val="BodyText"/>
              <w:spacing w:line="240" w:lineRule="auto"/>
              <w:ind w:leftChars="0" w:left="0"/>
              <w:jc w:val="center"/>
              <w:rPr>
                <w:b/>
                <w:bCs/>
              </w:rPr>
            </w:pPr>
            <w:r w:rsidRPr="001415DB">
              <w:rPr>
                <w:b/>
                <w:bCs/>
              </w:rPr>
              <w:t>µg/mL</w:t>
            </w:r>
          </w:p>
        </w:tc>
      </w:tr>
      <w:tr w:rsidR="00B41613" w:rsidRPr="001415DB" w14:paraId="077242E6" w14:textId="77777777" w:rsidTr="00C438C7">
        <w:tc>
          <w:tcPr>
            <w:tcW w:w="3015" w:type="dxa"/>
            <w:tcBorders>
              <w:bottom w:val="single" w:sz="4" w:space="0" w:color="auto"/>
            </w:tcBorders>
          </w:tcPr>
          <w:p w14:paraId="36EFB6CC" w14:textId="77777777" w:rsidR="00B41613" w:rsidRPr="001415DB" w:rsidRDefault="00B41613" w:rsidP="00C438C7">
            <w:pPr>
              <w:pStyle w:val="BodyText"/>
              <w:spacing w:line="240" w:lineRule="auto"/>
              <w:ind w:leftChars="0" w:left="0"/>
            </w:pPr>
            <w:r w:rsidRPr="001415DB">
              <w:t>Maribavir 400 mg twice daily</w:t>
            </w:r>
          </w:p>
        </w:tc>
        <w:tc>
          <w:tcPr>
            <w:tcW w:w="2070" w:type="dxa"/>
            <w:tcBorders>
              <w:bottom w:val="single" w:sz="4" w:space="0" w:color="auto"/>
            </w:tcBorders>
          </w:tcPr>
          <w:p w14:paraId="25448322" w14:textId="77777777" w:rsidR="00B41613" w:rsidRPr="001415DB" w:rsidRDefault="00B41613" w:rsidP="00C438C7">
            <w:pPr>
              <w:pStyle w:val="BodyText"/>
              <w:spacing w:line="240" w:lineRule="auto"/>
              <w:ind w:leftChars="0" w:left="0"/>
              <w:jc w:val="center"/>
            </w:pPr>
            <w:r w:rsidRPr="001415DB">
              <w:t>128 (37.0%)</w:t>
            </w:r>
          </w:p>
        </w:tc>
        <w:tc>
          <w:tcPr>
            <w:tcW w:w="1890" w:type="dxa"/>
            <w:tcBorders>
              <w:bottom w:val="single" w:sz="4" w:space="0" w:color="auto"/>
            </w:tcBorders>
          </w:tcPr>
          <w:p w14:paraId="50676CB8" w14:textId="77777777" w:rsidR="00B41613" w:rsidRPr="001415DB" w:rsidRDefault="00B41613" w:rsidP="00C438C7">
            <w:pPr>
              <w:pStyle w:val="BodyText"/>
              <w:spacing w:line="240" w:lineRule="auto"/>
              <w:ind w:left="220"/>
              <w:jc w:val="center"/>
            </w:pPr>
            <w:r w:rsidRPr="001415DB">
              <w:t xml:space="preserve">17.2 (39.3%)  </w:t>
            </w:r>
          </w:p>
        </w:tc>
        <w:tc>
          <w:tcPr>
            <w:tcW w:w="2155" w:type="dxa"/>
            <w:tcBorders>
              <w:bottom w:val="single" w:sz="4" w:space="0" w:color="auto"/>
            </w:tcBorders>
          </w:tcPr>
          <w:p w14:paraId="2AC29F9E" w14:textId="77777777" w:rsidR="00B41613" w:rsidRPr="001415DB" w:rsidRDefault="00B41613" w:rsidP="00C438C7">
            <w:pPr>
              <w:pStyle w:val="BodyText"/>
              <w:spacing w:line="240" w:lineRule="auto"/>
              <w:ind w:leftChars="0" w:left="0"/>
              <w:jc w:val="center"/>
            </w:pPr>
            <w:r w:rsidRPr="001415DB">
              <w:t>4.90 (89.7%)</w:t>
            </w:r>
          </w:p>
        </w:tc>
      </w:tr>
      <w:tr w:rsidR="00B41613" w:rsidRPr="001415DB" w14:paraId="6CEE567B" w14:textId="77777777" w:rsidTr="00C438C7">
        <w:tc>
          <w:tcPr>
            <w:tcW w:w="9130" w:type="dxa"/>
            <w:gridSpan w:val="4"/>
            <w:tcBorders>
              <w:left w:val="nil"/>
              <w:bottom w:val="nil"/>
              <w:right w:val="nil"/>
            </w:tcBorders>
          </w:tcPr>
          <w:p w14:paraId="457D2482" w14:textId="77777777" w:rsidR="00B41613" w:rsidRPr="001415DB" w:rsidRDefault="00B41613" w:rsidP="00C438C7">
            <w:pPr>
              <w:pStyle w:val="BodyText"/>
              <w:spacing w:line="240" w:lineRule="auto"/>
              <w:ind w:leftChars="0" w:left="0"/>
              <w:rPr>
                <w:sz w:val="20"/>
                <w:szCs w:val="20"/>
              </w:rPr>
            </w:pPr>
            <w:r w:rsidRPr="001415DB">
              <w:rPr>
                <w:sz w:val="20"/>
                <w:szCs w:val="20"/>
              </w:rPr>
              <w:t>GM: Geometric mean, % CV: Geometric coefficient of variation</w:t>
            </w:r>
          </w:p>
        </w:tc>
      </w:tr>
    </w:tbl>
    <w:p w14:paraId="440B35CE" w14:textId="77777777" w:rsidR="00B41613" w:rsidRPr="001415DB" w:rsidRDefault="00B41613" w:rsidP="00C91689">
      <w:pPr>
        <w:spacing w:after="0" w:line="240" w:lineRule="auto"/>
        <w:rPr>
          <w:rFonts w:ascii="Times New Roman" w:hAnsi="Times New Roman" w:cs="Times New Roman"/>
          <w:sz w:val="24"/>
          <w:szCs w:val="24"/>
        </w:rPr>
      </w:pPr>
    </w:p>
    <w:p w14:paraId="4D4711F3" w14:textId="1F5F0231" w:rsidR="0021200F" w:rsidRPr="0067028B" w:rsidRDefault="0021200F" w:rsidP="00F72388">
      <w:pPr>
        <w:pageBreakBefore/>
        <w:spacing w:after="0"/>
        <w:rPr>
          <w:rFonts w:ascii="Times New Roman" w:hAnsi="Times New Roman" w:cs="Times New Roman"/>
          <w:sz w:val="24"/>
          <w:szCs w:val="24"/>
          <w:u w:val="single"/>
        </w:rPr>
      </w:pPr>
      <w:r w:rsidRPr="0067028B">
        <w:rPr>
          <w:rFonts w:ascii="Times New Roman" w:hAnsi="Times New Roman" w:cs="Times New Roman"/>
          <w:sz w:val="24"/>
          <w:szCs w:val="24"/>
          <w:u w:val="single"/>
        </w:rPr>
        <w:lastRenderedPageBreak/>
        <w:t xml:space="preserve">Absorption </w:t>
      </w:r>
    </w:p>
    <w:p w14:paraId="2D649D8D" w14:textId="53BF6FFA" w:rsidR="00452AFB" w:rsidRPr="001415DB" w:rsidRDefault="00452AFB" w:rsidP="00452AFB">
      <w:pPr>
        <w:rPr>
          <w:rFonts w:ascii="Times New Roman" w:hAnsi="Times New Roman" w:cs="Times New Roman"/>
          <w:sz w:val="24"/>
          <w:szCs w:val="24"/>
        </w:rPr>
      </w:pPr>
      <w:r w:rsidRPr="001415DB">
        <w:rPr>
          <w:rFonts w:ascii="Times New Roman" w:hAnsi="Times New Roman" w:cs="Times New Roman"/>
          <w:sz w:val="24"/>
          <w:szCs w:val="24"/>
        </w:rPr>
        <w:t xml:space="preserve">Exposure to maribavir is unaffected by crushing the tablet, administration of crushed tablet through nasogastric (NG)/orogastric tubes, or </w:t>
      </w:r>
      <w:r w:rsidR="00AD2721" w:rsidRPr="001415DB">
        <w:rPr>
          <w:rFonts w:ascii="Times New Roman" w:hAnsi="Times New Roman" w:cs="Times New Roman"/>
          <w:sz w:val="24"/>
          <w:szCs w:val="24"/>
        </w:rPr>
        <w:t>co</w:t>
      </w:r>
      <w:r w:rsidR="001332DB">
        <w:rPr>
          <w:rFonts w:ascii="Times New Roman" w:hAnsi="Times New Roman" w:cs="Times New Roman"/>
          <w:sz w:val="24"/>
          <w:szCs w:val="24"/>
        </w:rPr>
        <w:t>-</w:t>
      </w:r>
      <w:r w:rsidR="00AD2721" w:rsidRPr="001415DB">
        <w:rPr>
          <w:rFonts w:ascii="Times New Roman" w:hAnsi="Times New Roman" w:cs="Times New Roman"/>
          <w:sz w:val="24"/>
          <w:szCs w:val="24"/>
        </w:rPr>
        <w:t>administration</w:t>
      </w:r>
      <w:r w:rsidRPr="001415DB">
        <w:rPr>
          <w:rFonts w:ascii="Times New Roman" w:hAnsi="Times New Roman" w:cs="Times New Roman"/>
          <w:sz w:val="24"/>
          <w:szCs w:val="24"/>
        </w:rPr>
        <w:t xml:space="preserve"> with proton pump inhibitors (PPIs), histamine H2 receptor antagonists (H2 blockers), or antacids.  </w:t>
      </w:r>
    </w:p>
    <w:p w14:paraId="4C38792F" w14:textId="7F8BE6A3" w:rsidR="00452AFB" w:rsidRPr="001415DB" w:rsidRDefault="00452AFB" w:rsidP="00452AFB">
      <w:pPr>
        <w:rPr>
          <w:rFonts w:ascii="Times New Roman" w:hAnsi="Times New Roman" w:cs="Times New Roman"/>
          <w:sz w:val="24"/>
          <w:szCs w:val="24"/>
        </w:rPr>
      </w:pPr>
      <w:r w:rsidRPr="001415DB">
        <w:rPr>
          <w:rFonts w:ascii="Times New Roman" w:hAnsi="Times New Roman" w:cs="Times New Roman"/>
          <w:sz w:val="24"/>
          <w:szCs w:val="24"/>
        </w:rPr>
        <w:t>The intrasubject variability (&lt; 22%) and inter</w:t>
      </w:r>
      <w:r w:rsidR="00AD2721" w:rsidRPr="001415DB">
        <w:rPr>
          <w:rFonts w:ascii="Times New Roman" w:hAnsi="Times New Roman" w:cs="Times New Roman"/>
          <w:sz w:val="24"/>
          <w:szCs w:val="24"/>
        </w:rPr>
        <w:t>-</w:t>
      </w:r>
      <w:r w:rsidRPr="001415DB">
        <w:rPr>
          <w:rFonts w:ascii="Times New Roman" w:hAnsi="Times New Roman" w:cs="Times New Roman"/>
          <w:sz w:val="24"/>
          <w:szCs w:val="24"/>
        </w:rPr>
        <w:t>subject variability (&lt; 37%) in maribavir PK parameters are low to moderate.</w:t>
      </w:r>
    </w:p>
    <w:p w14:paraId="0AF05D08" w14:textId="77777777" w:rsidR="001F687F" w:rsidRPr="0067028B" w:rsidRDefault="001F687F" w:rsidP="005A3D14">
      <w:pPr>
        <w:keepNext/>
        <w:spacing w:after="0" w:line="240" w:lineRule="auto"/>
        <w:rPr>
          <w:rFonts w:ascii="Times New Roman" w:hAnsi="Times New Roman" w:cs="Times New Roman"/>
          <w:i/>
          <w:iCs/>
          <w:sz w:val="24"/>
          <w:szCs w:val="24"/>
        </w:rPr>
      </w:pPr>
      <w:r w:rsidRPr="0067028B">
        <w:rPr>
          <w:rFonts w:ascii="Times New Roman" w:hAnsi="Times New Roman" w:cs="Times New Roman"/>
          <w:i/>
          <w:iCs/>
          <w:sz w:val="24"/>
          <w:szCs w:val="24"/>
        </w:rPr>
        <w:t>Effect of Food</w:t>
      </w:r>
    </w:p>
    <w:p w14:paraId="351BEFBB" w14:textId="4B5CFF29" w:rsidR="001F687F" w:rsidRPr="001415DB" w:rsidRDefault="001F687F" w:rsidP="005A3D14">
      <w:pPr>
        <w:keepNext/>
        <w:rPr>
          <w:rFonts w:ascii="Times New Roman" w:hAnsi="Times New Roman" w:cs="Times New Roman"/>
          <w:sz w:val="24"/>
          <w:szCs w:val="24"/>
        </w:rPr>
      </w:pPr>
      <w:r w:rsidRPr="001415DB">
        <w:rPr>
          <w:rFonts w:ascii="Times New Roman" w:hAnsi="Times New Roman" w:cs="Times New Roman"/>
          <w:sz w:val="24"/>
          <w:szCs w:val="24"/>
        </w:rPr>
        <w:t xml:space="preserve">In healthy subjects, oral administration of a single 400 mg dose of maribavir with a moderately high fat meal did not have any statistically significant effect on the overall exposure (AUC) and resulted in 28% decrease increase in </w:t>
      </w:r>
      <w:proofErr w:type="spellStart"/>
      <w:r w:rsidRPr="001415DB">
        <w:rPr>
          <w:rFonts w:ascii="Times New Roman" w:hAnsi="Times New Roman" w:cs="Times New Roman"/>
          <w:sz w:val="24"/>
          <w:szCs w:val="24"/>
        </w:rPr>
        <w:t>C</w:t>
      </w:r>
      <w:r w:rsidRPr="001415DB">
        <w:rPr>
          <w:rFonts w:ascii="Times New Roman" w:hAnsi="Times New Roman" w:cs="Times New Roman"/>
          <w:sz w:val="24"/>
          <w:szCs w:val="24"/>
          <w:vertAlign w:val="subscript"/>
        </w:rPr>
        <w:t>max</w:t>
      </w:r>
      <w:proofErr w:type="spellEnd"/>
      <w:r w:rsidRPr="001415DB">
        <w:rPr>
          <w:rFonts w:ascii="Times New Roman" w:hAnsi="Times New Roman" w:cs="Times New Roman"/>
          <w:sz w:val="24"/>
          <w:szCs w:val="24"/>
        </w:rPr>
        <w:t xml:space="preserve"> of </w:t>
      </w:r>
      <w:proofErr w:type="spellStart"/>
      <w:r w:rsidRPr="001415DB">
        <w:rPr>
          <w:rFonts w:ascii="Times New Roman" w:hAnsi="Times New Roman" w:cs="Times New Roman"/>
          <w:sz w:val="24"/>
          <w:szCs w:val="24"/>
        </w:rPr>
        <w:t>maribavir</w:t>
      </w:r>
      <w:proofErr w:type="spellEnd"/>
      <w:r w:rsidRPr="001415DB">
        <w:rPr>
          <w:rFonts w:ascii="Times New Roman" w:hAnsi="Times New Roman" w:cs="Times New Roman"/>
          <w:sz w:val="24"/>
          <w:szCs w:val="24"/>
        </w:rPr>
        <w:t>.</w:t>
      </w:r>
      <w:r w:rsidR="004F3A8F" w:rsidRPr="001415DB">
        <w:rPr>
          <w:rFonts w:ascii="Times New Roman" w:hAnsi="Times New Roman" w:cs="Times New Roman"/>
          <w:sz w:val="24"/>
          <w:szCs w:val="24"/>
        </w:rPr>
        <w:t xml:space="preserve"> </w:t>
      </w:r>
      <w:r w:rsidRPr="001415DB">
        <w:rPr>
          <w:rFonts w:ascii="Times New Roman" w:hAnsi="Times New Roman" w:cs="Times New Roman"/>
          <w:sz w:val="24"/>
          <w:szCs w:val="24"/>
        </w:rPr>
        <w:t xml:space="preserve"> Maribavir can be administered orally with or without food as has been done in the clinical studies.  </w:t>
      </w:r>
    </w:p>
    <w:p w14:paraId="3A887503" w14:textId="5143F48A" w:rsidR="0021200F" w:rsidRPr="0067028B" w:rsidRDefault="0021200F" w:rsidP="0067028B">
      <w:pPr>
        <w:spacing w:after="0"/>
        <w:rPr>
          <w:rFonts w:ascii="Times New Roman" w:hAnsi="Times New Roman" w:cs="Times New Roman"/>
          <w:sz w:val="24"/>
          <w:szCs w:val="24"/>
          <w:u w:val="single"/>
        </w:rPr>
      </w:pPr>
      <w:r w:rsidRPr="0067028B">
        <w:rPr>
          <w:rFonts w:ascii="Times New Roman" w:hAnsi="Times New Roman" w:cs="Times New Roman"/>
          <w:sz w:val="24"/>
          <w:szCs w:val="24"/>
          <w:u w:val="single"/>
        </w:rPr>
        <w:t xml:space="preserve">Distribution </w:t>
      </w:r>
    </w:p>
    <w:p w14:paraId="35C7B136" w14:textId="5A416A58" w:rsidR="00A56A0B" w:rsidRPr="001415DB" w:rsidRDefault="00A56A0B" w:rsidP="00A56A0B">
      <w:pPr>
        <w:rPr>
          <w:rFonts w:ascii="Times New Roman" w:hAnsi="Times New Roman" w:cs="Times New Roman"/>
          <w:sz w:val="24"/>
          <w:szCs w:val="24"/>
        </w:rPr>
      </w:pPr>
      <w:r w:rsidRPr="001415DB">
        <w:rPr>
          <w:rFonts w:ascii="Times New Roman" w:hAnsi="Times New Roman" w:cs="Times New Roman"/>
          <w:i/>
          <w:iCs/>
          <w:sz w:val="24"/>
          <w:szCs w:val="24"/>
        </w:rPr>
        <w:t>Ex vivo</w:t>
      </w:r>
      <w:r w:rsidRPr="001415DB">
        <w:rPr>
          <w:rFonts w:ascii="Times New Roman" w:hAnsi="Times New Roman" w:cs="Times New Roman"/>
          <w:sz w:val="24"/>
          <w:szCs w:val="24"/>
        </w:rPr>
        <w:t xml:space="preserve"> protein binding of maribavir (98.5%</w:t>
      </w:r>
      <w:r w:rsidR="00065F38" w:rsidRPr="001415DB">
        <w:rPr>
          <w:rFonts w:ascii="Times New Roman" w:hAnsi="Times New Roman" w:cs="Times New Roman"/>
          <w:sz w:val="24"/>
          <w:szCs w:val="24"/>
        </w:rPr>
        <w:t>-</w:t>
      </w:r>
      <w:r w:rsidRPr="001415DB">
        <w:rPr>
          <w:rFonts w:ascii="Times New Roman" w:hAnsi="Times New Roman" w:cs="Times New Roman"/>
          <w:sz w:val="24"/>
          <w:szCs w:val="24"/>
        </w:rPr>
        <w:t xml:space="preserve">99.0%) was consistent with </w:t>
      </w:r>
      <w:r w:rsidRPr="001415DB">
        <w:rPr>
          <w:rFonts w:ascii="Times New Roman" w:hAnsi="Times New Roman" w:cs="Times New Roman"/>
          <w:i/>
          <w:iCs/>
          <w:sz w:val="24"/>
          <w:szCs w:val="24"/>
        </w:rPr>
        <w:t>in vitro</w:t>
      </w:r>
      <w:r w:rsidRPr="001415DB">
        <w:rPr>
          <w:rFonts w:ascii="Times New Roman" w:hAnsi="Times New Roman" w:cs="Times New Roman"/>
          <w:sz w:val="24"/>
          <w:szCs w:val="24"/>
        </w:rPr>
        <w:t xml:space="preserve"> data, with no apparent difference observed among healthy subjects, subjects with hepatic (moderate) or renal (mild, </w:t>
      </w:r>
      <w:proofErr w:type="gramStart"/>
      <w:r w:rsidRPr="001415DB">
        <w:rPr>
          <w:rFonts w:ascii="Times New Roman" w:hAnsi="Times New Roman" w:cs="Times New Roman"/>
          <w:sz w:val="24"/>
          <w:szCs w:val="24"/>
        </w:rPr>
        <w:t>moderate</w:t>
      </w:r>
      <w:proofErr w:type="gramEnd"/>
      <w:r w:rsidRPr="001415DB">
        <w:rPr>
          <w:rFonts w:ascii="Times New Roman" w:hAnsi="Times New Roman" w:cs="Times New Roman"/>
          <w:sz w:val="24"/>
          <w:szCs w:val="24"/>
        </w:rPr>
        <w:t xml:space="preserve"> or severe) impairment, human immunodeficiency virus (HIV) patients, or transplant patients. </w:t>
      </w:r>
    </w:p>
    <w:p w14:paraId="3709217C" w14:textId="60863C1C" w:rsidR="006C696D" w:rsidRDefault="00A56A0B" w:rsidP="00A56A0B">
      <w:pPr>
        <w:rPr>
          <w:rFonts w:ascii="Times New Roman" w:hAnsi="Times New Roman" w:cs="Times New Roman"/>
          <w:sz w:val="24"/>
          <w:szCs w:val="24"/>
        </w:rPr>
      </w:pPr>
      <w:r w:rsidRPr="001415DB">
        <w:rPr>
          <w:rFonts w:ascii="Times New Roman" w:hAnsi="Times New Roman" w:cs="Times New Roman"/>
          <w:sz w:val="24"/>
          <w:szCs w:val="24"/>
        </w:rPr>
        <w:t xml:space="preserve">Maribavir </w:t>
      </w:r>
      <w:r w:rsidR="003B5D4C">
        <w:rPr>
          <w:rFonts w:ascii="Times New Roman" w:hAnsi="Times New Roman" w:cs="Times New Roman"/>
          <w:sz w:val="24"/>
          <w:szCs w:val="24"/>
        </w:rPr>
        <w:t>poorly</w:t>
      </w:r>
      <w:r w:rsidR="00EE32CC">
        <w:rPr>
          <w:rFonts w:ascii="Times New Roman" w:hAnsi="Times New Roman" w:cs="Times New Roman"/>
          <w:sz w:val="24"/>
          <w:szCs w:val="24"/>
        </w:rPr>
        <w:t xml:space="preserve"> </w:t>
      </w:r>
      <w:r w:rsidRPr="001415DB">
        <w:rPr>
          <w:rFonts w:ascii="Times New Roman" w:hAnsi="Times New Roman" w:cs="Times New Roman"/>
          <w:sz w:val="24"/>
          <w:szCs w:val="24"/>
        </w:rPr>
        <w:t>penetrate</w:t>
      </w:r>
      <w:r w:rsidR="003B5D4C">
        <w:rPr>
          <w:rFonts w:ascii="Times New Roman" w:hAnsi="Times New Roman" w:cs="Times New Roman"/>
          <w:sz w:val="24"/>
          <w:szCs w:val="24"/>
        </w:rPr>
        <w:t>s</w:t>
      </w:r>
      <w:r w:rsidRPr="001415DB">
        <w:rPr>
          <w:rFonts w:ascii="Times New Roman" w:hAnsi="Times New Roman" w:cs="Times New Roman"/>
          <w:sz w:val="24"/>
          <w:szCs w:val="24"/>
        </w:rPr>
        <w:t xml:space="preserve"> the blood</w:t>
      </w:r>
      <w:r w:rsidR="001D7A23" w:rsidRPr="001415DB">
        <w:rPr>
          <w:rFonts w:ascii="Times New Roman" w:hAnsi="Times New Roman" w:cs="Times New Roman"/>
          <w:sz w:val="24"/>
          <w:szCs w:val="24"/>
        </w:rPr>
        <w:t>-</w:t>
      </w:r>
      <w:r w:rsidRPr="001415DB">
        <w:rPr>
          <w:rFonts w:ascii="Times New Roman" w:hAnsi="Times New Roman" w:cs="Times New Roman"/>
          <w:sz w:val="24"/>
          <w:szCs w:val="24"/>
        </w:rPr>
        <w:t xml:space="preserve">retinal </w:t>
      </w:r>
      <w:r w:rsidR="002F0660" w:rsidRPr="001415DB">
        <w:rPr>
          <w:rFonts w:ascii="Times New Roman" w:hAnsi="Times New Roman" w:cs="Times New Roman"/>
          <w:sz w:val="24"/>
          <w:szCs w:val="24"/>
        </w:rPr>
        <w:t xml:space="preserve">barrier </w:t>
      </w:r>
      <w:r w:rsidR="005A042A">
        <w:rPr>
          <w:rFonts w:ascii="Times New Roman" w:hAnsi="Times New Roman" w:cs="Times New Roman"/>
          <w:sz w:val="24"/>
          <w:szCs w:val="24"/>
        </w:rPr>
        <w:t>and</w:t>
      </w:r>
      <w:r w:rsidR="005A042A" w:rsidRPr="001415DB">
        <w:rPr>
          <w:rFonts w:ascii="Times New Roman" w:hAnsi="Times New Roman" w:cs="Times New Roman"/>
          <w:sz w:val="24"/>
          <w:szCs w:val="24"/>
        </w:rPr>
        <w:t xml:space="preserve"> </w:t>
      </w:r>
      <w:r w:rsidRPr="001415DB">
        <w:rPr>
          <w:rFonts w:ascii="Times New Roman" w:hAnsi="Times New Roman" w:cs="Times New Roman"/>
          <w:sz w:val="24"/>
          <w:szCs w:val="24"/>
        </w:rPr>
        <w:t>is not expected to cross the blood</w:t>
      </w:r>
      <w:r w:rsidR="00913E33" w:rsidRPr="001415DB">
        <w:rPr>
          <w:rFonts w:ascii="Times New Roman" w:hAnsi="Times New Roman" w:cs="Times New Roman"/>
          <w:sz w:val="24"/>
          <w:szCs w:val="24"/>
        </w:rPr>
        <w:t>-</w:t>
      </w:r>
      <w:r w:rsidRPr="001415DB">
        <w:rPr>
          <w:rFonts w:ascii="Times New Roman" w:hAnsi="Times New Roman" w:cs="Times New Roman"/>
          <w:sz w:val="24"/>
          <w:szCs w:val="24"/>
        </w:rPr>
        <w:t xml:space="preserve">brain barrier in humans based on the results from nonclinical distribution studies.  </w:t>
      </w:r>
    </w:p>
    <w:p w14:paraId="22A5FB02" w14:textId="77777777" w:rsidR="00DA5AA2" w:rsidRPr="0067028B" w:rsidRDefault="00DA5AA2" w:rsidP="00DA5AA2">
      <w:pPr>
        <w:spacing w:after="0"/>
        <w:rPr>
          <w:rFonts w:ascii="Times New Roman" w:hAnsi="Times New Roman" w:cs="Times New Roman"/>
          <w:sz w:val="24"/>
          <w:szCs w:val="24"/>
          <w:u w:val="single"/>
        </w:rPr>
      </w:pPr>
      <w:r w:rsidRPr="0067028B">
        <w:rPr>
          <w:rFonts w:ascii="Times New Roman" w:hAnsi="Times New Roman" w:cs="Times New Roman"/>
          <w:sz w:val="24"/>
          <w:szCs w:val="24"/>
          <w:u w:val="single"/>
        </w:rPr>
        <w:t xml:space="preserve">Metabolism </w:t>
      </w:r>
    </w:p>
    <w:p w14:paraId="549B53B1" w14:textId="77777777" w:rsidR="00DA5AA2" w:rsidRPr="001415DB" w:rsidRDefault="00DA5AA2" w:rsidP="00DA5AA2">
      <w:pPr>
        <w:rPr>
          <w:rFonts w:ascii="Times New Roman" w:hAnsi="Times New Roman" w:cs="Times New Roman"/>
          <w:sz w:val="24"/>
          <w:szCs w:val="24"/>
        </w:rPr>
      </w:pPr>
      <w:r w:rsidRPr="001415DB">
        <w:rPr>
          <w:rFonts w:ascii="Times New Roman" w:hAnsi="Times New Roman" w:cs="Times New Roman"/>
          <w:sz w:val="24"/>
          <w:szCs w:val="24"/>
        </w:rPr>
        <w:t>Maribavir is primarily eliminated by hepatic metabolism via CYP3A4 (primary metabolic pathway fraction metabolised estimated to be at least 35%), with secondary contribution from CYP1A2 (fraction metabolised estimated at no more than 25%).  The major metabolite of maribavir is formed by N-dealkylation of the isopropyl moiety and is considered pharmacologically inactive. The metabolic ratio for this major metabolite in plasma was 0.15-0.20.</w:t>
      </w:r>
      <w:r>
        <w:rPr>
          <w:rFonts w:ascii="Times New Roman" w:hAnsi="Times New Roman" w:cs="Times New Roman"/>
          <w:sz w:val="24"/>
          <w:szCs w:val="24"/>
        </w:rPr>
        <w:t xml:space="preserve">  </w:t>
      </w:r>
      <w:r w:rsidRPr="0062182C">
        <w:rPr>
          <w:rFonts w:ascii="Times New Roman" w:hAnsi="Times New Roman" w:cs="Times New Roman"/>
          <w:sz w:val="24"/>
          <w:szCs w:val="24"/>
        </w:rPr>
        <w:t>Maribavir is partly metabolised by glucuronidation mediated by UGT1A1/1A3/2B7.</w:t>
      </w:r>
    </w:p>
    <w:p w14:paraId="18BCEB92" w14:textId="7D3BF57A" w:rsidR="00DA5AA2" w:rsidRDefault="00DA5AA2" w:rsidP="00A56A0B">
      <w:pPr>
        <w:rPr>
          <w:rFonts w:ascii="Times New Roman" w:hAnsi="Times New Roman" w:cs="Times New Roman"/>
          <w:sz w:val="24"/>
          <w:szCs w:val="24"/>
        </w:rPr>
      </w:pPr>
      <w:r w:rsidRPr="001415DB">
        <w:rPr>
          <w:rFonts w:ascii="Times New Roman" w:hAnsi="Times New Roman" w:cs="Times New Roman"/>
          <w:i/>
          <w:iCs/>
          <w:sz w:val="24"/>
          <w:szCs w:val="24"/>
        </w:rPr>
        <w:t>In vitro</w:t>
      </w:r>
      <w:r w:rsidRPr="001415DB">
        <w:rPr>
          <w:rFonts w:ascii="Times New Roman" w:hAnsi="Times New Roman" w:cs="Times New Roman"/>
          <w:sz w:val="24"/>
          <w:szCs w:val="24"/>
        </w:rPr>
        <w:t xml:space="preserve"> studies, metabolism of maribavir is not mediated by CYP2B6, CYP2C8, CYP2C9, CYP2C19, CYP3A5, UGT1A4, UGT1A6, UGT1A10, or UGT2B15.</w:t>
      </w:r>
    </w:p>
    <w:p w14:paraId="004546D4" w14:textId="77777777" w:rsidR="00516BC5" w:rsidRDefault="00516BC5" w:rsidP="00A56A0B">
      <w:pPr>
        <w:rPr>
          <w:rFonts w:ascii="Times New Roman" w:hAnsi="Times New Roman" w:cs="Times New Roman"/>
          <w:sz w:val="24"/>
          <w:szCs w:val="24"/>
        </w:rPr>
      </w:pPr>
    </w:p>
    <w:p w14:paraId="0725836D" w14:textId="77777777" w:rsidR="00D50C47" w:rsidRPr="001415DB" w:rsidRDefault="00D50C47" w:rsidP="00420A26">
      <w:pPr>
        <w:pStyle w:val="Heading3"/>
        <w:spacing w:before="240" w:after="120"/>
        <w:ind w:left="0"/>
        <w:rPr>
          <w:rFonts w:ascii="Times New Roman" w:hAnsi="Times New Roman" w:cs="Times New Roman"/>
          <w:sz w:val="24"/>
          <w:szCs w:val="24"/>
        </w:rPr>
      </w:pPr>
      <w:r w:rsidRPr="001415DB">
        <w:rPr>
          <w:rFonts w:ascii="Times New Roman" w:hAnsi="Times New Roman" w:cs="Times New Roman"/>
          <w:sz w:val="24"/>
          <w:szCs w:val="24"/>
        </w:rPr>
        <w:t>Special Populations</w:t>
      </w:r>
    </w:p>
    <w:p w14:paraId="452F9835" w14:textId="77777777" w:rsidR="00D50C47" w:rsidRPr="001415DB" w:rsidRDefault="00D50C47" w:rsidP="00917048">
      <w:pPr>
        <w:spacing w:after="0"/>
        <w:rPr>
          <w:rFonts w:ascii="Times New Roman" w:hAnsi="Times New Roman" w:cs="Times New Roman"/>
          <w:sz w:val="24"/>
          <w:szCs w:val="24"/>
          <w:u w:val="single"/>
        </w:rPr>
      </w:pPr>
      <w:r w:rsidRPr="001415DB">
        <w:rPr>
          <w:rFonts w:ascii="Times New Roman" w:hAnsi="Times New Roman" w:cs="Times New Roman"/>
          <w:sz w:val="24"/>
          <w:szCs w:val="24"/>
          <w:u w:val="single"/>
        </w:rPr>
        <w:t>Impaired Renal Function</w:t>
      </w:r>
    </w:p>
    <w:p w14:paraId="4DEEF827" w14:textId="77777777" w:rsidR="00D50C47" w:rsidRPr="001415DB" w:rsidRDefault="00D50C47" w:rsidP="00D50C47">
      <w:pPr>
        <w:rPr>
          <w:rFonts w:ascii="Times New Roman" w:hAnsi="Times New Roman" w:cs="Times New Roman"/>
          <w:sz w:val="24"/>
          <w:szCs w:val="24"/>
        </w:rPr>
      </w:pPr>
      <w:r w:rsidRPr="001415DB">
        <w:rPr>
          <w:rFonts w:ascii="Times New Roman" w:hAnsi="Times New Roman" w:cs="Times New Roman"/>
          <w:sz w:val="24"/>
          <w:szCs w:val="24"/>
        </w:rPr>
        <w:t>No clinically significant effect of mild/moderate (</w:t>
      </w:r>
      <w:proofErr w:type="spellStart"/>
      <w:r w:rsidRPr="001415DB">
        <w:rPr>
          <w:rFonts w:ascii="Times New Roman" w:hAnsi="Times New Roman" w:cs="Times New Roman"/>
          <w:sz w:val="24"/>
          <w:szCs w:val="24"/>
        </w:rPr>
        <w:t>CLcr</w:t>
      </w:r>
      <w:proofErr w:type="spellEnd"/>
      <w:r w:rsidRPr="001415DB">
        <w:rPr>
          <w:rFonts w:ascii="Times New Roman" w:hAnsi="Times New Roman" w:cs="Times New Roman"/>
          <w:sz w:val="24"/>
          <w:szCs w:val="24"/>
        </w:rPr>
        <w:t>, between 30 and 80 mL/min) or severe (</w:t>
      </w:r>
      <w:proofErr w:type="spellStart"/>
      <w:r w:rsidRPr="001415DB">
        <w:rPr>
          <w:rFonts w:ascii="Times New Roman" w:hAnsi="Times New Roman" w:cs="Times New Roman"/>
          <w:sz w:val="24"/>
          <w:szCs w:val="24"/>
        </w:rPr>
        <w:t>CLcr</w:t>
      </w:r>
      <w:proofErr w:type="spellEnd"/>
      <w:r w:rsidRPr="001415DB">
        <w:rPr>
          <w:rFonts w:ascii="Times New Roman" w:hAnsi="Times New Roman" w:cs="Times New Roman"/>
          <w:sz w:val="24"/>
          <w:szCs w:val="24"/>
        </w:rPr>
        <w:t xml:space="preserve"> less than 30 mL/min) renal impairment was observed on maribavir total PK parameters following a single dose of 400 mg maribavir. The difference in maribavir PK parameters between subjects with mild/moderate or severe renal impairment and subjects with normal renal function was less than 9%. </w:t>
      </w:r>
    </w:p>
    <w:p w14:paraId="63B2D445" w14:textId="33DF7F8E" w:rsidR="00D50C47" w:rsidRPr="001415DB" w:rsidRDefault="00D50C47" w:rsidP="00E07C35">
      <w:pPr>
        <w:keepNext/>
        <w:spacing w:after="0"/>
        <w:rPr>
          <w:rFonts w:ascii="Times New Roman" w:hAnsi="Times New Roman" w:cs="Times New Roman"/>
          <w:sz w:val="24"/>
          <w:szCs w:val="24"/>
          <w:u w:val="single"/>
        </w:rPr>
      </w:pPr>
      <w:r w:rsidRPr="001415DB">
        <w:rPr>
          <w:rFonts w:ascii="Times New Roman" w:hAnsi="Times New Roman" w:cs="Times New Roman"/>
          <w:sz w:val="24"/>
          <w:szCs w:val="24"/>
          <w:u w:val="single"/>
        </w:rPr>
        <w:lastRenderedPageBreak/>
        <w:t>Impaired Hepatic Function</w:t>
      </w:r>
    </w:p>
    <w:p w14:paraId="5E864EAE" w14:textId="0BDA130E" w:rsidR="00D50C47" w:rsidRPr="001415DB" w:rsidRDefault="00D50C47" w:rsidP="00E07C35">
      <w:pPr>
        <w:keepNext/>
        <w:rPr>
          <w:rFonts w:ascii="Times New Roman" w:hAnsi="Times New Roman" w:cs="Times New Roman"/>
          <w:sz w:val="24"/>
          <w:szCs w:val="24"/>
        </w:rPr>
      </w:pPr>
      <w:r w:rsidRPr="001415DB">
        <w:rPr>
          <w:rFonts w:ascii="Times New Roman" w:hAnsi="Times New Roman" w:cs="Times New Roman"/>
          <w:sz w:val="24"/>
          <w:szCs w:val="24"/>
        </w:rPr>
        <w:t>No clinically significant effect of moderate hepatic impairment (Child Pugh Class B, score of 7</w:t>
      </w:r>
      <w:r w:rsidR="00B55E54" w:rsidRPr="001415DB">
        <w:rPr>
          <w:rFonts w:ascii="Times New Roman" w:hAnsi="Times New Roman" w:cs="Times New Roman"/>
          <w:sz w:val="24"/>
          <w:szCs w:val="24"/>
        </w:rPr>
        <w:t>-</w:t>
      </w:r>
      <w:r w:rsidRPr="001415DB">
        <w:rPr>
          <w:rFonts w:ascii="Times New Roman" w:hAnsi="Times New Roman" w:cs="Times New Roman"/>
          <w:sz w:val="24"/>
          <w:szCs w:val="24"/>
        </w:rPr>
        <w:t xml:space="preserve">9) was observed on total or unbound maribavir PK parameters following a single dose of </w:t>
      </w:r>
      <w:r w:rsidR="00C91689">
        <w:rPr>
          <w:rFonts w:ascii="Times New Roman" w:hAnsi="Times New Roman" w:cs="Times New Roman"/>
          <w:sz w:val="24"/>
          <w:szCs w:val="24"/>
        </w:rPr>
        <w:t>2</w:t>
      </w:r>
      <w:r w:rsidRPr="001415DB">
        <w:rPr>
          <w:rFonts w:ascii="Times New Roman" w:hAnsi="Times New Roman" w:cs="Times New Roman"/>
          <w:sz w:val="24"/>
          <w:szCs w:val="24"/>
        </w:rPr>
        <w:t xml:space="preserve">00 mg of maribavir. Compared to the healthy control subjects, AUC and </w:t>
      </w:r>
      <w:proofErr w:type="spellStart"/>
      <w:r w:rsidRPr="001415DB">
        <w:rPr>
          <w:rFonts w:ascii="Times New Roman" w:hAnsi="Times New Roman" w:cs="Times New Roman"/>
          <w:sz w:val="24"/>
          <w:szCs w:val="24"/>
        </w:rPr>
        <w:t>C</w:t>
      </w:r>
      <w:r w:rsidRPr="001415DB">
        <w:rPr>
          <w:rFonts w:ascii="Times New Roman" w:hAnsi="Times New Roman" w:cs="Times New Roman"/>
          <w:sz w:val="24"/>
          <w:szCs w:val="24"/>
          <w:vertAlign w:val="subscript"/>
        </w:rPr>
        <w:t>max</w:t>
      </w:r>
      <w:proofErr w:type="spellEnd"/>
      <w:r w:rsidRPr="001415DB">
        <w:rPr>
          <w:rFonts w:ascii="Times New Roman" w:hAnsi="Times New Roman" w:cs="Times New Roman"/>
          <w:sz w:val="24"/>
          <w:szCs w:val="24"/>
        </w:rPr>
        <w:t xml:space="preserve"> were 26% and 35% higher, respectively, in subjects with moderate hepatic impairment. </w:t>
      </w:r>
    </w:p>
    <w:p w14:paraId="61854D77" w14:textId="344C0E47" w:rsidR="00D50C47" w:rsidRPr="001415DB" w:rsidRDefault="00D50C47" w:rsidP="00917048">
      <w:pPr>
        <w:spacing w:after="0"/>
        <w:rPr>
          <w:rFonts w:ascii="Times New Roman" w:hAnsi="Times New Roman" w:cs="Times New Roman"/>
          <w:sz w:val="24"/>
          <w:szCs w:val="24"/>
          <w:u w:val="single"/>
        </w:rPr>
      </w:pPr>
      <w:r w:rsidRPr="001415DB">
        <w:rPr>
          <w:rFonts w:ascii="Times New Roman" w:hAnsi="Times New Roman" w:cs="Times New Roman"/>
          <w:sz w:val="24"/>
          <w:szCs w:val="24"/>
          <w:u w:val="single"/>
        </w:rPr>
        <w:t>Age, Gender, Race</w:t>
      </w:r>
      <w:r w:rsidR="00C03A03" w:rsidRPr="001415DB">
        <w:rPr>
          <w:rFonts w:ascii="Times New Roman" w:hAnsi="Times New Roman" w:cs="Times New Roman"/>
          <w:sz w:val="24"/>
          <w:szCs w:val="24"/>
          <w:u w:val="single"/>
        </w:rPr>
        <w:t>, Ethnicity, and Weight</w:t>
      </w:r>
    </w:p>
    <w:p w14:paraId="0BF0FFCA" w14:textId="455EE5F9" w:rsidR="00420A26" w:rsidRDefault="00D50C47" w:rsidP="0061338B">
      <w:pPr>
        <w:rPr>
          <w:rFonts w:ascii="Times New Roman" w:hAnsi="Times New Roman" w:cs="Times New Roman"/>
          <w:sz w:val="24"/>
          <w:szCs w:val="24"/>
        </w:rPr>
      </w:pPr>
      <w:r w:rsidRPr="001415DB">
        <w:rPr>
          <w:rFonts w:ascii="Times New Roman" w:hAnsi="Times New Roman" w:cs="Times New Roman"/>
          <w:sz w:val="24"/>
          <w:szCs w:val="24"/>
        </w:rPr>
        <w:t>Age (18</w:t>
      </w:r>
      <w:r w:rsidR="009967F9" w:rsidRPr="001415DB">
        <w:rPr>
          <w:rFonts w:ascii="Times New Roman" w:hAnsi="Times New Roman" w:cs="Times New Roman"/>
          <w:sz w:val="24"/>
          <w:szCs w:val="24"/>
        </w:rPr>
        <w:t>-</w:t>
      </w:r>
      <w:r w:rsidRPr="001415DB">
        <w:rPr>
          <w:rFonts w:ascii="Times New Roman" w:hAnsi="Times New Roman" w:cs="Times New Roman"/>
          <w:sz w:val="24"/>
          <w:szCs w:val="24"/>
        </w:rPr>
        <w:t>79 years), gender, race (Caucasian, Black, Asian, or others), ethnicity (Hispanic/Latino or non</w:t>
      </w:r>
      <w:r w:rsidR="008B3A3D" w:rsidRPr="001415DB">
        <w:rPr>
          <w:rFonts w:ascii="Times New Roman" w:hAnsi="Times New Roman" w:cs="Times New Roman"/>
          <w:sz w:val="24"/>
          <w:szCs w:val="24"/>
        </w:rPr>
        <w:t>-</w:t>
      </w:r>
      <w:r w:rsidRPr="001415DB">
        <w:rPr>
          <w:rFonts w:ascii="Times New Roman" w:hAnsi="Times New Roman" w:cs="Times New Roman"/>
          <w:sz w:val="24"/>
          <w:szCs w:val="24"/>
        </w:rPr>
        <w:t xml:space="preserve"> Hispanic/Latino) and body weight (36 to 141 kg) did not have clinically significant effect on the pharmacokinetics of maribavir based on population PK analysis. </w:t>
      </w:r>
    </w:p>
    <w:p w14:paraId="56E2F02F" w14:textId="52711651" w:rsidR="008F1CA2" w:rsidRDefault="00D50C47" w:rsidP="008F1CA2">
      <w:pPr>
        <w:spacing w:after="0"/>
        <w:rPr>
          <w:rFonts w:ascii="Times New Roman" w:hAnsi="Times New Roman" w:cs="Times New Roman"/>
          <w:sz w:val="24"/>
          <w:szCs w:val="24"/>
          <w:u w:val="single"/>
        </w:rPr>
      </w:pPr>
      <w:r w:rsidRPr="001415DB">
        <w:rPr>
          <w:rFonts w:ascii="Times New Roman" w:hAnsi="Times New Roman" w:cs="Times New Roman"/>
          <w:sz w:val="24"/>
          <w:szCs w:val="24"/>
          <w:u w:val="single"/>
        </w:rPr>
        <w:t>Transplant Types</w:t>
      </w:r>
    </w:p>
    <w:p w14:paraId="387C0E35" w14:textId="496840E5" w:rsidR="00D50C47" w:rsidRDefault="00D50C47" w:rsidP="008F1CA2">
      <w:pPr>
        <w:spacing w:after="0"/>
        <w:rPr>
          <w:rFonts w:ascii="Times New Roman" w:hAnsi="Times New Roman" w:cs="Times New Roman"/>
          <w:sz w:val="24"/>
          <w:szCs w:val="24"/>
        </w:rPr>
      </w:pPr>
      <w:r w:rsidRPr="001415DB">
        <w:rPr>
          <w:rFonts w:ascii="Times New Roman" w:hAnsi="Times New Roman" w:cs="Times New Roman"/>
          <w:sz w:val="24"/>
          <w:szCs w:val="24"/>
        </w:rPr>
        <w:t xml:space="preserve">Transplant types (HSCT vs. SOT) or between SOT types (liver, lung, kidney, or heart) or presence of gastrointestinal (GI) graft versus host disease (GvHD) do not have a clinically significant impact on PK of maribavir. </w:t>
      </w:r>
    </w:p>
    <w:p w14:paraId="3F8E6663" w14:textId="77777777" w:rsidR="008F1CA2" w:rsidRDefault="008F1CA2" w:rsidP="008F1CA2">
      <w:pPr>
        <w:spacing w:after="0"/>
        <w:rPr>
          <w:rFonts w:ascii="Times New Roman" w:hAnsi="Times New Roman" w:cs="Times New Roman"/>
          <w:sz w:val="24"/>
          <w:szCs w:val="24"/>
        </w:rPr>
      </w:pPr>
    </w:p>
    <w:p w14:paraId="62712BBA" w14:textId="34A8FE45" w:rsidR="001A3992" w:rsidRPr="001415DB" w:rsidRDefault="001A3992" w:rsidP="001A3992">
      <w:pPr>
        <w:pStyle w:val="Heading2"/>
        <w:spacing w:before="0" w:after="120"/>
        <w:rPr>
          <w:rFonts w:ascii="Times New Roman" w:hAnsi="Times New Roman" w:cs="Times New Roman"/>
        </w:rPr>
      </w:pPr>
      <w:r w:rsidRPr="001415DB">
        <w:rPr>
          <w:rFonts w:ascii="Times New Roman" w:hAnsi="Times New Roman" w:cs="Times New Roman"/>
        </w:rPr>
        <w:t>Preclinical safety data</w:t>
      </w:r>
    </w:p>
    <w:p w14:paraId="1389E5E5" w14:textId="6F71C0E6" w:rsidR="00772EFA" w:rsidRPr="0067028B" w:rsidRDefault="00772EFA" w:rsidP="00237D68">
      <w:pPr>
        <w:pStyle w:val="Heading3"/>
        <w:spacing w:before="0"/>
        <w:ind w:left="0"/>
        <w:rPr>
          <w:rFonts w:ascii="Times New Roman" w:eastAsiaTheme="minorHAnsi" w:hAnsi="Times New Roman" w:cs="Times New Roman"/>
          <w:b w:val="0"/>
          <w:bCs w:val="0"/>
          <w:sz w:val="24"/>
          <w:szCs w:val="24"/>
          <w:u w:val="single"/>
        </w:rPr>
      </w:pPr>
      <w:r w:rsidRPr="0067028B">
        <w:rPr>
          <w:rFonts w:ascii="Times New Roman" w:eastAsiaTheme="minorHAnsi" w:hAnsi="Times New Roman" w:cs="Times New Roman"/>
          <w:b w:val="0"/>
          <w:bCs w:val="0"/>
          <w:sz w:val="24"/>
          <w:szCs w:val="24"/>
          <w:u w:val="single"/>
        </w:rPr>
        <w:t>Carcinogenicity</w:t>
      </w:r>
    </w:p>
    <w:p w14:paraId="522F5FC0" w14:textId="0331BEF3" w:rsidR="006442BB" w:rsidRPr="001415DB" w:rsidRDefault="00772EFA" w:rsidP="006442BB">
      <w:pPr>
        <w:rPr>
          <w:rFonts w:ascii="Times New Roman" w:hAnsi="Times New Roman" w:cs="Times New Roman"/>
          <w:sz w:val="24"/>
          <w:szCs w:val="24"/>
        </w:rPr>
      </w:pPr>
      <w:r w:rsidRPr="001415DB">
        <w:rPr>
          <w:rFonts w:ascii="Times New Roman" w:hAnsi="Times New Roman" w:cs="Times New Roman"/>
          <w:sz w:val="24"/>
          <w:szCs w:val="24"/>
        </w:rPr>
        <w:t xml:space="preserve">Two-year carcinogenic studies were conducted in both mice and rats at doses up to 150 and 100 mg/kg/day, respectively. No carcinogenic potential was identified in rats up to 100 mg/kg/day, at which exposures in males and females were 0.2 and 0.36 times, respectively the human exposure at the RHD. </w:t>
      </w:r>
      <w:r w:rsidR="00D60427" w:rsidRPr="00D60427">
        <w:rPr>
          <w:rFonts w:ascii="Times New Roman" w:hAnsi="Times New Roman" w:cs="Times New Roman"/>
          <w:sz w:val="24"/>
          <w:szCs w:val="24"/>
        </w:rPr>
        <w:t>In male mice there was an equivocal elevation in the incidence of hemangioma, hemangiosarcoma, and combined hemangioma</w:t>
      </w:r>
      <w:r w:rsidR="00ED029B">
        <w:rPr>
          <w:rFonts w:ascii="Times New Roman" w:hAnsi="Times New Roman" w:cs="Times New Roman"/>
          <w:sz w:val="24"/>
          <w:szCs w:val="24"/>
        </w:rPr>
        <w:t>/</w:t>
      </w:r>
      <w:r w:rsidR="00D60427" w:rsidRPr="00D60427">
        <w:rPr>
          <w:rFonts w:ascii="Times New Roman" w:hAnsi="Times New Roman" w:cs="Times New Roman"/>
          <w:sz w:val="24"/>
          <w:szCs w:val="24"/>
        </w:rPr>
        <w:t xml:space="preserve">hemangiosarcoma. </w:t>
      </w:r>
      <w:r w:rsidR="00996FD9" w:rsidRPr="00996FD9">
        <w:rPr>
          <w:rFonts w:ascii="Times New Roman" w:hAnsi="Times New Roman" w:cs="Times New Roman"/>
          <w:sz w:val="24"/>
          <w:szCs w:val="24"/>
        </w:rPr>
        <w:t xml:space="preserve">The incidence in the treatment arm (12.9%) only marginally exceeded the reported historical control values of 12 % at Charles Rivers laboratories and up to 8.3% at Covance laboratories (now LabCorp) in mice of similar strain. </w:t>
      </w:r>
      <w:r w:rsidR="00D60427" w:rsidRPr="00D60427">
        <w:rPr>
          <w:rFonts w:ascii="Times New Roman" w:hAnsi="Times New Roman" w:cs="Times New Roman"/>
          <w:sz w:val="24"/>
          <w:szCs w:val="24"/>
        </w:rPr>
        <w:t>In female mice there was also an equivocal increase in the incidence of adenocarcinoma and combined adenoma/adenocarcinoma of the uterus</w:t>
      </w:r>
      <w:r w:rsidR="00996FD9">
        <w:rPr>
          <w:rFonts w:ascii="Times New Roman" w:hAnsi="Times New Roman" w:cs="Times New Roman"/>
          <w:sz w:val="24"/>
          <w:szCs w:val="24"/>
        </w:rPr>
        <w:t xml:space="preserve"> in the 150 mg/kg/day </w:t>
      </w:r>
      <w:r w:rsidR="008F1CA2">
        <w:rPr>
          <w:rFonts w:ascii="Times New Roman" w:hAnsi="Times New Roman" w:cs="Times New Roman"/>
          <w:sz w:val="24"/>
          <w:szCs w:val="24"/>
        </w:rPr>
        <w:t>group</w:t>
      </w:r>
      <w:r w:rsidR="008F1CA2" w:rsidRPr="00996FD9">
        <w:rPr>
          <w:rFonts w:ascii="Times New Roman" w:hAnsi="Times New Roman" w:cs="Times New Roman"/>
          <w:sz w:val="24"/>
          <w:szCs w:val="24"/>
        </w:rPr>
        <w:t xml:space="preserve"> but</w:t>
      </w:r>
      <w:r w:rsidR="00996FD9" w:rsidRPr="00996FD9">
        <w:rPr>
          <w:rFonts w:ascii="Times New Roman" w:hAnsi="Times New Roman" w:cs="Times New Roman"/>
          <w:sz w:val="24"/>
          <w:szCs w:val="24"/>
        </w:rPr>
        <w:t xml:space="preserve"> </w:t>
      </w:r>
      <w:r w:rsidR="00996FD9">
        <w:rPr>
          <w:rFonts w:ascii="Times New Roman" w:hAnsi="Times New Roman" w:cs="Times New Roman"/>
          <w:sz w:val="24"/>
          <w:szCs w:val="24"/>
        </w:rPr>
        <w:t xml:space="preserve">is </w:t>
      </w:r>
      <w:r w:rsidR="00996FD9" w:rsidRPr="00996FD9">
        <w:rPr>
          <w:rFonts w:ascii="Times New Roman" w:hAnsi="Times New Roman" w:cs="Times New Roman"/>
          <w:sz w:val="24"/>
          <w:szCs w:val="24"/>
        </w:rPr>
        <w:t xml:space="preserve">unlikely to be test </w:t>
      </w:r>
      <w:r w:rsidR="0047337E" w:rsidRPr="00996FD9">
        <w:rPr>
          <w:rFonts w:ascii="Times New Roman" w:hAnsi="Times New Roman" w:cs="Times New Roman"/>
          <w:sz w:val="24"/>
          <w:szCs w:val="24"/>
        </w:rPr>
        <w:t>article related</w:t>
      </w:r>
      <w:r w:rsidR="00996FD9" w:rsidRPr="00996FD9">
        <w:rPr>
          <w:rFonts w:ascii="Times New Roman" w:hAnsi="Times New Roman" w:cs="Times New Roman"/>
          <w:sz w:val="24"/>
          <w:szCs w:val="24"/>
        </w:rPr>
        <w:t xml:space="preserve"> as the incidence (4% increase for adenomas) was within historical control values (4.29%) observed in the laboratory</w:t>
      </w:r>
      <w:r w:rsidR="00D60427" w:rsidRPr="00D60427">
        <w:rPr>
          <w:rFonts w:ascii="Times New Roman" w:hAnsi="Times New Roman" w:cs="Times New Roman"/>
          <w:sz w:val="24"/>
          <w:szCs w:val="24"/>
        </w:rPr>
        <w:t>. The incidence of both tumours showed borderline significant trends.</w:t>
      </w:r>
      <w:r w:rsidRPr="001415DB">
        <w:rPr>
          <w:rFonts w:ascii="Times New Roman" w:hAnsi="Times New Roman" w:cs="Times New Roman"/>
          <w:sz w:val="24"/>
          <w:szCs w:val="24"/>
        </w:rPr>
        <w:t xml:space="preserve"> </w:t>
      </w:r>
    </w:p>
    <w:p w14:paraId="2AA77961" w14:textId="44332C09" w:rsidR="001A3992" w:rsidRPr="0067028B" w:rsidRDefault="001A3992" w:rsidP="0067028B">
      <w:pPr>
        <w:pStyle w:val="Heading3"/>
        <w:spacing w:before="0"/>
        <w:ind w:left="0"/>
        <w:rPr>
          <w:rFonts w:ascii="Times New Roman" w:eastAsiaTheme="minorHAnsi" w:hAnsi="Times New Roman" w:cs="Times New Roman"/>
          <w:b w:val="0"/>
          <w:bCs w:val="0"/>
          <w:sz w:val="24"/>
          <w:szCs w:val="24"/>
          <w:u w:val="single"/>
        </w:rPr>
      </w:pPr>
      <w:r w:rsidRPr="0067028B">
        <w:rPr>
          <w:rFonts w:ascii="Times New Roman" w:eastAsiaTheme="minorHAnsi" w:hAnsi="Times New Roman" w:cs="Times New Roman"/>
          <w:b w:val="0"/>
          <w:bCs w:val="0"/>
          <w:sz w:val="24"/>
          <w:szCs w:val="24"/>
          <w:u w:val="single"/>
        </w:rPr>
        <w:t>Genotoxicity</w:t>
      </w:r>
    </w:p>
    <w:p w14:paraId="4D80F010" w14:textId="017200AE" w:rsidR="00E40537" w:rsidRDefault="002036AF" w:rsidP="00E40537">
      <w:pPr>
        <w:rPr>
          <w:rFonts w:ascii="Times New Roman" w:hAnsi="Times New Roman" w:cs="Times New Roman"/>
          <w:strike/>
          <w:sz w:val="24"/>
          <w:szCs w:val="24"/>
        </w:rPr>
      </w:pPr>
      <w:r>
        <w:rPr>
          <w:rFonts w:ascii="Times New Roman" w:hAnsi="Times New Roman" w:cs="Times New Roman"/>
          <w:sz w:val="24"/>
          <w:szCs w:val="24"/>
        </w:rPr>
        <w:t>Maribavir</w:t>
      </w:r>
      <w:r w:rsidRPr="001415DB">
        <w:rPr>
          <w:rFonts w:ascii="Times New Roman" w:hAnsi="Times New Roman" w:cs="Times New Roman"/>
          <w:sz w:val="24"/>
          <w:szCs w:val="24"/>
        </w:rPr>
        <w:t xml:space="preserve"> </w:t>
      </w:r>
      <w:r w:rsidR="00E40537" w:rsidRPr="001415DB">
        <w:rPr>
          <w:rFonts w:ascii="Times New Roman" w:hAnsi="Times New Roman" w:cs="Times New Roman"/>
          <w:sz w:val="24"/>
          <w:szCs w:val="24"/>
        </w:rPr>
        <w:t xml:space="preserve">was not mutagenic in a bacterial mutation assay. In the mouse lymphoma assay, </w:t>
      </w:r>
      <w:r>
        <w:rPr>
          <w:rFonts w:ascii="Times New Roman" w:hAnsi="Times New Roman" w:cs="Times New Roman"/>
          <w:sz w:val="24"/>
          <w:szCs w:val="24"/>
        </w:rPr>
        <w:t>maribavir</w:t>
      </w:r>
      <w:r w:rsidRPr="001415DB">
        <w:rPr>
          <w:rFonts w:ascii="Times New Roman" w:hAnsi="Times New Roman" w:cs="Times New Roman"/>
          <w:sz w:val="24"/>
          <w:szCs w:val="24"/>
        </w:rPr>
        <w:t xml:space="preserve"> </w:t>
      </w:r>
      <w:r w:rsidR="00E40537" w:rsidRPr="001415DB">
        <w:rPr>
          <w:rFonts w:ascii="Times New Roman" w:hAnsi="Times New Roman" w:cs="Times New Roman"/>
          <w:sz w:val="24"/>
          <w:szCs w:val="24"/>
        </w:rPr>
        <w:t xml:space="preserve">demonstrated mutagenic potential in the absence of metabolic activation and the results were equivocal in the presence of metabolic activation (not concentration-dependent and not reproduced in the repeat assay). </w:t>
      </w:r>
      <w:r>
        <w:rPr>
          <w:rFonts w:ascii="Times New Roman" w:hAnsi="Times New Roman" w:cs="Times New Roman"/>
          <w:sz w:val="24"/>
          <w:szCs w:val="24"/>
        </w:rPr>
        <w:t>Maribavir</w:t>
      </w:r>
      <w:r w:rsidRPr="001415DB">
        <w:rPr>
          <w:rFonts w:ascii="Times New Roman" w:hAnsi="Times New Roman" w:cs="Times New Roman"/>
          <w:sz w:val="24"/>
          <w:szCs w:val="24"/>
        </w:rPr>
        <w:t xml:space="preserve"> </w:t>
      </w:r>
      <w:r w:rsidR="00E40537" w:rsidRPr="001415DB">
        <w:rPr>
          <w:rFonts w:ascii="Times New Roman" w:hAnsi="Times New Roman" w:cs="Times New Roman"/>
          <w:sz w:val="24"/>
          <w:szCs w:val="24"/>
        </w:rPr>
        <w:t xml:space="preserve">was not clastogenic in the </w:t>
      </w:r>
      <w:r w:rsidR="00E40537" w:rsidRPr="001415DB">
        <w:rPr>
          <w:rFonts w:ascii="Times New Roman" w:hAnsi="Times New Roman" w:cs="Times New Roman"/>
          <w:i/>
          <w:iCs/>
          <w:sz w:val="24"/>
          <w:szCs w:val="24"/>
        </w:rPr>
        <w:t>in vivo</w:t>
      </w:r>
      <w:r w:rsidR="00E40537" w:rsidRPr="001415DB">
        <w:rPr>
          <w:rFonts w:ascii="Times New Roman" w:hAnsi="Times New Roman" w:cs="Times New Roman"/>
          <w:sz w:val="24"/>
          <w:szCs w:val="24"/>
        </w:rPr>
        <w:t xml:space="preserve"> rat bone marrow micronucleus assay up to very high dose of 1200 mg/kg that was toxic and close to producing lethality.  Given the negative results of the </w:t>
      </w:r>
      <w:r w:rsidR="00E40537" w:rsidRPr="001415DB">
        <w:rPr>
          <w:rFonts w:ascii="Times New Roman" w:hAnsi="Times New Roman" w:cs="Times New Roman"/>
          <w:i/>
          <w:iCs/>
          <w:sz w:val="24"/>
          <w:szCs w:val="24"/>
        </w:rPr>
        <w:t>in vivo</w:t>
      </w:r>
      <w:r w:rsidR="00E40537" w:rsidRPr="001415DB">
        <w:rPr>
          <w:rFonts w:ascii="Times New Roman" w:hAnsi="Times New Roman" w:cs="Times New Roman"/>
          <w:sz w:val="24"/>
          <w:szCs w:val="24"/>
        </w:rPr>
        <w:t xml:space="preserve"> rat micronucleus assay the weight of evidence indicates that </w:t>
      </w:r>
      <w:r w:rsidR="00FD776F">
        <w:rPr>
          <w:rFonts w:ascii="Times New Roman" w:hAnsi="Times New Roman" w:cs="Times New Roman"/>
          <w:sz w:val="24"/>
          <w:szCs w:val="24"/>
        </w:rPr>
        <w:t>maribavir</w:t>
      </w:r>
      <w:r w:rsidR="00FD776F" w:rsidRPr="001415DB">
        <w:rPr>
          <w:rFonts w:ascii="Times New Roman" w:hAnsi="Times New Roman" w:cs="Times New Roman"/>
          <w:sz w:val="24"/>
          <w:szCs w:val="24"/>
        </w:rPr>
        <w:t xml:space="preserve"> </w:t>
      </w:r>
      <w:r w:rsidR="00E40537" w:rsidRPr="001415DB">
        <w:rPr>
          <w:rFonts w:ascii="Times New Roman" w:hAnsi="Times New Roman" w:cs="Times New Roman"/>
          <w:sz w:val="24"/>
          <w:szCs w:val="24"/>
        </w:rPr>
        <w:t xml:space="preserve">does not exhibit genotoxic potential. </w:t>
      </w:r>
    </w:p>
    <w:p w14:paraId="6BDB7C34" w14:textId="77777777" w:rsidR="001A3992" w:rsidRPr="001415DB" w:rsidRDefault="001A3992" w:rsidP="007A088D">
      <w:pPr>
        <w:pStyle w:val="Heading1"/>
        <w:spacing w:after="120"/>
        <w:rPr>
          <w:rFonts w:ascii="Times New Roman" w:hAnsi="Times New Roman" w:cs="Times New Roman"/>
        </w:rPr>
      </w:pPr>
      <w:r w:rsidRPr="001415DB">
        <w:rPr>
          <w:rFonts w:ascii="Times New Roman" w:hAnsi="Times New Roman" w:cs="Times New Roman"/>
        </w:rPr>
        <w:lastRenderedPageBreak/>
        <w:t>Pharmaceutical particulars</w:t>
      </w:r>
    </w:p>
    <w:p w14:paraId="5E38D6F1" w14:textId="77777777" w:rsidR="005B2812" w:rsidRPr="001415DB" w:rsidRDefault="005B2812" w:rsidP="005B2812">
      <w:pPr>
        <w:pStyle w:val="Heading2"/>
        <w:spacing w:before="0" w:after="120"/>
        <w:rPr>
          <w:rFonts w:ascii="Times New Roman" w:hAnsi="Times New Roman" w:cs="Times New Roman"/>
        </w:rPr>
      </w:pPr>
      <w:r w:rsidRPr="001415DB">
        <w:rPr>
          <w:rFonts w:ascii="Times New Roman" w:hAnsi="Times New Roman" w:cs="Times New Roman"/>
        </w:rPr>
        <w:t xml:space="preserve">List of excipients </w:t>
      </w:r>
    </w:p>
    <w:p w14:paraId="459AC5B9" w14:textId="71B932CB" w:rsidR="005B2812" w:rsidRPr="001415DB" w:rsidRDefault="0071648E" w:rsidP="004160A5">
      <w:pPr>
        <w:spacing w:after="0"/>
        <w:rPr>
          <w:rFonts w:ascii="Times New Roman" w:hAnsi="Times New Roman" w:cs="Times New Roman"/>
          <w:sz w:val="24"/>
          <w:szCs w:val="24"/>
        </w:rPr>
      </w:pPr>
      <w:r w:rsidRPr="001415DB">
        <w:rPr>
          <w:rFonts w:ascii="Times New Roman" w:hAnsi="Times New Roman" w:cs="Times New Roman"/>
          <w:sz w:val="24"/>
          <w:szCs w:val="24"/>
          <w:u w:val="single"/>
        </w:rPr>
        <w:t>Tablet core</w:t>
      </w:r>
      <w:r w:rsidR="00AA7501" w:rsidRPr="001415DB">
        <w:rPr>
          <w:rFonts w:ascii="Times New Roman" w:hAnsi="Times New Roman" w:cs="Times New Roman"/>
          <w:sz w:val="24"/>
          <w:szCs w:val="24"/>
        </w:rPr>
        <w:t>:</w:t>
      </w:r>
    </w:p>
    <w:p w14:paraId="72DB8CAA" w14:textId="3215C0D9" w:rsidR="003E5BC5" w:rsidRDefault="00B8188A" w:rsidP="00636169">
      <w:pPr>
        <w:spacing w:before="20" w:after="20"/>
        <w:rPr>
          <w:rFonts w:ascii="Times New Roman" w:hAnsi="Times New Roman" w:cs="Times New Roman"/>
          <w:sz w:val="24"/>
          <w:szCs w:val="24"/>
        </w:rPr>
      </w:pPr>
      <w:r>
        <w:rPr>
          <w:rFonts w:ascii="Times New Roman" w:hAnsi="Times New Roman" w:cs="Times New Roman"/>
          <w:sz w:val="24"/>
          <w:szCs w:val="24"/>
        </w:rPr>
        <w:t>M</w:t>
      </w:r>
      <w:r w:rsidR="003E5BC5" w:rsidRPr="001415DB">
        <w:rPr>
          <w:rFonts w:ascii="Times New Roman" w:hAnsi="Times New Roman" w:cs="Times New Roman"/>
          <w:sz w:val="24"/>
          <w:szCs w:val="24"/>
        </w:rPr>
        <w:t>agnesium stearate</w:t>
      </w:r>
      <w:r w:rsidR="003E5BC5" w:rsidRPr="003E5BC5">
        <w:rPr>
          <w:rFonts w:ascii="Times New Roman" w:hAnsi="Times New Roman" w:cs="Times New Roman"/>
          <w:sz w:val="24"/>
          <w:szCs w:val="24"/>
        </w:rPr>
        <w:t xml:space="preserve"> </w:t>
      </w:r>
    </w:p>
    <w:p w14:paraId="009E98F9" w14:textId="5838A05B" w:rsidR="0071648E" w:rsidRPr="001415DB" w:rsidRDefault="00B8188A" w:rsidP="00636169">
      <w:pPr>
        <w:spacing w:before="20" w:after="20"/>
        <w:rPr>
          <w:rFonts w:ascii="Times New Roman" w:hAnsi="Times New Roman" w:cs="Times New Roman"/>
          <w:sz w:val="24"/>
          <w:szCs w:val="24"/>
        </w:rPr>
      </w:pPr>
      <w:r>
        <w:rPr>
          <w:rFonts w:ascii="Times New Roman" w:hAnsi="Times New Roman" w:cs="Times New Roman"/>
          <w:sz w:val="24"/>
          <w:szCs w:val="24"/>
        </w:rPr>
        <w:t>M</w:t>
      </w:r>
      <w:r w:rsidR="0071648E" w:rsidRPr="001415DB">
        <w:rPr>
          <w:rFonts w:ascii="Times New Roman" w:hAnsi="Times New Roman" w:cs="Times New Roman"/>
          <w:sz w:val="24"/>
          <w:szCs w:val="24"/>
        </w:rPr>
        <w:t xml:space="preserve">icrocrystalline </w:t>
      </w:r>
      <w:r w:rsidR="00D31F60" w:rsidRPr="001415DB">
        <w:rPr>
          <w:rFonts w:ascii="Times New Roman" w:hAnsi="Times New Roman" w:cs="Times New Roman"/>
          <w:sz w:val="24"/>
          <w:szCs w:val="24"/>
        </w:rPr>
        <w:t>c</w:t>
      </w:r>
      <w:r w:rsidR="0071648E" w:rsidRPr="001415DB">
        <w:rPr>
          <w:rFonts w:ascii="Times New Roman" w:hAnsi="Times New Roman" w:cs="Times New Roman"/>
          <w:sz w:val="24"/>
          <w:szCs w:val="24"/>
        </w:rPr>
        <w:t>ellu</w:t>
      </w:r>
      <w:r w:rsidR="00D31F60" w:rsidRPr="001415DB">
        <w:rPr>
          <w:rFonts w:ascii="Times New Roman" w:hAnsi="Times New Roman" w:cs="Times New Roman"/>
          <w:sz w:val="24"/>
          <w:szCs w:val="24"/>
        </w:rPr>
        <w:t>lose</w:t>
      </w:r>
    </w:p>
    <w:p w14:paraId="4072331D" w14:textId="5BEA64E9" w:rsidR="003E5BC5" w:rsidRDefault="00B8188A" w:rsidP="00636169">
      <w:pPr>
        <w:spacing w:before="20" w:after="20"/>
        <w:rPr>
          <w:rFonts w:ascii="Times New Roman" w:hAnsi="Times New Roman" w:cs="Times New Roman"/>
          <w:sz w:val="24"/>
          <w:szCs w:val="24"/>
        </w:rPr>
      </w:pPr>
      <w:r>
        <w:rPr>
          <w:rFonts w:ascii="Times New Roman" w:hAnsi="Times New Roman" w:cs="Times New Roman"/>
          <w:sz w:val="24"/>
          <w:szCs w:val="24"/>
        </w:rPr>
        <w:t>S</w:t>
      </w:r>
      <w:r w:rsidR="003E5BC5" w:rsidRPr="001415DB">
        <w:rPr>
          <w:rFonts w:ascii="Times New Roman" w:hAnsi="Times New Roman" w:cs="Times New Roman"/>
          <w:sz w:val="24"/>
          <w:szCs w:val="24"/>
        </w:rPr>
        <w:t>odium starch glycolate</w:t>
      </w:r>
    </w:p>
    <w:p w14:paraId="4A2E3807" w14:textId="77777777" w:rsidR="004160A5" w:rsidRDefault="004160A5" w:rsidP="0049269E">
      <w:pPr>
        <w:spacing w:after="0" w:line="240" w:lineRule="auto"/>
        <w:rPr>
          <w:rFonts w:ascii="Times New Roman" w:hAnsi="Times New Roman" w:cs="Times New Roman"/>
          <w:sz w:val="24"/>
          <w:szCs w:val="24"/>
        </w:rPr>
      </w:pPr>
    </w:p>
    <w:p w14:paraId="24E1FA6E" w14:textId="437B3002" w:rsidR="00A64AE0" w:rsidRPr="001A64BB" w:rsidRDefault="00A64AE0" w:rsidP="004160A5">
      <w:pPr>
        <w:spacing w:after="0"/>
        <w:rPr>
          <w:rFonts w:ascii="Times New Roman" w:hAnsi="Times New Roman" w:cs="Times New Roman"/>
          <w:sz w:val="24"/>
          <w:szCs w:val="24"/>
          <w:u w:val="single"/>
        </w:rPr>
      </w:pPr>
      <w:r w:rsidRPr="001415DB">
        <w:rPr>
          <w:rFonts w:ascii="Times New Roman" w:hAnsi="Times New Roman" w:cs="Times New Roman"/>
          <w:sz w:val="24"/>
          <w:szCs w:val="24"/>
          <w:u w:val="single"/>
        </w:rPr>
        <w:t>Film coating</w:t>
      </w:r>
      <w:r w:rsidR="00AA7501" w:rsidRPr="001A64BB">
        <w:rPr>
          <w:rFonts w:ascii="Times New Roman" w:hAnsi="Times New Roman" w:cs="Times New Roman"/>
          <w:sz w:val="24"/>
          <w:szCs w:val="24"/>
          <w:u w:val="single"/>
        </w:rPr>
        <w:t>:</w:t>
      </w:r>
    </w:p>
    <w:p w14:paraId="00D5684F" w14:textId="5E2038D4" w:rsidR="003E5BC5" w:rsidRPr="001415DB" w:rsidRDefault="00B8188A" w:rsidP="00636169">
      <w:pPr>
        <w:spacing w:before="20" w:after="20"/>
        <w:rPr>
          <w:rFonts w:ascii="Times New Roman" w:hAnsi="Times New Roman" w:cs="Times New Roman"/>
          <w:sz w:val="24"/>
          <w:szCs w:val="24"/>
        </w:rPr>
      </w:pPr>
      <w:r>
        <w:rPr>
          <w:rFonts w:ascii="Times New Roman" w:hAnsi="Times New Roman" w:cs="Times New Roman"/>
          <w:sz w:val="24"/>
          <w:szCs w:val="24"/>
        </w:rPr>
        <w:t>B</w:t>
      </w:r>
      <w:r w:rsidR="003E5BC5" w:rsidRPr="001415DB">
        <w:rPr>
          <w:rFonts w:ascii="Times New Roman" w:hAnsi="Times New Roman" w:cs="Times New Roman"/>
          <w:sz w:val="24"/>
          <w:szCs w:val="24"/>
        </w:rPr>
        <w:t>rilliant blue FCF alumin</w:t>
      </w:r>
      <w:r w:rsidR="00D35D59">
        <w:rPr>
          <w:rFonts w:ascii="Times New Roman" w:hAnsi="Times New Roman" w:cs="Times New Roman"/>
          <w:sz w:val="24"/>
          <w:szCs w:val="24"/>
        </w:rPr>
        <w:t>i</w:t>
      </w:r>
      <w:r w:rsidR="003E5BC5" w:rsidRPr="001415DB">
        <w:rPr>
          <w:rFonts w:ascii="Times New Roman" w:hAnsi="Times New Roman" w:cs="Times New Roman"/>
          <w:sz w:val="24"/>
          <w:szCs w:val="24"/>
        </w:rPr>
        <w:t>um lake (FD&amp;C Blue #1)</w:t>
      </w:r>
    </w:p>
    <w:p w14:paraId="5E0D6588" w14:textId="148349D3" w:rsidR="003E5BC5" w:rsidRPr="001415DB" w:rsidRDefault="00B8188A" w:rsidP="00636169">
      <w:pPr>
        <w:spacing w:before="20" w:after="20"/>
        <w:rPr>
          <w:rFonts w:ascii="Times New Roman" w:hAnsi="Times New Roman" w:cs="Times New Roman"/>
          <w:sz w:val="24"/>
          <w:szCs w:val="24"/>
        </w:rPr>
      </w:pPr>
      <w:r>
        <w:rPr>
          <w:rFonts w:ascii="Times New Roman" w:hAnsi="Times New Roman" w:cs="Times New Roman"/>
          <w:sz w:val="24"/>
          <w:szCs w:val="24"/>
        </w:rPr>
        <w:t>M</w:t>
      </w:r>
      <w:r w:rsidR="003E5BC5" w:rsidRPr="001415DB">
        <w:rPr>
          <w:rFonts w:ascii="Times New Roman" w:hAnsi="Times New Roman" w:cs="Times New Roman"/>
          <w:sz w:val="24"/>
          <w:szCs w:val="24"/>
        </w:rPr>
        <w:t>acrogol (polyethylene glycol)</w:t>
      </w:r>
    </w:p>
    <w:p w14:paraId="6C0B5EBE" w14:textId="1072DA95" w:rsidR="00AA7501" w:rsidRPr="001415DB" w:rsidRDefault="00B8188A" w:rsidP="00636169">
      <w:pPr>
        <w:spacing w:before="20" w:after="20"/>
        <w:rPr>
          <w:rFonts w:ascii="Times New Roman" w:hAnsi="Times New Roman" w:cs="Times New Roman"/>
          <w:sz w:val="24"/>
          <w:szCs w:val="24"/>
        </w:rPr>
      </w:pPr>
      <w:r>
        <w:rPr>
          <w:rFonts w:ascii="Times New Roman" w:hAnsi="Times New Roman" w:cs="Times New Roman"/>
          <w:sz w:val="24"/>
          <w:szCs w:val="24"/>
        </w:rPr>
        <w:t>P</w:t>
      </w:r>
      <w:r w:rsidR="00AA7501" w:rsidRPr="001415DB">
        <w:rPr>
          <w:rFonts w:ascii="Times New Roman" w:hAnsi="Times New Roman" w:cs="Times New Roman"/>
          <w:sz w:val="24"/>
          <w:szCs w:val="24"/>
        </w:rPr>
        <w:t>olyvinyl alcohol</w:t>
      </w:r>
    </w:p>
    <w:p w14:paraId="58459BE0" w14:textId="05209FD2" w:rsidR="003E5BC5" w:rsidRPr="001415DB" w:rsidRDefault="00B8188A" w:rsidP="00636169">
      <w:pPr>
        <w:spacing w:before="20" w:after="20"/>
        <w:rPr>
          <w:rFonts w:ascii="Times New Roman" w:hAnsi="Times New Roman" w:cs="Times New Roman"/>
          <w:sz w:val="24"/>
          <w:szCs w:val="24"/>
        </w:rPr>
      </w:pPr>
      <w:r>
        <w:rPr>
          <w:rFonts w:ascii="Times New Roman" w:hAnsi="Times New Roman" w:cs="Times New Roman"/>
          <w:sz w:val="24"/>
          <w:szCs w:val="24"/>
        </w:rPr>
        <w:t>P</w:t>
      </w:r>
      <w:r w:rsidR="003E5BC5">
        <w:rPr>
          <w:rFonts w:ascii="Times New Roman" w:hAnsi="Times New Roman" w:cs="Times New Roman"/>
          <w:sz w:val="24"/>
          <w:szCs w:val="24"/>
        </w:rPr>
        <w:t xml:space="preserve">urified </w:t>
      </w:r>
      <w:r w:rsidR="00C91689">
        <w:rPr>
          <w:rFonts w:ascii="Times New Roman" w:hAnsi="Times New Roman" w:cs="Times New Roman"/>
          <w:sz w:val="24"/>
          <w:szCs w:val="24"/>
        </w:rPr>
        <w:t>t</w:t>
      </w:r>
      <w:r w:rsidR="003E5BC5" w:rsidRPr="001415DB">
        <w:rPr>
          <w:rFonts w:ascii="Times New Roman" w:hAnsi="Times New Roman" w:cs="Times New Roman"/>
          <w:sz w:val="24"/>
          <w:szCs w:val="24"/>
        </w:rPr>
        <w:t>alc</w:t>
      </w:r>
    </w:p>
    <w:p w14:paraId="1C527CC1" w14:textId="45B74574" w:rsidR="00AA7501" w:rsidRPr="001415DB" w:rsidRDefault="00B8188A" w:rsidP="00636169">
      <w:pPr>
        <w:spacing w:before="20" w:after="20"/>
        <w:rPr>
          <w:rFonts w:ascii="Times New Roman" w:hAnsi="Times New Roman" w:cs="Times New Roman"/>
          <w:sz w:val="24"/>
          <w:szCs w:val="24"/>
        </w:rPr>
      </w:pPr>
      <w:r>
        <w:rPr>
          <w:rFonts w:ascii="Times New Roman" w:hAnsi="Times New Roman" w:cs="Times New Roman"/>
          <w:sz w:val="24"/>
          <w:szCs w:val="24"/>
        </w:rPr>
        <w:t>T</w:t>
      </w:r>
      <w:r w:rsidR="00AA7501" w:rsidRPr="001415DB">
        <w:rPr>
          <w:rFonts w:ascii="Times New Roman" w:hAnsi="Times New Roman" w:cs="Times New Roman"/>
          <w:sz w:val="24"/>
          <w:szCs w:val="24"/>
        </w:rPr>
        <w:t>itanium dioxide</w:t>
      </w:r>
    </w:p>
    <w:p w14:paraId="11B8D0E7" w14:textId="77777777" w:rsidR="005A1CCF" w:rsidRPr="001415DB" w:rsidRDefault="005A1CCF" w:rsidP="005A1CCF">
      <w:pPr>
        <w:spacing w:after="0"/>
        <w:rPr>
          <w:rFonts w:ascii="Times New Roman" w:hAnsi="Times New Roman" w:cs="Times New Roman"/>
        </w:rPr>
      </w:pPr>
    </w:p>
    <w:p w14:paraId="5DA032CE" w14:textId="77777777" w:rsidR="005B2812" w:rsidRPr="001415DB" w:rsidRDefault="005B2812" w:rsidP="005B2812">
      <w:pPr>
        <w:pStyle w:val="Heading2"/>
        <w:keepNext/>
        <w:keepLines/>
        <w:spacing w:before="0" w:after="120"/>
        <w:rPr>
          <w:rFonts w:ascii="Times New Roman" w:hAnsi="Times New Roman" w:cs="Times New Roman"/>
        </w:rPr>
      </w:pPr>
      <w:r w:rsidRPr="001415DB">
        <w:rPr>
          <w:rFonts w:ascii="Times New Roman" w:hAnsi="Times New Roman" w:cs="Times New Roman"/>
        </w:rPr>
        <w:t xml:space="preserve">Incompatibilities </w:t>
      </w:r>
    </w:p>
    <w:p w14:paraId="65C9F88D" w14:textId="0D90CABC" w:rsidR="005B2812" w:rsidRDefault="005B2812" w:rsidP="005B2812">
      <w:pPr>
        <w:rPr>
          <w:rFonts w:ascii="Times New Roman" w:hAnsi="Times New Roman" w:cs="Times New Roman"/>
          <w:sz w:val="24"/>
          <w:szCs w:val="24"/>
        </w:rPr>
      </w:pPr>
      <w:r w:rsidRPr="001415DB">
        <w:rPr>
          <w:rFonts w:ascii="Times New Roman" w:hAnsi="Times New Roman" w:cs="Times New Roman"/>
          <w:sz w:val="24"/>
          <w:szCs w:val="24"/>
        </w:rPr>
        <w:t xml:space="preserve">Incompatibilities were either not assessed or not identified as part of the registration of this medicine. </w:t>
      </w:r>
    </w:p>
    <w:p w14:paraId="105132C2" w14:textId="77777777" w:rsidR="005B2812" w:rsidRPr="001415DB" w:rsidRDefault="005B2812" w:rsidP="005B2812">
      <w:pPr>
        <w:pStyle w:val="Heading2"/>
        <w:spacing w:before="0" w:after="120"/>
        <w:rPr>
          <w:rFonts w:ascii="Times New Roman" w:hAnsi="Times New Roman" w:cs="Times New Roman"/>
        </w:rPr>
      </w:pPr>
      <w:r w:rsidRPr="001415DB">
        <w:rPr>
          <w:rFonts w:ascii="Times New Roman" w:hAnsi="Times New Roman" w:cs="Times New Roman"/>
        </w:rPr>
        <w:t xml:space="preserve">Shelf life </w:t>
      </w:r>
    </w:p>
    <w:p w14:paraId="161507C8" w14:textId="2B000C34" w:rsidR="005B2812" w:rsidRPr="001415DB" w:rsidRDefault="005B2812" w:rsidP="005B2812">
      <w:pPr>
        <w:rPr>
          <w:rFonts w:ascii="Times New Roman" w:hAnsi="Times New Roman" w:cs="Times New Roman"/>
          <w:sz w:val="24"/>
          <w:szCs w:val="24"/>
        </w:rPr>
      </w:pPr>
      <w:r w:rsidRPr="001415DB">
        <w:rPr>
          <w:rFonts w:ascii="Times New Roman" w:hAnsi="Times New Roman" w:cs="Times New Roman"/>
          <w:sz w:val="24"/>
          <w:szCs w:val="24"/>
        </w:rPr>
        <w:t xml:space="preserve">In Australia, information on the shelf life can be found on the public summary of the Australian Register of Therapeutic Goods (ARTG). The expiry date can be found on the packaging. </w:t>
      </w:r>
    </w:p>
    <w:p w14:paraId="3FD84C30" w14:textId="15C34BEC" w:rsidR="005B2812" w:rsidRPr="001415DB" w:rsidRDefault="005B2812" w:rsidP="005B2812">
      <w:pPr>
        <w:pStyle w:val="Heading2"/>
        <w:keepNext/>
        <w:keepLines/>
        <w:spacing w:before="0" w:after="120"/>
        <w:rPr>
          <w:rFonts w:ascii="Times New Roman" w:hAnsi="Times New Roman" w:cs="Times New Roman"/>
        </w:rPr>
      </w:pPr>
      <w:r w:rsidRPr="001415DB">
        <w:rPr>
          <w:rFonts w:ascii="Times New Roman" w:hAnsi="Times New Roman" w:cs="Times New Roman"/>
        </w:rPr>
        <w:t xml:space="preserve">Special precautions for storage </w:t>
      </w:r>
    </w:p>
    <w:p w14:paraId="00446618" w14:textId="14C274A7" w:rsidR="00217F07" w:rsidRPr="001415DB" w:rsidRDefault="00B67E53" w:rsidP="00217F07">
      <w:pPr>
        <w:rPr>
          <w:rFonts w:ascii="Times New Roman" w:hAnsi="Times New Roman" w:cs="Times New Roman"/>
          <w:sz w:val="24"/>
          <w:szCs w:val="24"/>
        </w:rPr>
      </w:pPr>
      <w:r>
        <w:rPr>
          <w:rFonts w:ascii="Times New Roman" w:hAnsi="Times New Roman" w:cs="Times New Roman"/>
          <w:sz w:val="24"/>
          <w:szCs w:val="24"/>
        </w:rPr>
        <w:t>Store below</w:t>
      </w:r>
      <w:r w:rsidR="00217F07" w:rsidRPr="001415DB">
        <w:rPr>
          <w:rFonts w:ascii="Times New Roman" w:hAnsi="Times New Roman" w:cs="Times New Roman"/>
          <w:sz w:val="24"/>
          <w:szCs w:val="24"/>
        </w:rPr>
        <w:t xml:space="preserve"> 30°C. Do not freeze.  </w:t>
      </w:r>
    </w:p>
    <w:p w14:paraId="67EFA0AE" w14:textId="74281FE2" w:rsidR="005B2812" w:rsidRPr="001415DB" w:rsidRDefault="005B2812" w:rsidP="005B2812">
      <w:pPr>
        <w:pStyle w:val="Heading2"/>
        <w:spacing w:before="0" w:after="120"/>
        <w:rPr>
          <w:rFonts w:ascii="Times New Roman" w:hAnsi="Times New Roman" w:cs="Times New Roman"/>
        </w:rPr>
      </w:pPr>
      <w:r w:rsidRPr="001415DB">
        <w:rPr>
          <w:rFonts w:ascii="Times New Roman" w:hAnsi="Times New Roman" w:cs="Times New Roman"/>
        </w:rPr>
        <w:t xml:space="preserve">Nature and contents of container </w:t>
      </w:r>
    </w:p>
    <w:p w14:paraId="425C0774" w14:textId="6806ED2F" w:rsidR="00217F07" w:rsidRPr="001415DB" w:rsidRDefault="00217F07" w:rsidP="00217F07">
      <w:pPr>
        <w:rPr>
          <w:rFonts w:ascii="Times New Roman" w:hAnsi="Times New Roman" w:cs="Times New Roman"/>
          <w:sz w:val="24"/>
          <w:szCs w:val="24"/>
        </w:rPr>
      </w:pPr>
      <w:r w:rsidRPr="001415DB">
        <w:rPr>
          <w:rFonts w:ascii="Times New Roman" w:hAnsi="Times New Roman" w:cs="Times New Roman"/>
          <w:sz w:val="24"/>
          <w:szCs w:val="24"/>
        </w:rPr>
        <w:t>High-density polyeth</w:t>
      </w:r>
      <w:r w:rsidR="00DA22FA" w:rsidRPr="001415DB">
        <w:rPr>
          <w:rFonts w:ascii="Times New Roman" w:hAnsi="Times New Roman" w:cs="Times New Roman"/>
          <w:sz w:val="24"/>
          <w:szCs w:val="24"/>
        </w:rPr>
        <w:t>ylene (HDPE) bottles with child resistant cap.  Pack</w:t>
      </w:r>
      <w:r w:rsidR="00540FEC" w:rsidRPr="001415DB">
        <w:rPr>
          <w:rFonts w:ascii="Times New Roman" w:hAnsi="Times New Roman" w:cs="Times New Roman"/>
          <w:sz w:val="24"/>
          <w:szCs w:val="24"/>
        </w:rPr>
        <w:t xml:space="preserve"> </w:t>
      </w:r>
      <w:r w:rsidR="00DA22FA" w:rsidRPr="001415DB">
        <w:rPr>
          <w:rFonts w:ascii="Times New Roman" w:hAnsi="Times New Roman" w:cs="Times New Roman"/>
          <w:sz w:val="24"/>
          <w:szCs w:val="24"/>
        </w:rPr>
        <w:t>sizes of 28 or 56 film-coated tablets.</w:t>
      </w:r>
    </w:p>
    <w:p w14:paraId="52019875" w14:textId="5D54C8B4" w:rsidR="00DA22FA" w:rsidRPr="001415DB" w:rsidRDefault="00DA22FA" w:rsidP="00217F07">
      <w:pPr>
        <w:rPr>
          <w:rFonts w:ascii="Times New Roman" w:hAnsi="Times New Roman" w:cs="Times New Roman"/>
          <w:sz w:val="24"/>
          <w:szCs w:val="24"/>
        </w:rPr>
      </w:pPr>
      <w:r w:rsidRPr="00B67E53">
        <w:rPr>
          <w:rFonts w:ascii="Times New Roman" w:hAnsi="Times New Roman" w:cs="Times New Roman"/>
          <w:i/>
          <w:iCs/>
          <w:sz w:val="24"/>
          <w:szCs w:val="24"/>
        </w:rPr>
        <w:t>Not all pack</w:t>
      </w:r>
      <w:r w:rsidR="00540FEC" w:rsidRPr="00B67E53">
        <w:rPr>
          <w:rFonts w:ascii="Times New Roman" w:hAnsi="Times New Roman" w:cs="Times New Roman"/>
          <w:i/>
          <w:iCs/>
          <w:sz w:val="24"/>
          <w:szCs w:val="24"/>
        </w:rPr>
        <w:t xml:space="preserve"> sizes </w:t>
      </w:r>
      <w:r w:rsidR="00B67E53" w:rsidRPr="00B67E53">
        <w:rPr>
          <w:rFonts w:ascii="Times New Roman" w:hAnsi="Times New Roman" w:cs="Times New Roman"/>
          <w:i/>
          <w:iCs/>
          <w:sz w:val="24"/>
          <w:szCs w:val="24"/>
        </w:rPr>
        <w:t>may be</w:t>
      </w:r>
      <w:r w:rsidR="00540FEC" w:rsidRPr="00B67E53">
        <w:rPr>
          <w:rFonts w:ascii="Times New Roman" w:hAnsi="Times New Roman" w:cs="Times New Roman"/>
          <w:i/>
          <w:iCs/>
          <w:sz w:val="24"/>
          <w:szCs w:val="24"/>
        </w:rPr>
        <w:t xml:space="preserve"> marketed</w:t>
      </w:r>
      <w:r w:rsidR="00540FEC" w:rsidRPr="001415DB">
        <w:rPr>
          <w:rFonts w:ascii="Times New Roman" w:hAnsi="Times New Roman" w:cs="Times New Roman"/>
          <w:sz w:val="24"/>
          <w:szCs w:val="24"/>
        </w:rPr>
        <w:t>.</w:t>
      </w:r>
    </w:p>
    <w:p w14:paraId="6EF42BD8" w14:textId="77777777" w:rsidR="005B2812" w:rsidRPr="001415DB" w:rsidRDefault="005B2812" w:rsidP="005B2812">
      <w:pPr>
        <w:pStyle w:val="Heading2"/>
        <w:spacing w:before="0" w:after="120"/>
        <w:rPr>
          <w:rFonts w:ascii="Times New Roman" w:hAnsi="Times New Roman" w:cs="Times New Roman"/>
        </w:rPr>
      </w:pPr>
      <w:r w:rsidRPr="001415DB">
        <w:rPr>
          <w:rFonts w:ascii="Times New Roman" w:hAnsi="Times New Roman" w:cs="Times New Roman"/>
        </w:rPr>
        <w:t xml:space="preserve">Special precautions for disposal </w:t>
      </w:r>
    </w:p>
    <w:p w14:paraId="3869788A" w14:textId="2D15C78A" w:rsidR="00F01604" w:rsidRDefault="0021200F" w:rsidP="0021200F">
      <w:pPr>
        <w:rPr>
          <w:rFonts w:ascii="Times New Roman" w:hAnsi="Times New Roman" w:cs="Times New Roman"/>
          <w:sz w:val="24"/>
          <w:szCs w:val="24"/>
        </w:rPr>
      </w:pPr>
      <w:r w:rsidRPr="001415DB">
        <w:rPr>
          <w:rFonts w:ascii="Times New Roman" w:hAnsi="Times New Roman" w:cs="Times New Roman"/>
          <w:sz w:val="24"/>
          <w:szCs w:val="24"/>
        </w:rPr>
        <w:t xml:space="preserve">In Australia, any unused medicine or waste material should be disposed of in accordance with local requirements. </w:t>
      </w:r>
    </w:p>
    <w:p w14:paraId="54624810" w14:textId="77777777" w:rsidR="001A3992" w:rsidRPr="001415DB" w:rsidRDefault="001A3992" w:rsidP="00F72388">
      <w:pPr>
        <w:pStyle w:val="Heading2"/>
        <w:pageBreakBefore/>
        <w:spacing w:before="0" w:after="120"/>
        <w:ind w:left="578" w:hanging="578"/>
        <w:rPr>
          <w:rFonts w:ascii="Times New Roman" w:hAnsi="Times New Roman" w:cs="Times New Roman"/>
        </w:rPr>
      </w:pPr>
      <w:r w:rsidRPr="001415DB">
        <w:rPr>
          <w:rFonts w:ascii="Times New Roman" w:hAnsi="Times New Roman" w:cs="Times New Roman"/>
        </w:rPr>
        <w:lastRenderedPageBreak/>
        <w:t>Physicochemical properties</w:t>
      </w:r>
    </w:p>
    <w:p w14:paraId="59735FDC" w14:textId="5CC4AF0C" w:rsidR="001A3992" w:rsidRPr="00486435" w:rsidRDefault="001A3992" w:rsidP="00B67E53">
      <w:pPr>
        <w:pStyle w:val="Heading3"/>
        <w:spacing w:before="0" w:after="120"/>
        <w:ind w:left="0"/>
        <w:rPr>
          <w:rFonts w:ascii="Times New Roman" w:hAnsi="Times New Roman" w:cs="Times New Roman"/>
          <w:b w:val="0"/>
          <w:bCs w:val="0"/>
          <w:sz w:val="24"/>
          <w:szCs w:val="24"/>
          <w:u w:val="single"/>
        </w:rPr>
      </w:pPr>
      <w:r w:rsidRPr="00486435">
        <w:rPr>
          <w:rFonts w:ascii="Times New Roman" w:hAnsi="Times New Roman" w:cs="Times New Roman"/>
          <w:b w:val="0"/>
          <w:bCs w:val="0"/>
          <w:sz w:val="24"/>
          <w:szCs w:val="24"/>
          <w:u w:val="single"/>
        </w:rPr>
        <w:t>Chemical structure</w:t>
      </w:r>
    </w:p>
    <w:p w14:paraId="007C3A07" w14:textId="295C0C74" w:rsidR="00C52589" w:rsidRPr="001415DB" w:rsidRDefault="00C52589" w:rsidP="00C52589">
      <w:pPr>
        <w:rPr>
          <w:rFonts w:ascii="Times New Roman" w:hAnsi="Times New Roman" w:cs="Times New Roman"/>
        </w:rPr>
      </w:pPr>
      <w:r w:rsidRPr="001415DB">
        <w:rPr>
          <w:rFonts w:ascii="Times New Roman" w:hAnsi="Times New Roman" w:cs="Times New Roman"/>
          <w:noProof/>
        </w:rPr>
        <w:drawing>
          <wp:inline distT="0" distB="0" distL="0" distR="0" wp14:anchorId="56ABA9B7" wp14:editId="129AAF4B">
            <wp:extent cx="1621046" cy="123153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496" cy="1234914"/>
                    </a:xfrm>
                    <a:prstGeom prst="rect">
                      <a:avLst/>
                    </a:prstGeom>
                    <a:noFill/>
                    <a:ln>
                      <a:noFill/>
                    </a:ln>
                  </pic:spPr>
                </pic:pic>
              </a:graphicData>
            </a:graphic>
          </wp:inline>
        </w:drawing>
      </w:r>
    </w:p>
    <w:p w14:paraId="4B567E81" w14:textId="3930B794" w:rsidR="008643DA" w:rsidRPr="001415DB" w:rsidRDefault="008643DA" w:rsidP="00C52589">
      <w:pPr>
        <w:rPr>
          <w:rFonts w:ascii="Times New Roman" w:hAnsi="Times New Roman" w:cs="Times New Roman"/>
          <w:sz w:val="24"/>
          <w:szCs w:val="24"/>
        </w:rPr>
      </w:pPr>
      <w:r w:rsidRPr="001415DB">
        <w:rPr>
          <w:rFonts w:ascii="Times New Roman" w:hAnsi="Times New Roman" w:cs="Times New Roman"/>
          <w:sz w:val="24"/>
          <w:szCs w:val="24"/>
        </w:rPr>
        <w:t xml:space="preserve">The molecular formula for </w:t>
      </w:r>
      <w:r w:rsidR="003B25A4" w:rsidRPr="001415DB">
        <w:rPr>
          <w:rFonts w:ascii="Times New Roman" w:hAnsi="Times New Roman" w:cs="Times New Roman"/>
          <w:sz w:val="24"/>
          <w:szCs w:val="24"/>
        </w:rPr>
        <w:t>maribavir</w:t>
      </w:r>
      <w:r w:rsidRPr="001415DB">
        <w:rPr>
          <w:rFonts w:ascii="Times New Roman" w:hAnsi="Times New Roman" w:cs="Times New Roman"/>
          <w:sz w:val="24"/>
          <w:szCs w:val="24"/>
        </w:rPr>
        <w:t xml:space="preserve"> is C</w:t>
      </w:r>
      <w:r w:rsidRPr="001415DB">
        <w:rPr>
          <w:rFonts w:ascii="Times New Roman" w:hAnsi="Times New Roman" w:cs="Times New Roman"/>
          <w:sz w:val="24"/>
          <w:szCs w:val="24"/>
          <w:vertAlign w:val="subscript"/>
        </w:rPr>
        <w:t>15</w:t>
      </w:r>
      <w:r w:rsidRPr="001415DB">
        <w:rPr>
          <w:rFonts w:ascii="Times New Roman" w:hAnsi="Times New Roman" w:cs="Times New Roman"/>
          <w:sz w:val="24"/>
          <w:szCs w:val="24"/>
        </w:rPr>
        <w:t>H</w:t>
      </w:r>
      <w:r w:rsidRPr="001415DB">
        <w:rPr>
          <w:rFonts w:ascii="Times New Roman" w:hAnsi="Times New Roman" w:cs="Times New Roman"/>
          <w:sz w:val="24"/>
          <w:szCs w:val="24"/>
          <w:vertAlign w:val="subscript"/>
        </w:rPr>
        <w:t>19</w:t>
      </w:r>
      <w:r w:rsidRPr="001415DB">
        <w:rPr>
          <w:rFonts w:ascii="Times New Roman" w:hAnsi="Times New Roman" w:cs="Times New Roman"/>
          <w:sz w:val="24"/>
          <w:szCs w:val="24"/>
        </w:rPr>
        <w:t>Cl</w:t>
      </w:r>
      <w:r w:rsidRPr="001415DB">
        <w:rPr>
          <w:rFonts w:ascii="Times New Roman" w:hAnsi="Times New Roman" w:cs="Times New Roman"/>
          <w:sz w:val="24"/>
          <w:szCs w:val="24"/>
          <w:vertAlign w:val="subscript"/>
        </w:rPr>
        <w:t>2</w:t>
      </w:r>
      <w:r w:rsidRPr="001415DB">
        <w:rPr>
          <w:rFonts w:ascii="Times New Roman" w:hAnsi="Times New Roman" w:cs="Times New Roman"/>
          <w:sz w:val="24"/>
          <w:szCs w:val="24"/>
        </w:rPr>
        <w:t>N</w:t>
      </w:r>
      <w:r w:rsidRPr="001415DB">
        <w:rPr>
          <w:rFonts w:ascii="Times New Roman" w:hAnsi="Times New Roman" w:cs="Times New Roman"/>
          <w:sz w:val="24"/>
          <w:szCs w:val="24"/>
          <w:vertAlign w:val="subscript"/>
        </w:rPr>
        <w:t>3</w:t>
      </w:r>
      <w:r w:rsidRPr="001415DB">
        <w:rPr>
          <w:rFonts w:ascii="Times New Roman" w:hAnsi="Times New Roman" w:cs="Times New Roman"/>
          <w:sz w:val="24"/>
          <w:szCs w:val="24"/>
        </w:rPr>
        <w:t>O</w:t>
      </w:r>
      <w:r w:rsidRPr="001415DB">
        <w:rPr>
          <w:rFonts w:ascii="Times New Roman" w:hAnsi="Times New Roman" w:cs="Times New Roman"/>
          <w:sz w:val="24"/>
          <w:szCs w:val="24"/>
          <w:vertAlign w:val="subscript"/>
        </w:rPr>
        <w:t>4</w:t>
      </w:r>
      <w:r w:rsidRPr="001415DB">
        <w:rPr>
          <w:rFonts w:ascii="Times New Roman" w:hAnsi="Times New Roman" w:cs="Times New Roman"/>
          <w:sz w:val="24"/>
          <w:szCs w:val="24"/>
        </w:rPr>
        <w:t xml:space="preserve"> and its molecular weight is 376.24</w:t>
      </w:r>
      <w:r w:rsidR="00E10ACA" w:rsidRPr="001415DB">
        <w:rPr>
          <w:rFonts w:ascii="Times New Roman" w:hAnsi="Times New Roman" w:cs="Times New Roman"/>
          <w:sz w:val="24"/>
          <w:szCs w:val="24"/>
        </w:rPr>
        <w:t xml:space="preserve"> g/mol</w:t>
      </w:r>
      <w:r w:rsidR="003B25A4" w:rsidRPr="001415DB">
        <w:rPr>
          <w:rFonts w:ascii="Times New Roman" w:hAnsi="Times New Roman" w:cs="Times New Roman"/>
          <w:sz w:val="24"/>
          <w:szCs w:val="24"/>
        </w:rPr>
        <w:t>.</w:t>
      </w:r>
    </w:p>
    <w:p w14:paraId="3A3150CA" w14:textId="7FF6BC5C" w:rsidR="001A3992" w:rsidRPr="00486435" w:rsidRDefault="001A3992" w:rsidP="00486435">
      <w:pPr>
        <w:pStyle w:val="Heading3"/>
        <w:spacing w:before="0"/>
        <w:ind w:left="0"/>
        <w:rPr>
          <w:rFonts w:ascii="Times New Roman" w:hAnsi="Times New Roman" w:cs="Times New Roman"/>
          <w:b w:val="0"/>
          <w:bCs w:val="0"/>
          <w:sz w:val="24"/>
          <w:szCs w:val="24"/>
          <w:u w:val="single"/>
        </w:rPr>
      </w:pPr>
      <w:r w:rsidRPr="00486435">
        <w:rPr>
          <w:rFonts w:ascii="Times New Roman" w:hAnsi="Times New Roman" w:cs="Times New Roman"/>
          <w:b w:val="0"/>
          <w:bCs w:val="0"/>
          <w:sz w:val="24"/>
          <w:szCs w:val="24"/>
          <w:u w:val="single"/>
        </w:rPr>
        <w:t>CAS number</w:t>
      </w:r>
    </w:p>
    <w:p w14:paraId="37A50BBC" w14:textId="623E845C" w:rsidR="00935D64" w:rsidRPr="001415DB" w:rsidRDefault="00132345" w:rsidP="00935D64">
      <w:pPr>
        <w:rPr>
          <w:rFonts w:ascii="Times New Roman" w:hAnsi="Times New Roman" w:cs="Times New Roman"/>
        </w:rPr>
      </w:pPr>
      <w:r w:rsidRPr="001415DB">
        <w:rPr>
          <w:rFonts w:ascii="Times New Roman" w:hAnsi="Times New Roman" w:cs="Times New Roman"/>
          <w:sz w:val="24"/>
          <w:szCs w:val="24"/>
        </w:rPr>
        <w:t>176161-24-3</w:t>
      </w:r>
    </w:p>
    <w:p w14:paraId="10F5355F" w14:textId="3B86F9C4" w:rsidR="001A3992" w:rsidRPr="001415DB" w:rsidRDefault="001A3992" w:rsidP="007A088D">
      <w:pPr>
        <w:pStyle w:val="Heading1"/>
        <w:spacing w:after="120"/>
        <w:rPr>
          <w:rFonts w:ascii="Times New Roman" w:hAnsi="Times New Roman" w:cs="Times New Roman"/>
        </w:rPr>
      </w:pPr>
      <w:r w:rsidRPr="001415DB">
        <w:rPr>
          <w:rFonts w:ascii="Times New Roman" w:hAnsi="Times New Roman" w:cs="Times New Roman"/>
        </w:rPr>
        <w:t>Medicine schedule (Poisons Standard)</w:t>
      </w:r>
    </w:p>
    <w:p w14:paraId="0EB9B54E" w14:textId="269D407E" w:rsidR="00C91689" w:rsidRPr="001415DB" w:rsidRDefault="00A501DD" w:rsidP="00A501DD">
      <w:pPr>
        <w:rPr>
          <w:rFonts w:ascii="Times New Roman" w:hAnsi="Times New Roman" w:cs="Times New Roman"/>
          <w:sz w:val="24"/>
          <w:szCs w:val="24"/>
        </w:rPr>
      </w:pPr>
      <w:r w:rsidRPr="001415DB">
        <w:rPr>
          <w:rFonts w:ascii="Times New Roman" w:hAnsi="Times New Roman" w:cs="Times New Roman"/>
          <w:sz w:val="24"/>
          <w:szCs w:val="24"/>
        </w:rPr>
        <w:t>Prescription Only Medicine (S4)</w:t>
      </w:r>
    </w:p>
    <w:p w14:paraId="2A0D24C7" w14:textId="7A5C2D5F" w:rsidR="00285173" w:rsidRPr="001415DB" w:rsidRDefault="001A3992" w:rsidP="007A088D">
      <w:pPr>
        <w:pStyle w:val="Heading1"/>
        <w:spacing w:after="120"/>
        <w:rPr>
          <w:rFonts w:ascii="Times New Roman" w:hAnsi="Times New Roman" w:cs="Times New Roman"/>
        </w:rPr>
      </w:pPr>
      <w:r w:rsidRPr="001415DB">
        <w:rPr>
          <w:rFonts w:ascii="Times New Roman" w:hAnsi="Times New Roman" w:cs="Times New Roman"/>
        </w:rPr>
        <w:t>Sponsor</w:t>
      </w:r>
      <w:r w:rsidR="00285173" w:rsidRPr="001415DB">
        <w:rPr>
          <w:rFonts w:ascii="Times New Roman" w:hAnsi="Times New Roman" w:cs="Times New Roman"/>
        </w:rPr>
        <w:t xml:space="preserve"> </w:t>
      </w:r>
    </w:p>
    <w:p w14:paraId="3D459BC9" w14:textId="24BE5094" w:rsidR="00A501DD" w:rsidRPr="001415DB" w:rsidRDefault="00A501DD" w:rsidP="0080753D">
      <w:pPr>
        <w:spacing w:after="0"/>
        <w:rPr>
          <w:rFonts w:ascii="Times New Roman" w:hAnsi="Times New Roman" w:cs="Times New Roman"/>
          <w:sz w:val="24"/>
          <w:szCs w:val="24"/>
        </w:rPr>
      </w:pPr>
      <w:r w:rsidRPr="001415DB">
        <w:rPr>
          <w:rFonts w:ascii="Times New Roman" w:hAnsi="Times New Roman" w:cs="Times New Roman"/>
          <w:sz w:val="24"/>
          <w:szCs w:val="24"/>
        </w:rPr>
        <w:t>Takeda Pharmaceuticals Australia Pty Ltd</w:t>
      </w:r>
    </w:p>
    <w:p w14:paraId="342607DF" w14:textId="1EF0B608" w:rsidR="00A501DD" w:rsidRPr="001415DB" w:rsidRDefault="00A501DD" w:rsidP="0080753D">
      <w:pPr>
        <w:spacing w:after="0"/>
        <w:rPr>
          <w:rFonts w:ascii="Times New Roman" w:hAnsi="Times New Roman" w:cs="Times New Roman"/>
          <w:sz w:val="24"/>
          <w:szCs w:val="24"/>
        </w:rPr>
      </w:pPr>
      <w:r w:rsidRPr="001415DB">
        <w:rPr>
          <w:rFonts w:ascii="Times New Roman" w:hAnsi="Times New Roman" w:cs="Times New Roman"/>
          <w:sz w:val="24"/>
          <w:szCs w:val="24"/>
        </w:rPr>
        <w:t>Level 39</w:t>
      </w:r>
      <w:r w:rsidR="009561CD" w:rsidRPr="001415DB">
        <w:rPr>
          <w:rFonts w:ascii="Times New Roman" w:hAnsi="Times New Roman" w:cs="Times New Roman"/>
          <w:sz w:val="24"/>
          <w:szCs w:val="24"/>
        </w:rPr>
        <w:t>; 225 George Street</w:t>
      </w:r>
    </w:p>
    <w:p w14:paraId="13841B9D" w14:textId="0541128D" w:rsidR="009561CD" w:rsidRPr="001415DB" w:rsidRDefault="009561CD" w:rsidP="0080753D">
      <w:pPr>
        <w:spacing w:after="0"/>
        <w:rPr>
          <w:rFonts w:ascii="Times New Roman" w:hAnsi="Times New Roman" w:cs="Times New Roman"/>
          <w:sz w:val="24"/>
          <w:szCs w:val="24"/>
        </w:rPr>
      </w:pPr>
      <w:r w:rsidRPr="001415DB">
        <w:rPr>
          <w:rFonts w:ascii="Times New Roman" w:hAnsi="Times New Roman" w:cs="Times New Roman"/>
          <w:sz w:val="24"/>
          <w:szCs w:val="24"/>
        </w:rPr>
        <w:t>Sydney NSW 2000</w:t>
      </w:r>
    </w:p>
    <w:p w14:paraId="2C716B83" w14:textId="755344A3" w:rsidR="009561CD" w:rsidRPr="001415DB" w:rsidRDefault="009561CD" w:rsidP="0080753D">
      <w:pPr>
        <w:spacing w:after="0"/>
        <w:rPr>
          <w:rFonts w:ascii="Times New Roman" w:hAnsi="Times New Roman" w:cs="Times New Roman"/>
          <w:sz w:val="24"/>
          <w:szCs w:val="24"/>
        </w:rPr>
      </w:pPr>
      <w:r w:rsidRPr="001415DB">
        <w:rPr>
          <w:rFonts w:ascii="Times New Roman" w:hAnsi="Times New Roman" w:cs="Times New Roman"/>
          <w:sz w:val="24"/>
          <w:szCs w:val="24"/>
        </w:rPr>
        <w:t>Telephone: 1800 012 612</w:t>
      </w:r>
    </w:p>
    <w:p w14:paraId="29260A93" w14:textId="08DCC7E5" w:rsidR="001A0A04" w:rsidRPr="001415DB" w:rsidRDefault="00D222A8" w:rsidP="0080753D">
      <w:pPr>
        <w:spacing w:after="0"/>
        <w:rPr>
          <w:rFonts w:ascii="Times New Roman" w:hAnsi="Times New Roman" w:cs="Times New Roman"/>
        </w:rPr>
      </w:pPr>
      <w:hyperlink r:id="rId14" w:history="1">
        <w:r w:rsidR="001A0A04" w:rsidRPr="001415DB">
          <w:rPr>
            <w:rStyle w:val="Hyperlink"/>
            <w:rFonts w:ascii="Times New Roman" w:hAnsi="Times New Roman" w:cs="Times New Roman"/>
            <w:sz w:val="24"/>
            <w:szCs w:val="24"/>
          </w:rPr>
          <w:t>www.takeda.com/en-au</w:t>
        </w:r>
      </w:hyperlink>
    </w:p>
    <w:p w14:paraId="7F4AB333" w14:textId="77777777" w:rsidR="00FB6D61" w:rsidRPr="001415DB" w:rsidRDefault="00285173" w:rsidP="007A088D">
      <w:pPr>
        <w:pStyle w:val="Heading1"/>
        <w:spacing w:after="120"/>
        <w:rPr>
          <w:rFonts w:ascii="Times New Roman" w:hAnsi="Times New Roman" w:cs="Times New Roman"/>
        </w:rPr>
      </w:pPr>
      <w:r w:rsidRPr="001415DB">
        <w:rPr>
          <w:rFonts w:ascii="Times New Roman" w:hAnsi="Times New Roman" w:cs="Times New Roman"/>
        </w:rPr>
        <w:t xml:space="preserve">Date of first approval </w:t>
      </w:r>
    </w:p>
    <w:p w14:paraId="23A63B19" w14:textId="3C84DCC6" w:rsidR="00FB6D61" w:rsidRPr="001415DB" w:rsidRDefault="000A0106" w:rsidP="008A78EE">
      <w:pPr>
        <w:rPr>
          <w:rFonts w:ascii="Times New Roman" w:hAnsi="Times New Roman" w:cs="Times New Roman"/>
          <w:sz w:val="24"/>
          <w:szCs w:val="24"/>
        </w:rPr>
      </w:pPr>
      <w:r>
        <w:rPr>
          <w:rFonts w:ascii="Times New Roman" w:hAnsi="Times New Roman" w:cs="Times New Roman"/>
          <w:sz w:val="24"/>
          <w:szCs w:val="24"/>
        </w:rPr>
        <w:t>7 October 2022</w:t>
      </w:r>
    </w:p>
    <w:p w14:paraId="5E486057" w14:textId="4C7FC5BA" w:rsidR="00285173" w:rsidRPr="001415DB" w:rsidRDefault="00285173" w:rsidP="00F72388">
      <w:pPr>
        <w:pStyle w:val="Heading1"/>
        <w:pageBreakBefore/>
        <w:spacing w:after="120"/>
        <w:ind w:left="431" w:hanging="431"/>
        <w:rPr>
          <w:rFonts w:ascii="Times New Roman" w:hAnsi="Times New Roman" w:cs="Times New Roman"/>
        </w:rPr>
      </w:pPr>
      <w:r w:rsidRPr="001415DB">
        <w:rPr>
          <w:rFonts w:ascii="Times New Roman" w:hAnsi="Times New Roman" w:cs="Times New Roman"/>
        </w:rPr>
        <w:lastRenderedPageBreak/>
        <w:t xml:space="preserve"> Date of revision </w:t>
      </w:r>
    </w:p>
    <w:p w14:paraId="7959403A" w14:textId="74BE86F2" w:rsidR="00486435" w:rsidRDefault="00A35BCF" w:rsidP="00DA5AA2">
      <w:pPr>
        <w:rPr>
          <w:rFonts w:ascii="Times New Roman" w:hAnsi="Times New Roman" w:cs="Times New Roman"/>
          <w:sz w:val="24"/>
          <w:szCs w:val="24"/>
        </w:rPr>
      </w:pPr>
      <w:r w:rsidRPr="001415DB">
        <w:rPr>
          <w:rFonts w:ascii="Times New Roman" w:hAnsi="Times New Roman" w:cs="Times New Roman"/>
          <w:sz w:val="24"/>
          <w:szCs w:val="24"/>
        </w:rPr>
        <w:t>N/A</w:t>
      </w:r>
    </w:p>
    <w:p w14:paraId="19A4C77E" w14:textId="3B244434" w:rsidR="00285173" w:rsidRPr="001415DB" w:rsidRDefault="00285173" w:rsidP="00285173">
      <w:pPr>
        <w:pStyle w:val="Heading2"/>
        <w:numPr>
          <w:ilvl w:val="0"/>
          <w:numId w:val="0"/>
        </w:numPr>
        <w:spacing w:before="0" w:after="120"/>
        <w:rPr>
          <w:rFonts w:ascii="Times New Roman" w:hAnsi="Times New Roman" w:cs="Times New Roman"/>
        </w:rPr>
      </w:pPr>
      <w:r w:rsidRPr="001415DB">
        <w:rPr>
          <w:rFonts w:ascii="Times New Roman" w:hAnsi="Times New Roman" w:cs="Times New Roman"/>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285173" w:rsidRPr="001415DB" w14:paraId="302507C7" w14:textId="77777777" w:rsidTr="00C438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6185F71A" w14:textId="77777777" w:rsidR="00285173" w:rsidRPr="001415DB" w:rsidRDefault="00285173" w:rsidP="00C438C7">
            <w:pPr>
              <w:rPr>
                <w:rFonts w:ascii="Times New Roman" w:hAnsi="Times New Roman" w:cs="Times New Roman"/>
                <w:sz w:val="20"/>
              </w:rPr>
            </w:pPr>
            <w:r w:rsidRPr="001415DB">
              <w:rPr>
                <w:rFonts w:ascii="Times New Roman" w:hAnsi="Times New Roman" w:cs="Times New Roman"/>
                <w:sz w:val="20"/>
              </w:rPr>
              <w:t>Section Changed</w:t>
            </w:r>
          </w:p>
        </w:tc>
        <w:tc>
          <w:tcPr>
            <w:tcW w:w="7858" w:type="dxa"/>
            <w:shd w:val="clear" w:color="auto" w:fill="F2F2F2" w:themeFill="background1" w:themeFillShade="F2"/>
            <w:vAlign w:val="center"/>
          </w:tcPr>
          <w:p w14:paraId="6B65817A" w14:textId="77777777" w:rsidR="00285173" w:rsidRPr="001415DB" w:rsidRDefault="00285173" w:rsidP="00C438C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1415DB">
              <w:rPr>
                <w:rFonts w:ascii="Times New Roman" w:hAnsi="Times New Roman" w:cs="Times New Roman"/>
                <w:sz w:val="20"/>
              </w:rPr>
              <w:t>Summary of new information</w:t>
            </w:r>
          </w:p>
        </w:tc>
      </w:tr>
      <w:tr w:rsidR="00285173" w:rsidRPr="00E85E88" w14:paraId="40DE1A80" w14:textId="77777777" w:rsidTr="00C438C7">
        <w:tc>
          <w:tcPr>
            <w:cnfStyle w:val="001000000000" w:firstRow="0" w:lastRow="0" w:firstColumn="1" w:lastColumn="0" w:oddVBand="0" w:evenVBand="0" w:oddHBand="0" w:evenHBand="0" w:firstRowFirstColumn="0" w:firstRowLastColumn="0" w:lastRowFirstColumn="0" w:lastRowLastColumn="0"/>
            <w:tcW w:w="1384" w:type="dxa"/>
            <w:vAlign w:val="center"/>
          </w:tcPr>
          <w:p w14:paraId="17A82AD9" w14:textId="47ADA625" w:rsidR="00285173" w:rsidRPr="00E85E88" w:rsidRDefault="00285173" w:rsidP="00C438C7">
            <w:pPr>
              <w:rPr>
                <w:rFonts w:ascii="Times New Roman" w:hAnsi="Times New Roman" w:cs="Times New Roman"/>
              </w:rPr>
            </w:pPr>
          </w:p>
        </w:tc>
        <w:tc>
          <w:tcPr>
            <w:tcW w:w="7858" w:type="dxa"/>
            <w:vAlign w:val="center"/>
          </w:tcPr>
          <w:p w14:paraId="29807A3C" w14:textId="3D497F83" w:rsidR="00285173" w:rsidRPr="00E85E88" w:rsidRDefault="00285173" w:rsidP="00C438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85173" w:rsidRPr="00E85E88" w14:paraId="062D1AD4" w14:textId="77777777" w:rsidTr="00C438C7">
        <w:tc>
          <w:tcPr>
            <w:cnfStyle w:val="001000000000" w:firstRow="0" w:lastRow="0" w:firstColumn="1" w:lastColumn="0" w:oddVBand="0" w:evenVBand="0" w:oddHBand="0" w:evenHBand="0" w:firstRowFirstColumn="0" w:firstRowLastColumn="0" w:lastRowFirstColumn="0" w:lastRowLastColumn="0"/>
            <w:tcW w:w="1384" w:type="dxa"/>
            <w:vAlign w:val="center"/>
          </w:tcPr>
          <w:p w14:paraId="23AB7E03" w14:textId="77777777" w:rsidR="00285173" w:rsidRPr="00E85E88" w:rsidRDefault="00285173" w:rsidP="00C438C7">
            <w:pPr>
              <w:rPr>
                <w:rFonts w:ascii="Times New Roman" w:hAnsi="Times New Roman" w:cs="Times New Roman"/>
              </w:rPr>
            </w:pPr>
          </w:p>
        </w:tc>
        <w:tc>
          <w:tcPr>
            <w:tcW w:w="7858" w:type="dxa"/>
            <w:vAlign w:val="center"/>
          </w:tcPr>
          <w:p w14:paraId="050E06F2" w14:textId="77777777" w:rsidR="00285173" w:rsidRPr="00E85E88" w:rsidRDefault="00285173" w:rsidP="00C438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85173" w:rsidRPr="00E85E88" w14:paraId="6AA8E9F6" w14:textId="77777777" w:rsidTr="00C438C7">
        <w:tc>
          <w:tcPr>
            <w:cnfStyle w:val="001000000000" w:firstRow="0" w:lastRow="0" w:firstColumn="1" w:lastColumn="0" w:oddVBand="0" w:evenVBand="0" w:oddHBand="0" w:evenHBand="0" w:firstRowFirstColumn="0" w:firstRowLastColumn="0" w:lastRowFirstColumn="0" w:lastRowLastColumn="0"/>
            <w:tcW w:w="1384" w:type="dxa"/>
            <w:vAlign w:val="center"/>
          </w:tcPr>
          <w:p w14:paraId="0B6AF13D" w14:textId="77777777" w:rsidR="00285173" w:rsidRPr="00E85E88" w:rsidRDefault="00285173" w:rsidP="00C438C7">
            <w:pPr>
              <w:rPr>
                <w:rFonts w:ascii="Times New Roman" w:hAnsi="Times New Roman" w:cs="Times New Roman"/>
              </w:rPr>
            </w:pPr>
          </w:p>
        </w:tc>
        <w:tc>
          <w:tcPr>
            <w:tcW w:w="7858" w:type="dxa"/>
            <w:vAlign w:val="center"/>
          </w:tcPr>
          <w:p w14:paraId="20B569CF" w14:textId="77777777" w:rsidR="00285173" w:rsidRPr="00E85E88" w:rsidRDefault="00285173" w:rsidP="00C438C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A4228C7" w14:textId="64AE7F4E" w:rsidR="00960CD5" w:rsidRPr="00E85E88" w:rsidRDefault="00C413A3" w:rsidP="00C413A3">
      <w:pPr>
        <w:spacing w:after="0"/>
        <w:rPr>
          <w:rFonts w:ascii="Times New Roman" w:hAnsi="Times New Roman" w:cs="Times New Roman"/>
          <w:i/>
          <w:iCs/>
          <w:sz w:val="20"/>
          <w:szCs w:val="20"/>
        </w:rPr>
      </w:pPr>
      <w:bookmarkStart w:id="10" w:name="_Hlk82788793"/>
      <w:r w:rsidRPr="007317B3">
        <w:rPr>
          <w:rFonts w:ascii="Times New Roman" w:hAnsi="Times New Roman" w:cs="Times New Roman"/>
          <w:i/>
          <w:iCs/>
          <w:sz w:val="20"/>
          <w:szCs w:val="20"/>
        </w:rPr>
        <w:t>LIVTENCITY</w:t>
      </w:r>
      <w:r w:rsidR="005D3F4C" w:rsidRPr="005D3F4C">
        <w:rPr>
          <w:rFonts w:ascii="Times New Roman" w:hAnsi="Times New Roman" w:cs="Times New Roman"/>
          <w:i/>
          <w:iCs/>
          <w:sz w:val="20"/>
          <w:szCs w:val="20"/>
          <w:vertAlign w:val="superscript"/>
        </w:rPr>
        <w:t>®</w:t>
      </w:r>
      <w:r w:rsidR="005D3F4C">
        <w:rPr>
          <w:rFonts w:ascii="Times New Roman" w:hAnsi="Times New Roman" w:cs="Times New Roman"/>
          <w:i/>
          <w:iCs/>
          <w:sz w:val="20"/>
          <w:szCs w:val="20"/>
          <w:vertAlign w:val="superscript"/>
        </w:rPr>
        <w:t xml:space="preserve"> </w:t>
      </w:r>
      <w:r w:rsidR="005D3F4C" w:rsidRPr="005D3F4C">
        <w:rPr>
          <w:rFonts w:ascii="Times New Roman" w:hAnsi="Times New Roman" w:cs="Times New Roman"/>
          <w:i/>
          <w:iCs/>
          <w:sz w:val="20"/>
          <w:szCs w:val="20"/>
        </w:rPr>
        <w:t xml:space="preserve">and LIVTENCITY </w:t>
      </w:r>
      <w:r w:rsidR="001B2AB5">
        <w:rPr>
          <w:rFonts w:ascii="Times New Roman" w:hAnsi="Times New Roman" w:cs="Times New Roman"/>
          <w:i/>
          <w:iCs/>
          <w:sz w:val="20"/>
          <w:szCs w:val="20"/>
        </w:rPr>
        <w:t>l</w:t>
      </w:r>
      <w:r w:rsidR="00BB3AE2">
        <w:rPr>
          <w:rFonts w:ascii="Times New Roman" w:hAnsi="Times New Roman" w:cs="Times New Roman"/>
          <w:i/>
          <w:iCs/>
          <w:sz w:val="20"/>
          <w:szCs w:val="20"/>
        </w:rPr>
        <w:t>ogo</w:t>
      </w:r>
      <w:r w:rsidR="005D3F4C">
        <w:rPr>
          <w:rFonts w:ascii="Times New Roman" w:hAnsi="Times New Roman" w:cs="Times New Roman"/>
          <w:i/>
          <w:iCs/>
          <w:sz w:val="20"/>
          <w:szCs w:val="20"/>
          <w:vertAlign w:val="superscript"/>
        </w:rPr>
        <w:t>®</w:t>
      </w:r>
      <w:r w:rsidR="005D3F4C" w:rsidRPr="005D3F4C">
        <w:rPr>
          <w:rFonts w:ascii="Times New Roman" w:hAnsi="Times New Roman" w:cs="Times New Roman"/>
          <w:i/>
          <w:iCs/>
          <w:sz w:val="20"/>
          <w:szCs w:val="20"/>
        </w:rPr>
        <w:t xml:space="preserve"> are</w:t>
      </w:r>
      <w:r w:rsidR="005D3F4C" w:rsidRPr="007317B3">
        <w:rPr>
          <w:rFonts w:ascii="Times New Roman" w:hAnsi="Times New Roman" w:cs="Times New Roman"/>
          <w:i/>
          <w:iCs/>
          <w:sz w:val="20"/>
          <w:szCs w:val="20"/>
        </w:rPr>
        <w:t xml:space="preserve"> </w:t>
      </w:r>
      <w:r w:rsidR="005D3F4C">
        <w:rPr>
          <w:rFonts w:ascii="Times New Roman" w:hAnsi="Times New Roman" w:cs="Times New Roman"/>
          <w:i/>
          <w:iCs/>
          <w:sz w:val="20"/>
          <w:szCs w:val="20"/>
        </w:rPr>
        <w:t xml:space="preserve">registered </w:t>
      </w:r>
      <w:r w:rsidRPr="007317B3">
        <w:rPr>
          <w:rFonts w:ascii="Times New Roman" w:hAnsi="Times New Roman" w:cs="Times New Roman"/>
          <w:i/>
          <w:iCs/>
          <w:sz w:val="20"/>
          <w:szCs w:val="20"/>
        </w:rPr>
        <w:t>trademark</w:t>
      </w:r>
      <w:r w:rsidR="005D3F4C">
        <w:rPr>
          <w:rFonts w:ascii="Times New Roman" w:hAnsi="Times New Roman" w:cs="Times New Roman"/>
          <w:i/>
          <w:iCs/>
          <w:sz w:val="20"/>
          <w:szCs w:val="20"/>
        </w:rPr>
        <w:t>s</w:t>
      </w:r>
      <w:r w:rsidRPr="007317B3">
        <w:rPr>
          <w:rFonts w:ascii="Times New Roman" w:hAnsi="Times New Roman" w:cs="Times New Roman"/>
          <w:i/>
          <w:iCs/>
          <w:sz w:val="20"/>
          <w:szCs w:val="20"/>
        </w:rPr>
        <w:t xml:space="preserve"> of Takeda Pharmaceuticals International AG. TAKEDA</w:t>
      </w:r>
      <w:r w:rsidRPr="007317B3">
        <w:rPr>
          <w:rFonts w:ascii="Times New Roman" w:hAnsi="Times New Roman" w:cs="Times New Roman"/>
          <w:i/>
          <w:iCs/>
          <w:sz w:val="20"/>
          <w:szCs w:val="20"/>
          <w:vertAlign w:val="superscript"/>
        </w:rPr>
        <w:t>®</w:t>
      </w:r>
      <w:r w:rsidRPr="007317B3">
        <w:rPr>
          <w:rFonts w:ascii="Times New Roman" w:hAnsi="Times New Roman" w:cs="Times New Roman"/>
          <w:i/>
          <w:iCs/>
          <w:sz w:val="20"/>
          <w:szCs w:val="20"/>
        </w:rPr>
        <w:t xml:space="preserve"> and</w:t>
      </w:r>
      <w:r w:rsidR="005D3F4C">
        <w:rPr>
          <w:rFonts w:ascii="Times New Roman" w:hAnsi="Times New Roman" w:cs="Times New Roman"/>
          <w:i/>
          <w:iCs/>
          <w:sz w:val="20"/>
          <w:szCs w:val="20"/>
        </w:rPr>
        <w:t xml:space="preserve"> </w:t>
      </w:r>
      <w:r w:rsidRPr="007317B3">
        <w:rPr>
          <w:rFonts w:ascii="Times New Roman" w:hAnsi="Times New Roman" w:cs="Times New Roman"/>
          <w:i/>
          <w:iCs/>
          <w:sz w:val="20"/>
          <w:szCs w:val="20"/>
        </w:rPr>
        <w:t xml:space="preserve">the TAKEDA </w:t>
      </w:r>
      <w:r w:rsidR="001B2AB5">
        <w:rPr>
          <w:rFonts w:ascii="Times New Roman" w:hAnsi="Times New Roman" w:cs="Times New Roman"/>
          <w:i/>
          <w:iCs/>
          <w:sz w:val="20"/>
          <w:szCs w:val="20"/>
        </w:rPr>
        <w:t>l</w:t>
      </w:r>
      <w:r w:rsidRPr="007317B3">
        <w:rPr>
          <w:rFonts w:ascii="Times New Roman" w:hAnsi="Times New Roman" w:cs="Times New Roman"/>
          <w:i/>
          <w:iCs/>
          <w:sz w:val="20"/>
          <w:szCs w:val="20"/>
        </w:rPr>
        <w:t>ogo</w:t>
      </w:r>
      <w:r w:rsidRPr="007317B3">
        <w:rPr>
          <w:rFonts w:ascii="Times New Roman" w:hAnsi="Times New Roman" w:cs="Times New Roman"/>
          <w:i/>
          <w:iCs/>
          <w:sz w:val="20"/>
          <w:szCs w:val="20"/>
          <w:vertAlign w:val="superscript"/>
        </w:rPr>
        <w:t>®</w:t>
      </w:r>
      <w:r w:rsidRPr="007317B3">
        <w:rPr>
          <w:rFonts w:ascii="Times New Roman" w:hAnsi="Times New Roman" w:cs="Times New Roman"/>
          <w:i/>
          <w:iCs/>
          <w:sz w:val="20"/>
          <w:szCs w:val="20"/>
        </w:rPr>
        <w:t xml:space="preserve"> are registered trademarks of Takeda Pharmaceutical Company Limited.</w:t>
      </w:r>
      <w:bookmarkEnd w:id="10"/>
    </w:p>
    <w:sectPr w:rsidR="00960CD5" w:rsidRPr="00E85E88" w:rsidSect="008D7CA8">
      <w:headerReference w:type="default" r:id="rId15"/>
      <w:footerReference w:type="default" r:id="rId16"/>
      <w:pgSz w:w="11906" w:h="16838"/>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FE65" w14:textId="77777777" w:rsidR="00FD2843" w:rsidRDefault="00FD2843" w:rsidP="001A3992">
      <w:pPr>
        <w:spacing w:after="0" w:line="240" w:lineRule="auto"/>
      </w:pPr>
      <w:r>
        <w:separator/>
      </w:r>
    </w:p>
  </w:endnote>
  <w:endnote w:type="continuationSeparator" w:id="0">
    <w:p w14:paraId="31D9514A" w14:textId="77777777" w:rsidR="00FD2843" w:rsidRDefault="00FD2843"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6B5BDB1F" w14:textId="7E009BC6" w:rsidR="00CA71E4" w:rsidRDefault="00D222A8" w:rsidP="00CA71E4">
        <w:pPr>
          <w:pStyle w:val="Footer"/>
        </w:pPr>
        <w:r>
          <w:pict w14:anchorId="100FE831">
            <v:rect id="_x0000_i1025" style="width:0;height:1.5pt" o:hralign="center" o:hrstd="t" o:hr="t" fillcolor="#a0a0a0" stroked="f"/>
          </w:pict>
        </w:r>
      </w:p>
      <w:p w14:paraId="64F17A95" w14:textId="2E4FE923" w:rsidR="00CA71E4" w:rsidRPr="00B8074A" w:rsidRDefault="00CA71E4" w:rsidP="001A48D4">
        <w:pPr>
          <w:pStyle w:val="Footer"/>
          <w:rPr>
            <w:sz w:val="20"/>
          </w:rPr>
        </w:pPr>
        <w:r>
          <w:t>LIVTENCITY PI V</w:t>
        </w:r>
        <w:r w:rsidR="000A0106">
          <w:t>1.0</w:t>
        </w:r>
        <w:r w:rsidR="005C3738">
          <w:t xml:space="preserve"> </w:t>
        </w:r>
        <w:r>
          <w:t xml:space="preserve">(CCDS V1.0)                                                                                                      </w:t>
        </w:r>
        <w:r w:rsidRPr="00B8074A">
          <w:rPr>
            <w:sz w:val="20"/>
          </w:rPr>
          <w:fldChar w:fldCharType="begin"/>
        </w:r>
        <w:r w:rsidRPr="00B8074A">
          <w:rPr>
            <w:sz w:val="20"/>
          </w:rPr>
          <w:instrText xml:space="preserve"> PAGE   \* MERGEFORMAT </w:instrText>
        </w:r>
        <w:r w:rsidRPr="00B8074A">
          <w:rPr>
            <w:sz w:val="20"/>
          </w:rPr>
          <w:fldChar w:fldCharType="separate"/>
        </w:r>
        <w:r>
          <w:rPr>
            <w:noProof/>
            <w:sz w:val="20"/>
          </w:rPr>
          <w:t>1</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FD581" w14:textId="77777777" w:rsidR="00FD2843" w:rsidRDefault="00FD2843" w:rsidP="001A3992">
      <w:pPr>
        <w:spacing w:after="0" w:line="240" w:lineRule="auto"/>
      </w:pPr>
      <w:r>
        <w:separator/>
      </w:r>
    </w:p>
  </w:footnote>
  <w:footnote w:type="continuationSeparator" w:id="0">
    <w:p w14:paraId="60FB3121" w14:textId="77777777" w:rsidR="00FD2843" w:rsidRDefault="00FD2843"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tblInd w:w="0" w:type="dxa"/>
      <w:shd w:val="clear" w:color="auto" w:fill="E4F2E0"/>
      <w:tblLook w:val="04A0" w:firstRow="1" w:lastRow="0" w:firstColumn="1" w:lastColumn="0" w:noHBand="0" w:noVBand="1"/>
    </w:tblPr>
    <w:tblGrid>
      <w:gridCol w:w="8720"/>
    </w:tblGrid>
    <w:tr w:rsidR="00F72388" w:rsidRPr="0077483F" w14:paraId="046E309B" w14:textId="77777777" w:rsidTr="00F7217C">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45A92145" w14:textId="2BB0990B" w:rsidR="00F72388" w:rsidRPr="0077483F" w:rsidRDefault="00F72388" w:rsidP="00F72388">
          <w:pPr>
            <w:spacing w:before="180" w:after="180" w:line="240" w:lineRule="atLeast"/>
            <w:rPr>
              <w:rFonts w:cs="Arial"/>
              <w:b/>
              <w:spacing w:val="-1"/>
              <w:sz w:val="18"/>
              <w:szCs w:val="18"/>
            </w:rPr>
          </w:pPr>
          <w:bookmarkStart w:id="11" w:name="_Hlk126587363"/>
          <w:r w:rsidRPr="0077483F">
            <w:rPr>
              <w:rFonts w:eastAsia="Calibri" w:cs="Arial"/>
              <w:b/>
              <w:spacing w:val="-1"/>
              <w:sz w:val="18"/>
              <w:szCs w:val="18"/>
            </w:rPr>
            <w:t xml:space="preserve">Attachment 1: Product information for </w:t>
          </w:r>
          <w:proofErr w:type="spellStart"/>
          <w:r w:rsidRPr="00F72388">
            <w:rPr>
              <w:rFonts w:eastAsia="Calibri" w:cs="Arial"/>
              <w:b/>
              <w:spacing w:val="-1"/>
              <w:sz w:val="18"/>
              <w:szCs w:val="18"/>
            </w:rPr>
            <w:t>AusPAR</w:t>
          </w:r>
          <w:proofErr w:type="spellEnd"/>
          <w:r w:rsidRPr="00F72388">
            <w:rPr>
              <w:rFonts w:eastAsia="Calibri" w:cs="Arial"/>
              <w:b/>
              <w:spacing w:val="-1"/>
              <w:sz w:val="18"/>
              <w:szCs w:val="18"/>
            </w:rPr>
            <w:t xml:space="preserve"> - </w:t>
          </w:r>
          <w:proofErr w:type="spellStart"/>
          <w:r w:rsidRPr="00F72388">
            <w:rPr>
              <w:rFonts w:eastAsia="Calibri" w:cs="Arial"/>
              <w:b/>
              <w:spacing w:val="-1"/>
              <w:sz w:val="18"/>
              <w:szCs w:val="18"/>
            </w:rPr>
            <w:t>Livtencity</w:t>
          </w:r>
          <w:proofErr w:type="spellEnd"/>
          <w:r w:rsidRPr="00F72388">
            <w:rPr>
              <w:rFonts w:eastAsia="Calibri" w:cs="Arial"/>
              <w:b/>
              <w:spacing w:val="-1"/>
              <w:sz w:val="18"/>
              <w:szCs w:val="18"/>
            </w:rPr>
            <w:t xml:space="preserve"> - </w:t>
          </w:r>
          <w:proofErr w:type="spellStart"/>
          <w:r w:rsidRPr="00F72388">
            <w:rPr>
              <w:rFonts w:eastAsia="Calibri" w:cs="Arial"/>
              <w:b/>
              <w:spacing w:val="-1"/>
              <w:sz w:val="18"/>
              <w:szCs w:val="18"/>
            </w:rPr>
            <w:t>maribavir</w:t>
          </w:r>
          <w:proofErr w:type="spellEnd"/>
          <w:r w:rsidRPr="00F72388">
            <w:rPr>
              <w:rFonts w:eastAsia="Calibri" w:cs="Arial"/>
              <w:b/>
              <w:spacing w:val="-1"/>
              <w:sz w:val="18"/>
              <w:szCs w:val="18"/>
            </w:rPr>
            <w:t xml:space="preserve"> – Takeda Pharmaceuticals Australia Pty Ltd - PM-2021-05396-1-2</w:t>
          </w:r>
          <w:r>
            <w:rPr>
              <w:rFonts w:eastAsia="Calibri" w:cs="Arial"/>
              <w:b/>
              <w:spacing w:val="-1"/>
              <w:sz w:val="18"/>
              <w:szCs w:val="18"/>
            </w:rPr>
            <w:t xml:space="preserve"> </w:t>
          </w:r>
          <w:r w:rsidRPr="00F72388">
            <w:rPr>
              <w:rFonts w:eastAsia="Calibri" w:cs="Arial"/>
              <w:b/>
              <w:spacing w:val="-1"/>
              <w:sz w:val="18"/>
              <w:szCs w:val="18"/>
            </w:rPr>
            <w:t>Final 25 May 2023</w:t>
          </w:r>
          <w:r w:rsidRPr="0077483F">
            <w:rPr>
              <w:rFonts w:eastAsia="Calibri" w:cs="Arial"/>
              <w:b/>
              <w:spacing w:val="-1"/>
              <w:sz w:val="18"/>
              <w:szCs w:val="18"/>
            </w:rPr>
            <w:t xml:space="preserve">. This is the Product Information that was approved with the submission described in this </w:t>
          </w:r>
          <w:proofErr w:type="spellStart"/>
          <w:r w:rsidRPr="0077483F">
            <w:rPr>
              <w:rFonts w:eastAsia="Calibri" w:cs="Arial"/>
              <w:b/>
              <w:spacing w:val="-1"/>
              <w:sz w:val="18"/>
              <w:szCs w:val="18"/>
            </w:rPr>
            <w:t>AusPAR</w:t>
          </w:r>
          <w:proofErr w:type="spellEnd"/>
          <w:r w:rsidRPr="0077483F">
            <w:rPr>
              <w:rFonts w:eastAsia="Calibri" w:cs="Arial"/>
              <w:b/>
              <w:spacing w:val="-1"/>
              <w:sz w:val="18"/>
              <w:szCs w:val="18"/>
            </w:rPr>
            <w:t>. It may have been superseded. For the most recent PI, please refer to the TGA website at &lt;</w:t>
          </w:r>
          <w:hyperlink r:id="rId1" w:history="1">
            <w:r w:rsidRPr="0077483F">
              <w:rPr>
                <w:rFonts w:eastAsia="Calibri" w:cs="Arial"/>
                <w:b/>
                <w:color w:val="0000FF"/>
                <w:spacing w:val="-1"/>
                <w:sz w:val="18"/>
                <w:szCs w:val="18"/>
                <w:u w:val="single"/>
              </w:rPr>
              <w:t>https://www.tga.gov.au/products/australian-register-therapeutic-goods-artg/product-information-one</w:t>
            </w:r>
          </w:hyperlink>
          <w:r w:rsidRPr="0077483F">
            <w:rPr>
              <w:rFonts w:eastAsia="Calibri" w:cs="Arial"/>
              <w:b/>
              <w:spacing w:val="-1"/>
              <w:sz w:val="18"/>
              <w:szCs w:val="18"/>
            </w:rPr>
            <w:t>&gt;</w:t>
          </w:r>
        </w:p>
      </w:tc>
      <w:bookmarkEnd w:id="11"/>
    </w:tr>
  </w:tbl>
  <w:p w14:paraId="455E413A" w14:textId="0DA9C9A3" w:rsidR="00F72388" w:rsidRDefault="00F72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4D0259"/>
    <w:multiLevelType w:val="hybridMultilevel"/>
    <w:tmpl w:val="1E36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A11BD"/>
    <w:multiLevelType w:val="hybridMultilevel"/>
    <w:tmpl w:val="61184F54"/>
    <w:lvl w:ilvl="0" w:tplc="93EC382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F0A49"/>
    <w:multiLevelType w:val="hybridMultilevel"/>
    <w:tmpl w:val="9D6CB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6FD7C49"/>
    <w:multiLevelType w:val="hybridMultilevel"/>
    <w:tmpl w:val="B9AED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47646D3"/>
    <w:multiLevelType w:val="hybridMultilevel"/>
    <w:tmpl w:val="BBB4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636DE"/>
    <w:multiLevelType w:val="hybridMultilevel"/>
    <w:tmpl w:val="D6C00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C256F0"/>
    <w:multiLevelType w:val="hybridMultilevel"/>
    <w:tmpl w:val="6CA8D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62296B"/>
    <w:multiLevelType w:val="hybridMultilevel"/>
    <w:tmpl w:val="63260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7"/>
  </w:num>
  <w:num w:numId="5">
    <w:abstractNumId w:val="17"/>
  </w:num>
  <w:num w:numId="6">
    <w:abstractNumId w:val="14"/>
  </w:num>
  <w:num w:numId="7">
    <w:abstractNumId w:val="11"/>
  </w:num>
  <w:num w:numId="8">
    <w:abstractNumId w:val="15"/>
  </w:num>
  <w:num w:numId="9">
    <w:abstractNumId w:val="2"/>
  </w:num>
  <w:num w:numId="10">
    <w:abstractNumId w:val="10"/>
  </w:num>
  <w:num w:numId="11">
    <w:abstractNumId w:val="8"/>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6"/>
  </w:num>
  <w:num w:numId="22">
    <w:abstractNumId w:val="3"/>
  </w:num>
  <w:num w:numId="23">
    <w:abstractNumId w:val="12"/>
  </w:num>
  <w:num w:numId="24">
    <w:abstractNumId w:val="4"/>
  </w:num>
  <w:num w:numId="25">
    <w:abstractNumId w:val="9"/>
  </w:num>
  <w:num w:numId="26">
    <w:abstractNumId w:val="16"/>
  </w:num>
  <w:num w:numId="27">
    <w:abstractNumId w:val="5"/>
  </w:num>
  <w:num w:numId="28">
    <w:abstractNumId w:val="13"/>
  </w:num>
  <w:num w:numId="29">
    <w:abstractNumId w:val="1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00"/>
    <w:rsid w:val="000011CA"/>
    <w:rsid w:val="0000120A"/>
    <w:rsid w:val="000023CE"/>
    <w:rsid w:val="00003B81"/>
    <w:rsid w:val="000052A9"/>
    <w:rsid w:val="000064A5"/>
    <w:rsid w:val="000117C3"/>
    <w:rsid w:val="00014468"/>
    <w:rsid w:val="00015FE5"/>
    <w:rsid w:val="00020911"/>
    <w:rsid w:val="00022997"/>
    <w:rsid w:val="00026D8F"/>
    <w:rsid w:val="000275CC"/>
    <w:rsid w:val="00031F66"/>
    <w:rsid w:val="0003691B"/>
    <w:rsid w:val="000411B4"/>
    <w:rsid w:val="000414E6"/>
    <w:rsid w:val="00042302"/>
    <w:rsid w:val="00042B9B"/>
    <w:rsid w:val="000437F9"/>
    <w:rsid w:val="00054394"/>
    <w:rsid w:val="0005794C"/>
    <w:rsid w:val="000609EA"/>
    <w:rsid w:val="00060F10"/>
    <w:rsid w:val="00065064"/>
    <w:rsid w:val="00065F38"/>
    <w:rsid w:val="0006714C"/>
    <w:rsid w:val="00070134"/>
    <w:rsid w:val="00070585"/>
    <w:rsid w:val="000713C0"/>
    <w:rsid w:val="000745F7"/>
    <w:rsid w:val="00082A14"/>
    <w:rsid w:val="000831D9"/>
    <w:rsid w:val="000848F8"/>
    <w:rsid w:val="00084963"/>
    <w:rsid w:val="0009048B"/>
    <w:rsid w:val="000904C4"/>
    <w:rsid w:val="00092F67"/>
    <w:rsid w:val="00093312"/>
    <w:rsid w:val="00093E0D"/>
    <w:rsid w:val="000A0057"/>
    <w:rsid w:val="000A0106"/>
    <w:rsid w:val="000A37CF"/>
    <w:rsid w:val="000A5541"/>
    <w:rsid w:val="000A610E"/>
    <w:rsid w:val="000A70B5"/>
    <w:rsid w:val="000B05F0"/>
    <w:rsid w:val="000B4681"/>
    <w:rsid w:val="000B5F86"/>
    <w:rsid w:val="000B7818"/>
    <w:rsid w:val="000C1710"/>
    <w:rsid w:val="000C1FCA"/>
    <w:rsid w:val="000C468A"/>
    <w:rsid w:val="000D049D"/>
    <w:rsid w:val="000D2E0B"/>
    <w:rsid w:val="000D652C"/>
    <w:rsid w:val="000E33C4"/>
    <w:rsid w:val="000E5AEA"/>
    <w:rsid w:val="000F1A72"/>
    <w:rsid w:val="000F4F65"/>
    <w:rsid w:val="000F5488"/>
    <w:rsid w:val="00100C36"/>
    <w:rsid w:val="00112B63"/>
    <w:rsid w:val="001136F4"/>
    <w:rsid w:val="001220F4"/>
    <w:rsid w:val="00130214"/>
    <w:rsid w:val="0013185B"/>
    <w:rsid w:val="00131868"/>
    <w:rsid w:val="00132345"/>
    <w:rsid w:val="00132804"/>
    <w:rsid w:val="001328A9"/>
    <w:rsid w:val="001332DB"/>
    <w:rsid w:val="00133F83"/>
    <w:rsid w:val="00136DF9"/>
    <w:rsid w:val="00137BDC"/>
    <w:rsid w:val="00140C9B"/>
    <w:rsid w:val="001415DB"/>
    <w:rsid w:val="00141D13"/>
    <w:rsid w:val="001429F2"/>
    <w:rsid w:val="00142DBB"/>
    <w:rsid w:val="00143124"/>
    <w:rsid w:val="0014378B"/>
    <w:rsid w:val="00146182"/>
    <w:rsid w:val="001556FC"/>
    <w:rsid w:val="00155A24"/>
    <w:rsid w:val="0016581B"/>
    <w:rsid w:val="00166DCF"/>
    <w:rsid w:val="0017296C"/>
    <w:rsid w:val="00176079"/>
    <w:rsid w:val="001767DC"/>
    <w:rsid w:val="0018056D"/>
    <w:rsid w:val="0019258F"/>
    <w:rsid w:val="00194128"/>
    <w:rsid w:val="0019516C"/>
    <w:rsid w:val="001A0071"/>
    <w:rsid w:val="001A0A04"/>
    <w:rsid w:val="001A28FA"/>
    <w:rsid w:val="001A300C"/>
    <w:rsid w:val="001A3992"/>
    <w:rsid w:val="001A48D4"/>
    <w:rsid w:val="001A576B"/>
    <w:rsid w:val="001A64BB"/>
    <w:rsid w:val="001B2AB5"/>
    <w:rsid w:val="001B3457"/>
    <w:rsid w:val="001B65D3"/>
    <w:rsid w:val="001C05B7"/>
    <w:rsid w:val="001C0C56"/>
    <w:rsid w:val="001C0EC2"/>
    <w:rsid w:val="001C25FF"/>
    <w:rsid w:val="001C3B32"/>
    <w:rsid w:val="001C4CA0"/>
    <w:rsid w:val="001C55F8"/>
    <w:rsid w:val="001C5AE1"/>
    <w:rsid w:val="001C6A7E"/>
    <w:rsid w:val="001C784A"/>
    <w:rsid w:val="001C7ED8"/>
    <w:rsid w:val="001D18AA"/>
    <w:rsid w:val="001D3464"/>
    <w:rsid w:val="001D488A"/>
    <w:rsid w:val="001D7A23"/>
    <w:rsid w:val="001E20A2"/>
    <w:rsid w:val="001E73FE"/>
    <w:rsid w:val="001F1571"/>
    <w:rsid w:val="001F4A46"/>
    <w:rsid w:val="001F687F"/>
    <w:rsid w:val="001F7BD7"/>
    <w:rsid w:val="002036AF"/>
    <w:rsid w:val="00205C06"/>
    <w:rsid w:val="00205D96"/>
    <w:rsid w:val="00206F96"/>
    <w:rsid w:val="00207E97"/>
    <w:rsid w:val="00211D46"/>
    <w:rsid w:val="0021200F"/>
    <w:rsid w:val="002151BA"/>
    <w:rsid w:val="002168D6"/>
    <w:rsid w:val="00216BAA"/>
    <w:rsid w:val="00217F07"/>
    <w:rsid w:val="002219EB"/>
    <w:rsid w:val="00222153"/>
    <w:rsid w:val="002239FD"/>
    <w:rsid w:val="002274CB"/>
    <w:rsid w:val="002307F2"/>
    <w:rsid w:val="00231402"/>
    <w:rsid w:val="00233E9B"/>
    <w:rsid w:val="00234FDE"/>
    <w:rsid w:val="00235FE9"/>
    <w:rsid w:val="00237A80"/>
    <w:rsid w:val="00237D68"/>
    <w:rsid w:val="00243B01"/>
    <w:rsid w:val="002444E6"/>
    <w:rsid w:val="002475B0"/>
    <w:rsid w:val="00250F01"/>
    <w:rsid w:val="00251BEA"/>
    <w:rsid w:val="00251FF8"/>
    <w:rsid w:val="00253406"/>
    <w:rsid w:val="00253F80"/>
    <w:rsid w:val="0025438C"/>
    <w:rsid w:val="00270732"/>
    <w:rsid w:val="002823C5"/>
    <w:rsid w:val="00285173"/>
    <w:rsid w:val="00286668"/>
    <w:rsid w:val="002903B2"/>
    <w:rsid w:val="00291866"/>
    <w:rsid w:val="00292A8F"/>
    <w:rsid w:val="0029687F"/>
    <w:rsid w:val="002A68F1"/>
    <w:rsid w:val="002B1038"/>
    <w:rsid w:val="002B7ADB"/>
    <w:rsid w:val="002C40D5"/>
    <w:rsid w:val="002D6763"/>
    <w:rsid w:val="002D74B6"/>
    <w:rsid w:val="002E277D"/>
    <w:rsid w:val="002E41DB"/>
    <w:rsid w:val="002E428C"/>
    <w:rsid w:val="002E452C"/>
    <w:rsid w:val="002E525B"/>
    <w:rsid w:val="002E5381"/>
    <w:rsid w:val="002F0660"/>
    <w:rsid w:val="002F0DE0"/>
    <w:rsid w:val="002F243B"/>
    <w:rsid w:val="00300124"/>
    <w:rsid w:val="0030381B"/>
    <w:rsid w:val="00305ABF"/>
    <w:rsid w:val="0030646C"/>
    <w:rsid w:val="00306923"/>
    <w:rsid w:val="00306C41"/>
    <w:rsid w:val="00307038"/>
    <w:rsid w:val="003077CB"/>
    <w:rsid w:val="00307C22"/>
    <w:rsid w:val="0031028F"/>
    <w:rsid w:val="00313D5A"/>
    <w:rsid w:val="00313EFD"/>
    <w:rsid w:val="0031524B"/>
    <w:rsid w:val="0031536F"/>
    <w:rsid w:val="00320751"/>
    <w:rsid w:val="0032326B"/>
    <w:rsid w:val="00333B78"/>
    <w:rsid w:val="0033577A"/>
    <w:rsid w:val="0034676C"/>
    <w:rsid w:val="0034722A"/>
    <w:rsid w:val="00347A63"/>
    <w:rsid w:val="00347CD7"/>
    <w:rsid w:val="00347F0D"/>
    <w:rsid w:val="0035056A"/>
    <w:rsid w:val="00350A8F"/>
    <w:rsid w:val="00354E0A"/>
    <w:rsid w:val="003565CD"/>
    <w:rsid w:val="003567D4"/>
    <w:rsid w:val="00364096"/>
    <w:rsid w:val="003642C6"/>
    <w:rsid w:val="00366BE3"/>
    <w:rsid w:val="00366E1E"/>
    <w:rsid w:val="00374A15"/>
    <w:rsid w:val="00374BC5"/>
    <w:rsid w:val="00375494"/>
    <w:rsid w:val="00375DF3"/>
    <w:rsid w:val="00376817"/>
    <w:rsid w:val="0037716C"/>
    <w:rsid w:val="00381E5A"/>
    <w:rsid w:val="00384B6C"/>
    <w:rsid w:val="0038563D"/>
    <w:rsid w:val="00385DA2"/>
    <w:rsid w:val="00386169"/>
    <w:rsid w:val="00386E13"/>
    <w:rsid w:val="0039012E"/>
    <w:rsid w:val="003934B4"/>
    <w:rsid w:val="003956D0"/>
    <w:rsid w:val="00397166"/>
    <w:rsid w:val="003A006A"/>
    <w:rsid w:val="003A4DFC"/>
    <w:rsid w:val="003A5960"/>
    <w:rsid w:val="003B22C6"/>
    <w:rsid w:val="003B25A4"/>
    <w:rsid w:val="003B4195"/>
    <w:rsid w:val="003B5D4C"/>
    <w:rsid w:val="003B7415"/>
    <w:rsid w:val="003B76D8"/>
    <w:rsid w:val="003C02CE"/>
    <w:rsid w:val="003C1E02"/>
    <w:rsid w:val="003C31B3"/>
    <w:rsid w:val="003C5DD1"/>
    <w:rsid w:val="003C6950"/>
    <w:rsid w:val="003C7805"/>
    <w:rsid w:val="003D01DB"/>
    <w:rsid w:val="003D1907"/>
    <w:rsid w:val="003D30E0"/>
    <w:rsid w:val="003D54AC"/>
    <w:rsid w:val="003D72FC"/>
    <w:rsid w:val="003E08BA"/>
    <w:rsid w:val="003E2864"/>
    <w:rsid w:val="003E5BC5"/>
    <w:rsid w:val="003E73C2"/>
    <w:rsid w:val="003F604A"/>
    <w:rsid w:val="003F79A8"/>
    <w:rsid w:val="00401AE2"/>
    <w:rsid w:val="00401EBA"/>
    <w:rsid w:val="00407EF8"/>
    <w:rsid w:val="00412379"/>
    <w:rsid w:val="004143B7"/>
    <w:rsid w:val="00414EF5"/>
    <w:rsid w:val="004160A5"/>
    <w:rsid w:val="0042071E"/>
    <w:rsid w:val="00420A26"/>
    <w:rsid w:val="004249D3"/>
    <w:rsid w:val="00424ECF"/>
    <w:rsid w:val="00426B57"/>
    <w:rsid w:val="00431ACD"/>
    <w:rsid w:val="00431B7A"/>
    <w:rsid w:val="004329DC"/>
    <w:rsid w:val="004365C5"/>
    <w:rsid w:val="004462B9"/>
    <w:rsid w:val="00450A0E"/>
    <w:rsid w:val="00452AFB"/>
    <w:rsid w:val="0045367F"/>
    <w:rsid w:val="00453A78"/>
    <w:rsid w:val="00456121"/>
    <w:rsid w:val="0046263F"/>
    <w:rsid w:val="00463FBD"/>
    <w:rsid w:val="00464929"/>
    <w:rsid w:val="0047337E"/>
    <w:rsid w:val="004738E3"/>
    <w:rsid w:val="004744BE"/>
    <w:rsid w:val="00475938"/>
    <w:rsid w:val="004843F1"/>
    <w:rsid w:val="00486435"/>
    <w:rsid w:val="0049269E"/>
    <w:rsid w:val="00492FE1"/>
    <w:rsid w:val="00493B5B"/>
    <w:rsid w:val="00495965"/>
    <w:rsid w:val="00497FE3"/>
    <w:rsid w:val="004B0E88"/>
    <w:rsid w:val="004B1438"/>
    <w:rsid w:val="004B1D0D"/>
    <w:rsid w:val="004B2533"/>
    <w:rsid w:val="004B3E76"/>
    <w:rsid w:val="004B4F82"/>
    <w:rsid w:val="004B5CC4"/>
    <w:rsid w:val="004B5F8E"/>
    <w:rsid w:val="004B6B19"/>
    <w:rsid w:val="004C55C1"/>
    <w:rsid w:val="004C7838"/>
    <w:rsid w:val="004D2A46"/>
    <w:rsid w:val="004D36B6"/>
    <w:rsid w:val="004D439A"/>
    <w:rsid w:val="004E059E"/>
    <w:rsid w:val="004E3709"/>
    <w:rsid w:val="004E3D50"/>
    <w:rsid w:val="004E6265"/>
    <w:rsid w:val="004F27AC"/>
    <w:rsid w:val="004F3A8F"/>
    <w:rsid w:val="004F6051"/>
    <w:rsid w:val="004F670E"/>
    <w:rsid w:val="00500932"/>
    <w:rsid w:val="00500BD2"/>
    <w:rsid w:val="005025C9"/>
    <w:rsid w:val="00503E13"/>
    <w:rsid w:val="0050683D"/>
    <w:rsid w:val="0050756F"/>
    <w:rsid w:val="00507961"/>
    <w:rsid w:val="00507984"/>
    <w:rsid w:val="00511169"/>
    <w:rsid w:val="00511E9F"/>
    <w:rsid w:val="00514E75"/>
    <w:rsid w:val="0051519B"/>
    <w:rsid w:val="005160D7"/>
    <w:rsid w:val="00516BC5"/>
    <w:rsid w:val="00520574"/>
    <w:rsid w:val="00532D68"/>
    <w:rsid w:val="0053309D"/>
    <w:rsid w:val="00537BA1"/>
    <w:rsid w:val="00540FEC"/>
    <w:rsid w:val="00541358"/>
    <w:rsid w:val="005464D3"/>
    <w:rsid w:val="005468E7"/>
    <w:rsid w:val="005515CF"/>
    <w:rsid w:val="00551F29"/>
    <w:rsid w:val="00552459"/>
    <w:rsid w:val="0055357E"/>
    <w:rsid w:val="00557245"/>
    <w:rsid w:val="005600EB"/>
    <w:rsid w:val="00560A8D"/>
    <w:rsid w:val="00560B5C"/>
    <w:rsid w:val="0056216D"/>
    <w:rsid w:val="0056264C"/>
    <w:rsid w:val="005631DF"/>
    <w:rsid w:val="00563CF4"/>
    <w:rsid w:val="0057529B"/>
    <w:rsid w:val="00577826"/>
    <w:rsid w:val="0058168B"/>
    <w:rsid w:val="00583233"/>
    <w:rsid w:val="00584BFC"/>
    <w:rsid w:val="0059372A"/>
    <w:rsid w:val="00594114"/>
    <w:rsid w:val="0059680E"/>
    <w:rsid w:val="005A042A"/>
    <w:rsid w:val="005A1CCF"/>
    <w:rsid w:val="005A3A68"/>
    <w:rsid w:val="005A3D14"/>
    <w:rsid w:val="005A56AF"/>
    <w:rsid w:val="005B08D5"/>
    <w:rsid w:val="005B09A7"/>
    <w:rsid w:val="005B0D1A"/>
    <w:rsid w:val="005B2812"/>
    <w:rsid w:val="005B298A"/>
    <w:rsid w:val="005B2C94"/>
    <w:rsid w:val="005B3811"/>
    <w:rsid w:val="005B497A"/>
    <w:rsid w:val="005B51B3"/>
    <w:rsid w:val="005B5B4B"/>
    <w:rsid w:val="005C3738"/>
    <w:rsid w:val="005C5C44"/>
    <w:rsid w:val="005C668D"/>
    <w:rsid w:val="005D2BBE"/>
    <w:rsid w:val="005D2D4D"/>
    <w:rsid w:val="005D3676"/>
    <w:rsid w:val="005D3F4C"/>
    <w:rsid w:val="005D4CBF"/>
    <w:rsid w:val="005E13A7"/>
    <w:rsid w:val="005E3205"/>
    <w:rsid w:val="005E3ECD"/>
    <w:rsid w:val="005F2091"/>
    <w:rsid w:val="005F5D7A"/>
    <w:rsid w:val="006018AE"/>
    <w:rsid w:val="0060754F"/>
    <w:rsid w:val="00607923"/>
    <w:rsid w:val="00610D1E"/>
    <w:rsid w:val="0061191B"/>
    <w:rsid w:val="006125A7"/>
    <w:rsid w:val="0061338B"/>
    <w:rsid w:val="006133C3"/>
    <w:rsid w:val="00614BB5"/>
    <w:rsid w:val="0062182C"/>
    <w:rsid w:val="00625B45"/>
    <w:rsid w:val="00626441"/>
    <w:rsid w:val="00632698"/>
    <w:rsid w:val="00636169"/>
    <w:rsid w:val="006367D8"/>
    <w:rsid w:val="006410CF"/>
    <w:rsid w:val="00641428"/>
    <w:rsid w:val="00643FAB"/>
    <w:rsid w:val="006442BB"/>
    <w:rsid w:val="006471CB"/>
    <w:rsid w:val="00647C81"/>
    <w:rsid w:val="006500E6"/>
    <w:rsid w:val="006524F8"/>
    <w:rsid w:val="00654C36"/>
    <w:rsid w:val="0065504A"/>
    <w:rsid w:val="006552EF"/>
    <w:rsid w:val="00657523"/>
    <w:rsid w:val="00660810"/>
    <w:rsid w:val="0066082B"/>
    <w:rsid w:val="00661CC4"/>
    <w:rsid w:val="006621C4"/>
    <w:rsid w:val="0066240D"/>
    <w:rsid w:val="0067028B"/>
    <w:rsid w:val="00671FB3"/>
    <w:rsid w:val="00673D4B"/>
    <w:rsid w:val="006741B0"/>
    <w:rsid w:val="00674F54"/>
    <w:rsid w:val="00675A39"/>
    <w:rsid w:val="006815C1"/>
    <w:rsid w:val="006863BF"/>
    <w:rsid w:val="006864D9"/>
    <w:rsid w:val="006865B3"/>
    <w:rsid w:val="006912F0"/>
    <w:rsid w:val="006954EF"/>
    <w:rsid w:val="006A3978"/>
    <w:rsid w:val="006A4486"/>
    <w:rsid w:val="006A4C42"/>
    <w:rsid w:val="006B2579"/>
    <w:rsid w:val="006B331D"/>
    <w:rsid w:val="006B54FC"/>
    <w:rsid w:val="006B66D0"/>
    <w:rsid w:val="006C4BE0"/>
    <w:rsid w:val="006C51CF"/>
    <w:rsid w:val="006C696D"/>
    <w:rsid w:val="006C6F04"/>
    <w:rsid w:val="006D194B"/>
    <w:rsid w:val="006D318B"/>
    <w:rsid w:val="006D38E5"/>
    <w:rsid w:val="006D65DA"/>
    <w:rsid w:val="006E5C14"/>
    <w:rsid w:val="006E639F"/>
    <w:rsid w:val="006F1D66"/>
    <w:rsid w:val="006F3DC7"/>
    <w:rsid w:val="006F4891"/>
    <w:rsid w:val="0070302A"/>
    <w:rsid w:val="007031F3"/>
    <w:rsid w:val="0070357E"/>
    <w:rsid w:val="0070733C"/>
    <w:rsid w:val="0071446D"/>
    <w:rsid w:val="007144E7"/>
    <w:rsid w:val="00715F0D"/>
    <w:rsid w:val="0071623E"/>
    <w:rsid w:val="0071648E"/>
    <w:rsid w:val="0072393E"/>
    <w:rsid w:val="00724D59"/>
    <w:rsid w:val="007311E0"/>
    <w:rsid w:val="007317B3"/>
    <w:rsid w:val="00733122"/>
    <w:rsid w:val="00733BDB"/>
    <w:rsid w:val="00733E33"/>
    <w:rsid w:val="00734579"/>
    <w:rsid w:val="00740A49"/>
    <w:rsid w:val="00742C8B"/>
    <w:rsid w:val="007551B5"/>
    <w:rsid w:val="00755AB8"/>
    <w:rsid w:val="00755ED5"/>
    <w:rsid w:val="00755F54"/>
    <w:rsid w:val="0075790A"/>
    <w:rsid w:val="00760377"/>
    <w:rsid w:val="00764F9E"/>
    <w:rsid w:val="0076775F"/>
    <w:rsid w:val="00770C00"/>
    <w:rsid w:val="00771807"/>
    <w:rsid w:val="00772DA0"/>
    <w:rsid w:val="00772EFA"/>
    <w:rsid w:val="00774435"/>
    <w:rsid w:val="007750BF"/>
    <w:rsid w:val="00776816"/>
    <w:rsid w:val="007810C0"/>
    <w:rsid w:val="007853C5"/>
    <w:rsid w:val="00786908"/>
    <w:rsid w:val="007870B4"/>
    <w:rsid w:val="00792B1B"/>
    <w:rsid w:val="00793B4F"/>
    <w:rsid w:val="00795E0C"/>
    <w:rsid w:val="00795F2E"/>
    <w:rsid w:val="007971D1"/>
    <w:rsid w:val="00797D3A"/>
    <w:rsid w:val="007A088D"/>
    <w:rsid w:val="007A2EF0"/>
    <w:rsid w:val="007B4697"/>
    <w:rsid w:val="007B52EB"/>
    <w:rsid w:val="007B5BB1"/>
    <w:rsid w:val="007C0E08"/>
    <w:rsid w:val="007C50B0"/>
    <w:rsid w:val="007C54B8"/>
    <w:rsid w:val="007C5855"/>
    <w:rsid w:val="007C66C8"/>
    <w:rsid w:val="007C7531"/>
    <w:rsid w:val="007D55B4"/>
    <w:rsid w:val="007E0D30"/>
    <w:rsid w:val="007E0EE1"/>
    <w:rsid w:val="007E1D17"/>
    <w:rsid w:val="007E6BE1"/>
    <w:rsid w:val="007E7AAB"/>
    <w:rsid w:val="007E7BB7"/>
    <w:rsid w:val="007F0C8E"/>
    <w:rsid w:val="007F2891"/>
    <w:rsid w:val="007F77F3"/>
    <w:rsid w:val="008031A2"/>
    <w:rsid w:val="00806279"/>
    <w:rsid w:val="0080753D"/>
    <w:rsid w:val="008106D6"/>
    <w:rsid w:val="008129B7"/>
    <w:rsid w:val="00816B45"/>
    <w:rsid w:val="00821F2A"/>
    <w:rsid w:val="008238DC"/>
    <w:rsid w:val="00826D2E"/>
    <w:rsid w:val="00830586"/>
    <w:rsid w:val="0083348A"/>
    <w:rsid w:val="00833B65"/>
    <w:rsid w:val="00833D22"/>
    <w:rsid w:val="00834235"/>
    <w:rsid w:val="0083438B"/>
    <w:rsid w:val="00834D63"/>
    <w:rsid w:val="00835AB0"/>
    <w:rsid w:val="00836D9E"/>
    <w:rsid w:val="0084130C"/>
    <w:rsid w:val="008430E4"/>
    <w:rsid w:val="008443DA"/>
    <w:rsid w:val="0085189D"/>
    <w:rsid w:val="008543BD"/>
    <w:rsid w:val="00860E66"/>
    <w:rsid w:val="00861AD1"/>
    <w:rsid w:val="00861D8D"/>
    <w:rsid w:val="00862891"/>
    <w:rsid w:val="008629C0"/>
    <w:rsid w:val="008643DA"/>
    <w:rsid w:val="00872059"/>
    <w:rsid w:val="0087316C"/>
    <w:rsid w:val="00875F5C"/>
    <w:rsid w:val="008836BC"/>
    <w:rsid w:val="00892044"/>
    <w:rsid w:val="008A2898"/>
    <w:rsid w:val="008A5DA3"/>
    <w:rsid w:val="008A78EE"/>
    <w:rsid w:val="008B2870"/>
    <w:rsid w:val="008B3A3D"/>
    <w:rsid w:val="008B3CCD"/>
    <w:rsid w:val="008B4085"/>
    <w:rsid w:val="008C3B4F"/>
    <w:rsid w:val="008C3C39"/>
    <w:rsid w:val="008C4AD3"/>
    <w:rsid w:val="008C4E30"/>
    <w:rsid w:val="008C7DFA"/>
    <w:rsid w:val="008D043B"/>
    <w:rsid w:val="008D7CA8"/>
    <w:rsid w:val="008E7C10"/>
    <w:rsid w:val="008F1A1B"/>
    <w:rsid w:val="008F1CA2"/>
    <w:rsid w:val="008F3E63"/>
    <w:rsid w:val="008F3F02"/>
    <w:rsid w:val="008F4D23"/>
    <w:rsid w:val="008F51E4"/>
    <w:rsid w:val="00902AAF"/>
    <w:rsid w:val="00902DFC"/>
    <w:rsid w:val="00903063"/>
    <w:rsid w:val="009040DC"/>
    <w:rsid w:val="00905FE6"/>
    <w:rsid w:val="00907141"/>
    <w:rsid w:val="00910E8F"/>
    <w:rsid w:val="009118BE"/>
    <w:rsid w:val="00913E33"/>
    <w:rsid w:val="00914FB7"/>
    <w:rsid w:val="00917048"/>
    <w:rsid w:val="00921BE9"/>
    <w:rsid w:val="00921C67"/>
    <w:rsid w:val="00922865"/>
    <w:rsid w:val="00923EDD"/>
    <w:rsid w:val="009244EC"/>
    <w:rsid w:val="009323B8"/>
    <w:rsid w:val="0093399B"/>
    <w:rsid w:val="00935D64"/>
    <w:rsid w:val="00935EF3"/>
    <w:rsid w:val="009407C2"/>
    <w:rsid w:val="00940899"/>
    <w:rsid w:val="00941219"/>
    <w:rsid w:val="00942231"/>
    <w:rsid w:val="00945B82"/>
    <w:rsid w:val="00946761"/>
    <w:rsid w:val="009469B7"/>
    <w:rsid w:val="0095408B"/>
    <w:rsid w:val="009561CD"/>
    <w:rsid w:val="009600EB"/>
    <w:rsid w:val="00960CD5"/>
    <w:rsid w:val="00960E5C"/>
    <w:rsid w:val="0096314E"/>
    <w:rsid w:val="0096407E"/>
    <w:rsid w:val="0096526E"/>
    <w:rsid w:val="0096653C"/>
    <w:rsid w:val="00966DFA"/>
    <w:rsid w:val="0096751E"/>
    <w:rsid w:val="00974F5D"/>
    <w:rsid w:val="0097557F"/>
    <w:rsid w:val="00975CEC"/>
    <w:rsid w:val="00976179"/>
    <w:rsid w:val="009859C7"/>
    <w:rsid w:val="009903D2"/>
    <w:rsid w:val="009967F9"/>
    <w:rsid w:val="00996FD9"/>
    <w:rsid w:val="009A0976"/>
    <w:rsid w:val="009A1B3F"/>
    <w:rsid w:val="009A2066"/>
    <w:rsid w:val="009A2A5C"/>
    <w:rsid w:val="009A38A6"/>
    <w:rsid w:val="009A474C"/>
    <w:rsid w:val="009A4D29"/>
    <w:rsid w:val="009A600B"/>
    <w:rsid w:val="009B6753"/>
    <w:rsid w:val="009C07D1"/>
    <w:rsid w:val="009C1A82"/>
    <w:rsid w:val="009C3179"/>
    <w:rsid w:val="009C5D64"/>
    <w:rsid w:val="009C6FF0"/>
    <w:rsid w:val="009D0F3E"/>
    <w:rsid w:val="009D1343"/>
    <w:rsid w:val="009D1EFB"/>
    <w:rsid w:val="009D35ED"/>
    <w:rsid w:val="009D435B"/>
    <w:rsid w:val="009D49EE"/>
    <w:rsid w:val="009D6062"/>
    <w:rsid w:val="009E1D89"/>
    <w:rsid w:val="009E1F6A"/>
    <w:rsid w:val="009E46C5"/>
    <w:rsid w:val="009E6411"/>
    <w:rsid w:val="009E7D03"/>
    <w:rsid w:val="009F08C7"/>
    <w:rsid w:val="009F1746"/>
    <w:rsid w:val="00A01C32"/>
    <w:rsid w:val="00A03D77"/>
    <w:rsid w:val="00A05984"/>
    <w:rsid w:val="00A07226"/>
    <w:rsid w:val="00A07D57"/>
    <w:rsid w:val="00A1190B"/>
    <w:rsid w:val="00A11D91"/>
    <w:rsid w:val="00A12149"/>
    <w:rsid w:val="00A15EAA"/>
    <w:rsid w:val="00A178CE"/>
    <w:rsid w:val="00A26566"/>
    <w:rsid w:val="00A32C87"/>
    <w:rsid w:val="00A3393F"/>
    <w:rsid w:val="00A35403"/>
    <w:rsid w:val="00A35BCF"/>
    <w:rsid w:val="00A4229F"/>
    <w:rsid w:val="00A44275"/>
    <w:rsid w:val="00A44F0F"/>
    <w:rsid w:val="00A473F8"/>
    <w:rsid w:val="00A501DD"/>
    <w:rsid w:val="00A50DCC"/>
    <w:rsid w:val="00A51DB0"/>
    <w:rsid w:val="00A56A0B"/>
    <w:rsid w:val="00A56F3F"/>
    <w:rsid w:val="00A60254"/>
    <w:rsid w:val="00A61264"/>
    <w:rsid w:val="00A64430"/>
    <w:rsid w:val="00A64655"/>
    <w:rsid w:val="00A64AE0"/>
    <w:rsid w:val="00A64B61"/>
    <w:rsid w:val="00A727F4"/>
    <w:rsid w:val="00A86556"/>
    <w:rsid w:val="00A87CE9"/>
    <w:rsid w:val="00A923AC"/>
    <w:rsid w:val="00A93C48"/>
    <w:rsid w:val="00A942B8"/>
    <w:rsid w:val="00A959D4"/>
    <w:rsid w:val="00AA5658"/>
    <w:rsid w:val="00AA7501"/>
    <w:rsid w:val="00AB07B7"/>
    <w:rsid w:val="00AB29B0"/>
    <w:rsid w:val="00AB2A67"/>
    <w:rsid w:val="00AB2B13"/>
    <w:rsid w:val="00AC068B"/>
    <w:rsid w:val="00AC1C24"/>
    <w:rsid w:val="00AC325D"/>
    <w:rsid w:val="00AC37B1"/>
    <w:rsid w:val="00AC6230"/>
    <w:rsid w:val="00AD0693"/>
    <w:rsid w:val="00AD0777"/>
    <w:rsid w:val="00AD07ED"/>
    <w:rsid w:val="00AD25C3"/>
    <w:rsid w:val="00AD2721"/>
    <w:rsid w:val="00AD3403"/>
    <w:rsid w:val="00AD4345"/>
    <w:rsid w:val="00AD56DA"/>
    <w:rsid w:val="00AD7478"/>
    <w:rsid w:val="00AD77A9"/>
    <w:rsid w:val="00AE2786"/>
    <w:rsid w:val="00AE5131"/>
    <w:rsid w:val="00AE5990"/>
    <w:rsid w:val="00AE7898"/>
    <w:rsid w:val="00AE7C1C"/>
    <w:rsid w:val="00AF0525"/>
    <w:rsid w:val="00AF238D"/>
    <w:rsid w:val="00AF2B2B"/>
    <w:rsid w:val="00B02EAB"/>
    <w:rsid w:val="00B03621"/>
    <w:rsid w:val="00B04815"/>
    <w:rsid w:val="00B04C8D"/>
    <w:rsid w:val="00B05116"/>
    <w:rsid w:val="00B10DE6"/>
    <w:rsid w:val="00B12D16"/>
    <w:rsid w:val="00B159CB"/>
    <w:rsid w:val="00B15BDF"/>
    <w:rsid w:val="00B15DCB"/>
    <w:rsid w:val="00B168F8"/>
    <w:rsid w:val="00B17AB0"/>
    <w:rsid w:val="00B23314"/>
    <w:rsid w:val="00B237AC"/>
    <w:rsid w:val="00B2499D"/>
    <w:rsid w:val="00B25F15"/>
    <w:rsid w:val="00B31A59"/>
    <w:rsid w:val="00B321B1"/>
    <w:rsid w:val="00B326F5"/>
    <w:rsid w:val="00B3604A"/>
    <w:rsid w:val="00B41613"/>
    <w:rsid w:val="00B42222"/>
    <w:rsid w:val="00B4227F"/>
    <w:rsid w:val="00B43331"/>
    <w:rsid w:val="00B437E0"/>
    <w:rsid w:val="00B4750A"/>
    <w:rsid w:val="00B50D6A"/>
    <w:rsid w:val="00B555E5"/>
    <w:rsid w:val="00B55E54"/>
    <w:rsid w:val="00B57A71"/>
    <w:rsid w:val="00B6029D"/>
    <w:rsid w:val="00B64E8E"/>
    <w:rsid w:val="00B662C5"/>
    <w:rsid w:val="00B67E53"/>
    <w:rsid w:val="00B70F15"/>
    <w:rsid w:val="00B767F9"/>
    <w:rsid w:val="00B76DBA"/>
    <w:rsid w:val="00B77716"/>
    <w:rsid w:val="00B8188A"/>
    <w:rsid w:val="00B8246E"/>
    <w:rsid w:val="00B926F3"/>
    <w:rsid w:val="00B92DDB"/>
    <w:rsid w:val="00B9314B"/>
    <w:rsid w:val="00B933BB"/>
    <w:rsid w:val="00B948F8"/>
    <w:rsid w:val="00B952ED"/>
    <w:rsid w:val="00B96B72"/>
    <w:rsid w:val="00B96D21"/>
    <w:rsid w:val="00B96F38"/>
    <w:rsid w:val="00B9723A"/>
    <w:rsid w:val="00B97660"/>
    <w:rsid w:val="00BA5E44"/>
    <w:rsid w:val="00BA6FF1"/>
    <w:rsid w:val="00BB0A50"/>
    <w:rsid w:val="00BB3AE2"/>
    <w:rsid w:val="00BB48ED"/>
    <w:rsid w:val="00BB63F2"/>
    <w:rsid w:val="00BB7E46"/>
    <w:rsid w:val="00BC1948"/>
    <w:rsid w:val="00BC3AD8"/>
    <w:rsid w:val="00BC6019"/>
    <w:rsid w:val="00BC7FBB"/>
    <w:rsid w:val="00BD0AEE"/>
    <w:rsid w:val="00BD40C4"/>
    <w:rsid w:val="00BD5BAB"/>
    <w:rsid w:val="00BD65FD"/>
    <w:rsid w:val="00BD6CB5"/>
    <w:rsid w:val="00BD7C48"/>
    <w:rsid w:val="00BE237A"/>
    <w:rsid w:val="00BE2A26"/>
    <w:rsid w:val="00BE408D"/>
    <w:rsid w:val="00BE5C12"/>
    <w:rsid w:val="00BF0827"/>
    <w:rsid w:val="00BF0FCE"/>
    <w:rsid w:val="00BF40C5"/>
    <w:rsid w:val="00BF5223"/>
    <w:rsid w:val="00C00CCE"/>
    <w:rsid w:val="00C03A03"/>
    <w:rsid w:val="00C05D08"/>
    <w:rsid w:val="00C0697B"/>
    <w:rsid w:val="00C101BE"/>
    <w:rsid w:val="00C120ED"/>
    <w:rsid w:val="00C12E60"/>
    <w:rsid w:val="00C13721"/>
    <w:rsid w:val="00C228EE"/>
    <w:rsid w:val="00C2357E"/>
    <w:rsid w:val="00C249A5"/>
    <w:rsid w:val="00C273CA"/>
    <w:rsid w:val="00C30ADB"/>
    <w:rsid w:val="00C3678A"/>
    <w:rsid w:val="00C413A3"/>
    <w:rsid w:val="00C4294A"/>
    <w:rsid w:val="00C430A1"/>
    <w:rsid w:val="00C437F2"/>
    <w:rsid w:val="00C438C7"/>
    <w:rsid w:val="00C44A89"/>
    <w:rsid w:val="00C44C5C"/>
    <w:rsid w:val="00C45721"/>
    <w:rsid w:val="00C45C52"/>
    <w:rsid w:val="00C46786"/>
    <w:rsid w:val="00C47786"/>
    <w:rsid w:val="00C506B7"/>
    <w:rsid w:val="00C524ED"/>
    <w:rsid w:val="00C52589"/>
    <w:rsid w:val="00C54F28"/>
    <w:rsid w:val="00C62D23"/>
    <w:rsid w:val="00C63A0A"/>
    <w:rsid w:val="00C65EF7"/>
    <w:rsid w:val="00C66130"/>
    <w:rsid w:val="00C66EDB"/>
    <w:rsid w:val="00C70F20"/>
    <w:rsid w:val="00C735C1"/>
    <w:rsid w:val="00C7511D"/>
    <w:rsid w:val="00C800DF"/>
    <w:rsid w:val="00C81EB9"/>
    <w:rsid w:val="00C83DA9"/>
    <w:rsid w:val="00C86283"/>
    <w:rsid w:val="00C86D5E"/>
    <w:rsid w:val="00C87B74"/>
    <w:rsid w:val="00C91689"/>
    <w:rsid w:val="00C9543B"/>
    <w:rsid w:val="00CA0383"/>
    <w:rsid w:val="00CA065D"/>
    <w:rsid w:val="00CA080E"/>
    <w:rsid w:val="00CA08CB"/>
    <w:rsid w:val="00CA0D33"/>
    <w:rsid w:val="00CA71E4"/>
    <w:rsid w:val="00CB2FAB"/>
    <w:rsid w:val="00CB58FE"/>
    <w:rsid w:val="00CC2296"/>
    <w:rsid w:val="00CC2A74"/>
    <w:rsid w:val="00CC35E5"/>
    <w:rsid w:val="00CC36A7"/>
    <w:rsid w:val="00CD01FE"/>
    <w:rsid w:val="00CD0699"/>
    <w:rsid w:val="00CD2887"/>
    <w:rsid w:val="00CD418B"/>
    <w:rsid w:val="00CD512F"/>
    <w:rsid w:val="00CD5544"/>
    <w:rsid w:val="00CD66F2"/>
    <w:rsid w:val="00CF0337"/>
    <w:rsid w:val="00CF6D2F"/>
    <w:rsid w:val="00D02E82"/>
    <w:rsid w:val="00D10461"/>
    <w:rsid w:val="00D11038"/>
    <w:rsid w:val="00D11BE6"/>
    <w:rsid w:val="00D16164"/>
    <w:rsid w:val="00D168D8"/>
    <w:rsid w:val="00D17A39"/>
    <w:rsid w:val="00D20EB0"/>
    <w:rsid w:val="00D216E6"/>
    <w:rsid w:val="00D222A8"/>
    <w:rsid w:val="00D22E99"/>
    <w:rsid w:val="00D237CF"/>
    <w:rsid w:val="00D264A0"/>
    <w:rsid w:val="00D26626"/>
    <w:rsid w:val="00D277EA"/>
    <w:rsid w:val="00D31F60"/>
    <w:rsid w:val="00D31FD2"/>
    <w:rsid w:val="00D353C1"/>
    <w:rsid w:val="00D35D59"/>
    <w:rsid w:val="00D35DEB"/>
    <w:rsid w:val="00D414BD"/>
    <w:rsid w:val="00D433C4"/>
    <w:rsid w:val="00D43D70"/>
    <w:rsid w:val="00D47342"/>
    <w:rsid w:val="00D50C47"/>
    <w:rsid w:val="00D5271E"/>
    <w:rsid w:val="00D57900"/>
    <w:rsid w:val="00D60028"/>
    <w:rsid w:val="00D60427"/>
    <w:rsid w:val="00D67A05"/>
    <w:rsid w:val="00D72708"/>
    <w:rsid w:val="00D80B30"/>
    <w:rsid w:val="00D826D8"/>
    <w:rsid w:val="00D8315E"/>
    <w:rsid w:val="00D83F3E"/>
    <w:rsid w:val="00D84FEF"/>
    <w:rsid w:val="00D86F6D"/>
    <w:rsid w:val="00D872A9"/>
    <w:rsid w:val="00D92D5B"/>
    <w:rsid w:val="00D9529B"/>
    <w:rsid w:val="00DA22FA"/>
    <w:rsid w:val="00DA36C8"/>
    <w:rsid w:val="00DA425D"/>
    <w:rsid w:val="00DA5AA2"/>
    <w:rsid w:val="00DB05F8"/>
    <w:rsid w:val="00DC0938"/>
    <w:rsid w:val="00DC494A"/>
    <w:rsid w:val="00DC5BBB"/>
    <w:rsid w:val="00DC7F9D"/>
    <w:rsid w:val="00DD02DC"/>
    <w:rsid w:val="00DD1FD2"/>
    <w:rsid w:val="00DD2F3A"/>
    <w:rsid w:val="00DD4847"/>
    <w:rsid w:val="00DD4C98"/>
    <w:rsid w:val="00DD724D"/>
    <w:rsid w:val="00DD76B2"/>
    <w:rsid w:val="00DE52A2"/>
    <w:rsid w:val="00DE63D2"/>
    <w:rsid w:val="00DE74C8"/>
    <w:rsid w:val="00DF5B13"/>
    <w:rsid w:val="00E029A5"/>
    <w:rsid w:val="00E03E12"/>
    <w:rsid w:val="00E07C35"/>
    <w:rsid w:val="00E07F4A"/>
    <w:rsid w:val="00E10ACA"/>
    <w:rsid w:val="00E1259D"/>
    <w:rsid w:val="00E12783"/>
    <w:rsid w:val="00E1288C"/>
    <w:rsid w:val="00E13C8C"/>
    <w:rsid w:val="00E1516E"/>
    <w:rsid w:val="00E1684F"/>
    <w:rsid w:val="00E16F5A"/>
    <w:rsid w:val="00E22144"/>
    <w:rsid w:val="00E24AC4"/>
    <w:rsid w:val="00E3274C"/>
    <w:rsid w:val="00E327A8"/>
    <w:rsid w:val="00E34719"/>
    <w:rsid w:val="00E36408"/>
    <w:rsid w:val="00E36579"/>
    <w:rsid w:val="00E373D1"/>
    <w:rsid w:val="00E40537"/>
    <w:rsid w:val="00E45370"/>
    <w:rsid w:val="00E50D3E"/>
    <w:rsid w:val="00E646BE"/>
    <w:rsid w:val="00E67844"/>
    <w:rsid w:val="00E7171A"/>
    <w:rsid w:val="00E74A56"/>
    <w:rsid w:val="00E7650A"/>
    <w:rsid w:val="00E768B4"/>
    <w:rsid w:val="00E8529E"/>
    <w:rsid w:val="00E85E88"/>
    <w:rsid w:val="00E92695"/>
    <w:rsid w:val="00E93289"/>
    <w:rsid w:val="00E93DFC"/>
    <w:rsid w:val="00E9542D"/>
    <w:rsid w:val="00E95BCB"/>
    <w:rsid w:val="00E95F0B"/>
    <w:rsid w:val="00E96D9C"/>
    <w:rsid w:val="00EA1551"/>
    <w:rsid w:val="00EA4B89"/>
    <w:rsid w:val="00EA5042"/>
    <w:rsid w:val="00EA6485"/>
    <w:rsid w:val="00EB130B"/>
    <w:rsid w:val="00EB1490"/>
    <w:rsid w:val="00EC34FE"/>
    <w:rsid w:val="00EC7194"/>
    <w:rsid w:val="00EC7E6D"/>
    <w:rsid w:val="00ED029B"/>
    <w:rsid w:val="00ED06EA"/>
    <w:rsid w:val="00ED2AA6"/>
    <w:rsid w:val="00ED4C4C"/>
    <w:rsid w:val="00ED6481"/>
    <w:rsid w:val="00EE1646"/>
    <w:rsid w:val="00EE1C87"/>
    <w:rsid w:val="00EE32CC"/>
    <w:rsid w:val="00EF0627"/>
    <w:rsid w:val="00EF3301"/>
    <w:rsid w:val="00EF6D2C"/>
    <w:rsid w:val="00EF70A4"/>
    <w:rsid w:val="00EF7DAE"/>
    <w:rsid w:val="00F01604"/>
    <w:rsid w:val="00F0206B"/>
    <w:rsid w:val="00F03A26"/>
    <w:rsid w:val="00F05988"/>
    <w:rsid w:val="00F07DBD"/>
    <w:rsid w:val="00F125A3"/>
    <w:rsid w:val="00F1354F"/>
    <w:rsid w:val="00F24EB7"/>
    <w:rsid w:val="00F27CD8"/>
    <w:rsid w:val="00F322A1"/>
    <w:rsid w:val="00F3679E"/>
    <w:rsid w:val="00F4460A"/>
    <w:rsid w:val="00F44B9C"/>
    <w:rsid w:val="00F44D97"/>
    <w:rsid w:val="00F44E82"/>
    <w:rsid w:val="00F469AB"/>
    <w:rsid w:val="00F50BAF"/>
    <w:rsid w:val="00F51149"/>
    <w:rsid w:val="00F5309D"/>
    <w:rsid w:val="00F53818"/>
    <w:rsid w:val="00F54208"/>
    <w:rsid w:val="00F55EC8"/>
    <w:rsid w:val="00F63AFA"/>
    <w:rsid w:val="00F70ED7"/>
    <w:rsid w:val="00F72030"/>
    <w:rsid w:val="00F722B8"/>
    <w:rsid w:val="00F72388"/>
    <w:rsid w:val="00F7338B"/>
    <w:rsid w:val="00F73669"/>
    <w:rsid w:val="00F742AF"/>
    <w:rsid w:val="00F75196"/>
    <w:rsid w:val="00F77275"/>
    <w:rsid w:val="00F81082"/>
    <w:rsid w:val="00F8143E"/>
    <w:rsid w:val="00F83A16"/>
    <w:rsid w:val="00F9006C"/>
    <w:rsid w:val="00F95180"/>
    <w:rsid w:val="00F9558A"/>
    <w:rsid w:val="00F95BB3"/>
    <w:rsid w:val="00F97DE1"/>
    <w:rsid w:val="00FA40C1"/>
    <w:rsid w:val="00FA7BA6"/>
    <w:rsid w:val="00FB463A"/>
    <w:rsid w:val="00FB4781"/>
    <w:rsid w:val="00FB661C"/>
    <w:rsid w:val="00FB6D61"/>
    <w:rsid w:val="00FC0660"/>
    <w:rsid w:val="00FC1014"/>
    <w:rsid w:val="00FC2198"/>
    <w:rsid w:val="00FC3847"/>
    <w:rsid w:val="00FC47FB"/>
    <w:rsid w:val="00FC6B31"/>
    <w:rsid w:val="00FD0E45"/>
    <w:rsid w:val="00FD2843"/>
    <w:rsid w:val="00FD41F3"/>
    <w:rsid w:val="00FD7560"/>
    <w:rsid w:val="00FD776F"/>
    <w:rsid w:val="00FE4C86"/>
    <w:rsid w:val="00FE6005"/>
    <w:rsid w:val="00FE6D91"/>
    <w:rsid w:val="00FF56AC"/>
    <w:rsid w:val="00FF6F4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05D8C"/>
  <w15:docId w15:val="{C9D63507-E51B-426D-8FBF-46C3AA3B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odyText">
    <w:name w:val="Body Text"/>
    <w:basedOn w:val="Normal"/>
    <w:link w:val="BodyTextChar"/>
    <w:uiPriority w:val="4"/>
    <w:rsid w:val="00FC6B31"/>
    <w:pPr>
      <w:widowControl w:val="0"/>
      <w:snapToGrid w:val="0"/>
      <w:spacing w:after="0" w:line="360" w:lineRule="atLeast"/>
      <w:ind w:leftChars="100" w:left="100"/>
    </w:pPr>
    <w:rPr>
      <w:rFonts w:ascii="Times New Roman" w:eastAsia="MS Mincho" w:hAnsi="Times New Roman" w:cs="Times New Roman"/>
      <w:kern w:val="2"/>
      <w:szCs w:val="21"/>
      <w:lang w:val="en-US" w:eastAsia="ja-JP"/>
    </w:rPr>
  </w:style>
  <w:style w:type="character" w:customStyle="1" w:styleId="BodyTextChar">
    <w:name w:val="Body Text Char"/>
    <w:basedOn w:val="DefaultParagraphFont"/>
    <w:link w:val="BodyText"/>
    <w:uiPriority w:val="4"/>
    <w:rsid w:val="00FC6B31"/>
    <w:rPr>
      <w:rFonts w:ascii="Times New Roman" w:eastAsia="MS Mincho" w:hAnsi="Times New Roman" w:cs="Times New Roman"/>
      <w:kern w:val="2"/>
      <w:szCs w:val="21"/>
      <w:lang w:val="en-US" w:eastAsia="ja-JP"/>
    </w:rPr>
  </w:style>
  <w:style w:type="paragraph" w:customStyle="1" w:styleId="CCDSBodytext">
    <w:name w:val="CCDS Body text"/>
    <w:basedOn w:val="Normal"/>
    <w:qFormat/>
    <w:rsid w:val="00FC6B31"/>
    <w:pPr>
      <w:spacing w:after="0" w:line="360" w:lineRule="auto"/>
    </w:pPr>
    <w:rPr>
      <w:rFonts w:ascii="Times New Roman" w:eastAsia="Times New Roman" w:hAnsi="Times New Roman" w:cs="Times New Roman"/>
      <w:sz w:val="24"/>
      <w:szCs w:val="24"/>
      <w:lang w:val="en-GB"/>
    </w:rPr>
  </w:style>
  <w:style w:type="paragraph" w:styleId="Caption">
    <w:name w:val="caption"/>
    <w:aliases w:val="Caption Char Char Char Char,Caption Char Char Char,Caption Char Char Char Char Char,Caption Char Char Char Char1 Char Char,Caption Char Char Char Char Char Char,Caption Char1,Caption Char Char,Caption Char Char Char Char Char1,Caption-FUSA,c,Cha"/>
    <w:next w:val="CCDSBodytext"/>
    <w:link w:val="CaptionChar"/>
    <w:qFormat/>
    <w:rsid w:val="00FC6B31"/>
    <w:pPr>
      <w:keepNext/>
      <w:widowControl w:val="0"/>
      <w:spacing w:before="120" w:after="0" w:line="360" w:lineRule="exact"/>
      <w:ind w:left="1008" w:hanging="1008"/>
    </w:pPr>
    <w:rPr>
      <w:rFonts w:ascii="Times New Roman" w:eastAsiaTheme="minorEastAsia" w:hAnsi="Times New Roman" w:cs="Times New Roman"/>
      <w:b/>
      <w:bCs/>
      <w:szCs w:val="20"/>
      <w:lang w:val="en-US" w:eastAsia="ja-JP"/>
    </w:rPr>
  </w:style>
  <w:style w:type="paragraph" w:styleId="EndnoteText">
    <w:name w:val="endnote text"/>
    <w:basedOn w:val="Normal"/>
    <w:link w:val="EndnoteTextChar"/>
    <w:semiHidden/>
    <w:unhideWhenUsed/>
    <w:rsid w:val="00FC6B31"/>
    <w:pPr>
      <w:widowControl w:val="0"/>
      <w:spacing w:after="0" w:line="240" w:lineRule="auto"/>
      <w:jc w:val="both"/>
    </w:pPr>
    <w:rPr>
      <w:rFonts w:ascii="Times New Roman" w:eastAsia="MS Mincho" w:hAnsi="Times New Roman" w:cs="Times New Roman"/>
      <w:kern w:val="2"/>
      <w:sz w:val="20"/>
      <w:szCs w:val="20"/>
      <w:lang w:val="en-US" w:eastAsia="ja-JP"/>
    </w:rPr>
  </w:style>
  <w:style w:type="character" w:customStyle="1" w:styleId="EndnoteTextChar">
    <w:name w:val="Endnote Text Char"/>
    <w:basedOn w:val="DefaultParagraphFont"/>
    <w:link w:val="EndnoteText"/>
    <w:semiHidden/>
    <w:rsid w:val="00FC6B31"/>
    <w:rPr>
      <w:rFonts w:ascii="Times New Roman" w:eastAsia="MS Mincho" w:hAnsi="Times New Roman" w:cs="Times New Roman"/>
      <w:kern w:val="2"/>
      <w:sz w:val="20"/>
      <w:szCs w:val="20"/>
      <w:lang w:val="en-US" w:eastAsia="ja-JP"/>
    </w:rPr>
  </w:style>
  <w:style w:type="character" w:styleId="EndnoteReference">
    <w:name w:val="endnote reference"/>
    <w:basedOn w:val="DefaultParagraphFont"/>
    <w:semiHidden/>
    <w:unhideWhenUsed/>
    <w:rsid w:val="00FC6B31"/>
    <w:rPr>
      <w:vertAlign w:val="superscript"/>
    </w:rPr>
  </w:style>
  <w:style w:type="character" w:styleId="UnresolvedMention">
    <w:name w:val="Unresolved Mention"/>
    <w:basedOn w:val="DefaultParagraphFont"/>
    <w:uiPriority w:val="99"/>
    <w:semiHidden/>
    <w:unhideWhenUsed/>
    <w:rsid w:val="001A0A04"/>
    <w:rPr>
      <w:color w:val="605E5C"/>
      <w:shd w:val="clear" w:color="auto" w:fill="E1DFDD"/>
    </w:rPr>
  </w:style>
  <w:style w:type="table" w:customStyle="1" w:styleId="TableGrid1">
    <w:name w:val="Table Grid1"/>
    <w:basedOn w:val="TableNormal"/>
    <w:next w:val="TableGrid"/>
    <w:uiPriority w:val="39"/>
    <w:rsid w:val="000D652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A4B89"/>
    <w:rPr>
      <w:rFonts w:asciiTheme="minorHAnsi" w:hAnsiTheme="minorHAnsi"/>
      <w:b/>
      <w:bCs/>
    </w:rPr>
  </w:style>
  <w:style w:type="character" w:customStyle="1" w:styleId="CommentSubjectChar">
    <w:name w:val="Comment Subject Char"/>
    <w:basedOn w:val="CommentTextChar"/>
    <w:link w:val="CommentSubject"/>
    <w:uiPriority w:val="99"/>
    <w:semiHidden/>
    <w:rsid w:val="00EA4B89"/>
    <w:rPr>
      <w:rFonts w:ascii="Cambria" w:hAnsi="Cambria"/>
      <w:b/>
      <w:bCs/>
      <w:sz w:val="20"/>
      <w:szCs w:val="20"/>
    </w:rPr>
  </w:style>
  <w:style w:type="table" w:customStyle="1" w:styleId="C-Table">
    <w:name w:val="C-Table"/>
    <w:basedOn w:val="TableNormal"/>
    <w:rsid w:val="00C70F20"/>
    <w:pPr>
      <w:spacing w:after="0" w:line="240" w:lineRule="auto"/>
    </w:pPr>
    <w:rPr>
      <w:rFonts w:ascii="Times New Roman" w:eastAsia="Times New Roman" w:hAnsi="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Header">
    <w:name w:val="header"/>
    <w:basedOn w:val="Normal"/>
    <w:link w:val="HeaderChar"/>
    <w:uiPriority w:val="99"/>
    <w:unhideWhenUsed/>
    <w:rsid w:val="003C0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2CE"/>
  </w:style>
  <w:style w:type="paragraph" w:customStyle="1" w:styleId="C-BodyText">
    <w:name w:val="C-Body Text"/>
    <w:rsid w:val="00C438C7"/>
    <w:pPr>
      <w:spacing w:before="120" w:after="120" w:line="280" w:lineRule="atLeast"/>
    </w:pPr>
    <w:rPr>
      <w:rFonts w:ascii="Times New Roman" w:eastAsia="Times New Roman" w:hAnsi="Times New Roman" w:cs="Times New Roman"/>
      <w:sz w:val="24"/>
      <w:szCs w:val="20"/>
      <w:lang w:val="en-US"/>
    </w:rPr>
  </w:style>
  <w:style w:type="character" w:customStyle="1" w:styleId="CaptionChar">
    <w:name w:val="Caption Char"/>
    <w:aliases w:val="Caption Char Char Char Char Char2,Caption Char Char Char Char1,Caption Char Char Char Char Char Char1,Caption Char Char Char Char1 Char Char Char,Caption Char Char Char Char Char Char Char,Caption Char1 Char,Caption Char Char Char1,c Char"/>
    <w:link w:val="Caption"/>
    <w:locked/>
    <w:rsid w:val="00C438C7"/>
    <w:rPr>
      <w:rFonts w:ascii="Times New Roman" w:eastAsiaTheme="minorEastAsia" w:hAnsi="Times New Roman" w:cs="Times New Roman"/>
      <w:b/>
      <w:bCs/>
      <w:szCs w:val="20"/>
      <w:lang w:val="en-US" w:eastAsia="ja-JP"/>
    </w:rPr>
  </w:style>
  <w:style w:type="paragraph" w:customStyle="1" w:styleId="Default">
    <w:name w:val="Default"/>
    <w:rsid w:val="00292A8F"/>
    <w:pPr>
      <w:autoSpaceDE w:val="0"/>
      <w:autoSpaceDN w:val="0"/>
      <w:adjustRightInd w:val="0"/>
      <w:spacing w:after="0" w:line="240" w:lineRule="auto"/>
    </w:pPr>
    <w:rPr>
      <w:rFonts w:ascii="Cambria" w:hAnsi="Cambria" w:cs="Cambria"/>
      <w:color w:val="000000"/>
      <w:sz w:val="24"/>
      <w:szCs w:val="24"/>
      <w:lang w:val="en-US"/>
    </w:rPr>
  </w:style>
  <w:style w:type="paragraph" w:customStyle="1" w:styleId="CM7">
    <w:name w:val="CM7"/>
    <w:basedOn w:val="Default"/>
    <w:next w:val="Default"/>
    <w:uiPriority w:val="99"/>
    <w:rsid w:val="00C800DF"/>
    <w:pPr>
      <w:spacing w:line="320" w:lineRule="atLeast"/>
    </w:pPr>
    <w:rPr>
      <w:rFonts w:ascii="Times New Roman" w:eastAsia="MS Mincho" w:hAnsi="Times New Roman" w:cs="Times New Roman"/>
      <w:color w:val="auto"/>
    </w:rPr>
  </w:style>
  <w:style w:type="paragraph" w:styleId="Revision">
    <w:name w:val="Revision"/>
    <w:hidden/>
    <w:uiPriority w:val="99"/>
    <w:semiHidden/>
    <w:rsid w:val="002219EB"/>
    <w:pPr>
      <w:spacing w:after="0" w:line="240" w:lineRule="auto"/>
    </w:pPr>
  </w:style>
  <w:style w:type="table" w:customStyle="1" w:styleId="TableGrid2">
    <w:name w:val="Table Grid2"/>
    <w:basedOn w:val="TableNormal"/>
    <w:uiPriority w:val="59"/>
    <w:rsid w:val="00F7238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5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keda.com/en-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r1\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E019D0395B22468AF005862697DE1F" ma:contentTypeVersion="17" ma:contentTypeDescription="Create a new document." ma:contentTypeScope="" ma:versionID="85db206abf5b2f9b3474f44a4fcca9e2">
  <xsd:schema xmlns:xsd="http://www.w3.org/2001/XMLSchema" xmlns:xs="http://www.w3.org/2001/XMLSchema" xmlns:p="http://schemas.microsoft.com/office/2006/metadata/properties" xmlns:ns2="45b8674b-ae8a-4434-956f-895f4d4198ad" xmlns:ns3="3df95d23-41db-460c-b105-cf57e1e472b3" targetNamespace="http://schemas.microsoft.com/office/2006/metadata/properties" ma:root="true" ma:fieldsID="1403d34e694185de3360f26a4ab69c17" ns2:_="" ns3:_="">
    <xsd:import namespace="45b8674b-ae8a-4434-956f-895f4d4198ad"/>
    <xsd:import namespace="3df95d23-41db-460c-b105-cf57e1e472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8674b-ae8a-4434-956f-895f4d4198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af7376b-3ffb-4618-a464-916fee6db6b9}" ma:internalName="TaxCatchAll" ma:showField="CatchAllData" ma:web="45b8674b-ae8a-4434-956f-895f4d4198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f95d23-41db-460c-b105-cf57e1e472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b8674b-ae8a-4434-956f-895f4d4198ad" xsi:nil="true"/>
    <lcf76f155ced4ddcb4097134ff3c332f xmlns="3df95d23-41db-460c-b105-cf57e1e472b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32816-3C6C-4653-807B-1BBFE73C8E3D}">
  <ds:schemaRefs>
    <ds:schemaRef ds:uri="http://schemas.openxmlformats.org/officeDocument/2006/bibliography"/>
  </ds:schemaRefs>
</ds:datastoreItem>
</file>

<file path=customXml/itemProps2.xml><?xml version="1.0" encoding="utf-8"?>
<ds:datastoreItem xmlns:ds="http://schemas.openxmlformats.org/officeDocument/2006/customXml" ds:itemID="{24463FDA-7640-4D8B-B6B4-DFBF29E66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8674b-ae8a-4434-956f-895f4d4198ad"/>
    <ds:schemaRef ds:uri="3df95d23-41db-460c-b105-cf57e1e47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6EAFD5-FF62-4BEF-A12A-99D6A405D0FE}">
  <ds:schemaRefs>
    <ds:schemaRef ds:uri="http://schemas.microsoft.com/office/2006/metadata/properties"/>
    <ds:schemaRef ds:uri="http://schemas.microsoft.com/office/infopath/2007/PartnerControls"/>
    <ds:schemaRef ds:uri="45b8674b-ae8a-4434-956f-895f4d4198ad"/>
    <ds:schemaRef ds:uri="3df95d23-41db-460c-b105-cf57e1e472b3"/>
  </ds:schemaRefs>
</ds:datastoreItem>
</file>

<file path=customXml/itemProps4.xml><?xml version="1.0" encoding="utf-8"?>
<ds:datastoreItem xmlns:ds="http://schemas.openxmlformats.org/officeDocument/2006/customXml" ds:itemID="{B60C8037-763C-484D-B255-866A93EA0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20</TotalTime>
  <Pages>26</Pages>
  <Words>7515</Words>
  <Characters>43368</Characters>
  <Application>Microsoft Office Word</Application>
  <DocSecurity>0</DocSecurity>
  <Lines>1355</Lines>
  <Paragraphs>960</Paragraphs>
  <ScaleCrop>false</ScaleCrop>
  <HeadingPairs>
    <vt:vector size="2" baseType="variant">
      <vt:variant>
        <vt:lpstr>Title</vt:lpstr>
      </vt:variant>
      <vt:variant>
        <vt:i4>1</vt:i4>
      </vt:variant>
    </vt:vector>
  </HeadingPairs>
  <TitlesOfParts>
    <vt:vector size="1" baseType="lpstr">
      <vt:lpstr>AusPAR Attachment 1: </vt:lpstr>
    </vt:vector>
  </TitlesOfParts>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Livtencity</dc:title>
  <dc:subject/>
  <dc:creator/>
  <cp:keywords/>
  <dc:description/>
  <cp:lastModifiedBy>PITKIN, Brendan</cp:lastModifiedBy>
  <cp:revision>6</cp:revision>
  <cp:lastPrinted>2017-11-13T05:13:00Z</cp:lastPrinted>
  <dcterms:created xsi:type="dcterms:W3CDTF">2022-10-12T23:37:00Z</dcterms:created>
  <dcterms:modified xsi:type="dcterms:W3CDTF">2023-06-06T04:09:00Z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0x01010091E019D0395B22468AF005862697DE1F</vt:lpwstr>
  </property>
</Properties>
</file>