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72FCE1AD" w:rsidR="00F02AEC" w:rsidRPr="00215D48" w:rsidRDefault="00346EC2" w:rsidP="007452E8">
            <w:pPr>
              <w:pStyle w:val="Title"/>
            </w:pPr>
            <w:r w:rsidRPr="00346EC2">
              <w:t xml:space="preserve">Australian Public Assessment Report for </w:t>
            </w:r>
            <w:r w:rsidR="006C1790">
              <w:t>Keytruda</w:t>
            </w:r>
          </w:p>
        </w:tc>
      </w:tr>
      <w:tr w:rsidR="00F02AEC" w:rsidRPr="00215D48" w14:paraId="318A40A3" w14:textId="77777777" w:rsidTr="00346EC2">
        <w:trPr>
          <w:trHeight w:val="995"/>
        </w:trPr>
        <w:tc>
          <w:tcPr>
            <w:tcW w:w="8720" w:type="dxa"/>
          </w:tcPr>
          <w:p w14:paraId="1AA7C701" w14:textId="561DB4DD" w:rsidR="00F02AEC" w:rsidRPr="00215D48" w:rsidRDefault="00346EC2" w:rsidP="007452E8">
            <w:pPr>
              <w:pStyle w:val="Subtitle"/>
              <w:ind w:left="0"/>
            </w:pPr>
            <w:r w:rsidRPr="00346EC2">
              <w:t xml:space="preserve">Active ingredient: </w:t>
            </w:r>
            <w:r w:rsidR="006C1790">
              <w:t>P</w:t>
            </w:r>
            <w:r w:rsidR="006C1790" w:rsidRPr="006C1790">
              <w:t>embrolizumab</w:t>
            </w:r>
          </w:p>
        </w:tc>
      </w:tr>
      <w:tr w:rsidR="00346EC2" w:rsidRPr="00215D48" w14:paraId="362CCAE4" w14:textId="77777777" w:rsidTr="007452E8">
        <w:trPr>
          <w:trHeight w:val="1916"/>
        </w:trPr>
        <w:tc>
          <w:tcPr>
            <w:tcW w:w="8720" w:type="dxa"/>
          </w:tcPr>
          <w:p w14:paraId="709C45C0" w14:textId="4FC05580" w:rsidR="00346EC2" w:rsidRPr="00215D48" w:rsidRDefault="00346EC2" w:rsidP="007452E8">
            <w:pPr>
              <w:pStyle w:val="Subtitle"/>
              <w:ind w:left="0"/>
            </w:pPr>
            <w:r w:rsidRPr="0095656C">
              <w:rPr>
                <w:sz w:val="36"/>
              </w:rPr>
              <w:t>Sponsor:</w:t>
            </w:r>
            <w:r w:rsidR="006C1790" w:rsidRPr="0095656C">
              <w:rPr>
                <w:sz w:val="36"/>
              </w:rPr>
              <w:t xml:space="preserve"> Merck Sharp &amp; Dohme (Australia) Pty Ltd</w:t>
            </w:r>
          </w:p>
        </w:tc>
      </w:tr>
      <w:tr w:rsidR="00F02AEC" w:rsidRPr="00215D48" w14:paraId="37F2AA1F" w14:textId="77777777" w:rsidTr="007452E8">
        <w:tc>
          <w:tcPr>
            <w:tcW w:w="8720" w:type="dxa"/>
          </w:tcPr>
          <w:p w14:paraId="1FDE8DCD" w14:textId="1C16F93C" w:rsidR="00F02AEC" w:rsidRPr="00215D48" w:rsidRDefault="0095656C" w:rsidP="007452E8">
            <w:pPr>
              <w:pStyle w:val="Date"/>
            </w:pPr>
            <w:r>
              <w:t xml:space="preserve">June </w:t>
            </w:r>
            <w:r w:rsidR="006C1790">
              <w:t>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3BE90004"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74B277B6"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2A0CD0">
      <w:pPr>
        <w:pStyle w:val="LegalSubheading"/>
        <w:spacing w:before="3000"/>
      </w:pPr>
      <w:r w:rsidRPr="00BA0DFC">
        <w:t>Copyright</w:t>
      </w:r>
    </w:p>
    <w:p w14:paraId="170A8A5D" w14:textId="7DA76E49"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3655CDD7" w14:textId="47E3EB25" w:rsidR="0049023A"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3584005" w:history="1">
            <w:r w:rsidR="0049023A" w:rsidRPr="00A27C58">
              <w:rPr>
                <w:rStyle w:val="Hyperlink"/>
                <w:noProof/>
              </w:rPr>
              <w:t>List of abbreviations</w:t>
            </w:r>
            <w:r w:rsidR="0049023A">
              <w:rPr>
                <w:noProof/>
                <w:webHidden/>
              </w:rPr>
              <w:tab/>
            </w:r>
            <w:r w:rsidR="0049023A">
              <w:rPr>
                <w:noProof/>
                <w:webHidden/>
              </w:rPr>
              <w:fldChar w:fldCharType="begin"/>
            </w:r>
            <w:r w:rsidR="0049023A">
              <w:rPr>
                <w:noProof/>
                <w:webHidden/>
              </w:rPr>
              <w:instrText xml:space="preserve"> PAGEREF _Toc133584005 \h </w:instrText>
            </w:r>
            <w:r w:rsidR="0049023A">
              <w:rPr>
                <w:noProof/>
                <w:webHidden/>
              </w:rPr>
            </w:r>
            <w:r w:rsidR="0049023A">
              <w:rPr>
                <w:noProof/>
                <w:webHidden/>
              </w:rPr>
              <w:fldChar w:fldCharType="separate"/>
            </w:r>
            <w:r w:rsidR="005605FC">
              <w:rPr>
                <w:noProof/>
                <w:webHidden/>
              </w:rPr>
              <w:t>4</w:t>
            </w:r>
            <w:r w:rsidR="0049023A">
              <w:rPr>
                <w:noProof/>
                <w:webHidden/>
              </w:rPr>
              <w:fldChar w:fldCharType="end"/>
            </w:r>
          </w:hyperlink>
        </w:p>
        <w:p w14:paraId="14C69044" w14:textId="5ADABC7E" w:rsidR="0049023A" w:rsidRDefault="00E83B6C">
          <w:pPr>
            <w:pStyle w:val="TOC1"/>
            <w:rPr>
              <w:rFonts w:asciiTheme="minorHAnsi" w:eastAsiaTheme="minorEastAsia" w:hAnsiTheme="minorHAnsi" w:cstheme="minorBidi"/>
              <w:b w:val="0"/>
              <w:noProof/>
              <w:color w:val="auto"/>
              <w:sz w:val="22"/>
              <w:szCs w:val="22"/>
              <w:lang w:eastAsia="en-AU"/>
            </w:rPr>
          </w:pPr>
          <w:hyperlink w:anchor="_Toc133584006" w:history="1">
            <w:r w:rsidR="0049023A" w:rsidRPr="00A27C58">
              <w:rPr>
                <w:rStyle w:val="Hyperlink"/>
                <w:noProof/>
              </w:rPr>
              <w:t>Product submission</w:t>
            </w:r>
            <w:r w:rsidR="0049023A">
              <w:rPr>
                <w:noProof/>
                <w:webHidden/>
              </w:rPr>
              <w:tab/>
            </w:r>
            <w:r w:rsidR="0049023A">
              <w:rPr>
                <w:noProof/>
                <w:webHidden/>
              </w:rPr>
              <w:fldChar w:fldCharType="begin"/>
            </w:r>
            <w:r w:rsidR="0049023A">
              <w:rPr>
                <w:noProof/>
                <w:webHidden/>
              </w:rPr>
              <w:instrText xml:space="preserve"> PAGEREF _Toc133584006 \h </w:instrText>
            </w:r>
            <w:r w:rsidR="0049023A">
              <w:rPr>
                <w:noProof/>
                <w:webHidden/>
              </w:rPr>
            </w:r>
            <w:r w:rsidR="0049023A">
              <w:rPr>
                <w:noProof/>
                <w:webHidden/>
              </w:rPr>
              <w:fldChar w:fldCharType="separate"/>
            </w:r>
            <w:r w:rsidR="005605FC">
              <w:rPr>
                <w:noProof/>
                <w:webHidden/>
              </w:rPr>
              <w:t>6</w:t>
            </w:r>
            <w:r w:rsidR="0049023A">
              <w:rPr>
                <w:noProof/>
                <w:webHidden/>
              </w:rPr>
              <w:fldChar w:fldCharType="end"/>
            </w:r>
          </w:hyperlink>
        </w:p>
        <w:p w14:paraId="20994E68" w14:textId="52C67A92" w:rsidR="0049023A" w:rsidRDefault="00E83B6C">
          <w:pPr>
            <w:pStyle w:val="TOC2"/>
            <w:rPr>
              <w:rFonts w:asciiTheme="minorHAnsi" w:eastAsiaTheme="minorEastAsia" w:hAnsiTheme="minorHAnsi" w:cstheme="minorBidi"/>
              <w:b w:val="0"/>
              <w:noProof/>
              <w:color w:val="auto"/>
              <w:sz w:val="22"/>
              <w:szCs w:val="22"/>
              <w:lang w:eastAsia="en-AU"/>
            </w:rPr>
          </w:pPr>
          <w:hyperlink w:anchor="_Toc133584007" w:history="1">
            <w:r w:rsidR="0049023A" w:rsidRPr="00A27C58">
              <w:rPr>
                <w:rStyle w:val="Hyperlink"/>
                <w:noProof/>
                <w:lang w:eastAsia="en-AU"/>
              </w:rPr>
              <w:t>Submission details</w:t>
            </w:r>
            <w:r w:rsidR="0049023A">
              <w:rPr>
                <w:noProof/>
                <w:webHidden/>
              </w:rPr>
              <w:tab/>
            </w:r>
            <w:r w:rsidR="0049023A">
              <w:rPr>
                <w:noProof/>
                <w:webHidden/>
              </w:rPr>
              <w:fldChar w:fldCharType="begin"/>
            </w:r>
            <w:r w:rsidR="0049023A">
              <w:rPr>
                <w:noProof/>
                <w:webHidden/>
              </w:rPr>
              <w:instrText xml:space="preserve"> PAGEREF _Toc133584007 \h </w:instrText>
            </w:r>
            <w:r w:rsidR="0049023A">
              <w:rPr>
                <w:noProof/>
                <w:webHidden/>
              </w:rPr>
            </w:r>
            <w:r w:rsidR="0049023A">
              <w:rPr>
                <w:noProof/>
                <w:webHidden/>
              </w:rPr>
              <w:fldChar w:fldCharType="separate"/>
            </w:r>
            <w:r w:rsidR="005605FC">
              <w:rPr>
                <w:noProof/>
                <w:webHidden/>
              </w:rPr>
              <w:t>6</w:t>
            </w:r>
            <w:r w:rsidR="0049023A">
              <w:rPr>
                <w:noProof/>
                <w:webHidden/>
              </w:rPr>
              <w:fldChar w:fldCharType="end"/>
            </w:r>
          </w:hyperlink>
        </w:p>
        <w:p w14:paraId="3461AD1F" w14:textId="0CD7159C" w:rsidR="0049023A" w:rsidRDefault="00E83B6C">
          <w:pPr>
            <w:pStyle w:val="TOC2"/>
            <w:rPr>
              <w:rFonts w:asciiTheme="minorHAnsi" w:eastAsiaTheme="minorEastAsia" w:hAnsiTheme="minorHAnsi" w:cstheme="minorBidi"/>
              <w:b w:val="0"/>
              <w:noProof/>
              <w:color w:val="auto"/>
              <w:sz w:val="22"/>
              <w:szCs w:val="22"/>
              <w:lang w:eastAsia="en-AU"/>
            </w:rPr>
          </w:pPr>
          <w:hyperlink w:anchor="_Toc133584008" w:history="1">
            <w:r w:rsidR="0049023A" w:rsidRPr="00A27C58">
              <w:rPr>
                <w:rStyle w:val="Hyperlink"/>
                <w:noProof/>
              </w:rPr>
              <w:t>Product background</w:t>
            </w:r>
            <w:r w:rsidR="0049023A">
              <w:rPr>
                <w:noProof/>
                <w:webHidden/>
              </w:rPr>
              <w:tab/>
            </w:r>
            <w:r w:rsidR="0049023A">
              <w:rPr>
                <w:noProof/>
                <w:webHidden/>
              </w:rPr>
              <w:fldChar w:fldCharType="begin"/>
            </w:r>
            <w:r w:rsidR="0049023A">
              <w:rPr>
                <w:noProof/>
                <w:webHidden/>
              </w:rPr>
              <w:instrText xml:space="preserve"> PAGEREF _Toc133584008 \h </w:instrText>
            </w:r>
            <w:r w:rsidR="0049023A">
              <w:rPr>
                <w:noProof/>
                <w:webHidden/>
              </w:rPr>
            </w:r>
            <w:r w:rsidR="0049023A">
              <w:rPr>
                <w:noProof/>
                <w:webHidden/>
              </w:rPr>
              <w:fldChar w:fldCharType="separate"/>
            </w:r>
            <w:r w:rsidR="005605FC">
              <w:rPr>
                <w:noProof/>
                <w:webHidden/>
              </w:rPr>
              <w:t>7</w:t>
            </w:r>
            <w:r w:rsidR="0049023A">
              <w:rPr>
                <w:noProof/>
                <w:webHidden/>
              </w:rPr>
              <w:fldChar w:fldCharType="end"/>
            </w:r>
          </w:hyperlink>
        </w:p>
        <w:p w14:paraId="223B40BA" w14:textId="3CC3EF21" w:rsidR="0049023A" w:rsidRDefault="00E83B6C">
          <w:pPr>
            <w:pStyle w:val="TOC3"/>
            <w:rPr>
              <w:rFonts w:asciiTheme="minorHAnsi" w:eastAsiaTheme="minorEastAsia" w:hAnsiTheme="minorHAnsi" w:cstheme="minorBidi"/>
              <w:b w:val="0"/>
              <w:noProof/>
              <w:color w:val="auto"/>
              <w:szCs w:val="22"/>
              <w:lang w:eastAsia="en-AU"/>
            </w:rPr>
          </w:pPr>
          <w:hyperlink w:anchor="_Toc133584009" w:history="1">
            <w:r w:rsidR="0049023A" w:rsidRPr="00A27C58">
              <w:rPr>
                <w:rStyle w:val="Hyperlink"/>
                <w:noProof/>
              </w:rPr>
              <w:t>Current treatment options</w:t>
            </w:r>
            <w:r w:rsidR="0049023A">
              <w:rPr>
                <w:noProof/>
                <w:webHidden/>
              </w:rPr>
              <w:tab/>
            </w:r>
            <w:r w:rsidR="0049023A">
              <w:rPr>
                <w:noProof/>
                <w:webHidden/>
              </w:rPr>
              <w:fldChar w:fldCharType="begin"/>
            </w:r>
            <w:r w:rsidR="0049023A">
              <w:rPr>
                <w:noProof/>
                <w:webHidden/>
              </w:rPr>
              <w:instrText xml:space="preserve"> PAGEREF _Toc133584009 \h </w:instrText>
            </w:r>
            <w:r w:rsidR="0049023A">
              <w:rPr>
                <w:noProof/>
                <w:webHidden/>
              </w:rPr>
            </w:r>
            <w:r w:rsidR="0049023A">
              <w:rPr>
                <w:noProof/>
                <w:webHidden/>
              </w:rPr>
              <w:fldChar w:fldCharType="separate"/>
            </w:r>
            <w:r w:rsidR="005605FC">
              <w:rPr>
                <w:noProof/>
                <w:webHidden/>
              </w:rPr>
              <w:t>10</w:t>
            </w:r>
            <w:r w:rsidR="0049023A">
              <w:rPr>
                <w:noProof/>
                <w:webHidden/>
              </w:rPr>
              <w:fldChar w:fldCharType="end"/>
            </w:r>
          </w:hyperlink>
        </w:p>
        <w:p w14:paraId="562ED777" w14:textId="43B9A353" w:rsidR="0049023A" w:rsidRDefault="00E83B6C">
          <w:pPr>
            <w:pStyle w:val="TOC2"/>
            <w:rPr>
              <w:rFonts w:asciiTheme="minorHAnsi" w:eastAsiaTheme="minorEastAsia" w:hAnsiTheme="minorHAnsi" w:cstheme="minorBidi"/>
              <w:b w:val="0"/>
              <w:noProof/>
              <w:color w:val="auto"/>
              <w:sz w:val="22"/>
              <w:szCs w:val="22"/>
              <w:lang w:eastAsia="en-AU"/>
            </w:rPr>
          </w:pPr>
          <w:hyperlink w:anchor="_Toc133584010" w:history="1">
            <w:r w:rsidR="0049023A" w:rsidRPr="00A27C58">
              <w:rPr>
                <w:rStyle w:val="Hyperlink"/>
                <w:noProof/>
              </w:rPr>
              <w:t>Regulatory status</w:t>
            </w:r>
            <w:r w:rsidR="0049023A">
              <w:rPr>
                <w:noProof/>
                <w:webHidden/>
              </w:rPr>
              <w:tab/>
            </w:r>
            <w:r w:rsidR="0049023A">
              <w:rPr>
                <w:noProof/>
                <w:webHidden/>
              </w:rPr>
              <w:fldChar w:fldCharType="begin"/>
            </w:r>
            <w:r w:rsidR="0049023A">
              <w:rPr>
                <w:noProof/>
                <w:webHidden/>
              </w:rPr>
              <w:instrText xml:space="preserve"> PAGEREF _Toc133584010 \h </w:instrText>
            </w:r>
            <w:r w:rsidR="0049023A">
              <w:rPr>
                <w:noProof/>
                <w:webHidden/>
              </w:rPr>
            </w:r>
            <w:r w:rsidR="0049023A">
              <w:rPr>
                <w:noProof/>
                <w:webHidden/>
              </w:rPr>
              <w:fldChar w:fldCharType="separate"/>
            </w:r>
            <w:r w:rsidR="005605FC">
              <w:rPr>
                <w:noProof/>
                <w:webHidden/>
              </w:rPr>
              <w:t>11</w:t>
            </w:r>
            <w:r w:rsidR="0049023A">
              <w:rPr>
                <w:noProof/>
                <w:webHidden/>
              </w:rPr>
              <w:fldChar w:fldCharType="end"/>
            </w:r>
          </w:hyperlink>
        </w:p>
        <w:p w14:paraId="5E0CDD66" w14:textId="43BB74EE" w:rsidR="0049023A" w:rsidRDefault="00E83B6C">
          <w:pPr>
            <w:pStyle w:val="TOC2"/>
            <w:rPr>
              <w:rFonts w:asciiTheme="minorHAnsi" w:eastAsiaTheme="minorEastAsia" w:hAnsiTheme="minorHAnsi" w:cstheme="minorBidi"/>
              <w:b w:val="0"/>
              <w:noProof/>
              <w:color w:val="auto"/>
              <w:sz w:val="22"/>
              <w:szCs w:val="22"/>
              <w:lang w:eastAsia="en-AU"/>
            </w:rPr>
          </w:pPr>
          <w:hyperlink w:anchor="_Toc133584011" w:history="1">
            <w:r w:rsidR="0049023A" w:rsidRPr="00A27C58">
              <w:rPr>
                <w:rStyle w:val="Hyperlink"/>
                <w:noProof/>
              </w:rPr>
              <w:t>Product Information</w:t>
            </w:r>
            <w:r w:rsidR="0049023A">
              <w:rPr>
                <w:noProof/>
                <w:webHidden/>
              </w:rPr>
              <w:tab/>
            </w:r>
            <w:r w:rsidR="0049023A">
              <w:rPr>
                <w:noProof/>
                <w:webHidden/>
              </w:rPr>
              <w:fldChar w:fldCharType="begin"/>
            </w:r>
            <w:r w:rsidR="0049023A">
              <w:rPr>
                <w:noProof/>
                <w:webHidden/>
              </w:rPr>
              <w:instrText xml:space="preserve"> PAGEREF _Toc133584011 \h </w:instrText>
            </w:r>
            <w:r w:rsidR="0049023A">
              <w:rPr>
                <w:noProof/>
                <w:webHidden/>
              </w:rPr>
            </w:r>
            <w:r w:rsidR="0049023A">
              <w:rPr>
                <w:noProof/>
                <w:webHidden/>
              </w:rPr>
              <w:fldChar w:fldCharType="separate"/>
            </w:r>
            <w:r w:rsidR="005605FC">
              <w:rPr>
                <w:noProof/>
                <w:webHidden/>
              </w:rPr>
              <w:t>17</w:t>
            </w:r>
            <w:r w:rsidR="0049023A">
              <w:rPr>
                <w:noProof/>
                <w:webHidden/>
              </w:rPr>
              <w:fldChar w:fldCharType="end"/>
            </w:r>
          </w:hyperlink>
        </w:p>
        <w:p w14:paraId="2E9684D9" w14:textId="098196C5" w:rsidR="0049023A" w:rsidRDefault="00E83B6C">
          <w:pPr>
            <w:pStyle w:val="TOC1"/>
            <w:rPr>
              <w:rFonts w:asciiTheme="minorHAnsi" w:eastAsiaTheme="minorEastAsia" w:hAnsiTheme="minorHAnsi" w:cstheme="minorBidi"/>
              <w:b w:val="0"/>
              <w:noProof/>
              <w:color w:val="auto"/>
              <w:sz w:val="22"/>
              <w:szCs w:val="22"/>
              <w:lang w:eastAsia="en-AU"/>
            </w:rPr>
          </w:pPr>
          <w:hyperlink w:anchor="_Toc133584012" w:history="1">
            <w:r w:rsidR="0049023A" w:rsidRPr="00A27C58">
              <w:rPr>
                <w:rStyle w:val="Hyperlink"/>
                <w:noProof/>
              </w:rPr>
              <w:t>Registration timeline</w:t>
            </w:r>
            <w:r w:rsidR="0049023A">
              <w:rPr>
                <w:noProof/>
                <w:webHidden/>
              </w:rPr>
              <w:tab/>
            </w:r>
            <w:r w:rsidR="0049023A">
              <w:rPr>
                <w:noProof/>
                <w:webHidden/>
              </w:rPr>
              <w:fldChar w:fldCharType="begin"/>
            </w:r>
            <w:r w:rsidR="0049023A">
              <w:rPr>
                <w:noProof/>
                <w:webHidden/>
              </w:rPr>
              <w:instrText xml:space="preserve"> PAGEREF _Toc133584012 \h </w:instrText>
            </w:r>
            <w:r w:rsidR="0049023A">
              <w:rPr>
                <w:noProof/>
                <w:webHidden/>
              </w:rPr>
            </w:r>
            <w:r w:rsidR="0049023A">
              <w:rPr>
                <w:noProof/>
                <w:webHidden/>
              </w:rPr>
              <w:fldChar w:fldCharType="separate"/>
            </w:r>
            <w:r w:rsidR="005605FC">
              <w:rPr>
                <w:noProof/>
                <w:webHidden/>
              </w:rPr>
              <w:t>17</w:t>
            </w:r>
            <w:r w:rsidR="0049023A">
              <w:rPr>
                <w:noProof/>
                <w:webHidden/>
              </w:rPr>
              <w:fldChar w:fldCharType="end"/>
            </w:r>
          </w:hyperlink>
        </w:p>
        <w:p w14:paraId="5F7336CC" w14:textId="4B81C1E8" w:rsidR="0049023A" w:rsidRDefault="00E83B6C">
          <w:pPr>
            <w:pStyle w:val="TOC1"/>
            <w:rPr>
              <w:rFonts w:asciiTheme="minorHAnsi" w:eastAsiaTheme="minorEastAsia" w:hAnsiTheme="minorHAnsi" w:cstheme="minorBidi"/>
              <w:b w:val="0"/>
              <w:noProof/>
              <w:color w:val="auto"/>
              <w:sz w:val="22"/>
              <w:szCs w:val="22"/>
              <w:lang w:eastAsia="en-AU"/>
            </w:rPr>
          </w:pPr>
          <w:hyperlink w:anchor="_Toc133584013" w:history="1">
            <w:r w:rsidR="0049023A" w:rsidRPr="00A27C58">
              <w:rPr>
                <w:rStyle w:val="Hyperlink"/>
                <w:noProof/>
              </w:rPr>
              <w:t>Submission overview and risk/benefit assessment</w:t>
            </w:r>
            <w:r w:rsidR="0049023A">
              <w:rPr>
                <w:noProof/>
                <w:webHidden/>
              </w:rPr>
              <w:tab/>
            </w:r>
            <w:r w:rsidR="0049023A">
              <w:rPr>
                <w:noProof/>
                <w:webHidden/>
              </w:rPr>
              <w:fldChar w:fldCharType="begin"/>
            </w:r>
            <w:r w:rsidR="0049023A">
              <w:rPr>
                <w:noProof/>
                <w:webHidden/>
              </w:rPr>
              <w:instrText xml:space="preserve"> PAGEREF _Toc133584013 \h </w:instrText>
            </w:r>
            <w:r w:rsidR="0049023A">
              <w:rPr>
                <w:noProof/>
                <w:webHidden/>
              </w:rPr>
            </w:r>
            <w:r w:rsidR="0049023A">
              <w:rPr>
                <w:noProof/>
                <w:webHidden/>
              </w:rPr>
              <w:fldChar w:fldCharType="separate"/>
            </w:r>
            <w:r w:rsidR="005605FC">
              <w:rPr>
                <w:noProof/>
                <w:webHidden/>
              </w:rPr>
              <w:t>17</w:t>
            </w:r>
            <w:r w:rsidR="0049023A">
              <w:rPr>
                <w:noProof/>
                <w:webHidden/>
              </w:rPr>
              <w:fldChar w:fldCharType="end"/>
            </w:r>
          </w:hyperlink>
        </w:p>
        <w:p w14:paraId="620A1244" w14:textId="4BF8BFEA" w:rsidR="0049023A" w:rsidRDefault="00E83B6C">
          <w:pPr>
            <w:pStyle w:val="TOC2"/>
            <w:rPr>
              <w:rFonts w:asciiTheme="minorHAnsi" w:eastAsiaTheme="minorEastAsia" w:hAnsiTheme="minorHAnsi" w:cstheme="minorBidi"/>
              <w:b w:val="0"/>
              <w:noProof/>
              <w:color w:val="auto"/>
              <w:sz w:val="22"/>
              <w:szCs w:val="22"/>
              <w:lang w:eastAsia="en-AU"/>
            </w:rPr>
          </w:pPr>
          <w:hyperlink w:anchor="_Toc133584014" w:history="1">
            <w:r w:rsidR="0049023A" w:rsidRPr="00A27C58">
              <w:rPr>
                <w:rStyle w:val="Hyperlink"/>
                <w:noProof/>
              </w:rPr>
              <w:t>Quality</w:t>
            </w:r>
            <w:r w:rsidR="0049023A">
              <w:rPr>
                <w:noProof/>
                <w:webHidden/>
              </w:rPr>
              <w:tab/>
            </w:r>
            <w:r w:rsidR="0049023A">
              <w:rPr>
                <w:noProof/>
                <w:webHidden/>
              </w:rPr>
              <w:fldChar w:fldCharType="begin"/>
            </w:r>
            <w:r w:rsidR="0049023A">
              <w:rPr>
                <w:noProof/>
                <w:webHidden/>
              </w:rPr>
              <w:instrText xml:space="preserve"> PAGEREF _Toc133584014 \h </w:instrText>
            </w:r>
            <w:r w:rsidR="0049023A">
              <w:rPr>
                <w:noProof/>
                <w:webHidden/>
              </w:rPr>
            </w:r>
            <w:r w:rsidR="0049023A">
              <w:rPr>
                <w:noProof/>
                <w:webHidden/>
              </w:rPr>
              <w:fldChar w:fldCharType="separate"/>
            </w:r>
            <w:r w:rsidR="005605FC">
              <w:rPr>
                <w:noProof/>
                <w:webHidden/>
              </w:rPr>
              <w:t>18</w:t>
            </w:r>
            <w:r w:rsidR="0049023A">
              <w:rPr>
                <w:noProof/>
                <w:webHidden/>
              </w:rPr>
              <w:fldChar w:fldCharType="end"/>
            </w:r>
          </w:hyperlink>
        </w:p>
        <w:p w14:paraId="376B9298" w14:textId="20E75DA9" w:rsidR="0049023A" w:rsidRDefault="00E83B6C">
          <w:pPr>
            <w:pStyle w:val="TOC2"/>
            <w:rPr>
              <w:rFonts w:asciiTheme="minorHAnsi" w:eastAsiaTheme="minorEastAsia" w:hAnsiTheme="minorHAnsi" w:cstheme="minorBidi"/>
              <w:b w:val="0"/>
              <w:noProof/>
              <w:color w:val="auto"/>
              <w:sz w:val="22"/>
              <w:szCs w:val="22"/>
              <w:lang w:eastAsia="en-AU"/>
            </w:rPr>
          </w:pPr>
          <w:hyperlink w:anchor="_Toc133584015" w:history="1">
            <w:r w:rsidR="0049023A" w:rsidRPr="00A27C58">
              <w:rPr>
                <w:rStyle w:val="Hyperlink"/>
                <w:noProof/>
              </w:rPr>
              <w:t>Nonclinical</w:t>
            </w:r>
            <w:r w:rsidR="0049023A">
              <w:rPr>
                <w:noProof/>
                <w:webHidden/>
              </w:rPr>
              <w:tab/>
            </w:r>
            <w:r w:rsidR="0049023A">
              <w:rPr>
                <w:noProof/>
                <w:webHidden/>
              </w:rPr>
              <w:fldChar w:fldCharType="begin"/>
            </w:r>
            <w:r w:rsidR="0049023A">
              <w:rPr>
                <w:noProof/>
                <w:webHidden/>
              </w:rPr>
              <w:instrText xml:space="preserve"> PAGEREF _Toc133584015 \h </w:instrText>
            </w:r>
            <w:r w:rsidR="0049023A">
              <w:rPr>
                <w:noProof/>
                <w:webHidden/>
              </w:rPr>
            </w:r>
            <w:r w:rsidR="0049023A">
              <w:rPr>
                <w:noProof/>
                <w:webHidden/>
              </w:rPr>
              <w:fldChar w:fldCharType="separate"/>
            </w:r>
            <w:r w:rsidR="005605FC">
              <w:rPr>
                <w:noProof/>
                <w:webHidden/>
              </w:rPr>
              <w:t>18</w:t>
            </w:r>
            <w:r w:rsidR="0049023A">
              <w:rPr>
                <w:noProof/>
                <w:webHidden/>
              </w:rPr>
              <w:fldChar w:fldCharType="end"/>
            </w:r>
          </w:hyperlink>
        </w:p>
        <w:p w14:paraId="34E3AD88" w14:textId="6700D437" w:rsidR="0049023A" w:rsidRDefault="00E83B6C">
          <w:pPr>
            <w:pStyle w:val="TOC2"/>
            <w:rPr>
              <w:rFonts w:asciiTheme="minorHAnsi" w:eastAsiaTheme="minorEastAsia" w:hAnsiTheme="minorHAnsi" w:cstheme="minorBidi"/>
              <w:b w:val="0"/>
              <w:noProof/>
              <w:color w:val="auto"/>
              <w:sz w:val="22"/>
              <w:szCs w:val="22"/>
              <w:lang w:eastAsia="en-AU"/>
            </w:rPr>
          </w:pPr>
          <w:hyperlink w:anchor="_Toc133584016" w:history="1">
            <w:r w:rsidR="0049023A" w:rsidRPr="00A27C58">
              <w:rPr>
                <w:rStyle w:val="Hyperlink"/>
                <w:noProof/>
              </w:rPr>
              <w:t>Clinical</w:t>
            </w:r>
            <w:r w:rsidR="0049023A">
              <w:rPr>
                <w:noProof/>
                <w:webHidden/>
              </w:rPr>
              <w:tab/>
            </w:r>
            <w:r w:rsidR="0049023A">
              <w:rPr>
                <w:noProof/>
                <w:webHidden/>
              </w:rPr>
              <w:fldChar w:fldCharType="begin"/>
            </w:r>
            <w:r w:rsidR="0049023A">
              <w:rPr>
                <w:noProof/>
                <w:webHidden/>
              </w:rPr>
              <w:instrText xml:space="preserve"> PAGEREF _Toc133584016 \h </w:instrText>
            </w:r>
            <w:r w:rsidR="0049023A">
              <w:rPr>
                <w:noProof/>
                <w:webHidden/>
              </w:rPr>
            </w:r>
            <w:r w:rsidR="0049023A">
              <w:rPr>
                <w:noProof/>
                <w:webHidden/>
              </w:rPr>
              <w:fldChar w:fldCharType="separate"/>
            </w:r>
            <w:r w:rsidR="005605FC">
              <w:rPr>
                <w:noProof/>
                <w:webHidden/>
              </w:rPr>
              <w:t>18</w:t>
            </w:r>
            <w:r w:rsidR="0049023A">
              <w:rPr>
                <w:noProof/>
                <w:webHidden/>
              </w:rPr>
              <w:fldChar w:fldCharType="end"/>
            </w:r>
          </w:hyperlink>
        </w:p>
        <w:p w14:paraId="1D850BDB" w14:textId="25DA282F" w:rsidR="0049023A" w:rsidRDefault="00E83B6C">
          <w:pPr>
            <w:pStyle w:val="TOC3"/>
            <w:rPr>
              <w:rFonts w:asciiTheme="minorHAnsi" w:eastAsiaTheme="minorEastAsia" w:hAnsiTheme="minorHAnsi" w:cstheme="minorBidi"/>
              <w:b w:val="0"/>
              <w:noProof/>
              <w:color w:val="auto"/>
              <w:szCs w:val="22"/>
              <w:lang w:eastAsia="en-AU"/>
            </w:rPr>
          </w:pPr>
          <w:hyperlink w:anchor="_Toc133584017" w:history="1">
            <w:r w:rsidR="0049023A" w:rsidRPr="00A27C58">
              <w:rPr>
                <w:rStyle w:val="Hyperlink"/>
                <w:noProof/>
              </w:rPr>
              <w:t>Summary of clinical studies</w:t>
            </w:r>
            <w:r w:rsidR="0049023A">
              <w:rPr>
                <w:noProof/>
                <w:webHidden/>
              </w:rPr>
              <w:tab/>
            </w:r>
            <w:r w:rsidR="0049023A">
              <w:rPr>
                <w:noProof/>
                <w:webHidden/>
              </w:rPr>
              <w:fldChar w:fldCharType="begin"/>
            </w:r>
            <w:r w:rsidR="0049023A">
              <w:rPr>
                <w:noProof/>
                <w:webHidden/>
              </w:rPr>
              <w:instrText xml:space="preserve"> PAGEREF _Toc133584017 \h </w:instrText>
            </w:r>
            <w:r w:rsidR="0049023A">
              <w:rPr>
                <w:noProof/>
                <w:webHidden/>
              </w:rPr>
            </w:r>
            <w:r w:rsidR="0049023A">
              <w:rPr>
                <w:noProof/>
                <w:webHidden/>
              </w:rPr>
              <w:fldChar w:fldCharType="separate"/>
            </w:r>
            <w:r w:rsidR="005605FC">
              <w:rPr>
                <w:noProof/>
                <w:webHidden/>
              </w:rPr>
              <w:t>18</w:t>
            </w:r>
            <w:r w:rsidR="0049023A">
              <w:rPr>
                <w:noProof/>
                <w:webHidden/>
              </w:rPr>
              <w:fldChar w:fldCharType="end"/>
            </w:r>
          </w:hyperlink>
        </w:p>
        <w:p w14:paraId="1424950C" w14:textId="3D44639F" w:rsidR="0049023A" w:rsidRDefault="00E83B6C">
          <w:pPr>
            <w:pStyle w:val="TOC3"/>
            <w:rPr>
              <w:rFonts w:asciiTheme="minorHAnsi" w:eastAsiaTheme="minorEastAsia" w:hAnsiTheme="minorHAnsi" w:cstheme="minorBidi"/>
              <w:b w:val="0"/>
              <w:noProof/>
              <w:color w:val="auto"/>
              <w:szCs w:val="22"/>
              <w:lang w:eastAsia="en-AU"/>
            </w:rPr>
          </w:pPr>
          <w:hyperlink w:anchor="_Toc133584018" w:history="1">
            <w:r w:rsidR="0049023A" w:rsidRPr="00A27C58">
              <w:rPr>
                <w:rStyle w:val="Hyperlink"/>
                <w:noProof/>
              </w:rPr>
              <w:t>Pharmacology</w:t>
            </w:r>
            <w:r w:rsidR="0049023A">
              <w:rPr>
                <w:noProof/>
                <w:webHidden/>
              </w:rPr>
              <w:tab/>
            </w:r>
            <w:r w:rsidR="0049023A">
              <w:rPr>
                <w:noProof/>
                <w:webHidden/>
              </w:rPr>
              <w:fldChar w:fldCharType="begin"/>
            </w:r>
            <w:r w:rsidR="0049023A">
              <w:rPr>
                <w:noProof/>
                <w:webHidden/>
              </w:rPr>
              <w:instrText xml:space="preserve"> PAGEREF _Toc133584018 \h </w:instrText>
            </w:r>
            <w:r w:rsidR="0049023A">
              <w:rPr>
                <w:noProof/>
                <w:webHidden/>
              </w:rPr>
            </w:r>
            <w:r w:rsidR="0049023A">
              <w:rPr>
                <w:noProof/>
                <w:webHidden/>
              </w:rPr>
              <w:fldChar w:fldCharType="separate"/>
            </w:r>
            <w:r w:rsidR="005605FC">
              <w:rPr>
                <w:noProof/>
                <w:webHidden/>
              </w:rPr>
              <w:t>18</w:t>
            </w:r>
            <w:r w:rsidR="0049023A">
              <w:rPr>
                <w:noProof/>
                <w:webHidden/>
              </w:rPr>
              <w:fldChar w:fldCharType="end"/>
            </w:r>
          </w:hyperlink>
        </w:p>
        <w:p w14:paraId="5A76A195" w14:textId="03AEAEB8" w:rsidR="0049023A" w:rsidRDefault="00E83B6C">
          <w:pPr>
            <w:pStyle w:val="TOC3"/>
            <w:rPr>
              <w:rFonts w:asciiTheme="minorHAnsi" w:eastAsiaTheme="minorEastAsia" w:hAnsiTheme="minorHAnsi" w:cstheme="minorBidi"/>
              <w:b w:val="0"/>
              <w:noProof/>
              <w:color w:val="auto"/>
              <w:szCs w:val="22"/>
              <w:lang w:eastAsia="en-AU"/>
            </w:rPr>
          </w:pPr>
          <w:hyperlink w:anchor="_Toc133584019" w:history="1">
            <w:r w:rsidR="0049023A" w:rsidRPr="00A27C58">
              <w:rPr>
                <w:rStyle w:val="Hyperlink"/>
                <w:noProof/>
              </w:rPr>
              <w:t>Efficacy</w:t>
            </w:r>
            <w:r w:rsidR="0049023A">
              <w:rPr>
                <w:noProof/>
                <w:webHidden/>
              </w:rPr>
              <w:tab/>
            </w:r>
            <w:r w:rsidR="0049023A">
              <w:rPr>
                <w:noProof/>
                <w:webHidden/>
              </w:rPr>
              <w:fldChar w:fldCharType="begin"/>
            </w:r>
            <w:r w:rsidR="0049023A">
              <w:rPr>
                <w:noProof/>
                <w:webHidden/>
              </w:rPr>
              <w:instrText xml:space="preserve"> PAGEREF _Toc133584019 \h </w:instrText>
            </w:r>
            <w:r w:rsidR="0049023A">
              <w:rPr>
                <w:noProof/>
                <w:webHidden/>
              </w:rPr>
            </w:r>
            <w:r w:rsidR="0049023A">
              <w:rPr>
                <w:noProof/>
                <w:webHidden/>
              </w:rPr>
              <w:fldChar w:fldCharType="separate"/>
            </w:r>
            <w:r w:rsidR="005605FC">
              <w:rPr>
                <w:noProof/>
                <w:webHidden/>
              </w:rPr>
              <w:t>19</w:t>
            </w:r>
            <w:r w:rsidR="0049023A">
              <w:rPr>
                <w:noProof/>
                <w:webHidden/>
              </w:rPr>
              <w:fldChar w:fldCharType="end"/>
            </w:r>
          </w:hyperlink>
        </w:p>
        <w:p w14:paraId="1421C220" w14:textId="5F718828" w:rsidR="0049023A" w:rsidRDefault="00E83B6C">
          <w:pPr>
            <w:pStyle w:val="TOC3"/>
            <w:rPr>
              <w:rFonts w:asciiTheme="minorHAnsi" w:eastAsiaTheme="minorEastAsia" w:hAnsiTheme="minorHAnsi" w:cstheme="minorBidi"/>
              <w:b w:val="0"/>
              <w:noProof/>
              <w:color w:val="auto"/>
              <w:szCs w:val="22"/>
              <w:lang w:eastAsia="en-AU"/>
            </w:rPr>
          </w:pPr>
          <w:hyperlink w:anchor="_Toc133584020" w:history="1">
            <w:r w:rsidR="0049023A" w:rsidRPr="00A27C58">
              <w:rPr>
                <w:rStyle w:val="Hyperlink"/>
                <w:noProof/>
              </w:rPr>
              <w:t>Safety</w:t>
            </w:r>
            <w:r w:rsidR="0049023A">
              <w:rPr>
                <w:noProof/>
                <w:webHidden/>
              </w:rPr>
              <w:tab/>
            </w:r>
            <w:r w:rsidR="0049023A">
              <w:rPr>
                <w:noProof/>
                <w:webHidden/>
              </w:rPr>
              <w:fldChar w:fldCharType="begin"/>
            </w:r>
            <w:r w:rsidR="0049023A">
              <w:rPr>
                <w:noProof/>
                <w:webHidden/>
              </w:rPr>
              <w:instrText xml:space="preserve"> PAGEREF _Toc133584020 \h </w:instrText>
            </w:r>
            <w:r w:rsidR="0049023A">
              <w:rPr>
                <w:noProof/>
                <w:webHidden/>
              </w:rPr>
            </w:r>
            <w:r w:rsidR="0049023A">
              <w:rPr>
                <w:noProof/>
                <w:webHidden/>
              </w:rPr>
              <w:fldChar w:fldCharType="separate"/>
            </w:r>
            <w:r w:rsidR="005605FC">
              <w:rPr>
                <w:noProof/>
                <w:webHidden/>
              </w:rPr>
              <w:t>32</w:t>
            </w:r>
            <w:r w:rsidR="0049023A">
              <w:rPr>
                <w:noProof/>
                <w:webHidden/>
              </w:rPr>
              <w:fldChar w:fldCharType="end"/>
            </w:r>
          </w:hyperlink>
        </w:p>
        <w:p w14:paraId="6E20F5CD" w14:textId="21815308" w:rsidR="0049023A" w:rsidRDefault="00E83B6C">
          <w:pPr>
            <w:pStyle w:val="TOC2"/>
            <w:rPr>
              <w:rFonts w:asciiTheme="minorHAnsi" w:eastAsiaTheme="minorEastAsia" w:hAnsiTheme="minorHAnsi" w:cstheme="minorBidi"/>
              <w:b w:val="0"/>
              <w:noProof/>
              <w:color w:val="auto"/>
              <w:sz w:val="22"/>
              <w:szCs w:val="22"/>
              <w:lang w:eastAsia="en-AU"/>
            </w:rPr>
          </w:pPr>
          <w:hyperlink w:anchor="_Toc133584021" w:history="1">
            <w:r w:rsidR="0049023A" w:rsidRPr="00A27C58">
              <w:rPr>
                <w:rStyle w:val="Hyperlink"/>
                <w:noProof/>
                <w:lang w:eastAsia="en-AU"/>
              </w:rPr>
              <w:t>Risk management plan</w:t>
            </w:r>
            <w:r w:rsidR="0049023A">
              <w:rPr>
                <w:noProof/>
                <w:webHidden/>
              </w:rPr>
              <w:tab/>
            </w:r>
            <w:r w:rsidR="0049023A">
              <w:rPr>
                <w:noProof/>
                <w:webHidden/>
              </w:rPr>
              <w:fldChar w:fldCharType="begin"/>
            </w:r>
            <w:r w:rsidR="0049023A">
              <w:rPr>
                <w:noProof/>
                <w:webHidden/>
              </w:rPr>
              <w:instrText xml:space="preserve"> PAGEREF _Toc133584021 \h </w:instrText>
            </w:r>
            <w:r w:rsidR="0049023A">
              <w:rPr>
                <w:noProof/>
                <w:webHidden/>
              </w:rPr>
            </w:r>
            <w:r w:rsidR="0049023A">
              <w:rPr>
                <w:noProof/>
                <w:webHidden/>
              </w:rPr>
              <w:fldChar w:fldCharType="separate"/>
            </w:r>
            <w:r w:rsidR="005605FC">
              <w:rPr>
                <w:noProof/>
                <w:webHidden/>
              </w:rPr>
              <w:t>36</w:t>
            </w:r>
            <w:r w:rsidR="0049023A">
              <w:rPr>
                <w:noProof/>
                <w:webHidden/>
              </w:rPr>
              <w:fldChar w:fldCharType="end"/>
            </w:r>
          </w:hyperlink>
        </w:p>
        <w:p w14:paraId="0182B1D0" w14:textId="795B0DFA" w:rsidR="0049023A" w:rsidRDefault="00E83B6C">
          <w:pPr>
            <w:pStyle w:val="TOC2"/>
            <w:rPr>
              <w:rFonts w:asciiTheme="minorHAnsi" w:eastAsiaTheme="minorEastAsia" w:hAnsiTheme="minorHAnsi" w:cstheme="minorBidi"/>
              <w:b w:val="0"/>
              <w:noProof/>
              <w:color w:val="auto"/>
              <w:sz w:val="22"/>
              <w:szCs w:val="22"/>
              <w:lang w:eastAsia="en-AU"/>
            </w:rPr>
          </w:pPr>
          <w:hyperlink w:anchor="_Toc133584022" w:history="1">
            <w:r w:rsidR="0049023A" w:rsidRPr="00A27C58">
              <w:rPr>
                <w:rStyle w:val="Hyperlink"/>
                <w:noProof/>
              </w:rPr>
              <w:t>Risk-benefit analysis</w:t>
            </w:r>
            <w:r w:rsidR="0049023A">
              <w:rPr>
                <w:noProof/>
                <w:webHidden/>
              </w:rPr>
              <w:tab/>
            </w:r>
            <w:r w:rsidR="0049023A">
              <w:rPr>
                <w:noProof/>
                <w:webHidden/>
              </w:rPr>
              <w:fldChar w:fldCharType="begin"/>
            </w:r>
            <w:r w:rsidR="0049023A">
              <w:rPr>
                <w:noProof/>
                <w:webHidden/>
              </w:rPr>
              <w:instrText xml:space="preserve"> PAGEREF _Toc133584022 \h </w:instrText>
            </w:r>
            <w:r w:rsidR="0049023A">
              <w:rPr>
                <w:noProof/>
                <w:webHidden/>
              </w:rPr>
            </w:r>
            <w:r w:rsidR="0049023A">
              <w:rPr>
                <w:noProof/>
                <w:webHidden/>
              </w:rPr>
              <w:fldChar w:fldCharType="separate"/>
            </w:r>
            <w:r w:rsidR="005605FC">
              <w:rPr>
                <w:noProof/>
                <w:webHidden/>
              </w:rPr>
              <w:t>36</w:t>
            </w:r>
            <w:r w:rsidR="0049023A">
              <w:rPr>
                <w:noProof/>
                <w:webHidden/>
              </w:rPr>
              <w:fldChar w:fldCharType="end"/>
            </w:r>
          </w:hyperlink>
        </w:p>
        <w:p w14:paraId="0DEC2140" w14:textId="3534393D" w:rsidR="0049023A" w:rsidRDefault="00E83B6C">
          <w:pPr>
            <w:pStyle w:val="TOC3"/>
            <w:rPr>
              <w:rFonts w:asciiTheme="minorHAnsi" w:eastAsiaTheme="minorEastAsia" w:hAnsiTheme="minorHAnsi" w:cstheme="minorBidi"/>
              <w:b w:val="0"/>
              <w:noProof/>
              <w:color w:val="auto"/>
              <w:szCs w:val="22"/>
              <w:lang w:eastAsia="en-AU"/>
            </w:rPr>
          </w:pPr>
          <w:hyperlink w:anchor="_Toc133584023" w:history="1">
            <w:r w:rsidR="0049023A" w:rsidRPr="00A27C58">
              <w:rPr>
                <w:rStyle w:val="Hyperlink"/>
                <w:noProof/>
              </w:rPr>
              <w:t>Delegate’s considerations</w:t>
            </w:r>
            <w:r w:rsidR="0049023A">
              <w:rPr>
                <w:noProof/>
                <w:webHidden/>
              </w:rPr>
              <w:tab/>
            </w:r>
            <w:r w:rsidR="0049023A">
              <w:rPr>
                <w:noProof/>
                <w:webHidden/>
              </w:rPr>
              <w:fldChar w:fldCharType="begin"/>
            </w:r>
            <w:r w:rsidR="0049023A">
              <w:rPr>
                <w:noProof/>
                <w:webHidden/>
              </w:rPr>
              <w:instrText xml:space="preserve"> PAGEREF _Toc133584023 \h </w:instrText>
            </w:r>
            <w:r w:rsidR="0049023A">
              <w:rPr>
                <w:noProof/>
                <w:webHidden/>
              </w:rPr>
            </w:r>
            <w:r w:rsidR="0049023A">
              <w:rPr>
                <w:noProof/>
                <w:webHidden/>
              </w:rPr>
              <w:fldChar w:fldCharType="separate"/>
            </w:r>
            <w:r w:rsidR="005605FC">
              <w:rPr>
                <w:noProof/>
                <w:webHidden/>
              </w:rPr>
              <w:t>36</w:t>
            </w:r>
            <w:r w:rsidR="0049023A">
              <w:rPr>
                <w:noProof/>
                <w:webHidden/>
              </w:rPr>
              <w:fldChar w:fldCharType="end"/>
            </w:r>
          </w:hyperlink>
        </w:p>
        <w:p w14:paraId="36C45FEE" w14:textId="2F84B818" w:rsidR="0049023A" w:rsidRDefault="00E83B6C">
          <w:pPr>
            <w:pStyle w:val="TOC3"/>
            <w:rPr>
              <w:rFonts w:asciiTheme="minorHAnsi" w:eastAsiaTheme="minorEastAsia" w:hAnsiTheme="minorHAnsi" w:cstheme="minorBidi"/>
              <w:b w:val="0"/>
              <w:noProof/>
              <w:color w:val="auto"/>
              <w:szCs w:val="22"/>
              <w:lang w:eastAsia="en-AU"/>
            </w:rPr>
          </w:pPr>
          <w:hyperlink w:anchor="_Toc133584024" w:history="1">
            <w:r w:rsidR="0049023A" w:rsidRPr="00A27C58">
              <w:rPr>
                <w:rStyle w:val="Hyperlink"/>
                <w:noProof/>
              </w:rPr>
              <w:t>Indications</w:t>
            </w:r>
            <w:r w:rsidR="0049023A">
              <w:rPr>
                <w:noProof/>
                <w:webHidden/>
              </w:rPr>
              <w:tab/>
            </w:r>
            <w:r w:rsidR="0049023A">
              <w:rPr>
                <w:noProof/>
                <w:webHidden/>
              </w:rPr>
              <w:fldChar w:fldCharType="begin"/>
            </w:r>
            <w:r w:rsidR="0049023A">
              <w:rPr>
                <w:noProof/>
                <w:webHidden/>
              </w:rPr>
              <w:instrText xml:space="preserve"> PAGEREF _Toc133584024 \h </w:instrText>
            </w:r>
            <w:r w:rsidR="0049023A">
              <w:rPr>
                <w:noProof/>
                <w:webHidden/>
              </w:rPr>
            </w:r>
            <w:r w:rsidR="0049023A">
              <w:rPr>
                <w:noProof/>
                <w:webHidden/>
              </w:rPr>
              <w:fldChar w:fldCharType="separate"/>
            </w:r>
            <w:r w:rsidR="005605FC">
              <w:rPr>
                <w:noProof/>
                <w:webHidden/>
              </w:rPr>
              <w:t>38</w:t>
            </w:r>
            <w:r w:rsidR="0049023A">
              <w:rPr>
                <w:noProof/>
                <w:webHidden/>
              </w:rPr>
              <w:fldChar w:fldCharType="end"/>
            </w:r>
          </w:hyperlink>
        </w:p>
        <w:p w14:paraId="26A0FDF9" w14:textId="11974FE1" w:rsidR="0049023A" w:rsidRDefault="00E83B6C">
          <w:pPr>
            <w:pStyle w:val="TOC3"/>
            <w:rPr>
              <w:rFonts w:asciiTheme="minorHAnsi" w:eastAsiaTheme="minorEastAsia" w:hAnsiTheme="minorHAnsi" w:cstheme="minorBidi"/>
              <w:b w:val="0"/>
              <w:noProof/>
              <w:color w:val="auto"/>
              <w:szCs w:val="22"/>
              <w:lang w:eastAsia="en-AU"/>
            </w:rPr>
          </w:pPr>
          <w:hyperlink w:anchor="_Toc133584025" w:history="1">
            <w:r w:rsidR="0049023A" w:rsidRPr="00A27C58">
              <w:rPr>
                <w:rStyle w:val="Hyperlink"/>
                <w:noProof/>
              </w:rPr>
              <w:t>Proposed action</w:t>
            </w:r>
            <w:r w:rsidR="0049023A">
              <w:rPr>
                <w:noProof/>
                <w:webHidden/>
              </w:rPr>
              <w:tab/>
            </w:r>
            <w:r w:rsidR="0049023A">
              <w:rPr>
                <w:noProof/>
                <w:webHidden/>
              </w:rPr>
              <w:fldChar w:fldCharType="begin"/>
            </w:r>
            <w:r w:rsidR="0049023A">
              <w:rPr>
                <w:noProof/>
                <w:webHidden/>
              </w:rPr>
              <w:instrText xml:space="preserve"> PAGEREF _Toc133584025 \h </w:instrText>
            </w:r>
            <w:r w:rsidR="0049023A">
              <w:rPr>
                <w:noProof/>
                <w:webHidden/>
              </w:rPr>
            </w:r>
            <w:r w:rsidR="0049023A">
              <w:rPr>
                <w:noProof/>
                <w:webHidden/>
              </w:rPr>
              <w:fldChar w:fldCharType="separate"/>
            </w:r>
            <w:r w:rsidR="005605FC">
              <w:rPr>
                <w:noProof/>
                <w:webHidden/>
              </w:rPr>
              <w:t>38</w:t>
            </w:r>
            <w:r w:rsidR="0049023A">
              <w:rPr>
                <w:noProof/>
                <w:webHidden/>
              </w:rPr>
              <w:fldChar w:fldCharType="end"/>
            </w:r>
          </w:hyperlink>
        </w:p>
        <w:p w14:paraId="093C06C9" w14:textId="74E03870" w:rsidR="0049023A" w:rsidRDefault="00E83B6C">
          <w:pPr>
            <w:pStyle w:val="TOC3"/>
            <w:rPr>
              <w:rFonts w:asciiTheme="minorHAnsi" w:eastAsiaTheme="minorEastAsia" w:hAnsiTheme="minorHAnsi" w:cstheme="minorBidi"/>
              <w:b w:val="0"/>
              <w:noProof/>
              <w:color w:val="auto"/>
              <w:szCs w:val="22"/>
              <w:lang w:eastAsia="en-AU"/>
            </w:rPr>
          </w:pPr>
          <w:hyperlink w:anchor="_Toc133584026" w:history="1">
            <w:r w:rsidR="0049023A" w:rsidRPr="00A27C58">
              <w:rPr>
                <w:rStyle w:val="Hyperlink"/>
                <w:noProof/>
              </w:rPr>
              <w:t>Advisory Committee considerations</w:t>
            </w:r>
            <w:r w:rsidR="0049023A">
              <w:rPr>
                <w:noProof/>
                <w:webHidden/>
              </w:rPr>
              <w:tab/>
            </w:r>
            <w:r w:rsidR="0049023A">
              <w:rPr>
                <w:noProof/>
                <w:webHidden/>
              </w:rPr>
              <w:fldChar w:fldCharType="begin"/>
            </w:r>
            <w:r w:rsidR="0049023A">
              <w:rPr>
                <w:noProof/>
                <w:webHidden/>
              </w:rPr>
              <w:instrText xml:space="preserve"> PAGEREF _Toc133584026 \h </w:instrText>
            </w:r>
            <w:r w:rsidR="0049023A">
              <w:rPr>
                <w:noProof/>
                <w:webHidden/>
              </w:rPr>
            </w:r>
            <w:r w:rsidR="0049023A">
              <w:rPr>
                <w:noProof/>
                <w:webHidden/>
              </w:rPr>
              <w:fldChar w:fldCharType="separate"/>
            </w:r>
            <w:r w:rsidR="005605FC">
              <w:rPr>
                <w:noProof/>
                <w:webHidden/>
              </w:rPr>
              <w:t>39</w:t>
            </w:r>
            <w:r w:rsidR="0049023A">
              <w:rPr>
                <w:noProof/>
                <w:webHidden/>
              </w:rPr>
              <w:fldChar w:fldCharType="end"/>
            </w:r>
          </w:hyperlink>
        </w:p>
        <w:p w14:paraId="5EDD11E1" w14:textId="58E20863" w:rsidR="0049023A" w:rsidRDefault="00E83B6C">
          <w:pPr>
            <w:pStyle w:val="TOC1"/>
            <w:rPr>
              <w:rFonts w:asciiTheme="minorHAnsi" w:eastAsiaTheme="minorEastAsia" w:hAnsiTheme="minorHAnsi" w:cstheme="minorBidi"/>
              <w:b w:val="0"/>
              <w:noProof/>
              <w:color w:val="auto"/>
              <w:sz w:val="22"/>
              <w:szCs w:val="22"/>
              <w:lang w:eastAsia="en-AU"/>
            </w:rPr>
          </w:pPr>
          <w:hyperlink w:anchor="_Toc133584027" w:history="1">
            <w:r w:rsidR="0049023A" w:rsidRPr="00A27C58">
              <w:rPr>
                <w:rStyle w:val="Hyperlink"/>
                <w:noProof/>
              </w:rPr>
              <w:t>Outcome</w:t>
            </w:r>
            <w:r w:rsidR="0049023A">
              <w:rPr>
                <w:noProof/>
                <w:webHidden/>
              </w:rPr>
              <w:tab/>
            </w:r>
            <w:r w:rsidR="0049023A">
              <w:rPr>
                <w:noProof/>
                <w:webHidden/>
              </w:rPr>
              <w:fldChar w:fldCharType="begin"/>
            </w:r>
            <w:r w:rsidR="0049023A">
              <w:rPr>
                <w:noProof/>
                <w:webHidden/>
              </w:rPr>
              <w:instrText xml:space="preserve"> PAGEREF _Toc133584027 \h </w:instrText>
            </w:r>
            <w:r w:rsidR="0049023A">
              <w:rPr>
                <w:noProof/>
                <w:webHidden/>
              </w:rPr>
            </w:r>
            <w:r w:rsidR="0049023A">
              <w:rPr>
                <w:noProof/>
                <w:webHidden/>
              </w:rPr>
              <w:fldChar w:fldCharType="separate"/>
            </w:r>
            <w:r w:rsidR="005605FC">
              <w:rPr>
                <w:noProof/>
                <w:webHidden/>
              </w:rPr>
              <w:t>42</w:t>
            </w:r>
            <w:r w:rsidR="0049023A">
              <w:rPr>
                <w:noProof/>
                <w:webHidden/>
              </w:rPr>
              <w:fldChar w:fldCharType="end"/>
            </w:r>
          </w:hyperlink>
        </w:p>
        <w:p w14:paraId="6203BBCE" w14:textId="7268A6C9" w:rsidR="0049023A" w:rsidRDefault="00E83B6C">
          <w:pPr>
            <w:pStyle w:val="TOC2"/>
            <w:rPr>
              <w:rFonts w:asciiTheme="minorHAnsi" w:eastAsiaTheme="minorEastAsia" w:hAnsiTheme="minorHAnsi" w:cstheme="minorBidi"/>
              <w:b w:val="0"/>
              <w:noProof/>
              <w:color w:val="auto"/>
              <w:sz w:val="22"/>
              <w:szCs w:val="22"/>
              <w:lang w:eastAsia="en-AU"/>
            </w:rPr>
          </w:pPr>
          <w:hyperlink w:anchor="_Toc133584028" w:history="1">
            <w:r w:rsidR="0049023A" w:rsidRPr="00A27C58">
              <w:rPr>
                <w:rStyle w:val="Hyperlink"/>
                <w:noProof/>
              </w:rPr>
              <w:t>Specific conditions of registration applying to these goods</w:t>
            </w:r>
            <w:r w:rsidR="0049023A">
              <w:rPr>
                <w:noProof/>
                <w:webHidden/>
              </w:rPr>
              <w:tab/>
            </w:r>
            <w:r w:rsidR="0049023A">
              <w:rPr>
                <w:noProof/>
                <w:webHidden/>
              </w:rPr>
              <w:fldChar w:fldCharType="begin"/>
            </w:r>
            <w:r w:rsidR="0049023A">
              <w:rPr>
                <w:noProof/>
                <w:webHidden/>
              </w:rPr>
              <w:instrText xml:space="preserve"> PAGEREF _Toc133584028 \h </w:instrText>
            </w:r>
            <w:r w:rsidR="0049023A">
              <w:rPr>
                <w:noProof/>
                <w:webHidden/>
              </w:rPr>
            </w:r>
            <w:r w:rsidR="0049023A">
              <w:rPr>
                <w:noProof/>
                <w:webHidden/>
              </w:rPr>
              <w:fldChar w:fldCharType="separate"/>
            </w:r>
            <w:r w:rsidR="005605FC">
              <w:rPr>
                <w:noProof/>
                <w:webHidden/>
              </w:rPr>
              <w:t>45</w:t>
            </w:r>
            <w:r w:rsidR="0049023A">
              <w:rPr>
                <w:noProof/>
                <w:webHidden/>
              </w:rPr>
              <w:fldChar w:fldCharType="end"/>
            </w:r>
          </w:hyperlink>
        </w:p>
        <w:p w14:paraId="4448AA39" w14:textId="33D371A5" w:rsidR="0049023A" w:rsidRDefault="00E83B6C">
          <w:pPr>
            <w:pStyle w:val="TOC1"/>
            <w:rPr>
              <w:rFonts w:asciiTheme="minorHAnsi" w:eastAsiaTheme="minorEastAsia" w:hAnsiTheme="minorHAnsi" w:cstheme="minorBidi"/>
              <w:b w:val="0"/>
              <w:noProof/>
              <w:color w:val="auto"/>
              <w:sz w:val="22"/>
              <w:szCs w:val="22"/>
              <w:lang w:eastAsia="en-AU"/>
            </w:rPr>
          </w:pPr>
          <w:hyperlink w:anchor="_Toc133584029" w:history="1">
            <w:r w:rsidR="0049023A" w:rsidRPr="00A27C58">
              <w:rPr>
                <w:rStyle w:val="Hyperlink"/>
                <w:noProof/>
              </w:rPr>
              <w:t>Attachment 1. Product Information</w:t>
            </w:r>
            <w:r w:rsidR="0049023A">
              <w:rPr>
                <w:noProof/>
                <w:webHidden/>
              </w:rPr>
              <w:tab/>
            </w:r>
            <w:r w:rsidR="0049023A">
              <w:rPr>
                <w:noProof/>
                <w:webHidden/>
              </w:rPr>
              <w:fldChar w:fldCharType="begin"/>
            </w:r>
            <w:r w:rsidR="0049023A">
              <w:rPr>
                <w:noProof/>
                <w:webHidden/>
              </w:rPr>
              <w:instrText xml:space="preserve"> PAGEREF _Toc133584029 \h </w:instrText>
            </w:r>
            <w:r w:rsidR="0049023A">
              <w:rPr>
                <w:noProof/>
                <w:webHidden/>
              </w:rPr>
            </w:r>
            <w:r w:rsidR="0049023A">
              <w:rPr>
                <w:noProof/>
                <w:webHidden/>
              </w:rPr>
              <w:fldChar w:fldCharType="separate"/>
            </w:r>
            <w:r w:rsidR="005605FC">
              <w:rPr>
                <w:noProof/>
                <w:webHidden/>
              </w:rPr>
              <w:t>46</w:t>
            </w:r>
            <w:r w:rsidR="0049023A">
              <w:rPr>
                <w:noProof/>
                <w:webHidden/>
              </w:rPr>
              <w:fldChar w:fldCharType="end"/>
            </w:r>
          </w:hyperlink>
        </w:p>
        <w:p w14:paraId="77659F2D" w14:textId="32B72520"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0" w:name="_Toc98931917"/>
      <w:bookmarkStart w:id="1" w:name="_Toc103679287"/>
      <w:bookmarkStart w:id="2" w:name="_Toc133584005"/>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D1292C" w:rsidRPr="00D01DDB" w14:paraId="0C698AA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26765F" w14:textId="6343CE4D" w:rsidR="00D1292C" w:rsidRPr="00D01DDB" w:rsidRDefault="00D1292C" w:rsidP="00324B33">
            <w:pPr>
              <w:rPr>
                <w:szCs w:val="22"/>
              </w:rPr>
            </w:pPr>
            <w:r>
              <w:rPr>
                <w:szCs w:val="22"/>
              </w:rPr>
              <w:t>ADR</w:t>
            </w:r>
          </w:p>
        </w:tc>
        <w:tc>
          <w:tcPr>
            <w:tcW w:w="3800" w:type="pct"/>
          </w:tcPr>
          <w:p w14:paraId="0697E645" w14:textId="508134B9" w:rsidR="00D1292C" w:rsidRPr="00D01DDB" w:rsidRDefault="00D1292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drug reaction</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49FC5D2E"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0C30CD" w:rsidRPr="00D01DDB" w14:paraId="2129F79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C3C319" w14:textId="42BFF32A" w:rsidR="000C30CD" w:rsidRPr="00D01DDB" w:rsidRDefault="000C30CD" w:rsidP="00324B33">
            <w:pPr>
              <w:rPr>
                <w:szCs w:val="22"/>
              </w:rPr>
            </w:pPr>
            <w:r w:rsidRPr="000C30CD">
              <w:rPr>
                <w:szCs w:val="22"/>
              </w:rPr>
              <w:t>BICR</w:t>
            </w:r>
          </w:p>
        </w:tc>
        <w:tc>
          <w:tcPr>
            <w:tcW w:w="3800" w:type="pct"/>
          </w:tcPr>
          <w:p w14:paraId="5E2088B9" w14:textId="554E0D25" w:rsidR="000C30CD" w:rsidRPr="00D01DDB" w:rsidRDefault="006920E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Blinded independent central review</w:t>
            </w:r>
          </w:p>
        </w:tc>
      </w:tr>
      <w:tr w:rsidR="006920E4" w:rsidRPr="00D01DDB" w14:paraId="3CF7099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87E6B6" w14:textId="611A1BCC" w:rsidR="006920E4" w:rsidRDefault="006920E4" w:rsidP="00324B33">
            <w:pPr>
              <w:rPr>
                <w:szCs w:val="22"/>
              </w:rPr>
            </w:pPr>
            <w:proofErr w:type="spellStart"/>
            <w:r w:rsidRPr="006920E4">
              <w:rPr>
                <w:szCs w:val="22"/>
              </w:rPr>
              <w:t>C</w:t>
            </w:r>
            <w:r w:rsidRPr="006920E4">
              <w:rPr>
                <w:szCs w:val="22"/>
                <w:vertAlign w:val="subscript"/>
              </w:rPr>
              <w:t>av</w:t>
            </w:r>
            <w:r w:rsidR="0095656C">
              <w:rPr>
                <w:szCs w:val="22"/>
                <w:vertAlign w:val="subscript"/>
              </w:rPr>
              <w:t>g</w:t>
            </w:r>
            <w:proofErr w:type="spellEnd"/>
          </w:p>
        </w:tc>
        <w:tc>
          <w:tcPr>
            <w:tcW w:w="3800" w:type="pct"/>
          </w:tcPr>
          <w:p w14:paraId="7CAABBE4" w14:textId="2BF85626" w:rsidR="006920E4" w:rsidRDefault="006920E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Average plasma concentration</w:t>
            </w:r>
          </w:p>
        </w:tc>
      </w:tr>
      <w:tr w:rsidR="00D70479" w:rsidRPr="00D01DDB" w14:paraId="68CCFB0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B3A023" w14:textId="7815C8DB" w:rsidR="00D70479" w:rsidRPr="00D01DDB" w:rsidRDefault="00D70479" w:rsidP="00324B33">
            <w:pPr>
              <w:rPr>
                <w:szCs w:val="22"/>
              </w:rPr>
            </w:pPr>
            <w:r>
              <w:rPr>
                <w:szCs w:val="22"/>
              </w:rPr>
              <w:t>CD</w:t>
            </w:r>
          </w:p>
        </w:tc>
        <w:tc>
          <w:tcPr>
            <w:tcW w:w="3800" w:type="pct"/>
          </w:tcPr>
          <w:p w14:paraId="3013205A" w14:textId="5C6B410F" w:rsidR="00D70479" w:rsidRPr="00D01DDB" w:rsidRDefault="00D7047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D70479">
              <w:rPr>
                <w:szCs w:val="22"/>
              </w:rPr>
              <w:t xml:space="preserve">luster </w:t>
            </w:r>
            <w:r w:rsidR="0095656C">
              <w:rPr>
                <w:szCs w:val="22"/>
              </w:rPr>
              <w:t xml:space="preserve">of </w:t>
            </w:r>
            <w:r w:rsidRPr="00D70479">
              <w:rPr>
                <w:szCs w:val="22"/>
              </w:rPr>
              <w:t>differentiation</w:t>
            </w:r>
          </w:p>
        </w:tc>
      </w:tr>
      <w:tr w:rsidR="00D70479" w:rsidRPr="00D01DDB" w14:paraId="068574C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B6176C" w14:textId="3DF66365" w:rsidR="00D70479" w:rsidRPr="00D01DDB" w:rsidRDefault="00D70479" w:rsidP="00324B33">
            <w:pPr>
              <w:rPr>
                <w:szCs w:val="22"/>
              </w:rPr>
            </w:pPr>
            <w:proofErr w:type="spellStart"/>
            <w:r>
              <w:rPr>
                <w:szCs w:val="22"/>
              </w:rPr>
              <w:t>cHL</w:t>
            </w:r>
            <w:proofErr w:type="spellEnd"/>
          </w:p>
        </w:tc>
        <w:tc>
          <w:tcPr>
            <w:tcW w:w="3800" w:type="pct"/>
          </w:tcPr>
          <w:p w14:paraId="5CAD7C46" w14:textId="015AA134" w:rsidR="00D70479" w:rsidRPr="00D01DDB" w:rsidRDefault="00D7047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Classical </w:t>
            </w:r>
            <w:r w:rsidR="0087784D">
              <w:rPr>
                <w:szCs w:val="22"/>
              </w:rPr>
              <w:t>H</w:t>
            </w:r>
            <w:r w:rsidRPr="00D70479">
              <w:rPr>
                <w:szCs w:val="22"/>
              </w:rPr>
              <w:t>odgkin lymphoma</w:t>
            </w:r>
          </w:p>
        </w:tc>
      </w:tr>
      <w:tr w:rsidR="00062C68" w:rsidRPr="00D01DDB" w14:paraId="0E89B43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A11A66" w14:textId="1BD94573" w:rsidR="00062C68" w:rsidRDefault="00062C68" w:rsidP="00324B33">
            <w:pPr>
              <w:rPr>
                <w:szCs w:val="22"/>
              </w:rPr>
            </w:pPr>
            <w:r>
              <w:rPr>
                <w:szCs w:val="22"/>
              </w:rPr>
              <w:t>CI</w:t>
            </w:r>
          </w:p>
        </w:tc>
        <w:tc>
          <w:tcPr>
            <w:tcW w:w="3800" w:type="pct"/>
          </w:tcPr>
          <w:p w14:paraId="637EB244" w14:textId="1A2F17B5" w:rsidR="00062C68" w:rsidRDefault="00062C6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D92581" w:rsidRPr="00D01DDB" w14:paraId="605C4DE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00FB60" w14:textId="70655C9B" w:rsidR="00D92581" w:rsidRPr="00D01DDB" w:rsidRDefault="00D92581" w:rsidP="00324B33">
            <w:pPr>
              <w:rPr>
                <w:szCs w:val="22"/>
              </w:rPr>
            </w:pPr>
            <w:r>
              <w:rPr>
                <w:szCs w:val="22"/>
              </w:rPr>
              <w:t>C</w:t>
            </w:r>
            <w:r w:rsidRPr="00D92581">
              <w:rPr>
                <w:szCs w:val="22"/>
                <w:vertAlign w:val="subscript"/>
              </w:rPr>
              <w:t>max</w:t>
            </w:r>
          </w:p>
        </w:tc>
        <w:tc>
          <w:tcPr>
            <w:tcW w:w="3800" w:type="pct"/>
          </w:tcPr>
          <w:p w14:paraId="15B8748F" w14:textId="001BB85E" w:rsidR="00D92581" w:rsidRPr="00D01DDB" w:rsidRDefault="00D9258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Maximum plasma concentration</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D92581" w:rsidRPr="00D01DDB" w14:paraId="2BFBC9D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1302DC" w14:textId="781E3F80" w:rsidR="00D92581" w:rsidRPr="00D01DDB" w:rsidRDefault="00D92581" w:rsidP="00324B33">
            <w:pPr>
              <w:rPr>
                <w:szCs w:val="22"/>
              </w:rPr>
            </w:pPr>
            <w:proofErr w:type="spellStart"/>
            <w:r>
              <w:rPr>
                <w:szCs w:val="22"/>
              </w:rPr>
              <w:t>C</w:t>
            </w:r>
            <w:r w:rsidRPr="00D92581">
              <w:rPr>
                <w:szCs w:val="22"/>
                <w:vertAlign w:val="subscript"/>
              </w:rPr>
              <w:t>min</w:t>
            </w:r>
            <w:proofErr w:type="spellEnd"/>
          </w:p>
        </w:tc>
        <w:tc>
          <w:tcPr>
            <w:tcW w:w="3800" w:type="pct"/>
          </w:tcPr>
          <w:p w14:paraId="30619E1F" w14:textId="5BA9C080" w:rsidR="00D92581" w:rsidRPr="00D01DDB" w:rsidRDefault="00D92581" w:rsidP="00D92581">
            <w:pPr>
              <w:tabs>
                <w:tab w:val="left" w:pos="690"/>
              </w:tabs>
              <w:cnfStyle w:val="000000000000" w:firstRow="0" w:lastRow="0" w:firstColumn="0" w:lastColumn="0" w:oddVBand="0" w:evenVBand="0" w:oddHBand="0" w:evenHBand="0" w:firstRowFirstColumn="0" w:firstRowLastColumn="0" w:lastRowFirstColumn="0" w:lastRowLastColumn="0"/>
              <w:rPr>
                <w:szCs w:val="22"/>
              </w:rPr>
            </w:pPr>
            <w:r>
              <w:rPr>
                <w:szCs w:val="22"/>
              </w:rPr>
              <w:t>Minimum plasma concentration</w:t>
            </w:r>
          </w:p>
        </w:tc>
      </w:tr>
      <w:tr w:rsidR="00217C8A" w:rsidRPr="00D01DDB" w14:paraId="04B176B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CF3964C" w14:textId="1E2523B0" w:rsidR="00217C8A" w:rsidRDefault="00217C8A" w:rsidP="00324B33">
            <w:pPr>
              <w:rPr>
                <w:szCs w:val="22"/>
              </w:rPr>
            </w:pPr>
            <w:r>
              <w:rPr>
                <w:szCs w:val="22"/>
              </w:rPr>
              <w:t>CR</w:t>
            </w:r>
          </w:p>
        </w:tc>
        <w:tc>
          <w:tcPr>
            <w:tcW w:w="3800" w:type="pct"/>
          </w:tcPr>
          <w:p w14:paraId="47D9AC3D" w14:textId="15BD0041" w:rsidR="00217C8A" w:rsidRDefault="00217C8A" w:rsidP="00D92581">
            <w:pPr>
              <w:tabs>
                <w:tab w:val="left" w:pos="690"/>
              </w:tabs>
              <w:cnfStyle w:val="000000000000" w:firstRow="0" w:lastRow="0" w:firstColumn="0" w:lastColumn="0" w:oddVBand="0" w:evenVBand="0" w:oddHBand="0" w:evenHBand="0" w:firstRowFirstColumn="0" w:firstRowLastColumn="0" w:lastRowFirstColumn="0" w:lastRowLastColumn="0"/>
              <w:rPr>
                <w:szCs w:val="22"/>
              </w:rPr>
            </w:pPr>
            <w:r>
              <w:rPr>
                <w:szCs w:val="22"/>
              </w:rPr>
              <w:t>Complete response</w:t>
            </w:r>
          </w:p>
        </w:tc>
      </w:tr>
      <w:tr w:rsidR="00D1292C" w:rsidRPr="00D01DDB" w14:paraId="28222B0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71D972" w14:textId="694F685F" w:rsidR="00D1292C" w:rsidRDefault="00D1292C" w:rsidP="00324B33">
            <w:pPr>
              <w:rPr>
                <w:szCs w:val="22"/>
              </w:rPr>
            </w:pPr>
            <w:r w:rsidRPr="00D1292C">
              <w:rPr>
                <w:szCs w:val="22"/>
              </w:rPr>
              <w:t>CTCAE</w:t>
            </w:r>
          </w:p>
        </w:tc>
        <w:tc>
          <w:tcPr>
            <w:tcW w:w="3800" w:type="pct"/>
          </w:tcPr>
          <w:p w14:paraId="4FAFD8EF" w14:textId="1414CE9B" w:rsidR="00D1292C" w:rsidRDefault="00D1292C" w:rsidP="00D92581">
            <w:pPr>
              <w:tabs>
                <w:tab w:val="left" w:pos="690"/>
              </w:tabs>
              <w:cnfStyle w:val="000000000000" w:firstRow="0" w:lastRow="0" w:firstColumn="0" w:lastColumn="0" w:oddVBand="0" w:evenVBand="0" w:oddHBand="0" w:evenHBand="0" w:firstRowFirstColumn="0" w:firstRowLastColumn="0" w:lastRowFirstColumn="0" w:lastRowLastColumn="0"/>
              <w:rPr>
                <w:szCs w:val="22"/>
              </w:rPr>
            </w:pPr>
            <w:r>
              <w:rPr>
                <w:szCs w:val="22"/>
              </w:rPr>
              <w:t xml:space="preserve">Common </w:t>
            </w:r>
            <w:r w:rsidR="0095656C">
              <w:rPr>
                <w:szCs w:val="22"/>
              </w:rPr>
              <w:t>T</w:t>
            </w:r>
            <w:r>
              <w:rPr>
                <w:szCs w:val="22"/>
              </w:rPr>
              <w:t xml:space="preserve">erminology </w:t>
            </w:r>
            <w:r w:rsidR="0095656C">
              <w:rPr>
                <w:szCs w:val="22"/>
              </w:rPr>
              <w:t>C</w:t>
            </w:r>
            <w:r>
              <w:rPr>
                <w:szCs w:val="22"/>
              </w:rPr>
              <w:t xml:space="preserve">riteria for </w:t>
            </w:r>
            <w:r w:rsidR="0095656C">
              <w:rPr>
                <w:szCs w:val="22"/>
              </w:rPr>
              <w:t>A</w:t>
            </w:r>
            <w:r>
              <w:rPr>
                <w:szCs w:val="22"/>
              </w:rPr>
              <w:t xml:space="preserve">dverse </w:t>
            </w:r>
            <w:r w:rsidR="0095656C">
              <w:rPr>
                <w:szCs w:val="22"/>
              </w:rPr>
              <w:t>E</w:t>
            </w:r>
            <w:r>
              <w:rPr>
                <w:szCs w:val="22"/>
              </w:rPr>
              <w:t>vents</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0C30CD" w:rsidRPr="00D01DDB" w14:paraId="0C0237E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3F742A" w14:textId="3C92F1B2" w:rsidR="000C30CD" w:rsidRPr="00D01DDB" w:rsidRDefault="000C30CD" w:rsidP="00324B33">
            <w:pPr>
              <w:rPr>
                <w:szCs w:val="22"/>
              </w:rPr>
            </w:pPr>
            <w:r>
              <w:rPr>
                <w:szCs w:val="22"/>
              </w:rPr>
              <w:t>DOR</w:t>
            </w:r>
          </w:p>
        </w:tc>
        <w:tc>
          <w:tcPr>
            <w:tcW w:w="3800" w:type="pct"/>
          </w:tcPr>
          <w:p w14:paraId="0D583552" w14:textId="27C74BD8" w:rsidR="000C30CD" w:rsidRPr="00D01DDB" w:rsidRDefault="000C30C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Duration of response</w:t>
            </w:r>
          </w:p>
        </w:tc>
      </w:tr>
      <w:tr w:rsidR="00FB727F" w:rsidRPr="00D01DDB" w14:paraId="2A49584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C13CBB" w14:textId="4BFC9C09" w:rsidR="00FB727F" w:rsidRDefault="00FB727F" w:rsidP="00324B33">
            <w:pPr>
              <w:rPr>
                <w:szCs w:val="22"/>
              </w:rPr>
            </w:pPr>
            <w:r>
              <w:rPr>
                <w:szCs w:val="22"/>
              </w:rPr>
              <w:t>FDA</w:t>
            </w:r>
          </w:p>
        </w:tc>
        <w:tc>
          <w:tcPr>
            <w:tcW w:w="3800" w:type="pct"/>
          </w:tcPr>
          <w:p w14:paraId="0843C0D5" w14:textId="6174549A" w:rsidR="00FB727F" w:rsidRDefault="00FB727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Food and Drug Administration</w:t>
            </w:r>
            <w:r w:rsidR="0095656C">
              <w:rPr>
                <w:szCs w:val="22"/>
              </w:rPr>
              <w:t xml:space="preserve"> (United States of America)</w:t>
            </w:r>
          </w:p>
        </w:tc>
      </w:tr>
      <w:tr w:rsidR="0087784D" w:rsidRPr="00D01DDB" w14:paraId="184BC65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9E0B46" w14:textId="05AD1D02" w:rsidR="0087784D" w:rsidRPr="00D70479" w:rsidRDefault="0087784D" w:rsidP="00324B33">
            <w:pPr>
              <w:rPr>
                <w:szCs w:val="22"/>
              </w:rPr>
            </w:pPr>
            <w:r>
              <w:rPr>
                <w:szCs w:val="22"/>
              </w:rPr>
              <w:t>GvHD</w:t>
            </w:r>
          </w:p>
        </w:tc>
        <w:tc>
          <w:tcPr>
            <w:tcW w:w="3800" w:type="pct"/>
          </w:tcPr>
          <w:p w14:paraId="1C237BA9" w14:textId="3E18A278" w:rsidR="0087784D" w:rsidRDefault="0087784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Graft versus host disease</w:t>
            </w:r>
          </w:p>
        </w:tc>
      </w:tr>
      <w:tr w:rsidR="00D70479" w:rsidRPr="00D01DDB" w14:paraId="1040F72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1C643E" w14:textId="16648D3A" w:rsidR="00D70479" w:rsidRPr="00D01DDB" w:rsidRDefault="00D70479" w:rsidP="00324B33">
            <w:pPr>
              <w:rPr>
                <w:szCs w:val="22"/>
              </w:rPr>
            </w:pPr>
            <w:r>
              <w:rPr>
                <w:szCs w:val="22"/>
              </w:rPr>
              <w:t>HL</w:t>
            </w:r>
          </w:p>
        </w:tc>
        <w:tc>
          <w:tcPr>
            <w:tcW w:w="3800" w:type="pct"/>
          </w:tcPr>
          <w:p w14:paraId="4C3E61F6" w14:textId="6712150F" w:rsidR="00D70479" w:rsidRPr="00D01DDB" w:rsidRDefault="00D70479" w:rsidP="00324B33">
            <w:pPr>
              <w:cnfStyle w:val="000000000000" w:firstRow="0" w:lastRow="0" w:firstColumn="0" w:lastColumn="0" w:oddVBand="0" w:evenVBand="0" w:oddHBand="0" w:evenHBand="0" w:firstRowFirstColumn="0" w:firstRowLastColumn="0" w:lastRowFirstColumn="0" w:lastRowLastColumn="0"/>
              <w:rPr>
                <w:szCs w:val="22"/>
              </w:rPr>
            </w:pPr>
            <w:r w:rsidRPr="00D70479">
              <w:rPr>
                <w:szCs w:val="22"/>
              </w:rPr>
              <w:t>Hodgkin lymphoma</w:t>
            </w:r>
          </w:p>
        </w:tc>
      </w:tr>
      <w:tr w:rsidR="000C30CD" w:rsidRPr="00D01DDB" w14:paraId="3E47F81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7A8337" w14:textId="23546800" w:rsidR="000C30CD" w:rsidRDefault="000C30CD" w:rsidP="00324B33">
            <w:pPr>
              <w:rPr>
                <w:szCs w:val="22"/>
              </w:rPr>
            </w:pPr>
            <w:r>
              <w:rPr>
                <w:szCs w:val="22"/>
              </w:rPr>
              <w:t>IWG</w:t>
            </w:r>
          </w:p>
        </w:tc>
        <w:tc>
          <w:tcPr>
            <w:tcW w:w="3800" w:type="pct"/>
          </w:tcPr>
          <w:p w14:paraId="17088E4E" w14:textId="4C3C2E9D" w:rsidR="000C30CD" w:rsidRPr="00D70479" w:rsidRDefault="006920E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International Working Group</w:t>
            </w:r>
          </w:p>
        </w:tc>
      </w:tr>
      <w:tr w:rsidR="00913CDD" w:rsidRPr="00D01DDB" w14:paraId="26657F2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3E03CB" w14:textId="6416D13B" w:rsidR="00913CDD" w:rsidRPr="009F730B" w:rsidRDefault="00913CDD" w:rsidP="00D70479">
            <w:r>
              <w:t>ORR</w:t>
            </w:r>
          </w:p>
        </w:tc>
        <w:tc>
          <w:tcPr>
            <w:tcW w:w="3800" w:type="pct"/>
          </w:tcPr>
          <w:p w14:paraId="6D245889" w14:textId="3C96F62E" w:rsidR="00913CDD" w:rsidRPr="00D70479" w:rsidRDefault="00913CDD" w:rsidP="00D70479">
            <w:pPr>
              <w:cnfStyle w:val="000000000000" w:firstRow="0" w:lastRow="0" w:firstColumn="0" w:lastColumn="0" w:oddVBand="0" w:evenVBand="0" w:oddHBand="0" w:evenHBand="0" w:firstRowFirstColumn="0" w:firstRowLastColumn="0" w:lastRowFirstColumn="0" w:lastRowLastColumn="0"/>
            </w:pPr>
            <w:r>
              <w:t>Objective response rate</w:t>
            </w:r>
          </w:p>
        </w:tc>
      </w:tr>
      <w:tr w:rsidR="002A0CD0" w:rsidRPr="00D01DDB" w14:paraId="7381F4E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6B9DB0" w14:textId="169EBA62" w:rsidR="002A0CD0" w:rsidRPr="00D01DDB" w:rsidRDefault="002A0CD0" w:rsidP="00324B33">
            <w:pPr>
              <w:rPr>
                <w:szCs w:val="22"/>
              </w:rPr>
            </w:pPr>
            <w:r>
              <w:rPr>
                <w:szCs w:val="22"/>
              </w:rPr>
              <w:t>PD-1</w:t>
            </w:r>
          </w:p>
        </w:tc>
        <w:tc>
          <w:tcPr>
            <w:tcW w:w="3800" w:type="pct"/>
          </w:tcPr>
          <w:p w14:paraId="5A8D22EE" w14:textId="67DFE6C8" w:rsidR="002A0CD0" w:rsidRPr="00D01DDB" w:rsidRDefault="002A0CD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2A0CD0">
              <w:rPr>
                <w:szCs w:val="22"/>
              </w:rPr>
              <w:t>rogrammed cell death</w:t>
            </w:r>
            <w:r>
              <w:rPr>
                <w:szCs w:val="22"/>
              </w:rPr>
              <w:t xml:space="preserve"> 1</w:t>
            </w:r>
          </w:p>
        </w:tc>
      </w:tr>
      <w:tr w:rsidR="002A0CD0" w:rsidRPr="00D01DDB" w14:paraId="799C9EE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E9328B" w14:textId="6B2C3B20" w:rsidR="002A0CD0" w:rsidRDefault="002A0CD0" w:rsidP="00324B33">
            <w:pPr>
              <w:rPr>
                <w:szCs w:val="22"/>
              </w:rPr>
            </w:pPr>
            <w:r>
              <w:rPr>
                <w:szCs w:val="22"/>
              </w:rPr>
              <w:t>PD-L1</w:t>
            </w:r>
          </w:p>
        </w:tc>
        <w:tc>
          <w:tcPr>
            <w:tcW w:w="3800" w:type="pct"/>
          </w:tcPr>
          <w:p w14:paraId="5B44CDEB" w14:textId="13A57E2B" w:rsidR="002A0CD0" w:rsidRPr="00D01DDB" w:rsidRDefault="002A0CD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2A0CD0">
              <w:rPr>
                <w:szCs w:val="22"/>
              </w:rPr>
              <w:t xml:space="preserve">rogrammed cell death ligand 1 </w:t>
            </w:r>
          </w:p>
        </w:tc>
      </w:tr>
      <w:tr w:rsidR="002A0CD0" w:rsidRPr="00D01DDB" w14:paraId="68208C5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23DC08" w14:textId="4DBC9C14" w:rsidR="002A0CD0" w:rsidRDefault="002A0CD0" w:rsidP="00324B33">
            <w:pPr>
              <w:rPr>
                <w:szCs w:val="22"/>
              </w:rPr>
            </w:pPr>
            <w:r w:rsidRPr="002A0CD0">
              <w:rPr>
                <w:szCs w:val="22"/>
              </w:rPr>
              <w:t>PD-L2</w:t>
            </w:r>
          </w:p>
        </w:tc>
        <w:tc>
          <w:tcPr>
            <w:tcW w:w="3800" w:type="pct"/>
          </w:tcPr>
          <w:p w14:paraId="4DBD0974" w14:textId="614C8812" w:rsidR="002A0CD0" w:rsidRDefault="002A0CD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2A0CD0">
              <w:rPr>
                <w:szCs w:val="22"/>
              </w:rPr>
              <w:t>rogrammed cell death ligand 2</w:t>
            </w:r>
          </w:p>
        </w:tc>
      </w:tr>
      <w:tr w:rsidR="00DC31D2" w:rsidRPr="00D01DDB" w14:paraId="2B4479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5DBCEE" w14:textId="720FE954" w:rsidR="00DC31D2" w:rsidRPr="00D01DDB" w:rsidRDefault="00DC31D2" w:rsidP="00324B33">
            <w:pPr>
              <w:rPr>
                <w:szCs w:val="22"/>
              </w:rPr>
            </w:pPr>
            <w:r>
              <w:rPr>
                <w:szCs w:val="22"/>
              </w:rPr>
              <w:t>PFS</w:t>
            </w:r>
          </w:p>
        </w:tc>
        <w:tc>
          <w:tcPr>
            <w:tcW w:w="3800" w:type="pct"/>
          </w:tcPr>
          <w:p w14:paraId="3425DAB7" w14:textId="7E1E1867" w:rsidR="00DC31D2" w:rsidRPr="00D01DDB" w:rsidRDefault="00DC31D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Progression free survival</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217C8A" w:rsidRPr="00D01DDB" w14:paraId="610D397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00D090" w14:textId="02F8DD72" w:rsidR="00217C8A" w:rsidRPr="00D01DDB" w:rsidRDefault="00217C8A" w:rsidP="00324B33">
            <w:pPr>
              <w:rPr>
                <w:szCs w:val="22"/>
              </w:rPr>
            </w:pPr>
            <w:r>
              <w:rPr>
                <w:szCs w:val="22"/>
              </w:rPr>
              <w:t>PR</w:t>
            </w:r>
          </w:p>
        </w:tc>
        <w:tc>
          <w:tcPr>
            <w:tcW w:w="3800" w:type="pct"/>
          </w:tcPr>
          <w:p w14:paraId="244E0B1E" w14:textId="23DA8CD6" w:rsidR="00217C8A" w:rsidRPr="00D01DDB" w:rsidRDefault="00217C8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Partial response</w:t>
            </w:r>
          </w:p>
        </w:tc>
      </w:tr>
      <w:tr w:rsidR="006920E4" w:rsidRPr="00D01DDB" w14:paraId="3F368A7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D93551" w14:textId="79810926" w:rsidR="006920E4" w:rsidRDefault="006920E4" w:rsidP="006920E4">
            <w:pPr>
              <w:rPr>
                <w:szCs w:val="22"/>
              </w:rPr>
            </w:pPr>
            <w:r w:rsidRPr="00D01DDB">
              <w:rPr>
                <w:szCs w:val="22"/>
              </w:rPr>
              <w:t>PSUR</w:t>
            </w:r>
          </w:p>
        </w:tc>
        <w:tc>
          <w:tcPr>
            <w:tcW w:w="3800" w:type="pct"/>
          </w:tcPr>
          <w:p w14:paraId="70DF3D10" w14:textId="6648FC06" w:rsidR="006920E4" w:rsidRDefault="006920E4" w:rsidP="006920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6920E4"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6920E4" w:rsidRPr="00D01DDB" w:rsidRDefault="006920E4" w:rsidP="006920E4">
            <w:pPr>
              <w:rPr>
                <w:szCs w:val="22"/>
              </w:rPr>
            </w:pPr>
            <w:r w:rsidRPr="00D01DDB">
              <w:rPr>
                <w:szCs w:val="22"/>
              </w:rPr>
              <w:lastRenderedPageBreak/>
              <w:t>RMP</w:t>
            </w:r>
          </w:p>
        </w:tc>
        <w:tc>
          <w:tcPr>
            <w:tcW w:w="3800" w:type="pct"/>
          </w:tcPr>
          <w:p w14:paraId="2C862F75" w14:textId="2355E842" w:rsidR="006920E4" w:rsidRPr="00D01DDB" w:rsidRDefault="006920E4" w:rsidP="006920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6920E4" w:rsidRPr="00D01DDB" w14:paraId="4948FAF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0B941B" w14:textId="1FCFCD74" w:rsidR="006920E4" w:rsidRPr="00D01DDB" w:rsidRDefault="006920E4" w:rsidP="006920E4">
            <w:pPr>
              <w:rPr>
                <w:szCs w:val="22"/>
              </w:rPr>
            </w:pPr>
            <w:r w:rsidRPr="009A486C">
              <w:rPr>
                <w:szCs w:val="22"/>
              </w:rPr>
              <w:t>SCT</w:t>
            </w:r>
          </w:p>
        </w:tc>
        <w:tc>
          <w:tcPr>
            <w:tcW w:w="3800" w:type="pct"/>
          </w:tcPr>
          <w:p w14:paraId="253DA754" w14:textId="59EA78F1" w:rsidR="006920E4" w:rsidRPr="00D01DDB" w:rsidRDefault="006920E4" w:rsidP="006920E4">
            <w:pPr>
              <w:cnfStyle w:val="000000000000" w:firstRow="0" w:lastRow="0" w:firstColumn="0" w:lastColumn="0" w:oddVBand="0" w:evenVBand="0" w:oddHBand="0" w:evenHBand="0" w:firstRowFirstColumn="0" w:firstRowLastColumn="0" w:lastRowFirstColumn="0" w:lastRowLastColumn="0"/>
              <w:rPr>
                <w:szCs w:val="22"/>
              </w:rPr>
            </w:pPr>
            <w:r>
              <w:rPr>
                <w:szCs w:val="22"/>
              </w:rPr>
              <w:t>Stem cell transplant</w:t>
            </w:r>
          </w:p>
        </w:tc>
      </w:tr>
      <w:tr w:rsidR="006920E4"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6920E4" w:rsidRPr="00D01DDB" w:rsidRDefault="006920E4" w:rsidP="006920E4">
            <w:pPr>
              <w:rPr>
                <w:szCs w:val="22"/>
              </w:rPr>
            </w:pPr>
            <w:r w:rsidRPr="00D01DDB">
              <w:rPr>
                <w:szCs w:val="22"/>
              </w:rPr>
              <w:t>TGA</w:t>
            </w:r>
          </w:p>
        </w:tc>
        <w:tc>
          <w:tcPr>
            <w:tcW w:w="3800" w:type="pct"/>
          </w:tcPr>
          <w:p w14:paraId="29EA6BA3" w14:textId="6F99059F" w:rsidR="006920E4" w:rsidRPr="00D01DDB" w:rsidRDefault="006920E4" w:rsidP="006920E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6920E4" w:rsidRPr="00D01DDB" w14:paraId="54926E9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6F606B" w14:textId="0A6153A7" w:rsidR="006920E4" w:rsidRPr="00D01DDB" w:rsidRDefault="006920E4" w:rsidP="006920E4">
            <w:pPr>
              <w:rPr>
                <w:szCs w:val="22"/>
              </w:rPr>
            </w:pPr>
            <w:r>
              <w:rPr>
                <w:szCs w:val="22"/>
              </w:rPr>
              <w:t>ULN</w:t>
            </w:r>
          </w:p>
        </w:tc>
        <w:tc>
          <w:tcPr>
            <w:tcW w:w="3800" w:type="pct"/>
          </w:tcPr>
          <w:p w14:paraId="15D2D718" w14:textId="6A742E89" w:rsidR="006920E4" w:rsidRPr="00D01DDB" w:rsidRDefault="006920E4" w:rsidP="006920E4">
            <w:pPr>
              <w:cnfStyle w:val="000000000000" w:firstRow="0" w:lastRow="0" w:firstColumn="0" w:lastColumn="0" w:oddVBand="0" w:evenVBand="0" w:oddHBand="0" w:evenHBand="0" w:firstRowFirstColumn="0" w:firstRowLastColumn="0" w:lastRowFirstColumn="0" w:lastRowLastColumn="0"/>
              <w:rPr>
                <w:szCs w:val="22"/>
              </w:rPr>
            </w:pPr>
            <w:r>
              <w:rPr>
                <w:szCs w:val="22"/>
              </w:rPr>
              <w:t>Upper limit of normal</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33584006"/>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33584007"/>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75806B5C" w:rsidR="00324B33" w:rsidRPr="00BD5DBD" w:rsidRDefault="006C1790" w:rsidP="007452E8">
            <w:pPr>
              <w:rPr>
                <w:szCs w:val="22"/>
              </w:rPr>
            </w:pPr>
            <w:r>
              <w:rPr>
                <w:szCs w:val="22"/>
              </w:rPr>
              <w:t>Extension of indications</w:t>
            </w:r>
          </w:p>
        </w:tc>
      </w:tr>
      <w:tr w:rsidR="00324B33" w:rsidRPr="00BD5DBD" w14:paraId="13482B61" w14:textId="77777777" w:rsidTr="00F865A7">
        <w:tc>
          <w:tcPr>
            <w:tcW w:w="1577" w:type="pct"/>
          </w:tcPr>
          <w:p w14:paraId="2C427FCF" w14:textId="1622B26E" w:rsidR="00324B33" w:rsidRPr="00BD5DBD" w:rsidRDefault="00324B33" w:rsidP="007452E8">
            <w:pPr>
              <w:rPr>
                <w:i/>
                <w:szCs w:val="22"/>
              </w:rPr>
            </w:pPr>
            <w:r w:rsidRPr="00BD5DBD">
              <w:rPr>
                <w:i/>
                <w:szCs w:val="22"/>
              </w:rPr>
              <w:t>Product name:</w:t>
            </w:r>
          </w:p>
        </w:tc>
        <w:tc>
          <w:tcPr>
            <w:tcW w:w="3423" w:type="pct"/>
          </w:tcPr>
          <w:p w14:paraId="0E2DEF76" w14:textId="30130327" w:rsidR="00324B33" w:rsidRPr="00BD5DBD" w:rsidRDefault="006C1790" w:rsidP="007452E8">
            <w:pPr>
              <w:rPr>
                <w:szCs w:val="22"/>
              </w:rPr>
            </w:pPr>
            <w:r>
              <w:rPr>
                <w:szCs w:val="22"/>
              </w:rPr>
              <w:t>Keytruda</w:t>
            </w:r>
          </w:p>
        </w:tc>
      </w:tr>
      <w:tr w:rsidR="00324B33" w:rsidRPr="00BD5DBD" w14:paraId="01255B5B" w14:textId="77777777" w:rsidTr="00F865A7">
        <w:tc>
          <w:tcPr>
            <w:tcW w:w="1577" w:type="pct"/>
          </w:tcPr>
          <w:p w14:paraId="52B4F3D7" w14:textId="0B5C3117" w:rsidR="00324B33" w:rsidRPr="00BD5DBD" w:rsidRDefault="00324B33" w:rsidP="007452E8">
            <w:pPr>
              <w:rPr>
                <w:i/>
                <w:szCs w:val="22"/>
              </w:rPr>
            </w:pPr>
            <w:r w:rsidRPr="00BD5DBD">
              <w:rPr>
                <w:i/>
                <w:szCs w:val="22"/>
              </w:rPr>
              <w:t>Active ingredient:</w:t>
            </w:r>
          </w:p>
        </w:tc>
        <w:tc>
          <w:tcPr>
            <w:tcW w:w="3423" w:type="pct"/>
          </w:tcPr>
          <w:p w14:paraId="02FB6383" w14:textId="7359BBFF" w:rsidR="00324B33" w:rsidRPr="00BD5DBD" w:rsidRDefault="006C1790" w:rsidP="007452E8">
            <w:pPr>
              <w:rPr>
                <w:szCs w:val="22"/>
              </w:rPr>
            </w:pPr>
            <w:r>
              <w:rPr>
                <w:szCs w:val="22"/>
              </w:rPr>
              <w:t>P</w:t>
            </w:r>
            <w:r w:rsidRPr="006C1790">
              <w:rPr>
                <w:szCs w:val="22"/>
              </w:rPr>
              <w:t>embrolizumab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548E08C4"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7EF647F0" w:rsidR="00AE1947" w:rsidRPr="006C1790" w:rsidRDefault="00AE1947" w:rsidP="006C1790">
            <w:pPr>
              <w:rPr>
                <w:i/>
                <w:szCs w:val="22"/>
              </w:rPr>
            </w:pPr>
            <w:r w:rsidRPr="00BD5DBD">
              <w:rPr>
                <w:i/>
                <w:szCs w:val="22"/>
              </w:rPr>
              <w:t>Date of decision:</w:t>
            </w:r>
          </w:p>
        </w:tc>
        <w:tc>
          <w:tcPr>
            <w:tcW w:w="3423" w:type="pct"/>
          </w:tcPr>
          <w:p w14:paraId="7B381CD6" w14:textId="01BC1271" w:rsidR="00AE1947" w:rsidRPr="00BD5DBD" w:rsidRDefault="006C1790" w:rsidP="00051FDB">
            <w:pPr>
              <w:rPr>
                <w:szCs w:val="22"/>
              </w:rPr>
            </w:pPr>
            <w:r>
              <w:rPr>
                <w:szCs w:val="22"/>
              </w:rPr>
              <w:t>20 October 2021</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2F05B326" w:rsidR="00324B33" w:rsidRPr="00BD5DBD" w:rsidRDefault="006C1790" w:rsidP="007452E8">
            <w:pPr>
              <w:rPr>
                <w:szCs w:val="22"/>
              </w:rPr>
            </w:pPr>
            <w:r>
              <w:rPr>
                <w:szCs w:val="22"/>
              </w:rPr>
              <w:t>21 October 2021</w:t>
            </w:r>
          </w:p>
        </w:tc>
      </w:tr>
      <w:tr w:rsidR="00324B33" w:rsidRPr="00BD5DBD" w14:paraId="547E08D7" w14:textId="77777777" w:rsidTr="00F865A7">
        <w:tc>
          <w:tcPr>
            <w:tcW w:w="1577" w:type="pct"/>
          </w:tcPr>
          <w:p w14:paraId="5030EF30" w14:textId="5C45121A" w:rsidR="00324B33" w:rsidRPr="00BD5DBD" w:rsidRDefault="00324B33" w:rsidP="007452E8">
            <w:pPr>
              <w:rPr>
                <w:i/>
                <w:szCs w:val="22"/>
              </w:rPr>
            </w:pPr>
            <w:r w:rsidRPr="00BD5DBD">
              <w:rPr>
                <w:i/>
                <w:szCs w:val="22"/>
              </w:rPr>
              <w:t>ARTG numbers:</w:t>
            </w:r>
          </w:p>
        </w:tc>
        <w:tc>
          <w:tcPr>
            <w:tcW w:w="3423" w:type="pct"/>
          </w:tcPr>
          <w:p w14:paraId="0054E912" w14:textId="46F18F61" w:rsidR="00324B33" w:rsidRPr="00BD5DBD" w:rsidRDefault="006C1790" w:rsidP="007452E8">
            <w:pPr>
              <w:rPr>
                <w:szCs w:val="22"/>
              </w:rPr>
            </w:pPr>
            <w:r>
              <w:rPr>
                <w:rFonts w:cs="Cambria"/>
                <w:szCs w:val="22"/>
              </w:rPr>
              <w:t>226597 and 263932</w:t>
            </w:r>
          </w:p>
        </w:tc>
      </w:tr>
      <w:tr w:rsidR="00324B33" w:rsidRPr="00BD5DBD" w14:paraId="7618393F" w14:textId="77777777" w:rsidTr="00F865A7">
        <w:tc>
          <w:tcPr>
            <w:tcW w:w="1577" w:type="pct"/>
          </w:tcPr>
          <w:p w14:paraId="6C24CEB6" w14:textId="30DB047D" w:rsidR="00E47E0C" w:rsidRPr="00BD5DBD" w:rsidRDefault="00324B33" w:rsidP="007452E8">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08EF3693" w14:textId="70191503" w:rsidR="00324B33" w:rsidRPr="00BD5DBD" w:rsidRDefault="00FE5DFF" w:rsidP="007452E8">
            <w:pPr>
              <w:rPr>
                <w:szCs w:val="22"/>
              </w:rPr>
            </w:pPr>
            <w:r>
              <w:rPr>
                <w:szCs w:val="22"/>
              </w:rPr>
              <w:t>No</w:t>
            </w:r>
          </w:p>
          <w:p w14:paraId="6FF3C6A2" w14:textId="4F2F3B34" w:rsidR="00324B33" w:rsidRPr="00BD5DBD" w:rsidRDefault="00324B33" w:rsidP="007452E8">
            <w:pPr>
              <w:rPr>
                <w:szCs w:val="22"/>
              </w:rPr>
            </w:pP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24C86DF9" w14:textId="77777777" w:rsidR="006C1790" w:rsidRDefault="006C1790" w:rsidP="006C1790">
            <w:pPr>
              <w:autoSpaceDE w:val="0"/>
              <w:autoSpaceDN w:val="0"/>
              <w:adjustRightInd w:val="0"/>
              <w:spacing w:after="0" w:line="240" w:lineRule="auto"/>
              <w:rPr>
                <w:rFonts w:cs="Cambria"/>
                <w:szCs w:val="22"/>
              </w:rPr>
            </w:pPr>
            <w:r>
              <w:rPr>
                <w:rFonts w:cs="Cambria"/>
                <w:szCs w:val="22"/>
              </w:rPr>
              <w:t>Merck Sharp &amp; Dohme (Australia) Pty Ltd</w:t>
            </w:r>
          </w:p>
          <w:p w14:paraId="382FAEEB" w14:textId="77777777" w:rsidR="006C1790" w:rsidRDefault="006C1790" w:rsidP="006C1790">
            <w:pPr>
              <w:autoSpaceDE w:val="0"/>
              <w:autoSpaceDN w:val="0"/>
              <w:adjustRightInd w:val="0"/>
              <w:spacing w:after="0" w:line="240" w:lineRule="auto"/>
              <w:rPr>
                <w:rFonts w:cs="Cambria"/>
                <w:szCs w:val="22"/>
              </w:rPr>
            </w:pPr>
            <w:r>
              <w:rPr>
                <w:rFonts w:cs="Cambria"/>
                <w:szCs w:val="22"/>
              </w:rPr>
              <w:t>Level 1, Building A</w:t>
            </w:r>
          </w:p>
          <w:p w14:paraId="00F5F973" w14:textId="77777777" w:rsidR="0095656C" w:rsidRDefault="006C1790" w:rsidP="006C1790">
            <w:pPr>
              <w:rPr>
                <w:rFonts w:cs="Cambria"/>
                <w:szCs w:val="22"/>
              </w:rPr>
            </w:pPr>
            <w:r>
              <w:rPr>
                <w:rFonts w:cs="Cambria"/>
                <w:szCs w:val="22"/>
              </w:rPr>
              <w:t>26 Talavera Rd</w:t>
            </w:r>
          </w:p>
          <w:p w14:paraId="68DD94B0" w14:textId="7D46DED4" w:rsidR="00324B33" w:rsidRPr="00BD5DBD" w:rsidRDefault="006C1790" w:rsidP="006C1790">
            <w:pPr>
              <w:rPr>
                <w:szCs w:val="22"/>
              </w:rPr>
            </w:pPr>
            <w:r>
              <w:rPr>
                <w:rFonts w:cs="Cambria"/>
                <w:szCs w:val="22"/>
              </w:rPr>
              <w:t>Macquarie Park, NSW, 2113</w:t>
            </w:r>
          </w:p>
        </w:tc>
      </w:tr>
      <w:tr w:rsidR="00324B33" w:rsidRPr="00BD5DBD" w14:paraId="5322B989" w14:textId="77777777" w:rsidTr="00F865A7">
        <w:tc>
          <w:tcPr>
            <w:tcW w:w="1577" w:type="pct"/>
          </w:tcPr>
          <w:p w14:paraId="24F217E3" w14:textId="12007BD1" w:rsidR="00324B33" w:rsidRPr="00BD5DBD" w:rsidRDefault="00324B33" w:rsidP="007452E8">
            <w:pPr>
              <w:rPr>
                <w:i/>
                <w:szCs w:val="22"/>
              </w:rPr>
            </w:pPr>
            <w:r w:rsidRPr="00BD5DBD">
              <w:rPr>
                <w:i/>
                <w:szCs w:val="22"/>
              </w:rPr>
              <w:t>Dose forms:</w:t>
            </w:r>
          </w:p>
        </w:tc>
        <w:tc>
          <w:tcPr>
            <w:tcW w:w="3423" w:type="pct"/>
          </w:tcPr>
          <w:p w14:paraId="768B254C" w14:textId="09370079" w:rsidR="00324B33" w:rsidRPr="00BD5DBD" w:rsidRDefault="006C1790" w:rsidP="007452E8">
            <w:pPr>
              <w:rPr>
                <w:szCs w:val="22"/>
              </w:rPr>
            </w:pPr>
            <w:r>
              <w:rPr>
                <w:szCs w:val="22"/>
              </w:rPr>
              <w:t xml:space="preserve">Powder for injection and concentrated solution for injection </w:t>
            </w:r>
          </w:p>
        </w:tc>
      </w:tr>
      <w:tr w:rsidR="00324B33" w:rsidRPr="00BD5DBD" w14:paraId="115243E6" w14:textId="77777777" w:rsidTr="00F865A7">
        <w:tc>
          <w:tcPr>
            <w:tcW w:w="1577" w:type="pct"/>
          </w:tcPr>
          <w:p w14:paraId="7634B062" w14:textId="7387F24E" w:rsidR="00324B33" w:rsidRPr="00BD5DBD" w:rsidRDefault="00324B33" w:rsidP="007452E8">
            <w:pPr>
              <w:rPr>
                <w:i/>
                <w:szCs w:val="22"/>
              </w:rPr>
            </w:pPr>
            <w:r w:rsidRPr="00BD5DBD">
              <w:rPr>
                <w:i/>
                <w:szCs w:val="22"/>
              </w:rPr>
              <w:t>Strengths:</w:t>
            </w:r>
          </w:p>
        </w:tc>
        <w:tc>
          <w:tcPr>
            <w:tcW w:w="3423" w:type="pct"/>
          </w:tcPr>
          <w:p w14:paraId="5E5F83DB" w14:textId="0E84C458" w:rsidR="00324B33" w:rsidRPr="00BD5DBD" w:rsidRDefault="006C1790" w:rsidP="007452E8">
            <w:pPr>
              <w:rPr>
                <w:szCs w:val="22"/>
              </w:rPr>
            </w:pPr>
            <w:r>
              <w:rPr>
                <w:szCs w:val="22"/>
              </w:rPr>
              <w:t>50 mg (powder for injection) and 100 mg/4 mL (concentrated solution for injection)</w:t>
            </w:r>
          </w:p>
        </w:tc>
      </w:tr>
      <w:tr w:rsidR="00324B33" w:rsidRPr="00BD5DBD" w14:paraId="34B07BA6" w14:textId="77777777" w:rsidTr="00F865A7">
        <w:tc>
          <w:tcPr>
            <w:tcW w:w="1577" w:type="pct"/>
          </w:tcPr>
          <w:p w14:paraId="1C039224" w14:textId="3DF3F9A4" w:rsidR="00324B33" w:rsidRPr="00BD5DBD" w:rsidRDefault="00324B33" w:rsidP="007452E8">
            <w:pPr>
              <w:rPr>
                <w:i/>
                <w:szCs w:val="22"/>
              </w:rPr>
            </w:pPr>
            <w:r w:rsidRPr="00BD5DBD">
              <w:rPr>
                <w:i/>
                <w:szCs w:val="22"/>
              </w:rPr>
              <w:t>Containers:</w:t>
            </w:r>
          </w:p>
        </w:tc>
        <w:tc>
          <w:tcPr>
            <w:tcW w:w="3423" w:type="pct"/>
          </w:tcPr>
          <w:p w14:paraId="500A42C6" w14:textId="17C09348" w:rsidR="00324B33" w:rsidRPr="00BD5DBD" w:rsidRDefault="006C1790" w:rsidP="007452E8">
            <w:pPr>
              <w:rPr>
                <w:szCs w:val="22"/>
              </w:rPr>
            </w:pPr>
            <w:r>
              <w:rPr>
                <w:szCs w:val="22"/>
              </w:rPr>
              <w:t>Vials</w:t>
            </w:r>
          </w:p>
        </w:tc>
      </w:tr>
      <w:tr w:rsidR="00324B33" w:rsidRPr="00BD5DBD" w14:paraId="176B6773" w14:textId="77777777" w:rsidTr="00F865A7">
        <w:tc>
          <w:tcPr>
            <w:tcW w:w="1577" w:type="pct"/>
          </w:tcPr>
          <w:p w14:paraId="71846159" w14:textId="6F12AB3A" w:rsidR="00324B33" w:rsidRPr="00BD5DBD" w:rsidRDefault="00324B33" w:rsidP="007452E8">
            <w:pPr>
              <w:rPr>
                <w:i/>
                <w:szCs w:val="22"/>
              </w:rPr>
            </w:pPr>
            <w:r w:rsidRPr="00BD5DBD">
              <w:rPr>
                <w:i/>
                <w:szCs w:val="22"/>
              </w:rPr>
              <w:t>Pack sizes:</w:t>
            </w:r>
          </w:p>
        </w:tc>
        <w:tc>
          <w:tcPr>
            <w:tcW w:w="3423" w:type="pct"/>
          </w:tcPr>
          <w:p w14:paraId="54CDC441" w14:textId="22DF7902" w:rsidR="00324B33" w:rsidRDefault="006C1790" w:rsidP="007452E8">
            <w:pPr>
              <w:rPr>
                <w:szCs w:val="22"/>
              </w:rPr>
            </w:pPr>
            <w:r>
              <w:rPr>
                <w:szCs w:val="22"/>
              </w:rPr>
              <w:t>Powder for injection</w:t>
            </w:r>
            <w:r w:rsidR="0095656C">
              <w:rPr>
                <w:szCs w:val="22"/>
              </w:rPr>
              <w:t>:</w:t>
            </w:r>
            <w:r>
              <w:rPr>
                <w:szCs w:val="22"/>
              </w:rPr>
              <w:t xml:space="preserve"> single vial pack</w:t>
            </w:r>
          </w:p>
          <w:p w14:paraId="7E978F8F" w14:textId="7231FD4B" w:rsidR="006C1790" w:rsidRPr="00BD5DBD" w:rsidRDefault="006C1790" w:rsidP="007452E8">
            <w:pPr>
              <w:rPr>
                <w:szCs w:val="22"/>
              </w:rPr>
            </w:pPr>
            <w:r>
              <w:rPr>
                <w:szCs w:val="22"/>
              </w:rPr>
              <w:t>Concentrated solution for injection</w:t>
            </w:r>
            <w:r w:rsidR="0095656C">
              <w:rPr>
                <w:szCs w:val="22"/>
              </w:rPr>
              <w:t>:</w:t>
            </w:r>
            <w:r>
              <w:rPr>
                <w:szCs w:val="22"/>
              </w:rPr>
              <w:t xml:space="preserve"> single vial pack</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14C74174" w14:textId="77777777" w:rsidR="006C1790" w:rsidRPr="006C1790" w:rsidRDefault="006C1790" w:rsidP="006C1790">
            <w:pPr>
              <w:rPr>
                <w:b/>
                <w:bCs/>
                <w:i/>
                <w:iCs/>
              </w:rPr>
            </w:pPr>
            <w:r w:rsidRPr="006C1790">
              <w:rPr>
                <w:b/>
                <w:bCs/>
                <w:i/>
                <w:iCs/>
              </w:rPr>
              <w:t>Classical Hodgkin Lymphoma (</w:t>
            </w:r>
            <w:proofErr w:type="spellStart"/>
            <w:r w:rsidRPr="006C1790">
              <w:rPr>
                <w:b/>
                <w:bCs/>
                <w:i/>
                <w:iCs/>
              </w:rPr>
              <w:t>cHL</w:t>
            </w:r>
            <w:proofErr w:type="spellEnd"/>
            <w:r w:rsidRPr="006C1790">
              <w:rPr>
                <w:b/>
                <w:bCs/>
                <w:i/>
                <w:iCs/>
              </w:rPr>
              <w:t>)</w:t>
            </w:r>
          </w:p>
          <w:p w14:paraId="570F4407" w14:textId="2EA4B79B" w:rsidR="006C1790" w:rsidRPr="006C1790" w:rsidRDefault="00B004E2" w:rsidP="006C1790">
            <w:pPr>
              <w:rPr>
                <w:i/>
                <w:iCs/>
              </w:rPr>
            </w:pPr>
            <w:r>
              <w:rPr>
                <w:i/>
                <w:iCs/>
              </w:rPr>
              <w:t xml:space="preserve">Keytruda </w:t>
            </w:r>
            <w:r w:rsidR="006C1790" w:rsidRPr="006C1790">
              <w:rPr>
                <w:i/>
                <w:iCs/>
              </w:rPr>
              <w:t>(pembrolizumab) is indicated as monotherapy for the treatment of adult and</w:t>
            </w:r>
            <w:r w:rsidR="006C1790">
              <w:rPr>
                <w:i/>
                <w:iCs/>
              </w:rPr>
              <w:t xml:space="preserve"> </w:t>
            </w:r>
            <w:r w:rsidR="006C1790" w:rsidRPr="006C1790">
              <w:rPr>
                <w:i/>
                <w:iCs/>
              </w:rPr>
              <w:t>paediatric patients with relapsed or refractory classical Hodgkin Lymphoma (</w:t>
            </w:r>
            <w:proofErr w:type="spellStart"/>
            <w:r w:rsidR="006C1790" w:rsidRPr="006C1790">
              <w:rPr>
                <w:i/>
                <w:iCs/>
              </w:rPr>
              <w:t>cHL</w:t>
            </w:r>
            <w:proofErr w:type="spellEnd"/>
            <w:r w:rsidR="006C1790" w:rsidRPr="006C1790">
              <w:rPr>
                <w:i/>
                <w:iCs/>
              </w:rPr>
              <w:t>):</w:t>
            </w:r>
          </w:p>
          <w:p w14:paraId="7FB192A9" w14:textId="2027E450" w:rsidR="006C1790" w:rsidRPr="00DC1FDA" w:rsidRDefault="006C1790" w:rsidP="008E1FA1">
            <w:pPr>
              <w:pStyle w:val="ListBullet"/>
              <w:rPr>
                <w:i/>
                <w:iCs/>
              </w:rPr>
            </w:pPr>
            <w:r w:rsidRPr="00DC1FDA">
              <w:rPr>
                <w:i/>
                <w:iCs/>
              </w:rPr>
              <w:t>following autologous stem cell transplant (ASCT) or</w:t>
            </w:r>
          </w:p>
          <w:p w14:paraId="720A8327" w14:textId="0E16FBBE" w:rsidR="006C1790" w:rsidRPr="00DC1FDA" w:rsidRDefault="006C1790" w:rsidP="008E1FA1">
            <w:pPr>
              <w:pStyle w:val="ListBullet"/>
              <w:rPr>
                <w:i/>
                <w:iCs/>
              </w:rPr>
            </w:pPr>
            <w:r w:rsidRPr="00DC1FDA">
              <w:rPr>
                <w:i/>
                <w:iCs/>
              </w:rPr>
              <w:t>following at least two prior therapies when ASCT or multi-agent chemotherapy is not a treatment option.</w:t>
            </w:r>
          </w:p>
          <w:p w14:paraId="464089BD" w14:textId="74A1FD4D" w:rsidR="006C1790" w:rsidRPr="006C1790" w:rsidRDefault="006C1790" w:rsidP="006C1790">
            <w:pPr>
              <w:rPr>
                <w:i/>
                <w:iCs/>
              </w:rPr>
            </w:pPr>
            <w:r w:rsidRPr="006C1790">
              <w:rPr>
                <w:i/>
                <w:iCs/>
              </w:rPr>
              <w:t xml:space="preserve">The approval of this indication in paediatric patients is </w:t>
            </w:r>
            <w:proofErr w:type="gramStart"/>
            <w:r w:rsidRPr="006C1790">
              <w:rPr>
                <w:i/>
                <w:iCs/>
              </w:rPr>
              <w:t>on the basis of</w:t>
            </w:r>
            <w:proofErr w:type="gramEnd"/>
            <w:r w:rsidRPr="006C1790">
              <w:rPr>
                <w:i/>
                <w:iCs/>
              </w:rPr>
              <w:t xml:space="preserve"> objective response rate</w:t>
            </w:r>
            <w:r>
              <w:rPr>
                <w:i/>
                <w:iCs/>
              </w:rPr>
              <w:t xml:space="preserve"> </w:t>
            </w:r>
            <w:r w:rsidRPr="006C1790">
              <w:rPr>
                <w:i/>
                <w:iCs/>
              </w:rPr>
              <w:t>from patients aged 11 years and older from single arm trial data and extrapolation from adult</w:t>
            </w:r>
          </w:p>
          <w:p w14:paraId="6E143E2E" w14:textId="73BFF475" w:rsidR="00324B33" w:rsidRPr="00BD5DBD" w:rsidRDefault="006C1790" w:rsidP="006C1790">
            <w:r w:rsidRPr="006C1790">
              <w:rPr>
                <w:i/>
                <w:iCs/>
              </w:rPr>
              <w:lastRenderedPageBreak/>
              <w:t>data (see Section 5.1 P</w:t>
            </w:r>
            <w:r>
              <w:rPr>
                <w:i/>
                <w:iCs/>
              </w:rPr>
              <w:t>harmacodynamic properties</w:t>
            </w:r>
            <w:r w:rsidRPr="006C1790">
              <w:rPr>
                <w:i/>
                <w:iCs/>
              </w:rPr>
              <w:t xml:space="preserve">, Clinical Trials). </w:t>
            </w:r>
          </w:p>
        </w:tc>
      </w:tr>
      <w:tr w:rsidR="00324B33" w:rsidRPr="00BD5DBD" w14:paraId="5AFDEED3" w14:textId="77777777" w:rsidTr="00F865A7">
        <w:tc>
          <w:tcPr>
            <w:tcW w:w="1577" w:type="pct"/>
          </w:tcPr>
          <w:p w14:paraId="03884BD1" w14:textId="226C0F89" w:rsidR="00324B33" w:rsidRPr="00BD5DBD" w:rsidRDefault="00324B33" w:rsidP="007452E8">
            <w:pPr>
              <w:rPr>
                <w:i/>
                <w:szCs w:val="22"/>
              </w:rPr>
            </w:pPr>
            <w:r w:rsidRPr="00BD5DBD">
              <w:rPr>
                <w:i/>
                <w:szCs w:val="22"/>
              </w:rPr>
              <w:lastRenderedPageBreak/>
              <w:t>Route of administration:</w:t>
            </w:r>
          </w:p>
        </w:tc>
        <w:tc>
          <w:tcPr>
            <w:tcW w:w="3423" w:type="pct"/>
          </w:tcPr>
          <w:p w14:paraId="1ED1357E" w14:textId="132E96F6" w:rsidR="00324B33" w:rsidRPr="00BD5DBD" w:rsidRDefault="008E1FA1" w:rsidP="007452E8">
            <w:pPr>
              <w:rPr>
                <w:szCs w:val="22"/>
              </w:rPr>
            </w:pPr>
            <w:r>
              <w:rPr>
                <w:szCs w:val="22"/>
              </w:rPr>
              <w:t>Intravenous infusion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174178F6" w14:textId="1D2CCA61" w:rsidR="008E1FA1" w:rsidRPr="008E1FA1" w:rsidRDefault="008E1FA1" w:rsidP="008E1FA1">
            <w:pPr>
              <w:rPr>
                <w:b/>
                <w:bCs/>
                <w:i/>
                <w:iCs/>
                <w:szCs w:val="22"/>
              </w:rPr>
            </w:pPr>
            <w:r w:rsidRPr="008E1FA1">
              <w:rPr>
                <w:b/>
                <w:bCs/>
                <w:i/>
                <w:iCs/>
                <w:szCs w:val="22"/>
              </w:rPr>
              <w:t>Classical Hodgkin Lymphoma (</w:t>
            </w:r>
            <w:proofErr w:type="spellStart"/>
            <w:r w:rsidRPr="008E1FA1">
              <w:rPr>
                <w:b/>
                <w:bCs/>
                <w:i/>
                <w:iCs/>
                <w:szCs w:val="22"/>
              </w:rPr>
              <w:t>cHL</w:t>
            </w:r>
            <w:proofErr w:type="spellEnd"/>
            <w:r w:rsidRPr="008E1FA1">
              <w:rPr>
                <w:b/>
                <w:bCs/>
                <w:i/>
                <w:iCs/>
                <w:szCs w:val="22"/>
              </w:rPr>
              <w:t>)</w:t>
            </w:r>
          </w:p>
          <w:p w14:paraId="0D223AB7" w14:textId="77777777" w:rsidR="00B004E2" w:rsidRDefault="008E1FA1" w:rsidP="008E1FA1">
            <w:pPr>
              <w:rPr>
                <w:szCs w:val="22"/>
              </w:rPr>
            </w:pPr>
            <w:r w:rsidRPr="008E1FA1">
              <w:rPr>
                <w:szCs w:val="22"/>
              </w:rPr>
              <w:t>Treatment must be initiated and supervised by specialised healthcare professionals</w:t>
            </w:r>
            <w:r>
              <w:rPr>
                <w:szCs w:val="22"/>
              </w:rPr>
              <w:t xml:space="preserve"> </w:t>
            </w:r>
            <w:r w:rsidRPr="008E1FA1">
              <w:rPr>
                <w:szCs w:val="22"/>
              </w:rPr>
              <w:t>experienced in the treatment of cancer.</w:t>
            </w:r>
          </w:p>
          <w:p w14:paraId="0E1AAD94" w14:textId="02CF0F99" w:rsidR="008E1FA1" w:rsidRPr="008E1FA1" w:rsidRDefault="008E1FA1" w:rsidP="008E1FA1">
            <w:pPr>
              <w:rPr>
                <w:szCs w:val="22"/>
              </w:rPr>
            </w:pPr>
            <w:r w:rsidRPr="008E1FA1">
              <w:rPr>
                <w:szCs w:val="22"/>
              </w:rPr>
              <w:t>K</w:t>
            </w:r>
            <w:r>
              <w:rPr>
                <w:szCs w:val="22"/>
              </w:rPr>
              <w:t>eytruda</w:t>
            </w:r>
            <w:r w:rsidRPr="008E1FA1">
              <w:rPr>
                <w:szCs w:val="22"/>
              </w:rPr>
              <w:t xml:space="preserve"> is administered as an intravenous infusion over 30</w:t>
            </w:r>
            <w:r w:rsidR="0095656C">
              <w:rPr>
                <w:szCs w:val="22"/>
              </w:rPr>
              <w:t> </w:t>
            </w:r>
            <w:r w:rsidRPr="008E1FA1">
              <w:rPr>
                <w:szCs w:val="22"/>
              </w:rPr>
              <w:t>minutes.</w:t>
            </w:r>
          </w:p>
          <w:p w14:paraId="3081B78C" w14:textId="4C6D0D49" w:rsidR="008E1FA1" w:rsidRDefault="008E1FA1" w:rsidP="008E1FA1">
            <w:pPr>
              <w:rPr>
                <w:szCs w:val="22"/>
              </w:rPr>
            </w:pPr>
            <w:r w:rsidRPr="008E1FA1">
              <w:rPr>
                <w:szCs w:val="22"/>
              </w:rPr>
              <w:t>The recommended dose of K</w:t>
            </w:r>
            <w:r>
              <w:rPr>
                <w:szCs w:val="22"/>
              </w:rPr>
              <w:t>eytruda</w:t>
            </w:r>
            <w:r w:rsidRPr="008E1FA1">
              <w:rPr>
                <w:szCs w:val="22"/>
              </w:rPr>
              <w:t xml:space="preserve"> in adults is</w:t>
            </w:r>
            <w:r w:rsidR="00F61B45">
              <w:rPr>
                <w:szCs w:val="22"/>
              </w:rPr>
              <w:t xml:space="preserve"> either</w:t>
            </w:r>
            <w:r w:rsidRPr="008E1FA1">
              <w:rPr>
                <w:szCs w:val="22"/>
              </w:rPr>
              <w:t>:</w:t>
            </w:r>
          </w:p>
          <w:p w14:paraId="78AD04FD" w14:textId="7A81BDEF" w:rsidR="00F61B45" w:rsidRPr="00F61B45" w:rsidRDefault="00F61B45" w:rsidP="00C13873">
            <w:pPr>
              <w:pStyle w:val="ListBullet"/>
            </w:pPr>
            <w:r w:rsidRPr="00F61B45">
              <w:t>200 mg every 3 weeks or</w:t>
            </w:r>
          </w:p>
          <w:p w14:paraId="20A5538D" w14:textId="29274608" w:rsidR="00F61B45" w:rsidRPr="00F61B45" w:rsidRDefault="00F61B45" w:rsidP="00C13873">
            <w:pPr>
              <w:pStyle w:val="ListBullet"/>
            </w:pPr>
            <w:r w:rsidRPr="00F61B45">
              <w:t xml:space="preserve">400 mg every 6 weeks </w:t>
            </w:r>
          </w:p>
          <w:p w14:paraId="4AE92668" w14:textId="2812E114" w:rsidR="00F61B45" w:rsidRDefault="00F61B45" w:rsidP="00F61B45">
            <w:pPr>
              <w:rPr>
                <w:szCs w:val="22"/>
              </w:rPr>
            </w:pPr>
            <w:r w:rsidRPr="00F61B45">
              <w:rPr>
                <w:szCs w:val="22"/>
              </w:rPr>
              <w:t xml:space="preserve">The recommended dose of Keytruda </w:t>
            </w:r>
            <w:r>
              <w:rPr>
                <w:szCs w:val="22"/>
              </w:rPr>
              <w:t xml:space="preserve">in paediatric patients is 2 mg/kg (up to a maximum of </w:t>
            </w:r>
            <w:r w:rsidRPr="00F61B45">
              <w:rPr>
                <w:szCs w:val="22"/>
              </w:rPr>
              <w:t xml:space="preserve">200 mg) every 3 weeks (see Section 4.2 </w:t>
            </w:r>
            <w:r>
              <w:rPr>
                <w:szCs w:val="22"/>
              </w:rPr>
              <w:t>D</w:t>
            </w:r>
            <w:r w:rsidRPr="00F61B45">
              <w:rPr>
                <w:szCs w:val="22"/>
              </w:rPr>
              <w:t>ose and method of administration</w:t>
            </w:r>
            <w:r>
              <w:rPr>
                <w:szCs w:val="22"/>
              </w:rPr>
              <w:t>, Paediatric p</w:t>
            </w:r>
            <w:r w:rsidRPr="00F61B45">
              <w:rPr>
                <w:szCs w:val="22"/>
              </w:rPr>
              <w:t>atients</w:t>
            </w:r>
            <w:r>
              <w:rPr>
                <w:szCs w:val="22"/>
              </w:rPr>
              <w:t xml:space="preserve"> of the Product Information</w:t>
            </w:r>
            <w:r w:rsidRPr="00F61B45">
              <w:rPr>
                <w:szCs w:val="22"/>
              </w:rPr>
              <w:t>).</w:t>
            </w:r>
          </w:p>
          <w:p w14:paraId="77517270" w14:textId="298F053F" w:rsidR="00F61B45" w:rsidRPr="008E1FA1" w:rsidRDefault="00F61B45" w:rsidP="00F61B45">
            <w:pPr>
              <w:rPr>
                <w:szCs w:val="22"/>
              </w:rPr>
            </w:pPr>
            <w:r>
              <w:t>Patients should be treated with Keytruda until disease progression or unacceptable toxicity.</w:t>
            </w:r>
          </w:p>
          <w:p w14:paraId="3D0B2D5C" w14:textId="374A0388" w:rsidR="00324B33" w:rsidRPr="00BD5DBD" w:rsidRDefault="00324B33" w:rsidP="008E1FA1">
            <w:pPr>
              <w:rPr>
                <w:szCs w:val="22"/>
              </w:rPr>
            </w:pPr>
            <w:r w:rsidRPr="00BD5DBD">
              <w:rPr>
                <w:szCs w:val="22"/>
              </w:rPr>
              <w:t>For further information regarding dosage</w:t>
            </w:r>
            <w:r w:rsidR="008E1FA1">
              <w:rPr>
                <w:szCs w:val="22"/>
              </w:rPr>
              <w:t xml:space="preserve"> and dose modifications</w:t>
            </w:r>
            <w:r w:rsidRPr="00BD5DBD">
              <w:rPr>
                <w:szCs w:val="22"/>
              </w:rPr>
              <w:t>,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t>Pregnancy category:</w:t>
            </w:r>
          </w:p>
        </w:tc>
        <w:tc>
          <w:tcPr>
            <w:tcW w:w="3423" w:type="pct"/>
          </w:tcPr>
          <w:p w14:paraId="4E87274F" w14:textId="08BDC8A5" w:rsidR="00324B33" w:rsidRDefault="008E1FA1" w:rsidP="007452E8">
            <w:pPr>
              <w:rPr>
                <w:szCs w:val="22"/>
              </w:rPr>
            </w:pPr>
            <w:r>
              <w:rPr>
                <w:szCs w:val="22"/>
              </w:rPr>
              <w:t>D</w:t>
            </w:r>
          </w:p>
          <w:p w14:paraId="73C7187D" w14:textId="53F44439" w:rsidR="008E1FA1" w:rsidRPr="00BD5DBD" w:rsidRDefault="008E1FA1" w:rsidP="007452E8">
            <w:pPr>
              <w:rPr>
                <w:szCs w:val="22"/>
              </w:rPr>
            </w:pPr>
            <w:r w:rsidRPr="008E1FA1">
              <w:rPr>
                <w:szCs w:val="22"/>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1EA5030A" w:rsidR="00324B33" w:rsidRPr="00BD5DBD" w:rsidRDefault="00324B33" w:rsidP="007452E8">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33584008"/>
      <w:r>
        <w:t>Product background</w:t>
      </w:r>
      <w:bookmarkEnd w:id="11"/>
      <w:bookmarkEnd w:id="12"/>
      <w:bookmarkEnd w:id="13"/>
      <w:bookmarkEnd w:id="14"/>
    </w:p>
    <w:p w14:paraId="56B27CF2" w14:textId="137223D4" w:rsidR="00324B33" w:rsidRDefault="00324B33" w:rsidP="00D70479">
      <w:r w:rsidRPr="00BD5DBD">
        <w:t xml:space="preserve">This AusPAR describes the submission by </w:t>
      </w:r>
      <w:r w:rsidR="008E1FA1" w:rsidRPr="008E1FA1">
        <w:t xml:space="preserve">Merck Sharp &amp; Dohme (Australia) Pty Ltd </w:t>
      </w:r>
      <w:r w:rsidRPr="00BD5DBD">
        <w:t xml:space="preserve">(the sponsor) to register </w:t>
      </w:r>
      <w:r w:rsidR="008E1FA1" w:rsidRPr="008E1FA1">
        <w:t xml:space="preserve">Keytruda </w:t>
      </w:r>
      <w:r w:rsidR="008E1FA1">
        <w:t>(</w:t>
      </w:r>
      <w:r w:rsidR="008E1FA1" w:rsidRPr="008E1FA1">
        <w:t>pembrolizumab</w:t>
      </w:r>
      <w:r w:rsidR="008E1FA1">
        <w:t>)</w:t>
      </w:r>
      <w:r w:rsidR="008E1FA1" w:rsidRPr="008E1FA1">
        <w:t xml:space="preserve"> 50 mg powder for injection vial</w:t>
      </w:r>
      <w:r w:rsidR="008E1FA1">
        <w:t xml:space="preserve"> and </w:t>
      </w:r>
      <w:r w:rsidR="00D70479">
        <w:lastRenderedPageBreak/>
        <w:t>100</w:t>
      </w:r>
      <w:r w:rsidR="002A0CD0">
        <w:t> </w:t>
      </w:r>
      <w:r w:rsidR="00D70479">
        <w:t>mg/</w:t>
      </w:r>
      <w:r w:rsidR="008E1FA1">
        <w:rPr>
          <w:rFonts w:cs="Cambria"/>
        </w:rPr>
        <w:t>4</w:t>
      </w:r>
      <w:r w:rsidR="00D70479">
        <w:rPr>
          <w:rFonts w:cs="Cambria"/>
        </w:rPr>
        <w:t> </w:t>
      </w:r>
      <w:r w:rsidR="008E1FA1">
        <w:rPr>
          <w:rFonts w:cs="Cambria"/>
        </w:rPr>
        <w:t>mL concentrated injection vial</w:t>
      </w:r>
      <w:r w:rsidRPr="00BD5DBD">
        <w:t xml:space="preserve"> strength, for the following proposed </w:t>
      </w:r>
      <w:r w:rsidR="008E1FA1">
        <w:t>e</w:t>
      </w:r>
      <w:r w:rsidRPr="00BD5DBD">
        <w:t>xtension of indications:</w:t>
      </w:r>
      <w:r w:rsidR="00D63760" w:rsidRPr="00BD5DBD">
        <w:rPr>
          <w:rStyle w:val="FootnoteReference"/>
          <w:szCs w:val="22"/>
        </w:rPr>
        <w:footnoteReference w:id="2"/>
      </w:r>
    </w:p>
    <w:p w14:paraId="3845CA7A" w14:textId="0986FB9C" w:rsidR="00D70479" w:rsidRPr="00D70479" w:rsidRDefault="00D70479" w:rsidP="00D70479">
      <w:pPr>
        <w:ind w:left="720"/>
        <w:rPr>
          <w:i/>
          <w:iCs/>
          <w:szCs w:val="22"/>
        </w:rPr>
      </w:pPr>
      <w:r w:rsidRPr="00D70479">
        <w:rPr>
          <w:i/>
          <w:iCs/>
        </w:rPr>
        <w:t>K</w:t>
      </w:r>
      <w:r>
        <w:rPr>
          <w:i/>
          <w:iCs/>
        </w:rPr>
        <w:t>eytruda</w:t>
      </w:r>
      <w:r w:rsidRPr="00D70479">
        <w:rPr>
          <w:i/>
          <w:iCs/>
        </w:rPr>
        <w:t xml:space="preserve"> (pembrolizumab) is indicated as monotherapy for the</w:t>
      </w:r>
      <w:r>
        <w:rPr>
          <w:i/>
          <w:iCs/>
        </w:rPr>
        <w:t xml:space="preserve"> </w:t>
      </w:r>
      <w:r w:rsidRPr="00D70479">
        <w:rPr>
          <w:i/>
          <w:iCs/>
        </w:rPr>
        <w:t>treatment of adult and paediatric patients with relapsed or refractory</w:t>
      </w:r>
      <w:r>
        <w:rPr>
          <w:i/>
          <w:iCs/>
        </w:rPr>
        <w:t xml:space="preserve"> </w:t>
      </w:r>
      <w:r w:rsidRPr="00D70479">
        <w:rPr>
          <w:i/>
          <w:iCs/>
          <w:szCs w:val="22"/>
        </w:rPr>
        <w:t>classical Hodgkin Lymphoma (</w:t>
      </w:r>
      <w:proofErr w:type="spellStart"/>
      <w:r w:rsidRPr="00D70479">
        <w:rPr>
          <w:i/>
          <w:iCs/>
          <w:szCs w:val="22"/>
        </w:rPr>
        <w:t>cHL</w:t>
      </w:r>
      <w:proofErr w:type="spellEnd"/>
      <w:r w:rsidRPr="00D70479">
        <w:rPr>
          <w:i/>
          <w:iCs/>
          <w:szCs w:val="22"/>
        </w:rPr>
        <w:t>).</w:t>
      </w:r>
    </w:p>
    <w:p w14:paraId="4BF3FDE3" w14:textId="6E248026" w:rsidR="00D70479" w:rsidRPr="002A0CD0" w:rsidRDefault="00D70479" w:rsidP="002A0CD0">
      <w:bookmarkStart w:id="15" w:name="_Toc314842485"/>
      <w:bookmarkStart w:id="16" w:name="_Toc247691504"/>
      <w:r w:rsidRPr="002A0CD0">
        <w:t>Pembrolizumab is a highly selective humanised monoclonal antibody that binds to human programmed cell death 1 (PD</w:t>
      </w:r>
      <w:r w:rsidR="002A0CD0">
        <w:t>-</w:t>
      </w:r>
      <w:r w:rsidRPr="002A0CD0">
        <w:t>1) and blocks the interaction between the PD-1 pathway receptor and its ligands, programmed cell death ligand 1 (PD-L1) and programmed cell death ligand 2 (PD-L2) on antigen presenting tumours cells. The PD-1 pathway is a negative regulator of the adaptive immune response. Ligand binding to PD-1 on the surface of T cells mediates immune inhibition.</w:t>
      </w:r>
    </w:p>
    <w:p w14:paraId="2C43F02A" w14:textId="60C03C9F" w:rsidR="00D70479" w:rsidRPr="002A0CD0" w:rsidRDefault="00D70479" w:rsidP="002A0CD0">
      <w:r w:rsidRPr="002A0CD0">
        <w:t xml:space="preserve">Hodgkin lymphoma (HL) is a lymphoid malignancy. It has a bimodal age distribution with peak incidence at 15 to 35 years and again after 50 years of age. The incidence is much lower in the younger paediatric age group. It can be classified into classical </w:t>
      </w:r>
      <w:r w:rsidR="00E31845">
        <w:t xml:space="preserve">Hodgkin lymphoma </w:t>
      </w:r>
      <w:r w:rsidRPr="002A0CD0">
        <w:t>(</w:t>
      </w:r>
      <w:proofErr w:type="spellStart"/>
      <w:r w:rsidRPr="002A0CD0">
        <w:t>cHL</w:t>
      </w:r>
      <w:proofErr w:type="spellEnd"/>
      <w:r w:rsidRPr="002A0CD0">
        <w:t>) (95%</w:t>
      </w:r>
      <w:r w:rsidR="00F61B45">
        <w:t xml:space="preserve"> of cases</w:t>
      </w:r>
      <w:r w:rsidRPr="002A0CD0">
        <w:t>) or nodular lymphocyte predominant</w:t>
      </w:r>
      <w:r w:rsidR="00FE5DFF" w:rsidRPr="00FE5DFF">
        <w:t xml:space="preserve"> Hodgkin lymphoma</w:t>
      </w:r>
      <w:r w:rsidRPr="002A0CD0">
        <w:t xml:space="preserve">. </w:t>
      </w:r>
      <w:r w:rsidR="00FE5DFF" w:rsidRPr="00FE5DFF">
        <w:t>Hodgkin lymphoma</w:t>
      </w:r>
      <w:r w:rsidRPr="002A0CD0">
        <w:t xml:space="preserve"> is generally considered a highly curable disease.</w:t>
      </w:r>
      <w:r w:rsidR="00DC1FDA">
        <w:rPr>
          <w:rStyle w:val="FootnoteReference"/>
        </w:rPr>
        <w:footnoteReference w:id="3"/>
      </w:r>
      <w:r w:rsidR="00DC1FDA" w:rsidRPr="002A0CD0">
        <w:t xml:space="preserve"> </w:t>
      </w:r>
    </w:p>
    <w:p w14:paraId="45614DE7" w14:textId="6549834B" w:rsidR="00D70479" w:rsidRPr="002A0CD0" w:rsidRDefault="00D70479" w:rsidP="002A0CD0">
      <w:r w:rsidRPr="002A0CD0">
        <w:t xml:space="preserve">Diagnosis is made by histology from a lymph node biopsy or surgically resected tissue, and the characteristic picture is that of disease-defining Reed-Sternberg cells associated with other Hodgkin cells surrounded by a heterogenous inflammatory infiltrate. There are four subtypes. Expression of cluster </w:t>
      </w:r>
      <w:r w:rsidR="00F61B45">
        <w:t xml:space="preserve">of </w:t>
      </w:r>
      <w:r w:rsidRPr="002A0CD0">
        <w:t xml:space="preserve">differentiation (CD) markers assists in differentiation of </w:t>
      </w:r>
      <w:r w:rsidR="00FE5DFF">
        <w:t xml:space="preserve">classical </w:t>
      </w:r>
      <w:r w:rsidR="00FE5DFF" w:rsidRPr="00FE5DFF">
        <w:t>Hodgkin lymphoma</w:t>
      </w:r>
      <w:r w:rsidRPr="002A0CD0">
        <w:t xml:space="preserve"> from nodular lymphocyte predominant </w:t>
      </w:r>
      <w:r w:rsidR="00FE5DFF" w:rsidRPr="00FE5DFF">
        <w:t xml:space="preserve">Hodgkin lymphoma </w:t>
      </w:r>
      <w:r w:rsidRPr="002A0CD0">
        <w:t>and non</w:t>
      </w:r>
      <w:r w:rsidR="00F61B45">
        <w:noBreakHyphen/>
      </w:r>
      <w:r w:rsidRPr="002A0CD0">
        <w:t xml:space="preserve">Hodgkin lymphoma subtypes. Typically CD15, CD30 CD20, CD79a and CD3 are sufficient. </w:t>
      </w:r>
      <w:r w:rsidR="00E31845" w:rsidRPr="00E31845">
        <w:t xml:space="preserve">Classical </w:t>
      </w:r>
      <w:r w:rsidR="00792325">
        <w:t>H</w:t>
      </w:r>
      <w:r w:rsidR="00E31845" w:rsidRPr="00E31845">
        <w:t>odgkin lymphoma</w:t>
      </w:r>
      <w:r w:rsidRPr="002A0CD0">
        <w:t xml:space="preserve"> cells are typically CD15 and CD30 positive and CD45 negative.</w:t>
      </w:r>
    </w:p>
    <w:p w14:paraId="5753FC86" w14:textId="1CE2BC2D" w:rsidR="00A463D1" w:rsidRDefault="00D70479" w:rsidP="00CA1850">
      <w:r>
        <w:t xml:space="preserve">The staging of </w:t>
      </w:r>
      <w:r w:rsidR="00FE5DFF">
        <w:t xml:space="preserve">classical </w:t>
      </w:r>
      <w:r w:rsidR="00FE5DFF" w:rsidRPr="00FE5DFF">
        <w:t>Hodgkin lymphoma</w:t>
      </w:r>
      <w:r>
        <w:t xml:space="preserve"> is based on the Lugano classification</w:t>
      </w:r>
      <w:r w:rsidR="00A463D1">
        <w:t xml:space="preserve"> (shown in </w:t>
      </w:r>
      <w:r w:rsidR="00A463D1">
        <w:fldChar w:fldCharType="begin"/>
      </w:r>
      <w:r w:rsidR="00A463D1">
        <w:instrText xml:space="preserve"> REF _Ref136590359 \h </w:instrText>
      </w:r>
      <w:r w:rsidR="00A463D1">
        <w:fldChar w:fldCharType="separate"/>
      </w:r>
      <w:r w:rsidR="00A463D1">
        <w:t>Table </w:t>
      </w:r>
      <w:r w:rsidR="00A463D1">
        <w:rPr>
          <w:noProof/>
        </w:rPr>
        <w:t>1</w:t>
      </w:r>
      <w:r w:rsidR="00A463D1">
        <w:fldChar w:fldCharType="end"/>
      </w:r>
      <w:r w:rsidR="00A463D1">
        <w:t>, below)</w:t>
      </w:r>
      <w:r>
        <w:t xml:space="preserve"> that captures the extent of nodal involvement and other disease features.</w:t>
      </w:r>
      <w:r w:rsidR="00792325">
        <w:rPr>
          <w:rStyle w:val="FootnoteReference"/>
        </w:rPr>
        <w:footnoteReference w:id="4"/>
      </w:r>
      <w:r w:rsidR="00F61B45">
        <w:rPr>
          <w:vertAlign w:val="superscript"/>
        </w:rPr>
        <w:t>,</w:t>
      </w:r>
      <w:r w:rsidR="00F61B45">
        <w:rPr>
          <w:rStyle w:val="FootnoteReference"/>
        </w:rPr>
        <w:footnoteReference w:id="5"/>
      </w:r>
      <w:r w:rsidR="00F61B45">
        <w:rPr>
          <w:vertAlign w:val="superscript"/>
        </w:rPr>
        <w:t>,</w:t>
      </w:r>
      <w:r w:rsidR="00F61B45">
        <w:rPr>
          <w:rStyle w:val="FootnoteReference"/>
        </w:rPr>
        <w:footnoteReference w:id="6"/>
      </w:r>
      <w:r w:rsidR="00CA1850">
        <w:rPr>
          <w:vertAlign w:val="superscript"/>
        </w:rPr>
        <w:t xml:space="preserve"> </w:t>
      </w:r>
      <w:r w:rsidR="00CA1850">
        <w:t xml:space="preserve">In general </w:t>
      </w:r>
      <w:r w:rsidR="00CA1850" w:rsidRPr="00FE5DFF">
        <w:t>classical Hodgkin lymphoma</w:t>
      </w:r>
      <w:r w:rsidR="00CA1850">
        <w:t xml:space="preserve"> is considered early stage (Stages I and II) or late stage (Stages III or IV). Early and late stages can further be considered as either favourable or unfavourable.</w:t>
      </w:r>
    </w:p>
    <w:p w14:paraId="5764CC9C" w14:textId="6CC10F15" w:rsidR="00CA1850" w:rsidRPr="00CA1850" w:rsidRDefault="00CA1850" w:rsidP="00CA1850">
      <w:pPr>
        <w:spacing w:before="0"/>
      </w:pPr>
      <w:r>
        <w:br w:type="page"/>
      </w:r>
    </w:p>
    <w:p w14:paraId="383E8275" w14:textId="03CE1201" w:rsidR="00A463D1" w:rsidRDefault="00A463D1" w:rsidP="00A463D1">
      <w:pPr>
        <w:pStyle w:val="TableTitle"/>
      </w:pPr>
      <w:bookmarkStart w:id="17" w:name="_Ref136590359"/>
      <w:r>
        <w:lastRenderedPageBreak/>
        <w:t xml:space="preserve">Table </w:t>
      </w:r>
      <w:r w:rsidR="00E83B6C">
        <w:fldChar w:fldCharType="begin"/>
      </w:r>
      <w:r w:rsidR="00E83B6C">
        <w:instrText xml:space="preserve"> SEQ Table \* ARABIC </w:instrText>
      </w:r>
      <w:r w:rsidR="00E83B6C">
        <w:fldChar w:fldCharType="separate"/>
      </w:r>
      <w:r>
        <w:rPr>
          <w:noProof/>
        </w:rPr>
        <w:t>1</w:t>
      </w:r>
      <w:r w:rsidR="00E83B6C">
        <w:rPr>
          <w:noProof/>
        </w:rPr>
        <w:fldChar w:fldCharType="end"/>
      </w:r>
      <w:bookmarkEnd w:id="17"/>
      <w:r>
        <w:t xml:space="preserve">: </w:t>
      </w:r>
      <w:r w:rsidRPr="00A463D1">
        <w:t xml:space="preserve">Lugano classification for staging of lymphomas (derived from Ann Arbor staging with </w:t>
      </w:r>
      <w:proofErr w:type="gramStart"/>
      <w:r w:rsidRPr="00A463D1">
        <w:t>Cotswolds</w:t>
      </w:r>
      <w:proofErr w:type="gramEnd"/>
      <w:r w:rsidRPr="00A463D1">
        <w:t xml:space="preserve"> modifications)</w:t>
      </w:r>
    </w:p>
    <w:tbl>
      <w:tblPr>
        <w:tblStyle w:val="TableTGAblue2023"/>
        <w:tblW w:w="0" w:type="auto"/>
        <w:tblLayout w:type="fixed"/>
        <w:tblLook w:val="0480" w:firstRow="0" w:lastRow="0" w:firstColumn="1" w:lastColumn="0" w:noHBand="0" w:noVBand="1"/>
      </w:tblPr>
      <w:tblGrid>
        <w:gridCol w:w="985"/>
        <w:gridCol w:w="8075"/>
      </w:tblGrid>
      <w:tr w:rsidR="00A463D1" w:rsidRPr="00A463D1" w14:paraId="47DED13C" w14:textId="77777777" w:rsidTr="00A463D1">
        <w:tc>
          <w:tcPr>
            <w:cnfStyle w:val="001000000000" w:firstRow="0" w:lastRow="0" w:firstColumn="1" w:lastColumn="0" w:oddVBand="0" w:evenVBand="0" w:oddHBand="0" w:evenHBand="0" w:firstRowFirstColumn="0" w:firstRowLastColumn="0" w:lastRowFirstColumn="0" w:lastRowLastColumn="0"/>
            <w:tcW w:w="985" w:type="dxa"/>
          </w:tcPr>
          <w:p w14:paraId="20EEA523" w14:textId="0E0199E1" w:rsidR="00A463D1" w:rsidRPr="00A463D1" w:rsidRDefault="00A463D1" w:rsidP="00A463D1">
            <w:pPr>
              <w:ind w:left="0"/>
              <w:rPr>
                <w:b/>
                <w:sz w:val="20"/>
              </w:rPr>
            </w:pPr>
            <w:r w:rsidRPr="00A463D1">
              <w:rPr>
                <w:b/>
                <w:sz w:val="20"/>
              </w:rPr>
              <w:t>Stage I</w:t>
            </w:r>
          </w:p>
        </w:tc>
        <w:tc>
          <w:tcPr>
            <w:tcW w:w="8075" w:type="dxa"/>
            <w:hideMark/>
          </w:tcPr>
          <w:p w14:paraId="5CF897A7" w14:textId="287C01D4" w:rsidR="00A463D1" w:rsidRPr="00A463D1" w:rsidRDefault="00A463D1" w:rsidP="00A463D1">
            <w:pPr>
              <w:ind w:left="0"/>
              <w:cnfStyle w:val="000000000000" w:firstRow="0" w:lastRow="0" w:firstColumn="0" w:lastColumn="0" w:oddVBand="0" w:evenVBand="0" w:oddHBand="0" w:evenHBand="0" w:firstRowFirstColumn="0" w:firstRowLastColumn="0" w:lastRowFirstColumn="0" w:lastRowLastColumn="0"/>
              <w:rPr>
                <w:sz w:val="20"/>
              </w:rPr>
            </w:pPr>
            <w:r w:rsidRPr="00A463D1">
              <w:rPr>
                <w:sz w:val="20"/>
              </w:rPr>
              <w:t>Involvement of a single lymph node region (</w:t>
            </w:r>
            <w:r>
              <w:rPr>
                <w:sz w:val="20"/>
              </w:rPr>
              <w:t>for example</w:t>
            </w:r>
            <w:r w:rsidRPr="00A463D1">
              <w:rPr>
                <w:sz w:val="20"/>
              </w:rPr>
              <w:t xml:space="preserve">, cervical, axillary, inguinal, mediastinal) or lymphoid structure such as the spleen, thymus, or </w:t>
            </w:r>
            <w:proofErr w:type="spellStart"/>
            <w:r w:rsidRPr="00A463D1">
              <w:rPr>
                <w:sz w:val="20"/>
              </w:rPr>
              <w:t>Waldeyer's</w:t>
            </w:r>
            <w:proofErr w:type="spellEnd"/>
            <w:r w:rsidRPr="00A463D1">
              <w:rPr>
                <w:sz w:val="20"/>
              </w:rPr>
              <w:t xml:space="preserve"> ring.</w:t>
            </w:r>
          </w:p>
        </w:tc>
      </w:tr>
      <w:tr w:rsidR="00A463D1" w:rsidRPr="00A463D1" w14:paraId="0FE6B43D" w14:textId="77777777" w:rsidTr="00A463D1">
        <w:tc>
          <w:tcPr>
            <w:cnfStyle w:val="001000000000" w:firstRow="0" w:lastRow="0" w:firstColumn="1" w:lastColumn="0" w:oddVBand="0" w:evenVBand="0" w:oddHBand="0" w:evenHBand="0" w:firstRowFirstColumn="0" w:firstRowLastColumn="0" w:lastRowFirstColumn="0" w:lastRowLastColumn="0"/>
            <w:tcW w:w="985" w:type="dxa"/>
          </w:tcPr>
          <w:p w14:paraId="40A7411F" w14:textId="44C23179" w:rsidR="00A463D1" w:rsidRPr="00A463D1" w:rsidRDefault="00A463D1" w:rsidP="00A463D1">
            <w:pPr>
              <w:ind w:left="0"/>
              <w:rPr>
                <w:b/>
                <w:sz w:val="20"/>
              </w:rPr>
            </w:pPr>
            <w:r w:rsidRPr="00A463D1">
              <w:rPr>
                <w:b/>
                <w:sz w:val="20"/>
              </w:rPr>
              <w:t>Stage II</w:t>
            </w:r>
          </w:p>
        </w:tc>
        <w:tc>
          <w:tcPr>
            <w:tcW w:w="8075" w:type="dxa"/>
            <w:hideMark/>
          </w:tcPr>
          <w:p w14:paraId="4A0DD665" w14:textId="1285E927" w:rsidR="00A463D1" w:rsidRPr="00A463D1" w:rsidRDefault="00A463D1" w:rsidP="00A463D1">
            <w:pPr>
              <w:ind w:left="0"/>
              <w:cnfStyle w:val="000000000000" w:firstRow="0" w:lastRow="0" w:firstColumn="0" w:lastColumn="0" w:oddVBand="0" w:evenVBand="0" w:oddHBand="0" w:evenHBand="0" w:firstRowFirstColumn="0" w:firstRowLastColumn="0" w:lastRowFirstColumn="0" w:lastRowLastColumn="0"/>
              <w:rPr>
                <w:sz w:val="20"/>
              </w:rPr>
            </w:pPr>
            <w:r w:rsidRPr="00A463D1">
              <w:rPr>
                <w:sz w:val="20"/>
              </w:rPr>
              <w:t>Involvement of 2 or more lymph node regions or lymph node structures on the same side of the diaphragm. Hilar no</w:t>
            </w:r>
            <w:r>
              <w:rPr>
                <w:sz w:val="20"/>
              </w:rPr>
              <w:t xml:space="preserve">des should </w:t>
            </w:r>
            <w:proofErr w:type="gramStart"/>
            <w:r>
              <w:rPr>
                <w:sz w:val="20"/>
              </w:rPr>
              <w:t>be considered to be</w:t>
            </w:r>
            <w:proofErr w:type="gramEnd"/>
            <w:r>
              <w:rPr>
                <w:sz w:val="20"/>
              </w:rPr>
              <w:t xml:space="preserve"> ‘lateralised’</w:t>
            </w:r>
            <w:r w:rsidRPr="00A463D1">
              <w:rPr>
                <w:sz w:val="20"/>
              </w:rPr>
              <w:t xml:space="preserve"> and when involved on both sides, constitute stage II disease. </w:t>
            </w:r>
            <w:proofErr w:type="gramStart"/>
            <w:r w:rsidRPr="00A463D1">
              <w:rPr>
                <w:sz w:val="20"/>
              </w:rPr>
              <w:t>For the purpose of</w:t>
            </w:r>
            <w:proofErr w:type="gramEnd"/>
            <w:r w:rsidRPr="00A463D1">
              <w:rPr>
                <w:sz w:val="20"/>
              </w:rPr>
              <w:t xml:space="preserve"> defining the number of anatomic regions, all nodal disease within the mediastinum is considered to be a single lymph node region, and hilar involvement constitutes an additional site of involvement. The number of anatomic regions should be indicated by a subscript (</w:t>
            </w:r>
            <w:r>
              <w:rPr>
                <w:sz w:val="20"/>
              </w:rPr>
              <w:t>for example</w:t>
            </w:r>
            <w:r w:rsidRPr="00A463D1">
              <w:rPr>
                <w:sz w:val="20"/>
              </w:rPr>
              <w:t>, II-3).</w:t>
            </w:r>
          </w:p>
        </w:tc>
      </w:tr>
      <w:tr w:rsidR="00A463D1" w:rsidRPr="00A463D1" w14:paraId="4E10AAD7" w14:textId="77777777" w:rsidTr="00A463D1">
        <w:tc>
          <w:tcPr>
            <w:cnfStyle w:val="001000000000" w:firstRow="0" w:lastRow="0" w:firstColumn="1" w:lastColumn="0" w:oddVBand="0" w:evenVBand="0" w:oddHBand="0" w:evenHBand="0" w:firstRowFirstColumn="0" w:firstRowLastColumn="0" w:lastRowFirstColumn="0" w:lastRowLastColumn="0"/>
            <w:tcW w:w="985" w:type="dxa"/>
          </w:tcPr>
          <w:p w14:paraId="43DD426A" w14:textId="01434222" w:rsidR="00A463D1" w:rsidRPr="00CA1850" w:rsidRDefault="00A463D1" w:rsidP="00A463D1">
            <w:pPr>
              <w:ind w:left="0"/>
              <w:rPr>
                <w:b/>
                <w:sz w:val="20"/>
              </w:rPr>
            </w:pPr>
            <w:r w:rsidRPr="00CA1850">
              <w:rPr>
                <w:b/>
                <w:sz w:val="20"/>
              </w:rPr>
              <w:t>Stage III</w:t>
            </w:r>
          </w:p>
        </w:tc>
        <w:tc>
          <w:tcPr>
            <w:tcW w:w="8075" w:type="dxa"/>
            <w:hideMark/>
          </w:tcPr>
          <w:p w14:paraId="209D4FF2" w14:textId="60AD15A9" w:rsidR="00A463D1" w:rsidRPr="00A463D1" w:rsidRDefault="00A463D1" w:rsidP="00A463D1">
            <w:pPr>
              <w:ind w:left="0"/>
              <w:cnfStyle w:val="000000000000" w:firstRow="0" w:lastRow="0" w:firstColumn="0" w:lastColumn="0" w:oddVBand="0" w:evenVBand="0" w:oddHBand="0" w:evenHBand="0" w:firstRowFirstColumn="0" w:firstRowLastColumn="0" w:lastRowFirstColumn="0" w:lastRowLastColumn="0"/>
              <w:rPr>
                <w:sz w:val="20"/>
              </w:rPr>
            </w:pPr>
            <w:r w:rsidRPr="00A463D1">
              <w:rPr>
                <w:sz w:val="20"/>
              </w:rPr>
              <w:t>Involvement of lymph node regions or lymphoid structures on both sides of the diaphragm. This may be subdivided stage III-1 or III-2: stage III-1 is used for patients with involvement of the spleen or splenic hilar, celiac, or portal nodes; and stage III-2 is used for patients with involvement of the para</w:t>
            </w:r>
            <w:r>
              <w:rPr>
                <w:sz w:val="20"/>
              </w:rPr>
              <w:t>-</w:t>
            </w:r>
            <w:r w:rsidRPr="00A463D1">
              <w:rPr>
                <w:sz w:val="20"/>
              </w:rPr>
              <w:t>aortic, iliac, inguinal, or mesenteric nodes.</w:t>
            </w:r>
          </w:p>
        </w:tc>
      </w:tr>
      <w:tr w:rsidR="00A463D1" w:rsidRPr="00A463D1" w14:paraId="18F8A4BC" w14:textId="77777777" w:rsidTr="00A463D1">
        <w:tc>
          <w:tcPr>
            <w:cnfStyle w:val="001000000000" w:firstRow="0" w:lastRow="0" w:firstColumn="1" w:lastColumn="0" w:oddVBand="0" w:evenVBand="0" w:oddHBand="0" w:evenHBand="0" w:firstRowFirstColumn="0" w:firstRowLastColumn="0" w:lastRowFirstColumn="0" w:lastRowLastColumn="0"/>
            <w:tcW w:w="985" w:type="dxa"/>
          </w:tcPr>
          <w:p w14:paraId="18CE470B" w14:textId="4577A00F" w:rsidR="00A463D1" w:rsidRPr="00CA1850" w:rsidRDefault="00A463D1" w:rsidP="00A463D1">
            <w:pPr>
              <w:ind w:left="0"/>
              <w:rPr>
                <w:b/>
                <w:sz w:val="20"/>
              </w:rPr>
            </w:pPr>
            <w:r w:rsidRPr="00CA1850">
              <w:rPr>
                <w:b/>
                <w:sz w:val="20"/>
              </w:rPr>
              <w:t>Stage IV</w:t>
            </w:r>
          </w:p>
        </w:tc>
        <w:tc>
          <w:tcPr>
            <w:tcW w:w="8075" w:type="dxa"/>
            <w:hideMark/>
          </w:tcPr>
          <w:p w14:paraId="7076CF39" w14:textId="1C2FCEDF" w:rsidR="00A463D1" w:rsidRPr="00A463D1" w:rsidRDefault="00A463D1" w:rsidP="00A463D1">
            <w:pPr>
              <w:ind w:left="0"/>
              <w:cnfStyle w:val="000000000000" w:firstRow="0" w:lastRow="0" w:firstColumn="0" w:lastColumn="0" w:oddVBand="0" w:evenVBand="0" w:oddHBand="0" w:evenHBand="0" w:firstRowFirstColumn="0" w:firstRowLastColumn="0" w:lastRowFirstColumn="0" w:lastRowLastColumn="0"/>
              <w:rPr>
                <w:sz w:val="20"/>
              </w:rPr>
            </w:pPr>
            <w:r w:rsidRPr="00A463D1">
              <w:rPr>
                <w:sz w:val="20"/>
              </w:rPr>
              <w:t>Diffuse or disseminated involvement of 1 or more extra</w:t>
            </w:r>
            <w:r>
              <w:rPr>
                <w:sz w:val="20"/>
              </w:rPr>
              <w:t>-</w:t>
            </w:r>
            <w:r w:rsidRPr="00A463D1">
              <w:rPr>
                <w:sz w:val="20"/>
              </w:rPr>
              <w:t>nodal organs or</w:t>
            </w:r>
            <w:r>
              <w:rPr>
                <w:sz w:val="20"/>
              </w:rPr>
              <w:t xml:space="preserve"> tissue beyond that designated ‘E’,</w:t>
            </w:r>
            <w:r w:rsidRPr="00A463D1">
              <w:rPr>
                <w:sz w:val="20"/>
              </w:rPr>
              <w:t xml:space="preserve"> with or without associated lymph node involvement.</w:t>
            </w:r>
          </w:p>
        </w:tc>
      </w:tr>
    </w:tbl>
    <w:p w14:paraId="2564FE46" w14:textId="77777777" w:rsidR="00CA1850" w:rsidRDefault="00CA1850" w:rsidP="00CA1850">
      <w:pPr>
        <w:pStyle w:val="TableDescription"/>
      </w:pPr>
      <w:r>
        <w:t>All cases are subclassified to indicate the absence (A) or presence (B) of the systemic symptoms of significant unexplained fever, night sweats, or unexplained weight loss exceeding 10% of body weight during the 6 months prior to diagnosis.</w:t>
      </w:r>
    </w:p>
    <w:p w14:paraId="2E7B8525" w14:textId="42F63271" w:rsidR="00CA1850" w:rsidRDefault="00CA1850" w:rsidP="00CA1850">
      <w:pPr>
        <w:pStyle w:val="TableDescription"/>
      </w:pPr>
      <w:r>
        <w:t xml:space="preserve">The designation ‘E’ refers to </w:t>
      </w:r>
      <w:proofErr w:type="spellStart"/>
      <w:r>
        <w:t>extranodal</w:t>
      </w:r>
      <w:proofErr w:type="spellEnd"/>
      <w:r>
        <w:t xml:space="preserve"> contiguous extension (</w:t>
      </w:r>
      <w:proofErr w:type="spellStart"/>
      <w:r>
        <w:t>ie</w:t>
      </w:r>
      <w:proofErr w:type="spellEnd"/>
      <w:r>
        <w:t xml:space="preserve">, proximal or contiguous </w:t>
      </w:r>
      <w:proofErr w:type="spellStart"/>
      <w:r>
        <w:t>extranodal</w:t>
      </w:r>
      <w:proofErr w:type="spellEnd"/>
      <w:r>
        <w:t xml:space="preserve"> disease) that can be encompassed within an irradiation field appropriate for nodal disease of the same anatomic extent. More extensive </w:t>
      </w:r>
      <w:proofErr w:type="spellStart"/>
      <w:r>
        <w:t>extranodal</w:t>
      </w:r>
      <w:proofErr w:type="spellEnd"/>
      <w:r>
        <w:t xml:space="preserve"> disease is designated stage IV.</w:t>
      </w:r>
    </w:p>
    <w:p w14:paraId="53AF9B61" w14:textId="27555211" w:rsidR="00CA1850" w:rsidRDefault="00CA1850" w:rsidP="00CA1850">
      <w:pPr>
        <w:pStyle w:val="TableDescription"/>
      </w:pPr>
      <w:r>
        <w:t>Bulky disease: A single nodal mass, in contrast to multiple smaller nodes, of 10 cm or ≥ ⅓ of the transthoracic diameter at any level of thoracic vertebrae as determined by CT; record the longest measurement by CT scan. The term ‘X’ (used in the Ann Arbor staging system) is no longer necessary.</w:t>
      </w:r>
    </w:p>
    <w:p w14:paraId="5508F5D4" w14:textId="165AD731" w:rsidR="00A463D1" w:rsidRDefault="00CA1850" w:rsidP="00CA1850">
      <w:pPr>
        <w:pStyle w:val="TableDescription"/>
      </w:pPr>
      <w:r>
        <w:t>The subscript ‘RS’ is used to designate the stage at the time of relapse.</w:t>
      </w:r>
    </w:p>
    <w:p w14:paraId="40F67E2B" w14:textId="72AC9B52" w:rsidR="00D70479" w:rsidRDefault="00D70479" w:rsidP="00D70479">
      <w:r>
        <w:t xml:space="preserve">For advanced disease the International Prognostic </w:t>
      </w:r>
      <w:r w:rsidR="00A463D1">
        <w:t xml:space="preserve">Index score </w:t>
      </w:r>
      <w:r>
        <w:t>is used as an evaluation tool, and includes patient age, gender, disease stage, and measurements of serum albumin, haemoglobin, white blood cell count, and absolute lymphocyte count.</w:t>
      </w:r>
      <w:r w:rsidR="00A463D1">
        <w:rPr>
          <w:rStyle w:val="FootnoteReference"/>
        </w:rPr>
        <w:footnoteReference w:id="7"/>
      </w:r>
      <w:r>
        <w:t xml:space="preserve"> Other prognostic factors include tumour grade, inflammatory infiltrate (high grade associated with a higher relapse rate) and the presence of </w:t>
      </w:r>
      <w:r w:rsidR="00E31845" w:rsidRPr="00E31845">
        <w:t xml:space="preserve">Epstein-Barr virus </w:t>
      </w:r>
      <w:r>
        <w:t>(considered unfavourable).</w:t>
      </w:r>
    </w:p>
    <w:p w14:paraId="47A31A97" w14:textId="6CA2606E" w:rsidR="00B004E2" w:rsidRDefault="00D70479" w:rsidP="00D70479">
      <w:r>
        <w:t xml:space="preserve">The Deauville </w:t>
      </w:r>
      <w:r w:rsidR="00CA1850">
        <w:t>F</w:t>
      </w:r>
      <w:r>
        <w:t xml:space="preserve">ive </w:t>
      </w:r>
      <w:r w:rsidR="00CA1850">
        <w:t>P</w:t>
      </w:r>
      <w:r>
        <w:t xml:space="preserve">oint </w:t>
      </w:r>
      <w:r w:rsidR="00CA1850">
        <w:t>S</w:t>
      </w:r>
      <w:r>
        <w:t>cale</w:t>
      </w:r>
      <w:r w:rsidR="00CA1850">
        <w:t xml:space="preserve"> (Deauville 5PS)</w:t>
      </w:r>
      <w:r w:rsidR="00F41825">
        <w:t>;</w:t>
      </w:r>
      <w:r w:rsidR="00F41825">
        <w:rPr>
          <w:rStyle w:val="FootnoteReference"/>
        </w:rPr>
        <w:footnoteReference w:id="8"/>
      </w:r>
      <w:r>
        <w:t xml:space="preserve"> is a diagnostic score of the fluorodeoxyglucose avidity of </w:t>
      </w:r>
      <w:r w:rsidR="00CA1850">
        <w:t xml:space="preserve">a </w:t>
      </w:r>
      <w:r>
        <w:t xml:space="preserve">Hodgkin </w:t>
      </w:r>
      <w:r w:rsidR="00CA1850">
        <w:t>lymphoma</w:t>
      </w:r>
      <w:r>
        <w:t xml:space="preserve"> tumour mass on</w:t>
      </w:r>
      <w:r w:rsidR="00792325">
        <w:t xml:space="preserve"> </w:t>
      </w:r>
      <w:r w:rsidR="00792325" w:rsidRPr="00792325">
        <w:t>fluorodeoxyglucose</w:t>
      </w:r>
      <w:r>
        <w:t xml:space="preserve"> </w:t>
      </w:r>
      <w:r w:rsidR="00E31845">
        <w:t>positron emission tomography and computed tomography</w:t>
      </w:r>
      <w:r>
        <w:t xml:space="preserve"> </w:t>
      </w:r>
      <w:r w:rsidR="00E31845">
        <w:t xml:space="preserve">scan </w:t>
      </w:r>
      <w:r>
        <w:t xml:space="preserve">used in the initial staging and assessment of treatment response in </w:t>
      </w:r>
      <w:r w:rsidR="009A599D" w:rsidRPr="009A599D">
        <w:t>Hodgkin lymphoma</w:t>
      </w:r>
      <w:r>
        <w:t xml:space="preserve"> and certain types of</w:t>
      </w:r>
      <w:r w:rsidR="00E31845" w:rsidRPr="00E31845">
        <w:t xml:space="preserve"> non-Hodgkin lymphoma </w:t>
      </w:r>
      <w:r>
        <w:t xml:space="preserve">based on the visual interpretation of the update of </w:t>
      </w:r>
      <w:r w:rsidR="00792325" w:rsidRPr="00792325">
        <w:t xml:space="preserve">fluorodeoxyglucose </w:t>
      </w:r>
      <w:r>
        <w:t xml:space="preserve">for each </w:t>
      </w:r>
      <w:r w:rsidR="00FE5DFF">
        <w:t>lesion and</w:t>
      </w:r>
      <w:r>
        <w:t xml:space="preserve"> can be used for follow-up.</w:t>
      </w:r>
    </w:p>
    <w:p w14:paraId="7E5C4738" w14:textId="3645E3CD" w:rsidR="00D70479" w:rsidRDefault="00D70479" w:rsidP="00D70479">
      <w:r>
        <w:t>Primary refractory disease refers to patients who do not attain complete remission after initial therapy.</w:t>
      </w:r>
      <w:r w:rsidR="00DC1FDA">
        <w:rPr>
          <w:rStyle w:val="FootnoteReference"/>
        </w:rPr>
        <w:footnoteReference w:id="9"/>
      </w:r>
      <w:r>
        <w:t xml:space="preserve"> The incidence varies with the stage of disease at diagnosis and the treatment regimen used. Durable responses and remission may be achieved an about half of these patients with second-line chemotherapy that incorporates drugs not used in the initial treatment, followed by </w:t>
      </w:r>
      <w:r>
        <w:lastRenderedPageBreak/>
        <w:t xml:space="preserve">high dose chemotherapy and autologous haematopoietic cell rescue. Patients with a second relapse or progressive, resistant disease are candidates for high dose chemotherapy and autologous </w:t>
      </w:r>
      <w:r w:rsidR="009A599D">
        <w:t>haematopoietic cell transplantation</w:t>
      </w:r>
      <w:r>
        <w:t>.</w:t>
      </w:r>
    </w:p>
    <w:p w14:paraId="457D4E65" w14:textId="77777777" w:rsidR="00D70479" w:rsidRDefault="00D70479" w:rsidP="00D70479">
      <w:pPr>
        <w:pStyle w:val="Heading4"/>
      </w:pPr>
      <w:bookmarkStart w:id="18" w:name="_Toc133584009"/>
      <w:r>
        <w:t>Current treatment options</w:t>
      </w:r>
      <w:bookmarkEnd w:id="18"/>
    </w:p>
    <w:p w14:paraId="73355932" w14:textId="5EC104AC" w:rsidR="00D70479" w:rsidRDefault="00D70479" w:rsidP="00D70479">
      <w:r>
        <w:t xml:space="preserve">Patients with </w:t>
      </w:r>
      <w:r w:rsidR="00FE5DFF" w:rsidRPr="00FE5DFF">
        <w:t xml:space="preserve">classical Hodgkin lymphoma </w:t>
      </w:r>
      <w:r>
        <w:t xml:space="preserve">who relapse after prior treatment with chemotherapy are generally treated with either conventional chemotherapy combined with radiation therapy or high dose chemotherapy and autologous </w:t>
      </w:r>
      <w:r w:rsidR="009A599D" w:rsidRPr="009A599D">
        <w:t>haematopoietic cell transplantation</w:t>
      </w:r>
      <w:r>
        <w:t xml:space="preserve"> with or without radiation therapy, depending on prognostic factors. For</w:t>
      </w:r>
      <w:r w:rsidR="00FE5DFF" w:rsidRPr="00FE5DFF">
        <w:t xml:space="preserve"> classical Hodgkin lymphoma</w:t>
      </w:r>
      <w:r w:rsidR="00792325">
        <w:t>,</w:t>
      </w:r>
      <w:r w:rsidR="00FE5DFF" w:rsidRPr="00FE5DFF">
        <w:t xml:space="preserve"> </w:t>
      </w:r>
      <w:r>
        <w:t xml:space="preserve">relapses typically occur within the first three years following initial treatment. Post </w:t>
      </w:r>
      <w:r w:rsidR="009A599D" w:rsidRPr="009A599D">
        <w:t xml:space="preserve">haematopoietic </w:t>
      </w:r>
      <w:r w:rsidR="009A599D">
        <w:t xml:space="preserve">stem </w:t>
      </w:r>
      <w:r w:rsidR="009A599D" w:rsidRPr="009A599D">
        <w:t xml:space="preserve">cell transplantation </w:t>
      </w:r>
      <w:r>
        <w:t xml:space="preserve">high risk patients with </w:t>
      </w:r>
      <w:r w:rsidR="009A599D">
        <w:t>r</w:t>
      </w:r>
      <w:r w:rsidR="009A599D" w:rsidRPr="009A599D">
        <w:t>elapsed</w:t>
      </w:r>
      <w:r w:rsidR="0097444F">
        <w:t xml:space="preserve"> or </w:t>
      </w:r>
      <w:r w:rsidR="009A599D" w:rsidRPr="009A599D">
        <w:t>refractory classical Hodgkin lymphoma</w:t>
      </w:r>
      <w:r w:rsidR="009A599D">
        <w:t xml:space="preserve"> </w:t>
      </w:r>
      <w:r>
        <w:t>may receive brentuximab vedotin maintenance.</w:t>
      </w:r>
      <w:r w:rsidR="00C731CC">
        <w:rPr>
          <w:rStyle w:val="FootnoteReference"/>
        </w:rPr>
        <w:footnoteReference w:id="10"/>
      </w:r>
    </w:p>
    <w:p w14:paraId="60ABD191" w14:textId="2002B928" w:rsidR="00D70479" w:rsidRDefault="00D70479" w:rsidP="00D70479">
      <w:r>
        <w:t xml:space="preserve">In response to questions the sponsor provided the following account of current therapies for </w:t>
      </w:r>
      <w:r w:rsidR="009A599D" w:rsidRPr="009A599D">
        <w:t>relapsed</w:t>
      </w:r>
      <w:r w:rsidR="0097444F">
        <w:t xml:space="preserve"> or </w:t>
      </w:r>
      <w:r w:rsidR="009A599D" w:rsidRPr="009A599D">
        <w:t>refractory classical Hodgkin lymphoma</w:t>
      </w:r>
      <w:r>
        <w:t>:</w:t>
      </w:r>
    </w:p>
    <w:p w14:paraId="3A939200" w14:textId="37A0C429" w:rsidR="00D70479" w:rsidRDefault="009A599D" w:rsidP="009A599D">
      <w:pPr>
        <w:ind w:left="720"/>
      </w:pPr>
      <w:r>
        <w:t>‘</w:t>
      </w:r>
      <w:r w:rsidR="00D70479">
        <w:t>While salvage chemotherapy followed by auto</w:t>
      </w:r>
      <w:r w:rsidR="00792325">
        <w:t>logous stem cell transplant</w:t>
      </w:r>
      <w:r w:rsidR="00D70479">
        <w:t xml:space="preserve"> remains the standard in most patients with </w:t>
      </w:r>
      <w:r w:rsidRPr="009A599D">
        <w:t>relapsed</w:t>
      </w:r>
      <w:r w:rsidR="0097444F">
        <w:t xml:space="preserve"> or </w:t>
      </w:r>
      <w:r w:rsidRPr="009A599D">
        <w:t>refractory classical Hodgkin lymphoma</w:t>
      </w:r>
      <w:r w:rsidR="00D70479">
        <w:t xml:space="preserve">, the concept of chemo-free approach incorporating </w:t>
      </w:r>
      <w:r w:rsidRPr="009A599D">
        <w:t>brentuximab vedotin</w:t>
      </w:r>
      <w:r w:rsidR="00D70479">
        <w:t xml:space="preserve"> and checkpoint inhibitors has been adopted in patients unable to tolerate conventional chemotherapy. This includes patients who are determined to not be candidates for intensive chemotherapy either due to their advanced age, presence of comorbidities, or poor performance status. Monotherapy with </w:t>
      </w:r>
      <w:r w:rsidRPr="009A599D">
        <w:t>brentuximab vedotin</w:t>
      </w:r>
      <w:r w:rsidR="00D70479">
        <w:t xml:space="preserve"> or pembrolizumab provides a viable option to achieve a response in these patients.</w:t>
      </w:r>
    </w:p>
    <w:p w14:paraId="4A54DA2C" w14:textId="2D9219B5" w:rsidR="00D70479" w:rsidRDefault="00D70479" w:rsidP="009A599D">
      <w:pPr>
        <w:ind w:left="720"/>
      </w:pPr>
      <w:r>
        <w:t>The second group consists of patients nonresponsive to prior salvage regimen/s and are therefore considered chemo</w:t>
      </w:r>
      <w:r w:rsidR="009A599D">
        <w:t>-</w:t>
      </w:r>
      <w:r>
        <w:t>refractory. The outcome remains dismal in these patients and any further chemotherapy adds to the toxicity. These patients are best suited for a chemo-free approach incorporating novel agents.</w:t>
      </w:r>
    </w:p>
    <w:p w14:paraId="4ACFB5AE" w14:textId="6BD18A79" w:rsidR="00B004E2" w:rsidRDefault="00D70479" w:rsidP="009A599D">
      <w:pPr>
        <w:ind w:left="720"/>
      </w:pPr>
      <w:r>
        <w:t>Finally, there also exists a considerable proportion of patients who have primary refractory disease and are not deemed suitable for aut</w:t>
      </w:r>
      <w:r w:rsidR="00792325">
        <w:t>ologous stem cell transplant</w:t>
      </w:r>
      <w:r>
        <w:t xml:space="preserve"> with the currently approved conventional salvage regimes. The results of conventional therapies have shown poor outcomes in primary refractory patients, and there is no standard of care.</w:t>
      </w:r>
      <w:r w:rsidR="009A599D">
        <w:t>’</w:t>
      </w:r>
    </w:p>
    <w:p w14:paraId="0A620695" w14:textId="2C5A4B28" w:rsidR="00D70479" w:rsidRDefault="00D70479" w:rsidP="00D70479">
      <w:r>
        <w:t>Nivolumab</w:t>
      </w:r>
      <w:r w:rsidR="00C731CC">
        <w:t>;</w:t>
      </w:r>
      <w:r w:rsidR="00C731CC">
        <w:rPr>
          <w:rStyle w:val="FootnoteReference"/>
        </w:rPr>
        <w:footnoteReference w:id="11"/>
      </w:r>
      <w:r>
        <w:t xml:space="preserve"> as monotherapy, is indicated for the treatment of patients with relapsed</w:t>
      </w:r>
      <w:r w:rsidR="0097444F">
        <w:t xml:space="preserve"> or </w:t>
      </w:r>
      <w:r>
        <w:t xml:space="preserve">refractory classical Hodgkin lymphoma after </w:t>
      </w:r>
      <w:r w:rsidR="00FE5DFF">
        <w:t>autologous</w:t>
      </w:r>
      <w:r>
        <w:t xml:space="preserve"> stem cell transplant and treatment with brentuximab vedotin. This indication was granted prior to the provisional registration coming into effect in Australia and is based primarily on </w:t>
      </w:r>
      <w:r w:rsidR="00913CDD">
        <w:t>o</w:t>
      </w:r>
      <w:r w:rsidR="00913CDD" w:rsidRPr="00913CDD">
        <w:t>bjective response rate</w:t>
      </w:r>
      <w:r>
        <w:t xml:space="preserve"> (60% and 68%) from two single-arm studies.</w:t>
      </w:r>
    </w:p>
    <w:p w14:paraId="41694FF4" w14:textId="6EE09232" w:rsidR="00295490" w:rsidRDefault="00295490" w:rsidP="00794437">
      <w:pPr>
        <w:pStyle w:val="Heading4"/>
      </w:pPr>
      <w:r>
        <w:t>Project Orbis</w:t>
      </w:r>
    </w:p>
    <w:p w14:paraId="5F9FC507" w14:textId="1169445C" w:rsidR="00324B33" w:rsidRPr="00BD5DBD" w:rsidRDefault="00324B33" w:rsidP="00324B33">
      <w:pPr>
        <w:rPr>
          <w:szCs w:val="22"/>
        </w:rPr>
      </w:pPr>
      <w:r w:rsidRPr="00BD5DBD">
        <w:rPr>
          <w:szCs w:val="22"/>
        </w:rPr>
        <w:t xml:space="preserve">This evaluation was facilitated through </w:t>
      </w:r>
      <w:hyperlink r:id="rId16" w:history="1">
        <w:r w:rsidRPr="00BD5DBD">
          <w:rPr>
            <w:rStyle w:val="Hyperlink"/>
            <w:szCs w:val="22"/>
          </w:rPr>
          <w:t>Project Orbis</w:t>
        </w:r>
      </w:hyperlink>
      <w:r w:rsidRPr="00BD5DBD">
        <w:rPr>
          <w:szCs w:val="22"/>
        </w:rPr>
        <w:t xml:space="preserve">, an initiative of the United States Food and Drug Administration </w:t>
      </w:r>
      <w:r w:rsidR="008C754C" w:rsidRPr="00BD5DBD">
        <w:rPr>
          <w:szCs w:val="22"/>
        </w:rPr>
        <w:t xml:space="preserve">(FDA) </w:t>
      </w:r>
      <w:r w:rsidRPr="00BD5DBD">
        <w:rPr>
          <w:szCs w:val="22"/>
        </w:rPr>
        <w:t xml:space="preserve">Oncology </w:t>
      </w:r>
      <w:proofErr w:type="spellStart"/>
      <w:r w:rsidRPr="00BD5DBD">
        <w:rPr>
          <w:szCs w:val="22"/>
        </w:rPr>
        <w:t>Center</w:t>
      </w:r>
      <w:proofErr w:type="spellEnd"/>
      <w:r w:rsidRPr="00BD5DBD">
        <w:rPr>
          <w:szCs w:val="22"/>
        </w:rPr>
        <w:t xml:space="preserve"> of Excellence. Under this project, the </w:t>
      </w:r>
      <w:r w:rsidRPr="009A486C">
        <w:rPr>
          <w:szCs w:val="22"/>
        </w:rPr>
        <w:t xml:space="preserve">FDA, Health Canada, </w:t>
      </w:r>
      <w:proofErr w:type="spellStart"/>
      <w:r w:rsidRPr="009A486C">
        <w:rPr>
          <w:szCs w:val="22"/>
        </w:rPr>
        <w:t>Swissmedic</w:t>
      </w:r>
      <w:proofErr w:type="spellEnd"/>
      <w:r w:rsidRPr="009A486C">
        <w:rPr>
          <w:szCs w:val="22"/>
        </w:rPr>
        <w:t xml:space="preserve"> (Switzerland), </w:t>
      </w:r>
      <w:r w:rsidRPr="00BD5DBD">
        <w:rPr>
          <w:szCs w:val="22"/>
        </w:rPr>
        <w:t xml:space="preserve">and the TGA collaboratively reviewed the submission. This </w:t>
      </w:r>
      <w:r w:rsidRPr="00BD5DBD">
        <w:rPr>
          <w:szCs w:val="22"/>
        </w:rPr>
        <w:lastRenderedPageBreak/>
        <w:t>evaluation process provided a framework for process alignment and management of evaluation issues in real-time across jurisdictions. Each regulator made independent decisions regarding approval (market authorisation) of the new medicine.</w:t>
      </w:r>
    </w:p>
    <w:p w14:paraId="0D615854" w14:textId="77777777" w:rsidR="00324B33" w:rsidRPr="003F31A2" w:rsidRDefault="00324B33" w:rsidP="00324B33">
      <w:pPr>
        <w:pStyle w:val="Heading3"/>
      </w:pPr>
      <w:bookmarkStart w:id="19" w:name="_Toc103679291"/>
      <w:bookmarkStart w:id="20" w:name="_Toc133584010"/>
      <w:r>
        <w:t>Regulatory status</w:t>
      </w:r>
      <w:bookmarkEnd w:id="15"/>
      <w:bookmarkEnd w:id="16"/>
      <w:bookmarkEnd w:id="19"/>
      <w:bookmarkEnd w:id="20"/>
    </w:p>
    <w:p w14:paraId="53C00F10" w14:textId="692A06E1" w:rsidR="00324B33" w:rsidRDefault="0097444F" w:rsidP="00324B33">
      <w:pPr>
        <w:rPr>
          <w:szCs w:val="22"/>
        </w:rPr>
      </w:pPr>
      <w:r>
        <w:rPr>
          <w:szCs w:val="22"/>
        </w:rPr>
        <w:t>Keytruda</w:t>
      </w:r>
      <w:r w:rsidR="009A486C">
        <w:rPr>
          <w:szCs w:val="22"/>
        </w:rPr>
        <w:t xml:space="preserve"> </w:t>
      </w:r>
      <w:r w:rsidR="00B02783">
        <w:rPr>
          <w:szCs w:val="22"/>
        </w:rPr>
        <w:t xml:space="preserve">(pembrolizumab) </w:t>
      </w:r>
      <w:r w:rsidR="00324B33" w:rsidRPr="00BD5DBD">
        <w:rPr>
          <w:szCs w:val="22"/>
        </w:rPr>
        <w:t xml:space="preserve">received initial registration on the </w:t>
      </w:r>
      <w:hyperlink r:id="rId17" w:history="1">
        <w:r w:rsidR="00324B33" w:rsidRPr="00BD5DBD">
          <w:rPr>
            <w:rStyle w:val="Hyperlink"/>
            <w:szCs w:val="22"/>
          </w:rPr>
          <w:t>Australian Register of Therapeutic Goods</w:t>
        </w:r>
      </w:hyperlink>
      <w:r w:rsidR="00324B33" w:rsidRPr="00BD5DBD">
        <w:rPr>
          <w:szCs w:val="22"/>
        </w:rPr>
        <w:t xml:space="preserve"> (</w:t>
      </w:r>
      <w:hyperlink r:id="rId18" w:history="1">
        <w:r w:rsidR="00324B33" w:rsidRPr="00BD5DBD">
          <w:rPr>
            <w:rStyle w:val="Hyperlink"/>
            <w:szCs w:val="22"/>
          </w:rPr>
          <w:t>ARTG</w:t>
        </w:r>
      </w:hyperlink>
      <w:r w:rsidR="00324B33" w:rsidRPr="00BD5DBD">
        <w:rPr>
          <w:szCs w:val="22"/>
        </w:rPr>
        <w:t>) on</w:t>
      </w:r>
      <w:r w:rsidR="009A486C">
        <w:rPr>
          <w:szCs w:val="22"/>
        </w:rPr>
        <w:t xml:space="preserve"> </w:t>
      </w:r>
      <w:r>
        <w:rPr>
          <w:szCs w:val="22"/>
        </w:rPr>
        <w:t>1 May 2015</w:t>
      </w:r>
      <w:r w:rsidR="00B02783">
        <w:rPr>
          <w:szCs w:val="22"/>
        </w:rPr>
        <w:t xml:space="preserve"> for the treatment of unresectable or metastatic melanoma</w:t>
      </w:r>
      <w:r w:rsidR="009A486C">
        <w:rPr>
          <w:szCs w:val="22"/>
        </w:rPr>
        <w:t>.</w:t>
      </w:r>
      <w:bookmarkStart w:id="21" w:name="_Ref136594130"/>
      <w:r w:rsidR="00B02783">
        <w:rPr>
          <w:rStyle w:val="FootnoteReference"/>
          <w:szCs w:val="22"/>
        </w:rPr>
        <w:footnoteReference w:id="12"/>
      </w:r>
      <w:bookmarkEnd w:id="21"/>
      <w:r w:rsidR="009A486C">
        <w:rPr>
          <w:szCs w:val="22"/>
        </w:rPr>
        <w:t xml:space="preserve"> </w:t>
      </w:r>
      <w:r w:rsidR="00B02783">
        <w:rPr>
          <w:szCs w:val="22"/>
        </w:rPr>
        <w:t xml:space="preserve">Since that time, Keytruda has been approved for a wide range of different malignancies. </w:t>
      </w:r>
      <w:r w:rsidR="00750D70" w:rsidRPr="00BD5DBD">
        <w:rPr>
          <w:szCs w:val="22"/>
        </w:rPr>
        <w:t xml:space="preserve">At the time that this </w:t>
      </w:r>
      <w:r w:rsidR="00913CDD">
        <w:rPr>
          <w:szCs w:val="22"/>
        </w:rPr>
        <w:t xml:space="preserve">extension of indication </w:t>
      </w:r>
      <w:r w:rsidR="00750D70" w:rsidRPr="00BD5DBD">
        <w:rPr>
          <w:szCs w:val="22"/>
        </w:rPr>
        <w:t xml:space="preserve">submission was considered </w:t>
      </w:r>
      <w:r w:rsidR="00792325">
        <w:rPr>
          <w:szCs w:val="22"/>
        </w:rPr>
        <w:t xml:space="preserve">Keytruda was </w:t>
      </w:r>
      <w:r w:rsidR="00750D70" w:rsidRPr="00BD5DBD">
        <w:rPr>
          <w:szCs w:val="22"/>
        </w:rPr>
        <w:t xml:space="preserve">approved for the </w:t>
      </w:r>
      <w:r w:rsidR="00792325">
        <w:rPr>
          <w:szCs w:val="22"/>
        </w:rPr>
        <w:t>indications in</w:t>
      </w:r>
      <w:r w:rsidR="003361D8">
        <w:rPr>
          <w:szCs w:val="22"/>
        </w:rPr>
        <w:t xml:space="preserve"> </w:t>
      </w:r>
      <w:r w:rsidR="003361D8">
        <w:rPr>
          <w:szCs w:val="22"/>
        </w:rPr>
        <w:fldChar w:fldCharType="begin"/>
      </w:r>
      <w:r w:rsidR="003361D8">
        <w:rPr>
          <w:szCs w:val="22"/>
        </w:rPr>
        <w:instrText xml:space="preserve"> REF _Ref133827073 \h </w:instrText>
      </w:r>
      <w:r w:rsidR="003361D8">
        <w:rPr>
          <w:szCs w:val="22"/>
        </w:rPr>
      </w:r>
      <w:r w:rsidR="003361D8">
        <w:rPr>
          <w:szCs w:val="22"/>
        </w:rPr>
        <w:fldChar w:fldCharType="separate"/>
      </w:r>
      <w:r w:rsidR="00295490">
        <w:t xml:space="preserve">Table </w:t>
      </w:r>
      <w:r w:rsidR="00295490">
        <w:rPr>
          <w:noProof/>
        </w:rPr>
        <w:t>2</w:t>
      </w:r>
      <w:r w:rsidR="003361D8">
        <w:rPr>
          <w:szCs w:val="22"/>
        </w:rPr>
        <w:fldChar w:fldCharType="end"/>
      </w:r>
      <w:r w:rsidR="00792325">
        <w:rPr>
          <w:szCs w:val="22"/>
        </w:rPr>
        <w:t>.</w:t>
      </w:r>
    </w:p>
    <w:p w14:paraId="607B8F42" w14:textId="5888D9E3" w:rsidR="00792325" w:rsidRDefault="00792325" w:rsidP="003361D8">
      <w:pPr>
        <w:pStyle w:val="TableTitle"/>
      </w:pPr>
      <w:bookmarkStart w:id="22" w:name="_Ref133827073"/>
      <w:bookmarkStart w:id="23" w:name="_Ref133827050"/>
      <w:r>
        <w:t xml:space="preserve">Table </w:t>
      </w:r>
      <w:r>
        <w:fldChar w:fldCharType="begin"/>
      </w:r>
      <w:r>
        <w:instrText>SEQ Table \* ARABIC</w:instrText>
      </w:r>
      <w:r>
        <w:fldChar w:fldCharType="separate"/>
      </w:r>
      <w:r w:rsidR="00A463D1">
        <w:rPr>
          <w:noProof/>
        </w:rPr>
        <w:t>2</w:t>
      </w:r>
      <w:r>
        <w:fldChar w:fldCharType="end"/>
      </w:r>
      <w:bookmarkEnd w:id="22"/>
      <w:r>
        <w:t>: Keytruda indications as of 19 October 20</w:t>
      </w:r>
      <w:r w:rsidR="003361D8">
        <w:t>21</w:t>
      </w:r>
      <w:bookmarkEnd w:id="23"/>
    </w:p>
    <w:tbl>
      <w:tblPr>
        <w:tblStyle w:val="TableTGAblue2023"/>
        <w:tblW w:w="0" w:type="auto"/>
        <w:tblLook w:val="04A0" w:firstRow="1" w:lastRow="0" w:firstColumn="1" w:lastColumn="0" w:noHBand="0" w:noVBand="1"/>
      </w:tblPr>
      <w:tblGrid>
        <w:gridCol w:w="1980"/>
        <w:gridCol w:w="7080"/>
      </w:tblGrid>
      <w:tr w:rsidR="00792325" w14:paraId="52271B1E" w14:textId="77777777" w:rsidTr="00051F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08B63BF7" w14:textId="0330CB77" w:rsidR="00792325" w:rsidRDefault="00792325" w:rsidP="00324B33">
            <w:pPr>
              <w:rPr>
                <w:szCs w:val="22"/>
              </w:rPr>
            </w:pPr>
            <w:r>
              <w:rPr>
                <w:szCs w:val="22"/>
              </w:rPr>
              <w:t>Indication</w:t>
            </w:r>
          </w:p>
        </w:tc>
      </w:tr>
      <w:tr w:rsidR="00E55EFC" w14:paraId="185B04A1"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41482411" w14:textId="40372ED5" w:rsidR="00E55EFC" w:rsidRDefault="00E55EFC" w:rsidP="00324B33">
            <w:pPr>
              <w:rPr>
                <w:szCs w:val="22"/>
              </w:rPr>
            </w:pPr>
            <w:r w:rsidRPr="00E55EFC">
              <w:rPr>
                <w:szCs w:val="22"/>
              </w:rPr>
              <w:t>Melanoma</w:t>
            </w:r>
          </w:p>
        </w:tc>
        <w:tc>
          <w:tcPr>
            <w:tcW w:w="7080" w:type="dxa"/>
          </w:tcPr>
          <w:p w14:paraId="085BA7C0" w14:textId="7FFC0FE6"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is indicated as monotherapy for the treatment of unresectable or metastatic melanoma in adults.</w:t>
            </w:r>
          </w:p>
          <w:p w14:paraId="079C75AC" w14:textId="4E3D6D14" w:rsidR="00E55EFC" w:rsidRDefault="00B004E2" w:rsidP="00E55EFC">
            <w:pPr>
              <w:cnfStyle w:val="000000000000" w:firstRow="0" w:lastRow="0" w:firstColumn="0" w:lastColumn="0" w:oddVBand="0" w:evenVBand="0" w:oddHBand="0" w:evenHBand="0" w:firstRowFirstColumn="0" w:firstRowLastColumn="0" w:lastRowFirstColumn="0" w:lastRowLastColumn="0"/>
              <w:rPr>
                <w:szCs w:val="22"/>
              </w:rPr>
            </w:pPr>
            <w:r>
              <w:rPr>
                <w:i/>
                <w:iCs/>
                <w:szCs w:val="22"/>
              </w:rPr>
              <w:t xml:space="preserve">Keytruda </w:t>
            </w:r>
            <w:r w:rsidR="00E55EFC" w:rsidRPr="00E55EFC">
              <w:rPr>
                <w:i/>
                <w:iCs/>
                <w:szCs w:val="22"/>
              </w:rPr>
              <w:t>(pembrolizumab) is indicated as monotherapy for the adjuvant treatment of patients with melanoma with lymph node involvement who have undergone complete resection.</w:t>
            </w:r>
          </w:p>
        </w:tc>
      </w:tr>
      <w:tr w:rsidR="00E55EFC" w14:paraId="6E3ABCB6"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76CD505A" w14:textId="5F8D2B08" w:rsidR="00E55EFC" w:rsidRDefault="00E55EFC" w:rsidP="00324B33">
            <w:pPr>
              <w:rPr>
                <w:szCs w:val="22"/>
              </w:rPr>
            </w:pPr>
            <w:r w:rsidRPr="00E55EFC">
              <w:rPr>
                <w:szCs w:val="22"/>
              </w:rPr>
              <w:t>Non-small cell lung cancer (NSCLC)</w:t>
            </w:r>
          </w:p>
        </w:tc>
        <w:tc>
          <w:tcPr>
            <w:tcW w:w="7080" w:type="dxa"/>
          </w:tcPr>
          <w:p w14:paraId="46E1B596" w14:textId="670F4CB5"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in combination with pemetrexed and platinum chemotherapy, is indicated for the first-line treatment of patients with metastatic non-squamous NSCLC, with no EGFR or ALK genomic tumour aberrations.</w:t>
            </w:r>
          </w:p>
          <w:p w14:paraId="5C000E70" w14:textId="2FC9B80C"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in combination with carboplatin and either paclitaxel or nab</w:t>
            </w:r>
            <w:r w:rsidR="00FE5DFF">
              <w:rPr>
                <w:i/>
                <w:iCs/>
                <w:szCs w:val="22"/>
              </w:rPr>
              <w:t>-</w:t>
            </w:r>
            <w:r w:rsidR="00E55EFC" w:rsidRPr="00E55EFC">
              <w:rPr>
                <w:i/>
                <w:iCs/>
                <w:szCs w:val="22"/>
              </w:rPr>
              <w:t>paclitaxel, is indicated for the first-line treatment of patients with metastatic squamous NSCLC.</w:t>
            </w:r>
          </w:p>
          <w:p w14:paraId="0936BB74" w14:textId="321185A3"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is indicated as monotherapy for the first-line treatment of patients with NSCLC expressing PD-L1 [tumour proportion score (TPS) ≥1%] as determined by a validated test, with no EGFR or ALK genomic tumour aberrations, and is</w:t>
            </w:r>
          </w:p>
          <w:p w14:paraId="13C1FFAD" w14:textId="5042517B" w:rsidR="00E55EFC" w:rsidRPr="00E55EFC" w:rsidRDefault="00E55EFC" w:rsidP="00E55EFC">
            <w:pPr>
              <w:pStyle w:val="ListBullet"/>
              <w:cnfStyle w:val="000000000000" w:firstRow="0" w:lastRow="0" w:firstColumn="0" w:lastColumn="0" w:oddVBand="0" w:evenVBand="0" w:oddHBand="0" w:evenHBand="0" w:firstRowFirstColumn="0" w:firstRowLastColumn="0" w:lastRowFirstColumn="0" w:lastRowLastColumn="0"/>
            </w:pPr>
            <w:r>
              <w:t>S</w:t>
            </w:r>
            <w:r w:rsidRPr="00E55EFC">
              <w:t>tage III where patients are not candidates for surgical resection or definitive chemoradiation, or</w:t>
            </w:r>
          </w:p>
          <w:p w14:paraId="147A3B9C" w14:textId="362C373D" w:rsidR="00E55EFC" w:rsidRPr="00E55EFC" w:rsidRDefault="00E55EFC" w:rsidP="00E55EFC">
            <w:pPr>
              <w:pStyle w:val="ListBullet"/>
              <w:cnfStyle w:val="000000000000" w:firstRow="0" w:lastRow="0" w:firstColumn="0" w:lastColumn="0" w:oddVBand="0" w:evenVBand="0" w:oddHBand="0" w:evenHBand="0" w:firstRowFirstColumn="0" w:firstRowLastColumn="0" w:lastRowFirstColumn="0" w:lastRowLastColumn="0"/>
            </w:pPr>
            <w:r>
              <w:t>m</w:t>
            </w:r>
            <w:r w:rsidRPr="00E55EFC">
              <w:t>etastatic.</w:t>
            </w:r>
          </w:p>
          <w:p w14:paraId="3D9091EB" w14:textId="7602B1B3" w:rsidR="00E55EFC" w:rsidRDefault="00B004E2" w:rsidP="00E55EFC">
            <w:pPr>
              <w:cnfStyle w:val="000000000000" w:firstRow="0" w:lastRow="0" w:firstColumn="0" w:lastColumn="0" w:oddVBand="0" w:evenVBand="0" w:oddHBand="0" w:evenHBand="0" w:firstRowFirstColumn="0" w:firstRowLastColumn="0" w:lastRowFirstColumn="0" w:lastRowLastColumn="0"/>
              <w:rPr>
                <w:szCs w:val="22"/>
              </w:rPr>
            </w:pPr>
            <w:r>
              <w:rPr>
                <w:i/>
                <w:iCs/>
                <w:szCs w:val="22"/>
              </w:rPr>
              <w:t xml:space="preserve">Keytruda </w:t>
            </w:r>
            <w:r w:rsidR="00E55EFC" w:rsidRPr="00E55EFC">
              <w:rPr>
                <w:i/>
                <w:iCs/>
                <w:szCs w:val="22"/>
              </w:rPr>
              <w:t xml:space="preserve">(pembrolizumab)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w:t>
            </w:r>
            <w:proofErr w:type="gramStart"/>
            <w:r>
              <w:rPr>
                <w:i/>
                <w:iCs/>
                <w:szCs w:val="22"/>
              </w:rPr>
              <w:t xml:space="preserve">Keytruda </w:t>
            </w:r>
            <w:r w:rsidR="00E55EFC" w:rsidRPr="00E55EFC">
              <w:rPr>
                <w:i/>
                <w:iCs/>
                <w:szCs w:val="22"/>
              </w:rPr>
              <w:t>.</w:t>
            </w:r>
            <w:proofErr w:type="gramEnd"/>
          </w:p>
        </w:tc>
      </w:tr>
      <w:tr w:rsidR="00E55EFC" w14:paraId="6E7E9E57"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5E6671E0" w14:textId="7A90B4C0" w:rsidR="00E55EFC" w:rsidRDefault="00E55EFC" w:rsidP="00324B33">
            <w:pPr>
              <w:rPr>
                <w:szCs w:val="22"/>
              </w:rPr>
            </w:pPr>
            <w:r w:rsidRPr="00E55EFC">
              <w:rPr>
                <w:szCs w:val="22"/>
              </w:rPr>
              <w:lastRenderedPageBreak/>
              <w:t>Head and Neck Squamous Cell Cancer (HNSCC)</w:t>
            </w:r>
          </w:p>
        </w:tc>
        <w:tc>
          <w:tcPr>
            <w:tcW w:w="7080" w:type="dxa"/>
          </w:tcPr>
          <w:p w14:paraId="15DEBA1D" w14:textId="158F6A6C"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as monotherapy or in combination with platinum and 5- fluorouracil (5-FU) chemotherapy, is indicated for the first-line treatment of patients with metastatic or unresectable recurrent HNSCC, and whose tumours express PD-L1 [Combined Positive Score (CPS) ≥1] as determined by a validated test.</w:t>
            </w:r>
          </w:p>
          <w:p w14:paraId="1B2B7D9D" w14:textId="24E2F6B6" w:rsidR="00E55EFC" w:rsidRDefault="00B004E2" w:rsidP="00E55EFC">
            <w:pPr>
              <w:cnfStyle w:val="000000000000" w:firstRow="0" w:lastRow="0" w:firstColumn="0" w:lastColumn="0" w:oddVBand="0" w:evenVBand="0" w:oddHBand="0" w:evenHBand="0" w:firstRowFirstColumn="0" w:firstRowLastColumn="0" w:lastRowFirstColumn="0" w:lastRowLastColumn="0"/>
              <w:rPr>
                <w:szCs w:val="22"/>
              </w:rPr>
            </w:pPr>
            <w:r>
              <w:rPr>
                <w:i/>
                <w:iCs/>
                <w:szCs w:val="22"/>
              </w:rPr>
              <w:t xml:space="preserve">Keytruda </w:t>
            </w:r>
            <w:r w:rsidR="00E55EFC" w:rsidRPr="00E55EFC">
              <w:rPr>
                <w:i/>
                <w:iCs/>
                <w:szCs w:val="22"/>
              </w:rPr>
              <w:t>(pembrolizumab) is indicated as monotherapy for the treatment of patients with metastatic or unresectable recurrent HNSCC with disease progression on or after platinum containing chemotherapy and whose tumours express PD-L1 [Combined Positive Score (CPS) ≥1] as determined by a validated test.</w:t>
            </w:r>
          </w:p>
        </w:tc>
      </w:tr>
      <w:tr w:rsidR="00E55EFC" w14:paraId="73CF0709"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0A8D5330" w14:textId="59C17631" w:rsidR="00E55EFC" w:rsidRDefault="00E55EFC" w:rsidP="00324B33">
            <w:pPr>
              <w:rPr>
                <w:szCs w:val="22"/>
              </w:rPr>
            </w:pPr>
            <w:r w:rsidRPr="00E75C53">
              <w:rPr>
                <w:szCs w:val="22"/>
              </w:rPr>
              <w:t>Classical Hodgkin Lymphoma (</w:t>
            </w:r>
            <w:proofErr w:type="spellStart"/>
            <w:r w:rsidRPr="00E75C53">
              <w:rPr>
                <w:szCs w:val="22"/>
              </w:rPr>
              <w:t>cHL</w:t>
            </w:r>
            <w:proofErr w:type="spellEnd"/>
            <w:r w:rsidRPr="00E75C53">
              <w:rPr>
                <w:szCs w:val="22"/>
              </w:rPr>
              <w:t>)</w:t>
            </w:r>
          </w:p>
        </w:tc>
        <w:tc>
          <w:tcPr>
            <w:tcW w:w="7080" w:type="dxa"/>
          </w:tcPr>
          <w:p w14:paraId="67EB758C" w14:textId="7A307434"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is indicated as monotherapy for the treatment of adult patients with relapsed or refractory classical Hodgkin Lymphoma (</w:t>
            </w:r>
            <w:proofErr w:type="spellStart"/>
            <w:r w:rsidR="00E55EFC" w:rsidRPr="00E55EFC">
              <w:rPr>
                <w:i/>
                <w:iCs/>
                <w:szCs w:val="22"/>
              </w:rPr>
              <w:t>cHL</w:t>
            </w:r>
            <w:proofErr w:type="spellEnd"/>
            <w:r w:rsidR="00E55EFC" w:rsidRPr="00E55EFC">
              <w:rPr>
                <w:i/>
                <w:iCs/>
                <w:szCs w:val="22"/>
              </w:rPr>
              <w:t>):</w:t>
            </w:r>
          </w:p>
          <w:p w14:paraId="4F09650F" w14:textId="5733EB53" w:rsidR="00E55EFC" w:rsidRPr="00E55EFC" w:rsidRDefault="00E55EFC" w:rsidP="00E55EFC">
            <w:pPr>
              <w:pStyle w:val="Numberbullet0"/>
              <w:cnfStyle w:val="000000000000" w:firstRow="0" w:lastRow="0" w:firstColumn="0" w:lastColumn="0" w:oddVBand="0" w:evenVBand="0" w:oddHBand="0" w:evenHBand="0" w:firstRowFirstColumn="0" w:firstRowLastColumn="0" w:lastRowFirstColumn="0" w:lastRowLastColumn="0"/>
              <w:rPr>
                <w:i/>
                <w:iCs/>
              </w:rPr>
            </w:pPr>
            <w:r w:rsidRPr="00E55EFC">
              <w:rPr>
                <w:i/>
                <w:iCs/>
              </w:rPr>
              <w:t>following autologous stem cell transplant (ASCT) or</w:t>
            </w:r>
          </w:p>
          <w:p w14:paraId="3676CB30" w14:textId="5F36A096" w:rsidR="00E55EFC" w:rsidRPr="00E55EFC" w:rsidRDefault="00E55EFC" w:rsidP="00E55EFC">
            <w:pPr>
              <w:pStyle w:val="Numberbullet0"/>
              <w:cnfStyle w:val="000000000000" w:firstRow="0" w:lastRow="0" w:firstColumn="0" w:lastColumn="0" w:oddVBand="0" w:evenVBand="0" w:oddHBand="0" w:evenHBand="0" w:firstRowFirstColumn="0" w:firstRowLastColumn="0" w:lastRowFirstColumn="0" w:lastRowLastColumn="0"/>
              <w:rPr>
                <w:i/>
                <w:iCs/>
              </w:rPr>
            </w:pPr>
            <w:r w:rsidRPr="00E55EFC">
              <w:rPr>
                <w:i/>
                <w:iCs/>
              </w:rPr>
              <w:t>following at least two prior therapies when ASCT or multi-agent chemotherapy is not a treatment option.</w:t>
            </w:r>
          </w:p>
          <w:p w14:paraId="6ABD1B59" w14:textId="725281F1" w:rsidR="00E55EFC" w:rsidRDefault="00E55EFC" w:rsidP="00E55EFC">
            <w:pPr>
              <w:cnfStyle w:val="000000000000" w:firstRow="0" w:lastRow="0" w:firstColumn="0" w:lastColumn="0" w:oddVBand="0" w:evenVBand="0" w:oddHBand="0" w:evenHBand="0" w:firstRowFirstColumn="0" w:firstRowLastColumn="0" w:lastRowFirstColumn="0" w:lastRowLastColumn="0"/>
              <w:rPr>
                <w:szCs w:val="22"/>
              </w:rPr>
            </w:pPr>
            <w:r w:rsidRPr="00E55EFC">
              <w:rPr>
                <w:i/>
                <w:iCs/>
                <w:szCs w:val="22"/>
              </w:rPr>
              <w:t xml:space="preserve">The approval of this indication </w:t>
            </w:r>
            <w:r w:rsidR="00E75C53">
              <w:rPr>
                <w:i/>
                <w:iCs/>
                <w:szCs w:val="22"/>
              </w:rPr>
              <w:t xml:space="preserve">is </w:t>
            </w:r>
            <w:proofErr w:type="gramStart"/>
            <w:r w:rsidR="00E75C53">
              <w:rPr>
                <w:i/>
                <w:iCs/>
                <w:szCs w:val="22"/>
              </w:rPr>
              <w:t>on the basis of</w:t>
            </w:r>
            <w:proofErr w:type="gramEnd"/>
            <w:r w:rsidR="00E75C53">
              <w:rPr>
                <w:i/>
                <w:iCs/>
                <w:szCs w:val="22"/>
              </w:rPr>
              <w:t xml:space="preserve"> objective response rate (ORR). S</w:t>
            </w:r>
            <w:r w:rsidRPr="00E55EFC">
              <w:rPr>
                <w:i/>
                <w:iCs/>
                <w:szCs w:val="22"/>
              </w:rPr>
              <w:t>ee Section 5.1 Pharmacodynamic Properties, Clinical Trials).</w:t>
            </w:r>
          </w:p>
        </w:tc>
      </w:tr>
      <w:tr w:rsidR="00E55EFC" w14:paraId="0C265CA0"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684DDF13" w14:textId="37AE06F6" w:rsidR="00E55EFC" w:rsidRDefault="00E55EFC" w:rsidP="00324B33">
            <w:pPr>
              <w:rPr>
                <w:szCs w:val="22"/>
              </w:rPr>
            </w:pPr>
            <w:r w:rsidRPr="00E55EFC">
              <w:rPr>
                <w:szCs w:val="22"/>
              </w:rPr>
              <w:t>Primary mediastinal B-Cell Lymphoma (PMBCL)</w:t>
            </w:r>
          </w:p>
        </w:tc>
        <w:tc>
          <w:tcPr>
            <w:tcW w:w="7080" w:type="dxa"/>
          </w:tcPr>
          <w:p w14:paraId="0E73D105" w14:textId="47897365" w:rsidR="00E55EFC" w:rsidRPr="00E55EFC" w:rsidRDefault="00B004E2" w:rsidP="00324B33">
            <w:pPr>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 xml:space="preserve">(pembrolizumab) is indicated for the treatment of adult and paediatric patients with refractory primary mediastinal B-cell lymphoma (PMBCL), or who have relapsed after 2 or more prior lines of therapy. The approval of this indication is </w:t>
            </w:r>
            <w:proofErr w:type="gramStart"/>
            <w:r w:rsidR="00E55EFC" w:rsidRPr="00E55EFC">
              <w:rPr>
                <w:i/>
                <w:iCs/>
                <w:szCs w:val="22"/>
              </w:rPr>
              <w:t>on the basis of</w:t>
            </w:r>
            <w:proofErr w:type="gramEnd"/>
            <w:r w:rsidR="00E55EFC" w:rsidRPr="00E55EFC">
              <w:rPr>
                <w:i/>
                <w:iCs/>
                <w:szCs w:val="22"/>
              </w:rPr>
              <w:t xml:space="preserve"> objective response rate (ORR) and duration of response from non-randomised studies. See Section 5.1 Pharmacodynamic Properties, Clinical Trials.</w:t>
            </w:r>
          </w:p>
        </w:tc>
      </w:tr>
      <w:tr w:rsidR="00E55EFC" w14:paraId="4E5D5B21"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36BC1541" w14:textId="6E25A38C" w:rsidR="00E55EFC" w:rsidRDefault="00E55EFC" w:rsidP="00324B33">
            <w:pPr>
              <w:rPr>
                <w:szCs w:val="22"/>
              </w:rPr>
            </w:pPr>
            <w:r w:rsidRPr="00E55EFC">
              <w:rPr>
                <w:szCs w:val="22"/>
              </w:rPr>
              <w:lastRenderedPageBreak/>
              <w:t>Urothelial carcinoma</w:t>
            </w:r>
          </w:p>
        </w:tc>
        <w:tc>
          <w:tcPr>
            <w:tcW w:w="7080" w:type="dxa"/>
          </w:tcPr>
          <w:p w14:paraId="2996D06C" w14:textId="106E8896"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is indicated as monotherapy for the treatment of patients with locally advanced or metastatic urothelial carcinoma who are not eligible for cisplatin</w:t>
            </w:r>
            <w:r w:rsidR="00E55EFC">
              <w:rPr>
                <w:i/>
                <w:iCs/>
                <w:szCs w:val="22"/>
              </w:rPr>
              <w:t xml:space="preserve"> </w:t>
            </w:r>
            <w:r w:rsidR="00E55EFC" w:rsidRPr="00E55EFC">
              <w:rPr>
                <w:i/>
                <w:iCs/>
                <w:szCs w:val="22"/>
              </w:rPr>
              <w:t>containing therapy and whose tumours express PD-L1 [Combined Positive Score (CPS) ≥10] as determined by a validated test, or in patients who are not eligible for any platinum-containing chemotherapy regardless of PD-L1 status. This indication is approved based on overall response rate and duration of response in a single-arm study. Improvements in overall survival, progression-free survival, or health-related quality of life have not been established.</w:t>
            </w:r>
          </w:p>
          <w:p w14:paraId="19C699C0" w14:textId="29CF51A5"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is indicated as monotherapy for the treatment of patients with locally advanced or metastatic urothelial carcinoma who have received platinum-containing chemotherapy.</w:t>
            </w:r>
          </w:p>
          <w:p w14:paraId="6888421E" w14:textId="5BC6DAE1" w:rsidR="00E55EFC" w:rsidRPr="00E55EFC" w:rsidRDefault="00B004E2" w:rsidP="00E55EFC">
            <w:pPr>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is indicated for the treatment of patients with Bacillus Calmette-Guerin (BCG)-unresponsive, high-risk, non-muscle invasive bladder cancer (NMIBC) with carcinoma in-situ (CIS) with or without papillary tumours who are ineligible for or have elected not to undergo cystectomy. This indication was approved via the provisional approval pathway based on complete response rate and duration of response. Continued approval of this indication depends on verification and description of benefit in confirmatory trials.</w:t>
            </w:r>
          </w:p>
        </w:tc>
      </w:tr>
      <w:tr w:rsidR="00E55EFC" w14:paraId="05C65C04"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58B0CD88" w14:textId="568AD59A" w:rsidR="00E55EFC" w:rsidRPr="00E55EFC" w:rsidRDefault="00E55EFC" w:rsidP="00324B33">
            <w:pPr>
              <w:rPr>
                <w:szCs w:val="22"/>
              </w:rPr>
            </w:pPr>
            <w:r w:rsidRPr="00E55EFC">
              <w:rPr>
                <w:szCs w:val="22"/>
              </w:rPr>
              <w:lastRenderedPageBreak/>
              <w:t>Microsatellite instability-high (MSI-H) or mismatch repair deficient (</w:t>
            </w:r>
            <w:proofErr w:type="spellStart"/>
            <w:r w:rsidRPr="00E55EFC">
              <w:rPr>
                <w:szCs w:val="22"/>
              </w:rPr>
              <w:t>dMMR</w:t>
            </w:r>
            <w:proofErr w:type="spellEnd"/>
            <w:r w:rsidRPr="00E55EFC">
              <w:rPr>
                <w:szCs w:val="22"/>
              </w:rPr>
              <w:t>) cancer</w:t>
            </w:r>
          </w:p>
        </w:tc>
        <w:tc>
          <w:tcPr>
            <w:tcW w:w="7080" w:type="dxa"/>
          </w:tcPr>
          <w:p w14:paraId="06303E08" w14:textId="77777777" w:rsidR="00E55EFC" w:rsidRPr="00E55EFC" w:rsidRDefault="00E55EFC" w:rsidP="00E55EFC">
            <w:pPr>
              <w:spacing w:before="80"/>
              <w:cnfStyle w:val="000000000000" w:firstRow="0" w:lastRow="0" w:firstColumn="0" w:lastColumn="0" w:oddVBand="0" w:evenVBand="0" w:oddHBand="0" w:evenHBand="0" w:firstRowFirstColumn="0" w:firstRowLastColumn="0" w:lastRowFirstColumn="0" w:lastRowLastColumn="0"/>
              <w:rPr>
                <w:b/>
                <w:bCs/>
                <w:i/>
                <w:iCs/>
                <w:szCs w:val="22"/>
              </w:rPr>
            </w:pPr>
            <w:r w:rsidRPr="00E55EFC">
              <w:rPr>
                <w:b/>
                <w:bCs/>
                <w:i/>
                <w:iCs/>
                <w:szCs w:val="22"/>
              </w:rPr>
              <w:t>Colorectal (previously untreated)</w:t>
            </w:r>
          </w:p>
          <w:p w14:paraId="03C860B2" w14:textId="6CE5658D"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 xml:space="preserve">(pembrolizumab) is indicated for the first-line treatment of patients with unresectable or metastatic colorectal cancer (CRC) that is MSI-H or </w:t>
            </w:r>
            <w:proofErr w:type="spellStart"/>
            <w:r w:rsidR="00E55EFC" w:rsidRPr="00E55EFC">
              <w:rPr>
                <w:i/>
                <w:iCs/>
                <w:szCs w:val="22"/>
              </w:rPr>
              <w:t>dMMR</w:t>
            </w:r>
            <w:proofErr w:type="spellEnd"/>
            <w:r w:rsidR="00E55EFC" w:rsidRPr="00E55EFC">
              <w:rPr>
                <w:i/>
                <w:iCs/>
                <w:szCs w:val="22"/>
              </w:rPr>
              <w:t xml:space="preserve"> as determined by a validated test.</w:t>
            </w:r>
          </w:p>
          <w:p w14:paraId="39325173" w14:textId="77777777" w:rsidR="00E55EFC" w:rsidRPr="00E55EFC" w:rsidRDefault="00E55EFC"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sidRPr="00E55EFC">
              <w:rPr>
                <w:b/>
                <w:bCs/>
                <w:i/>
                <w:iCs/>
                <w:szCs w:val="22"/>
              </w:rPr>
              <w:t>Colorectal (previously treated</w:t>
            </w:r>
            <w:r w:rsidRPr="00E55EFC">
              <w:rPr>
                <w:i/>
                <w:iCs/>
                <w:szCs w:val="22"/>
              </w:rPr>
              <w:t>)</w:t>
            </w:r>
          </w:p>
          <w:p w14:paraId="5A6B78E0" w14:textId="3A8A1A36"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 xml:space="preserve">(pembrolizumab) is indicated in adult and paediatric patients for the treatment of unresectable or metastatic CRC that is MSI-H or </w:t>
            </w:r>
            <w:proofErr w:type="spellStart"/>
            <w:r w:rsidR="00E55EFC" w:rsidRPr="00E55EFC">
              <w:rPr>
                <w:i/>
                <w:iCs/>
                <w:szCs w:val="22"/>
              </w:rPr>
              <w:t>dMMR</w:t>
            </w:r>
            <w:proofErr w:type="spellEnd"/>
            <w:r w:rsidR="00E55EFC" w:rsidRPr="00E55EFC">
              <w:rPr>
                <w:i/>
                <w:iCs/>
                <w:szCs w:val="22"/>
              </w:rPr>
              <w:t xml:space="preserve"> as determined by a validated test, and that has progressed following treatment with a fluoropyrimidine, oxaliplatin, and irinotecan. This indication was approved via the provisional approval pathway, based on objective response rate and response duration in a single-arm trial. Continued approval for this indication depends on verification and description of clinical benefit in the confirmatory trials.</w:t>
            </w:r>
          </w:p>
          <w:p w14:paraId="7BCB7E53" w14:textId="77777777" w:rsidR="00E55EFC" w:rsidRPr="00E55EFC" w:rsidRDefault="00E55EFC" w:rsidP="00E55EFC">
            <w:pPr>
              <w:spacing w:before="80"/>
              <w:cnfStyle w:val="000000000000" w:firstRow="0" w:lastRow="0" w:firstColumn="0" w:lastColumn="0" w:oddVBand="0" w:evenVBand="0" w:oddHBand="0" w:evenHBand="0" w:firstRowFirstColumn="0" w:firstRowLastColumn="0" w:lastRowFirstColumn="0" w:lastRowLastColumn="0"/>
              <w:rPr>
                <w:b/>
                <w:bCs/>
                <w:i/>
                <w:iCs/>
                <w:szCs w:val="22"/>
              </w:rPr>
            </w:pPr>
            <w:r w:rsidRPr="00E55EFC">
              <w:rPr>
                <w:b/>
                <w:bCs/>
                <w:i/>
                <w:iCs/>
                <w:szCs w:val="22"/>
              </w:rPr>
              <w:t>Non-colorectal</w:t>
            </w:r>
          </w:p>
          <w:p w14:paraId="48BA25B8" w14:textId="177410DA"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 xml:space="preserve">(pembrolizumab) is indicated in adult and paediatric patients for the treatment of unresectable or metastatic solid tumours that are MSI-H or </w:t>
            </w:r>
            <w:proofErr w:type="spellStart"/>
            <w:r w:rsidR="00E55EFC" w:rsidRPr="00E55EFC">
              <w:rPr>
                <w:i/>
                <w:iCs/>
                <w:szCs w:val="22"/>
              </w:rPr>
              <w:t>dMMR</w:t>
            </w:r>
            <w:proofErr w:type="spellEnd"/>
            <w:r w:rsidR="00E55EFC" w:rsidRPr="00E55EFC">
              <w:rPr>
                <w:i/>
                <w:iCs/>
                <w:szCs w:val="22"/>
              </w:rPr>
              <w:t xml:space="preserve"> as determined by a validated test, that have progressed following prior treatment and when there are no satisfactory alternative treatment options. This indication was approved via the provisional approval pathway, based on the pooling of data on objective response rate and response duration across multiple different tissue types in a single-arm trial. Sample sizes for individual tissue types were too small to provide data on clinical utility of the MSI-H/</w:t>
            </w:r>
            <w:proofErr w:type="spellStart"/>
            <w:r w:rsidR="00E55EFC" w:rsidRPr="00E55EFC">
              <w:rPr>
                <w:i/>
                <w:iCs/>
                <w:szCs w:val="22"/>
              </w:rPr>
              <w:t>dMMR</w:t>
            </w:r>
            <w:proofErr w:type="spellEnd"/>
            <w:r w:rsidR="00E55EFC" w:rsidRPr="00E55EFC">
              <w:rPr>
                <w:i/>
                <w:iCs/>
                <w:szCs w:val="22"/>
              </w:rPr>
              <w:t xml:space="preserve"> tests for each of the tissue types, individually. The assumption that MSI-H/</w:t>
            </w:r>
            <w:proofErr w:type="spellStart"/>
            <w:r w:rsidR="00E55EFC" w:rsidRPr="00E55EFC">
              <w:rPr>
                <w:i/>
                <w:iCs/>
                <w:szCs w:val="22"/>
              </w:rPr>
              <w:t>dMMR</w:t>
            </w:r>
            <w:proofErr w:type="spellEnd"/>
            <w:r w:rsidR="00E55EFC" w:rsidRPr="00E55EFC">
              <w:rPr>
                <w:i/>
                <w:iCs/>
                <w:szCs w:val="22"/>
              </w:rPr>
              <w:t xml:space="preserve">-status is predictive of the treatment effect of </w:t>
            </w:r>
            <w:r>
              <w:rPr>
                <w:i/>
                <w:iCs/>
                <w:szCs w:val="22"/>
              </w:rPr>
              <w:t xml:space="preserve">Keytruda </w:t>
            </w:r>
            <w:r w:rsidR="00E55EFC" w:rsidRPr="00E55EFC">
              <w:rPr>
                <w:i/>
                <w:iCs/>
                <w:szCs w:val="22"/>
              </w:rPr>
              <w:t>for every tissue type has not been verified. Continued approval for this indication depends on verification and description of clinical benefit in the confirmatory trials.</w:t>
            </w:r>
          </w:p>
          <w:p w14:paraId="11C9CCE6" w14:textId="236153B1" w:rsidR="00E55EFC" w:rsidRPr="00E55EFC" w:rsidRDefault="00E55EFC"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sidRPr="00E55EFC">
              <w:rPr>
                <w:i/>
                <w:iCs/>
                <w:szCs w:val="22"/>
              </w:rPr>
              <w:t xml:space="preserve">The safety and effectiveness of </w:t>
            </w:r>
            <w:r w:rsidR="00B004E2">
              <w:rPr>
                <w:i/>
                <w:iCs/>
                <w:szCs w:val="22"/>
              </w:rPr>
              <w:t xml:space="preserve">Keytruda </w:t>
            </w:r>
            <w:r w:rsidRPr="00E55EFC">
              <w:rPr>
                <w:i/>
                <w:iCs/>
                <w:szCs w:val="22"/>
              </w:rPr>
              <w:t>in paediatric patients with MSI-H/</w:t>
            </w:r>
            <w:proofErr w:type="spellStart"/>
            <w:r w:rsidRPr="00E55EFC">
              <w:rPr>
                <w:i/>
                <w:iCs/>
                <w:szCs w:val="22"/>
              </w:rPr>
              <w:t>dMMR</w:t>
            </w:r>
            <w:proofErr w:type="spellEnd"/>
            <w:r w:rsidRPr="00E55EFC">
              <w:rPr>
                <w:i/>
                <w:iCs/>
                <w:szCs w:val="22"/>
              </w:rPr>
              <w:t xml:space="preserve"> central nervous system cancers have not been established.</w:t>
            </w:r>
          </w:p>
        </w:tc>
      </w:tr>
      <w:tr w:rsidR="00E55EFC" w14:paraId="5FDAE7BF"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30EAD847" w14:textId="0A69358F" w:rsidR="00E55EFC" w:rsidRPr="00E55EFC" w:rsidRDefault="00E55EFC" w:rsidP="00324B33">
            <w:pPr>
              <w:rPr>
                <w:szCs w:val="22"/>
              </w:rPr>
            </w:pPr>
            <w:r w:rsidRPr="00E55EFC">
              <w:rPr>
                <w:szCs w:val="22"/>
              </w:rPr>
              <w:t>Endometrial carcinoma</w:t>
            </w:r>
          </w:p>
        </w:tc>
        <w:tc>
          <w:tcPr>
            <w:tcW w:w="7080" w:type="dxa"/>
          </w:tcPr>
          <w:p w14:paraId="3C77ED64" w14:textId="41C55FCD"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 xml:space="preserve">(pembrolizumab), in combination with </w:t>
            </w:r>
            <w:proofErr w:type="spellStart"/>
            <w:r w:rsidR="00E55EFC" w:rsidRPr="00E55EFC">
              <w:rPr>
                <w:i/>
                <w:iCs/>
                <w:szCs w:val="22"/>
              </w:rPr>
              <w:t>lenvatinib</w:t>
            </w:r>
            <w:proofErr w:type="spellEnd"/>
            <w:r w:rsidR="00E55EFC" w:rsidRPr="00E55EFC">
              <w:rPr>
                <w:i/>
                <w:iCs/>
                <w:szCs w:val="22"/>
              </w:rPr>
              <w:t xml:space="preserve">, is indicated for the treatment of patients with advanced endometrial carcinoma that is not MSI-H or </w:t>
            </w:r>
            <w:proofErr w:type="spellStart"/>
            <w:r w:rsidR="00E55EFC" w:rsidRPr="00E55EFC">
              <w:rPr>
                <w:i/>
                <w:iCs/>
                <w:szCs w:val="22"/>
              </w:rPr>
              <w:t>dMMR</w:t>
            </w:r>
            <w:proofErr w:type="spellEnd"/>
            <w:r w:rsidR="00E55EFC" w:rsidRPr="00E55EFC">
              <w:rPr>
                <w:i/>
                <w:iCs/>
                <w:szCs w:val="22"/>
              </w:rPr>
              <w:t xml:space="preserve"> as determined by a validated test, who have disease progression following prior systemic therapy and are not candidates for curative surgery or radiation. This indication was approved via the </w:t>
            </w:r>
            <w:r w:rsidR="00E55EFC" w:rsidRPr="00E55EFC">
              <w:rPr>
                <w:b/>
                <w:bCs/>
                <w:i/>
                <w:iCs/>
                <w:szCs w:val="22"/>
              </w:rPr>
              <w:t>provisional approval</w:t>
            </w:r>
            <w:r w:rsidR="00E55EFC" w:rsidRPr="00E55EFC">
              <w:rPr>
                <w:i/>
                <w:iCs/>
                <w:szCs w:val="22"/>
              </w:rPr>
              <w:t xml:space="preserve"> pathway, based on objective response rate and duration of response in a single-arm trial. Full registration for this indication depends on verification and description of clinical benefit in confirmatory trials.</w:t>
            </w:r>
          </w:p>
        </w:tc>
      </w:tr>
      <w:tr w:rsidR="00E55EFC" w14:paraId="36F268C7"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66CBCFA7" w14:textId="3D4AEAD9" w:rsidR="00E55EFC" w:rsidRPr="00E55EFC" w:rsidRDefault="00E55EFC" w:rsidP="00324B33">
            <w:pPr>
              <w:rPr>
                <w:szCs w:val="22"/>
              </w:rPr>
            </w:pPr>
            <w:r w:rsidRPr="00E55EFC">
              <w:rPr>
                <w:szCs w:val="22"/>
              </w:rPr>
              <w:t>Renal Cell Carcinoma (RCC)</w:t>
            </w:r>
          </w:p>
        </w:tc>
        <w:tc>
          <w:tcPr>
            <w:tcW w:w="7080" w:type="dxa"/>
          </w:tcPr>
          <w:p w14:paraId="33EA19F4" w14:textId="2E124B78"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 xml:space="preserve">(pembrolizumab), in combination with </w:t>
            </w:r>
            <w:proofErr w:type="spellStart"/>
            <w:r w:rsidR="00E55EFC" w:rsidRPr="00E55EFC">
              <w:rPr>
                <w:i/>
                <w:iCs/>
                <w:szCs w:val="22"/>
              </w:rPr>
              <w:t>axitinib</w:t>
            </w:r>
            <w:proofErr w:type="spellEnd"/>
            <w:r w:rsidR="00E55EFC" w:rsidRPr="00E55EFC">
              <w:rPr>
                <w:i/>
                <w:iCs/>
                <w:szCs w:val="22"/>
              </w:rPr>
              <w:t>, is indicated for the first-line treatment of patients with advanced renal cell carcinoma (RCC).</w:t>
            </w:r>
          </w:p>
        </w:tc>
      </w:tr>
      <w:tr w:rsidR="00E55EFC" w14:paraId="1A979C1D"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4063528F" w14:textId="527D91AE" w:rsidR="00E55EFC" w:rsidRPr="00E55EFC" w:rsidRDefault="00E55EFC" w:rsidP="00324B33">
            <w:pPr>
              <w:rPr>
                <w:szCs w:val="22"/>
              </w:rPr>
            </w:pPr>
            <w:r w:rsidRPr="00E55EFC">
              <w:rPr>
                <w:szCs w:val="22"/>
              </w:rPr>
              <w:lastRenderedPageBreak/>
              <w:t>Cutaneous Squamous Cell Carcinoma</w:t>
            </w:r>
          </w:p>
        </w:tc>
        <w:tc>
          <w:tcPr>
            <w:tcW w:w="7080" w:type="dxa"/>
          </w:tcPr>
          <w:p w14:paraId="3D6303DA" w14:textId="28777CDB"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is indicated as monotherapy for the treatment of adult patients with recurrent or metastatic cutaneous squamous cell carcinoma (</w:t>
            </w:r>
            <w:proofErr w:type="spellStart"/>
            <w:r w:rsidR="00E55EFC" w:rsidRPr="00E55EFC">
              <w:rPr>
                <w:i/>
                <w:iCs/>
                <w:szCs w:val="22"/>
              </w:rPr>
              <w:t>cSCC</w:t>
            </w:r>
            <w:proofErr w:type="spellEnd"/>
            <w:r w:rsidR="00E55EFC" w:rsidRPr="00E55EFC">
              <w:rPr>
                <w:i/>
                <w:iCs/>
                <w:szCs w:val="22"/>
              </w:rPr>
              <w:t>) that is not curable by surgery or radiation. This indication was approved via the provisional approval pathway based on objective response rate and duration of response from a single-arm study. Improvements in overall survival, progression-free survival, or health-related quality of life have not been established. Full registration for this indication depends on submission of further clinical data to confirm the clinical benefit of the medicine.</w:t>
            </w:r>
          </w:p>
        </w:tc>
      </w:tr>
      <w:tr w:rsidR="00E55EFC" w14:paraId="6C804305"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3D0CD017" w14:textId="6ABE0EA1" w:rsidR="00E55EFC" w:rsidRPr="00E55EFC" w:rsidRDefault="00E55EFC" w:rsidP="00324B33">
            <w:pPr>
              <w:rPr>
                <w:szCs w:val="22"/>
              </w:rPr>
            </w:pPr>
            <w:r w:rsidRPr="00E55EFC">
              <w:rPr>
                <w:szCs w:val="22"/>
              </w:rPr>
              <w:t>Oesophageal Cancer</w:t>
            </w:r>
          </w:p>
        </w:tc>
        <w:tc>
          <w:tcPr>
            <w:tcW w:w="7080" w:type="dxa"/>
          </w:tcPr>
          <w:p w14:paraId="2F97C57E" w14:textId="402A0FFB"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 amenable to surgical resection or definitive chemoradiation.</w:t>
            </w:r>
          </w:p>
        </w:tc>
      </w:tr>
      <w:tr w:rsidR="00E55EFC" w14:paraId="628AE120" w14:textId="77777777" w:rsidTr="00E55EFC">
        <w:tc>
          <w:tcPr>
            <w:cnfStyle w:val="001000000000" w:firstRow="0" w:lastRow="0" w:firstColumn="1" w:lastColumn="0" w:oddVBand="0" w:evenVBand="0" w:oddHBand="0" w:evenHBand="0" w:firstRowFirstColumn="0" w:firstRowLastColumn="0" w:lastRowFirstColumn="0" w:lastRowLastColumn="0"/>
            <w:tcW w:w="1980" w:type="dxa"/>
          </w:tcPr>
          <w:p w14:paraId="627470A5" w14:textId="76DD2571" w:rsidR="00E55EFC" w:rsidRPr="00E55EFC" w:rsidRDefault="00E55EFC" w:rsidP="00324B33">
            <w:pPr>
              <w:rPr>
                <w:szCs w:val="22"/>
              </w:rPr>
            </w:pPr>
            <w:r w:rsidRPr="00E55EFC">
              <w:rPr>
                <w:szCs w:val="22"/>
              </w:rPr>
              <w:t>Tumour Mutational Burden-High (TMB-H) cancer</w:t>
            </w:r>
          </w:p>
        </w:tc>
        <w:tc>
          <w:tcPr>
            <w:tcW w:w="7080" w:type="dxa"/>
          </w:tcPr>
          <w:p w14:paraId="28125670" w14:textId="17F7E76F" w:rsidR="00E55EFC" w:rsidRPr="00E55EFC" w:rsidRDefault="00B004E2" w:rsidP="00E55EFC">
            <w:pPr>
              <w:spacing w:before="8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55EFC" w:rsidRPr="00E55EFC">
              <w:rPr>
                <w:i/>
                <w:iCs/>
                <w:szCs w:val="22"/>
              </w:rPr>
              <w:t>(pembrolizumab) is indicated for the treatment of adult and paediatric patients with unresectable or metastatic tumour mutational burden-high (TMB-H) [≥10 mutations/</w:t>
            </w:r>
            <w:proofErr w:type="spellStart"/>
            <w:r w:rsidR="00E55EFC" w:rsidRPr="00E55EFC">
              <w:rPr>
                <w:i/>
                <w:iCs/>
                <w:szCs w:val="22"/>
              </w:rPr>
              <w:t>megabase</w:t>
            </w:r>
            <w:proofErr w:type="spellEnd"/>
            <w:r w:rsidR="00E55EFC" w:rsidRPr="00E55EFC">
              <w:rPr>
                <w:i/>
                <w:iCs/>
                <w:szCs w:val="22"/>
              </w:rPr>
              <w:t xml:space="preserve"> (mut/Mb)] solid tumours, as determined by a validated test, that have progressed following prior treatment and who have no satisfactory alternative treatment options. This indication was approved via the provisional approval pathway, based on the pooling of data on objective response rate and response duration across multiple different tissue types in a single-arm trial. The assumption that TMB-H status is predictive of the treatment effect of </w:t>
            </w:r>
            <w:r>
              <w:rPr>
                <w:i/>
                <w:iCs/>
                <w:szCs w:val="22"/>
              </w:rPr>
              <w:t xml:space="preserve">Keytruda </w:t>
            </w:r>
            <w:r w:rsidR="00E55EFC" w:rsidRPr="00E55EFC">
              <w:rPr>
                <w:i/>
                <w:iCs/>
                <w:szCs w:val="22"/>
              </w:rPr>
              <w:t>for every tissue type has not been verified. Full registration for this indication depends on verification and description of clinical benefit in confirmatory trials.</w:t>
            </w:r>
          </w:p>
        </w:tc>
      </w:tr>
    </w:tbl>
    <w:p w14:paraId="60C93260" w14:textId="4B58B6D8" w:rsidR="00B004E2" w:rsidRDefault="00324B33" w:rsidP="00324B33">
      <w:pPr>
        <w:rPr>
          <w:szCs w:val="22"/>
        </w:rPr>
      </w:pPr>
      <w:r w:rsidRPr="00BD5DBD">
        <w:rPr>
          <w:szCs w:val="22"/>
        </w:rPr>
        <w:t xml:space="preserve">At the time the TGA considered this submission, a similar submission </w:t>
      </w:r>
      <w:r w:rsidR="00E55EFC">
        <w:rPr>
          <w:szCs w:val="22"/>
        </w:rPr>
        <w:t>for the proposed extension of indication</w:t>
      </w:r>
      <w:r w:rsidR="00295490">
        <w:rPr>
          <w:szCs w:val="22"/>
        </w:rPr>
        <w:t>s</w:t>
      </w:r>
      <w:r w:rsidR="00E55EFC">
        <w:rPr>
          <w:szCs w:val="22"/>
        </w:rPr>
        <w:t xml:space="preserve"> </w:t>
      </w:r>
      <w:r w:rsidRPr="00BD5DBD">
        <w:rPr>
          <w:szCs w:val="22"/>
        </w:rPr>
        <w:t>had been approved</w:t>
      </w:r>
      <w:r w:rsidR="00E55EFC">
        <w:rPr>
          <w:szCs w:val="22"/>
        </w:rPr>
        <w:t xml:space="preserve"> </w:t>
      </w:r>
      <w:r w:rsidR="00E75C53">
        <w:rPr>
          <w:szCs w:val="22"/>
        </w:rPr>
        <w:t xml:space="preserve">in the United States of America, European Union, Canada, </w:t>
      </w:r>
      <w:proofErr w:type="gramStart"/>
      <w:r w:rsidR="00E75C53">
        <w:rPr>
          <w:szCs w:val="22"/>
        </w:rPr>
        <w:t>Switzerland</w:t>
      </w:r>
      <w:proofErr w:type="gramEnd"/>
      <w:r w:rsidR="00E75C53">
        <w:rPr>
          <w:szCs w:val="22"/>
        </w:rPr>
        <w:t xml:space="preserve"> and New Zealand.</w:t>
      </w:r>
    </w:p>
    <w:p w14:paraId="1B9AB90D" w14:textId="05B218F3" w:rsidR="00324B33" w:rsidRDefault="00324B33" w:rsidP="00324B33">
      <w:pPr>
        <w:rPr>
          <w:szCs w:val="22"/>
        </w:rPr>
      </w:pPr>
      <w:r w:rsidRPr="00BD5DBD">
        <w:rPr>
          <w:szCs w:val="22"/>
        </w:rPr>
        <w:t>The following table summarises these submissions and provides the indications where approved.</w:t>
      </w:r>
    </w:p>
    <w:p w14:paraId="1AD32A13" w14:textId="3D22E87B" w:rsidR="00295490" w:rsidRPr="00BD5DBD" w:rsidRDefault="00295490" w:rsidP="00794437">
      <w:pPr>
        <w:spacing w:before="0"/>
        <w:rPr>
          <w:szCs w:val="22"/>
        </w:rPr>
      </w:pPr>
      <w:r>
        <w:rPr>
          <w:szCs w:val="22"/>
        </w:rPr>
        <w:br w:type="page"/>
      </w:r>
    </w:p>
    <w:p w14:paraId="19B9E0AC" w14:textId="3324E0DD" w:rsidR="00324B33" w:rsidRDefault="00324B33" w:rsidP="00324B33">
      <w:pPr>
        <w:pStyle w:val="TableTitle"/>
      </w:pPr>
      <w:bookmarkStart w:id="24" w:name="_Ref99705479"/>
      <w:r>
        <w:lastRenderedPageBreak/>
        <w:t xml:space="preserve">Table </w:t>
      </w:r>
      <w:r>
        <w:fldChar w:fldCharType="begin"/>
      </w:r>
      <w:r>
        <w:instrText>SEQ Table \* ARABIC</w:instrText>
      </w:r>
      <w:r>
        <w:fldChar w:fldCharType="separate"/>
      </w:r>
      <w:r w:rsidR="00A463D1">
        <w:rPr>
          <w:noProof/>
        </w:rPr>
        <w:t>3</w:t>
      </w:r>
      <w:r>
        <w:fldChar w:fldCharType="end"/>
      </w:r>
      <w:bookmarkEnd w:id="24"/>
      <w:r>
        <w:t>: International regulatory status</w:t>
      </w:r>
    </w:p>
    <w:tbl>
      <w:tblPr>
        <w:tblStyle w:val="TableTGAblue2023"/>
        <w:tblW w:w="5000" w:type="pct"/>
        <w:tblLayout w:type="fixed"/>
        <w:tblLook w:val="04A0" w:firstRow="1" w:lastRow="0" w:firstColumn="1" w:lastColumn="0" w:noHBand="0" w:noVBand="1"/>
      </w:tblPr>
      <w:tblGrid>
        <w:gridCol w:w="1555"/>
        <w:gridCol w:w="1558"/>
        <w:gridCol w:w="2102"/>
        <w:gridCol w:w="3845"/>
      </w:tblGrid>
      <w:tr w:rsidR="00324B33" w:rsidRPr="00D01DDB" w14:paraId="405E5D78" w14:textId="16839333" w:rsidTr="00295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185B099B" w14:textId="7A4C0E6C" w:rsidR="00324B33" w:rsidRPr="00D01DDB" w:rsidRDefault="00324B33" w:rsidP="00295490">
            <w:pPr>
              <w:ind w:left="0"/>
              <w:rPr>
                <w:szCs w:val="22"/>
              </w:rPr>
            </w:pPr>
            <w:r w:rsidRPr="00D01DDB">
              <w:rPr>
                <w:szCs w:val="22"/>
              </w:rPr>
              <w:t>Region</w:t>
            </w:r>
          </w:p>
        </w:tc>
        <w:tc>
          <w:tcPr>
            <w:tcW w:w="860" w:type="pct"/>
          </w:tcPr>
          <w:p w14:paraId="778C35C7" w14:textId="52D23C85" w:rsidR="00324B33" w:rsidRPr="00D01DDB" w:rsidRDefault="00324B33" w:rsidP="00295490">
            <w:pPr>
              <w:ind w:left="0"/>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60" w:type="pct"/>
          </w:tcPr>
          <w:p w14:paraId="58F81584" w14:textId="66689ABF" w:rsidR="00324B33" w:rsidRPr="00D01DDB" w:rsidRDefault="00324B33" w:rsidP="00295490">
            <w:pPr>
              <w:ind w:left="0"/>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2122" w:type="pct"/>
          </w:tcPr>
          <w:p w14:paraId="50B2D435" w14:textId="560588D2" w:rsidR="00324B33" w:rsidRPr="00D01DDB" w:rsidRDefault="00324B33" w:rsidP="00295490">
            <w:pPr>
              <w:ind w:left="0"/>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295490">
        <w:tc>
          <w:tcPr>
            <w:cnfStyle w:val="001000000000" w:firstRow="0" w:lastRow="0" w:firstColumn="1" w:lastColumn="0" w:oddVBand="0" w:evenVBand="0" w:oddHBand="0" w:evenHBand="0" w:firstRowFirstColumn="0" w:firstRowLastColumn="0" w:lastRowFirstColumn="0" w:lastRowLastColumn="0"/>
            <w:tcW w:w="858" w:type="pct"/>
          </w:tcPr>
          <w:p w14:paraId="4C540DE5" w14:textId="66CA6C26" w:rsidR="00324B33" w:rsidRPr="00D01DDB" w:rsidRDefault="00E75C53" w:rsidP="00295490">
            <w:pPr>
              <w:ind w:left="0"/>
              <w:rPr>
                <w:szCs w:val="22"/>
              </w:rPr>
            </w:pPr>
            <w:r>
              <w:rPr>
                <w:szCs w:val="22"/>
              </w:rPr>
              <w:t>United States of America</w:t>
            </w:r>
          </w:p>
        </w:tc>
        <w:tc>
          <w:tcPr>
            <w:tcW w:w="860" w:type="pct"/>
          </w:tcPr>
          <w:p w14:paraId="4FA5DDA9" w14:textId="76B51050" w:rsidR="00324B33" w:rsidRPr="00D01DDB" w:rsidRDefault="00E75C53" w:rsidP="00295490">
            <w:pPr>
              <w:ind w:left="0"/>
              <w:cnfStyle w:val="000000000000" w:firstRow="0" w:lastRow="0" w:firstColumn="0" w:lastColumn="0" w:oddVBand="0" w:evenVBand="0" w:oddHBand="0" w:evenHBand="0" w:firstRowFirstColumn="0" w:firstRowLastColumn="0" w:lastRowFirstColumn="0" w:lastRowLastColumn="0"/>
              <w:rPr>
                <w:szCs w:val="22"/>
              </w:rPr>
            </w:pPr>
            <w:r>
              <w:rPr>
                <w:szCs w:val="22"/>
              </w:rPr>
              <w:t>30 April 2020</w:t>
            </w:r>
          </w:p>
        </w:tc>
        <w:tc>
          <w:tcPr>
            <w:tcW w:w="1160" w:type="pct"/>
          </w:tcPr>
          <w:p w14:paraId="29358393" w14:textId="2C086156" w:rsidR="00324B33" w:rsidRPr="00D01DDB" w:rsidRDefault="00324B33" w:rsidP="00295490">
            <w:pPr>
              <w:ind w:left="0"/>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w:t>
            </w:r>
            <w:r w:rsidR="00E75C53">
              <w:rPr>
                <w:szCs w:val="22"/>
              </w:rPr>
              <w:t xml:space="preserve">on </w:t>
            </w:r>
            <w:r w:rsidR="00AD48E1">
              <w:rPr>
                <w:szCs w:val="22"/>
              </w:rPr>
              <w:t>14</w:t>
            </w:r>
            <w:r w:rsidR="00295490">
              <w:rPr>
                <w:szCs w:val="22"/>
              </w:rPr>
              <w:t> </w:t>
            </w:r>
            <w:r w:rsidR="00AD48E1">
              <w:rPr>
                <w:szCs w:val="22"/>
              </w:rPr>
              <w:t>October 2020</w:t>
            </w:r>
          </w:p>
        </w:tc>
        <w:tc>
          <w:tcPr>
            <w:tcW w:w="2122" w:type="pct"/>
          </w:tcPr>
          <w:p w14:paraId="05055674" w14:textId="44B9FB92" w:rsidR="00324B33" w:rsidRPr="00E75C53" w:rsidRDefault="00B004E2" w:rsidP="00295490">
            <w:pPr>
              <w:ind w:left="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75C53" w:rsidRPr="00E75C53">
              <w:rPr>
                <w:i/>
                <w:iCs/>
                <w:szCs w:val="22"/>
              </w:rPr>
              <w:t>is indicated for the treatment of adult patients with</w:t>
            </w:r>
            <w:r w:rsidR="00E75C53">
              <w:rPr>
                <w:i/>
                <w:iCs/>
                <w:szCs w:val="22"/>
              </w:rPr>
              <w:t xml:space="preserve"> </w:t>
            </w:r>
            <w:r w:rsidR="00E75C53" w:rsidRPr="00E75C53">
              <w:rPr>
                <w:i/>
                <w:iCs/>
                <w:szCs w:val="22"/>
              </w:rPr>
              <w:t>relapsed or refractory classical Hodgkin lymphoma (</w:t>
            </w:r>
            <w:proofErr w:type="spellStart"/>
            <w:r w:rsidR="00E75C53" w:rsidRPr="00E75C53">
              <w:rPr>
                <w:i/>
                <w:iCs/>
                <w:szCs w:val="22"/>
              </w:rPr>
              <w:t>cHL</w:t>
            </w:r>
            <w:proofErr w:type="spellEnd"/>
            <w:r w:rsidR="00E75C53" w:rsidRPr="00E75C53">
              <w:rPr>
                <w:i/>
                <w:iCs/>
                <w:szCs w:val="22"/>
              </w:rPr>
              <w:t>).</w:t>
            </w:r>
            <w:r w:rsidR="00E75C53">
              <w:rPr>
                <w:i/>
                <w:iCs/>
                <w:szCs w:val="22"/>
              </w:rPr>
              <w:t xml:space="preserve"> </w:t>
            </w:r>
            <w:r>
              <w:rPr>
                <w:i/>
                <w:iCs/>
                <w:szCs w:val="22"/>
              </w:rPr>
              <w:t xml:space="preserve">Keytruda </w:t>
            </w:r>
            <w:r w:rsidR="00E75C53" w:rsidRPr="00E75C53">
              <w:rPr>
                <w:i/>
                <w:iCs/>
                <w:szCs w:val="22"/>
              </w:rPr>
              <w:t xml:space="preserve">is indicated for the treatment of </w:t>
            </w:r>
            <w:proofErr w:type="spellStart"/>
            <w:r w:rsidR="00E75C53" w:rsidRPr="00E75C53">
              <w:rPr>
                <w:i/>
                <w:iCs/>
                <w:szCs w:val="22"/>
              </w:rPr>
              <w:t>pediatric</w:t>
            </w:r>
            <w:proofErr w:type="spellEnd"/>
            <w:r w:rsidR="00E75C53" w:rsidRPr="00E75C53">
              <w:rPr>
                <w:i/>
                <w:iCs/>
                <w:szCs w:val="22"/>
              </w:rPr>
              <w:t xml:space="preserve"> patients with</w:t>
            </w:r>
            <w:r w:rsidR="00E75C53">
              <w:rPr>
                <w:i/>
                <w:iCs/>
                <w:szCs w:val="22"/>
              </w:rPr>
              <w:t xml:space="preserve"> </w:t>
            </w:r>
            <w:r w:rsidR="00E75C53" w:rsidRPr="00E75C53">
              <w:rPr>
                <w:i/>
                <w:iCs/>
                <w:szCs w:val="22"/>
              </w:rPr>
              <w:t xml:space="preserve">refractory </w:t>
            </w:r>
            <w:proofErr w:type="spellStart"/>
            <w:r w:rsidR="00E75C53" w:rsidRPr="00E75C53">
              <w:rPr>
                <w:i/>
                <w:iCs/>
                <w:szCs w:val="22"/>
              </w:rPr>
              <w:t>cHL</w:t>
            </w:r>
            <w:proofErr w:type="spellEnd"/>
            <w:r w:rsidR="00E75C53" w:rsidRPr="00E75C53">
              <w:rPr>
                <w:i/>
                <w:iCs/>
                <w:szCs w:val="22"/>
              </w:rPr>
              <w:t xml:space="preserve">, or </w:t>
            </w:r>
            <w:proofErr w:type="spellStart"/>
            <w:r w:rsidR="00E75C53" w:rsidRPr="00E75C53">
              <w:rPr>
                <w:i/>
                <w:iCs/>
                <w:szCs w:val="22"/>
              </w:rPr>
              <w:t>cHL</w:t>
            </w:r>
            <w:proofErr w:type="spellEnd"/>
            <w:r w:rsidR="00E75C53" w:rsidRPr="00E75C53">
              <w:rPr>
                <w:i/>
                <w:iCs/>
                <w:szCs w:val="22"/>
              </w:rPr>
              <w:t xml:space="preserve"> that has relapsed after 2 or more lines of</w:t>
            </w:r>
            <w:r w:rsidR="00E75C53">
              <w:rPr>
                <w:i/>
                <w:iCs/>
                <w:szCs w:val="22"/>
              </w:rPr>
              <w:t xml:space="preserve"> </w:t>
            </w:r>
            <w:r w:rsidR="00E75C53" w:rsidRPr="00E75C53">
              <w:rPr>
                <w:i/>
                <w:iCs/>
                <w:szCs w:val="22"/>
              </w:rPr>
              <w:t>therapy.</w:t>
            </w:r>
          </w:p>
        </w:tc>
      </w:tr>
      <w:tr w:rsidR="00324B33" w:rsidRPr="00D01DDB" w14:paraId="18B6E2AA" w14:textId="7783D66F" w:rsidTr="00295490">
        <w:tc>
          <w:tcPr>
            <w:cnfStyle w:val="001000000000" w:firstRow="0" w:lastRow="0" w:firstColumn="1" w:lastColumn="0" w:oddVBand="0" w:evenVBand="0" w:oddHBand="0" w:evenHBand="0" w:firstRowFirstColumn="0" w:firstRowLastColumn="0" w:lastRowFirstColumn="0" w:lastRowLastColumn="0"/>
            <w:tcW w:w="858" w:type="pct"/>
          </w:tcPr>
          <w:p w14:paraId="7F348960" w14:textId="2EED1029" w:rsidR="00324B33" w:rsidRPr="00D01DDB" w:rsidRDefault="00E75C53" w:rsidP="00295490">
            <w:pPr>
              <w:ind w:left="0"/>
              <w:rPr>
                <w:szCs w:val="22"/>
              </w:rPr>
            </w:pPr>
            <w:r>
              <w:rPr>
                <w:szCs w:val="22"/>
              </w:rPr>
              <w:t>European Union</w:t>
            </w:r>
          </w:p>
        </w:tc>
        <w:tc>
          <w:tcPr>
            <w:tcW w:w="860" w:type="pct"/>
          </w:tcPr>
          <w:p w14:paraId="1D871E57" w14:textId="39D6A569" w:rsidR="00324B33" w:rsidRPr="00D01DDB" w:rsidRDefault="00E75C53" w:rsidP="00295490">
            <w:pPr>
              <w:ind w:left="0"/>
              <w:cnfStyle w:val="000000000000" w:firstRow="0" w:lastRow="0" w:firstColumn="0" w:lastColumn="0" w:oddVBand="0" w:evenVBand="0" w:oddHBand="0" w:evenHBand="0" w:firstRowFirstColumn="0" w:firstRowLastColumn="0" w:lastRowFirstColumn="0" w:lastRowLastColumn="0"/>
              <w:rPr>
                <w:szCs w:val="22"/>
              </w:rPr>
            </w:pPr>
            <w:r>
              <w:rPr>
                <w:szCs w:val="22"/>
              </w:rPr>
              <w:t>13 May 2020</w:t>
            </w:r>
          </w:p>
        </w:tc>
        <w:tc>
          <w:tcPr>
            <w:tcW w:w="1160" w:type="pct"/>
          </w:tcPr>
          <w:p w14:paraId="63A3A9D3" w14:textId="588ADAAF" w:rsidR="00324B33" w:rsidRPr="00D01DDB" w:rsidRDefault="00E75C53" w:rsidP="00295490">
            <w:pPr>
              <w:ind w:left="0"/>
              <w:cnfStyle w:val="000000000000" w:firstRow="0" w:lastRow="0" w:firstColumn="0" w:lastColumn="0" w:oddVBand="0" w:evenVBand="0" w:oddHBand="0" w:evenHBand="0" w:firstRowFirstColumn="0" w:firstRowLastColumn="0" w:lastRowFirstColumn="0" w:lastRowLastColumn="0"/>
              <w:rPr>
                <w:szCs w:val="22"/>
              </w:rPr>
            </w:pPr>
            <w:r w:rsidRPr="00E75C53">
              <w:rPr>
                <w:szCs w:val="22"/>
              </w:rPr>
              <w:t xml:space="preserve">Approved on </w:t>
            </w:r>
            <w:r w:rsidR="00624208">
              <w:rPr>
                <w:szCs w:val="22"/>
              </w:rPr>
              <w:t>9</w:t>
            </w:r>
            <w:r w:rsidR="00295490">
              <w:rPr>
                <w:szCs w:val="22"/>
              </w:rPr>
              <w:t> </w:t>
            </w:r>
            <w:r w:rsidR="00624208">
              <w:rPr>
                <w:szCs w:val="22"/>
              </w:rPr>
              <w:t>March 2021</w:t>
            </w:r>
          </w:p>
        </w:tc>
        <w:tc>
          <w:tcPr>
            <w:tcW w:w="2122" w:type="pct"/>
          </w:tcPr>
          <w:p w14:paraId="17C650B8" w14:textId="26F9B735" w:rsidR="00324B33" w:rsidRPr="00E75C53" w:rsidRDefault="00B004E2" w:rsidP="00295490">
            <w:pPr>
              <w:ind w:left="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75C53" w:rsidRPr="00E75C53">
              <w:rPr>
                <w:i/>
                <w:iCs/>
                <w:szCs w:val="22"/>
              </w:rPr>
              <w:t>as monotherapy is indicated for the treatment of adult and paediatric patients aged 3 years and older with relapsed or refractory classical Hodgkin lymphoma who have failed autologous stem cell transplant (ASCT) or following at least two prior therapies when ASCT is not a treatment option.</w:t>
            </w:r>
          </w:p>
        </w:tc>
      </w:tr>
      <w:tr w:rsidR="00E75C53" w:rsidRPr="00D01DDB" w14:paraId="2C9ECFFE" w14:textId="77777777" w:rsidTr="00295490">
        <w:tc>
          <w:tcPr>
            <w:cnfStyle w:val="001000000000" w:firstRow="0" w:lastRow="0" w:firstColumn="1" w:lastColumn="0" w:oddVBand="0" w:evenVBand="0" w:oddHBand="0" w:evenHBand="0" w:firstRowFirstColumn="0" w:firstRowLastColumn="0" w:lastRowFirstColumn="0" w:lastRowLastColumn="0"/>
            <w:tcW w:w="858" w:type="pct"/>
          </w:tcPr>
          <w:p w14:paraId="066BB9DE" w14:textId="7A3998B8" w:rsidR="00E75C53" w:rsidRDefault="00E75C53" w:rsidP="00295490">
            <w:pPr>
              <w:ind w:left="0"/>
              <w:rPr>
                <w:szCs w:val="22"/>
              </w:rPr>
            </w:pPr>
            <w:r>
              <w:rPr>
                <w:szCs w:val="22"/>
              </w:rPr>
              <w:t>Canada</w:t>
            </w:r>
          </w:p>
        </w:tc>
        <w:tc>
          <w:tcPr>
            <w:tcW w:w="860" w:type="pct"/>
          </w:tcPr>
          <w:p w14:paraId="6DC62854" w14:textId="2363DEF9" w:rsidR="00E75C53" w:rsidRDefault="00E75C53" w:rsidP="00295490">
            <w:pPr>
              <w:ind w:left="0"/>
              <w:cnfStyle w:val="000000000000" w:firstRow="0" w:lastRow="0" w:firstColumn="0" w:lastColumn="0" w:oddVBand="0" w:evenVBand="0" w:oddHBand="0" w:evenHBand="0" w:firstRowFirstColumn="0" w:firstRowLastColumn="0" w:lastRowFirstColumn="0" w:lastRowLastColumn="0"/>
              <w:rPr>
                <w:szCs w:val="22"/>
              </w:rPr>
            </w:pPr>
            <w:r>
              <w:rPr>
                <w:szCs w:val="22"/>
              </w:rPr>
              <w:t>15 May 2020</w:t>
            </w:r>
          </w:p>
        </w:tc>
        <w:tc>
          <w:tcPr>
            <w:tcW w:w="1160" w:type="pct"/>
          </w:tcPr>
          <w:p w14:paraId="6605FE92" w14:textId="61F45F7D" w:rsidR="00E75C53" w:rsidRPr="00E75C53" w:rsidRDefault="00E75C53" w:rsidP="00295490">
            <w:pPr>
              <w:ind w:left="0"/>
              <w:cnfStyle w:val="000000000000" w:firstRow="0" w:lastRow="0" w:firstColumn="0" w:lastColumn="0" w:oddVBand="0" w:evenVBand="0" w:oddHBand="0" w:evenHBand="0" w:firstRowFirstColumn="0" w:firstRowLastColumn="0" w:lastRowFirstColumn="0" w:lastRowLastColumn="0"/>
              <w:rPr>
                <w:szCs w:val="22"/>
              </w:rPr>
            </w:pPr>
            <w:r w:rsidRPr="00E75C53">
              <w:rPr>
                <w:szCs w:val="22"/>
              </w:rPr>
              <w:t xml:space="preserve">Approved on </w:t>
            </w:r>
            <w:r w:rsidR="00AD48E1">
              <w:rPr>
                <w:szCs w:val="22"/>
              </w:rPr>
              <w:t>5</w:t>
            </w:r>
            <w:r w:rsidR="00295490">
              <w:rPr>
                <w:szCs w:val="22"/>
              </w:rPr>
              <w:t> </w:t>
            </w:r>
            <w:r w:rsidR="00AD48E1">
              <w:rPr>
                <w:szCs w:val="22"/>
              </w:rPr>
              <w:t>February 2021</w:t>
            </w:r>
          </w:p>
        </w:tc>
        <w:tc>
          <w:tcPr>
            <w:tcW w:w="2122" w:type="pct"/>
          </w:tcPr>
          <w:p w14:paraId="0F042226" w14:textId="012A986E" w:rsidR="00E75C53" w:rsidRPr="00E75C53" w:rsidRDefault="00B004E2" w:rsidP="00295490">
            <w:pPr>
              <w:ind w:left="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75C53" w:rsidRPr="00E75C53">
              <w:rPr>
                <w:i/>
                <w:iCs/>
                <w:szCs w:val="22"/>
              </w:rPr>
              <w:t>as monotherapy is indicated for the treatment of adult</w:t>
            </w:r>
            <w:r w:rsidR="00E75C53">
              <w:rPr>
                <w:i/>
                <w:iCs/>
                <w:szCs w:val="22"/>
              </w:rPr>
              <w:t xml:space="preserve"> </w:t>
            </w:r>
            <w:r w:rsidR="00E75C53" w:rsidRPr="00E75C53">
              <w:rPr>
                <w:i/>
                <w:iCs/>
                <w:szCs w:val="22"/>
              </w:rPr>
              <w:t xml:space="preserve">and </w:t>
            </w:r>
            <w:proofErr w:type="spellStart"/>
            <w:r w:rsidR="00E75C53" w:rsidRPr="00E75C53">
              <w:rPr>
                <w:i/>
                <w:iCs/>
                <w:szCs w:val="22"/>
              </w:rPr>
              <w:t>pediatric</w:t>
            </w:r>
            <w:proofErr w:type="spellEnd"/>
            <w:r w:rsidR="00E75C53" w:rsidRPr="00E75C53">
              <w:rPr>
                <w:i/>
                <w:iCs/>
                <w:szCs w:val="22"/>
              </w:rPr>
              <w:t xml:space="preserve"> patients with refractory or relapsed classical Hodgkin</w:t>
            </w:r>
            <w:r w:rsidR="00E75C53">
              <w:rPr>
                <w:i/>
                <w:iCs/>
                <w:szCs w:val="22"/>
              </w:rPr>
              <w:t xml:space="preserve"> </w:t>
            </w:r>
            <w:r w:rsidR="00E75C53" w:rsidRPr="00E75C53">
              <w:rPr>
                <w:i/>
                <w:iCs/>
                <w:szCs w:val="22"/>
              </w:rPr>
              <w:t>Lymphoma (</w:t>
            </w:r>
            <w:proofErr w:type="spellStart"/>
            <w:r w:rsidR="00E75C53" w:rsidRPr="00E75C53">
              <w:rPr>
                <w:i/>
                <w:iCs/>
                <w:szCs w:val="22"/>
              </w:rPr>
              <w:t>cHL</w:t>
            </w:r>
            <w:proofErr w:type="spellEnd"/>
            <w:r w:rsidR="00E75C53" w:rsidRPr="00E75C53">
              <w:rPr>
                <w:i/>
                <w:iCs/>
                <w:szCs w:val="22"/>
              </w:rPr>
              <w:t>) who have failed autologous stem cell transplant</w:t>
            </w:r>
            <w:r w:rsidR="00E75C53">
              <w:rPr>
                <w:i/>
                <w:iCs/>
                <w:szCs w:val="22"/>
              </w:rPr>
              <w:t xml:space="preserve"> </w:t>
            </w:r>
            <w:r w:rsidR="00E75C53" w:rsidRPr="00E75C53">
              <w:rPr>
                <w:i/>
                <w:iCs/>
                <w:szCs w:val="22"/>
              </w:rPr>
              <w:t>(ASCT), or who are not candidates for multi-agent salvage</w:t>
            </w:r>
            <w:r w:rsidR="00E75C53">
              <w:rPr>
                <w:i/>
                <w:iCs/>
                <w:szCs w:val="22"/>
              </w:rPr>
              <w:t xml:space="preserve"> </w:t>
            </w:r>
            <w:r w:rsidR="00E75C53" w:rsidRPr="00E75C53">
              <w:rPr>
                <w:i/>
                <w:iCs/>
                <w:szCs w:val="22"/>
              </w:rPr>
              <w:t>chemotherapy and ASCT. An improvement in overall survival has</w:t>
            </w:r>
            <w:r w:rsidR="00E75C53">
              <w:rPr>
                <w:i/>
                <w:iCs/>
                <w:szCs w:val="22"/>
              </w:rPr>
              <w:t xml:space="preserve"> </w:t>
            </w:r>
            <w:r w:rsidR="00E75C53" w:rsidRPr="00E75C53">
              <w:rPr>
                <w:i/>
                <w:iCs/>
                <w:szCs w:val="22"/>
              </w:rPr>
              <w:t>not yet been established</w:t>
            </w:r>
          </w:p>
        </w:tc>
      </w:tr>
      <w:tr w:rsidR="00E75C53" w:rsidRPr="00D01DDB" w14:paraId="56D599D1" w14:textId="77777777" w:rsidTr="00295490">
        <w:tc>
          <w:tcPr>
            <w:cnfStyle w:val="001000000000" w:firstRow="0" w:lastRow="0" w:firstColumn="1" w:lastColumn="0" w:oddVBand="0" w:evenVBand="0" w:oddHBand="0" w:evenHBand="0" w:firstRowFirstColumn="0" w:firstRowLastColumn="0" w:lastRowFirstColumn="0" w:lastRowLastColumn="0"/>
            <w:tcW w:w="858" w:type="pct"/>
          </w:tcPr>
          <w:p w14:paraId="2A6AABD4" w14:textId="03DB54D5" w:rsidR="00E75C53" w:rsidRDefault="00E75C53" w:rsidP="00295490">
            <w:pPr>
              <w:ind w:left="0"/>
              <w:rPr>
                <w:szCs w:val="22"/>
              </w:rPr>
            </w:pPr>
            <w:r>
              <w:rPr>
                <w:szCs w:val="22"/>
              </w:rPr>
              <w:t>Switzerland</w:t>
            </w:r>
          </w:p>
        </w:tc>
        <w:tc>
          <w:tcPr>
            <w:tcW w:w="860" w:type="pct"/>
          </w:tcPr>
          <w:p w14:paraId="594EA68D" w14:textId="262B6A5C" w:rsidR="00E75C53" w:rsidRDefault="00E75C53" w:rsidP="00295490">
            <w:pPr>
              <w:ind w:left="0"/>
              <w:cnfStyle w:val="000000000000" w:firstRow="0" w:lastRow="0" w:firstColumn="0" w:lastColumn="0" w:oddVBand="0" w:evenVBand="0" w:oddHBand="0" w:evenHBand="0" w:firstRowFirstColumn="0" w:firstRowLastColumn="0" w:lastRowFirstColumn="0" w:lastRowLastColumn="0"/>
              <w:rPr>
                <w:szCs w:val="22"/>
              </w:rPr>
            </w:pPr>
            <w:r>
              <w:rPr>
                <w:szCs w:val="22"/>
              </w:rPr>
              <w:t>1 July 2020</w:t>
            </w:r>
          </w:p>
        </w:tc>
        <w:tc>
          <w:tcPr>
            <w:tcW w:w="1160" w:type="pct"/>
          </w:tcPr>
          <w:p w14:paraId="39585474" w14:textId="7700182C" w:rsidR="00E75C53" w:rsidRPr="00E75C53" w:rsidRDefault="00E75C53" w:rsidP="00295490">
            <w:pPr>
              <w:ind w:left="0"/>
              <w:cnfStyle w:val="000000000000" w:firstRow="0" w:lastRow="0" w:firstColumn="0" w:lastColumn="0" w:oddVBand="0" w:evenVBand="0" w:oddHBand="0" w:evenHBand="0" w:firstRowFirstColumn="0" w:firstRowLastColumn="0" w:lastRowFirstColumn="0" w:lastRowLastColumn="0"/>
              <w:rPr>
                <w:szCs w:val="22"/>
              </w:rPr>
            </w:pPr>
            <w:r w:rsidRPr="00E75C53">
              <w:rPr>
                <w:szCs w:val="22"/>
              </w:rPr>
              <w:t xml:space="preserve">Approved on </w:t>
            </w:r>
            <w:r w:rsidR="00AD48E1">
              <w:rPr>
                <w:szCs w:val="22"/>
              </w:rPr>
              <w:t>26</w:t>
            </w:r>
            <w:r w:rsidR="00295490">
              <w:rPr>
                <w:szCs w:val="22"/>
              </w:rPr>
              <w:t> </w:t>
            </w:r>
            <w:r w:rsidR="00AD48E1">
              <w:rPr>
                <w:szCs w:val="22"/>
              </w:rPr>
              <w:t>March 2021</w:t>
            </w:r>
          </w:p>
        </w:tc>
        <w:tc>
          <w:tcPr>
            <w:tcW w:w="2122" w:type="pct"/>
          </w:tcPr>
          <w:p w14:paraId="0CACA8D5" w14:textId="25177E95" w:rsidR="00E75C53" w:rsidRPr="00E75C53" w:rsidRDefault="00E75C53" w:rsidP="00295490">
            <w:pPr>
              <w:ind w:left="0"/>
              <w:cnfStyle w:val="000000000000" w:firstRow="0" w:lastRow="0" w:firstColumn="0" w:lastColumn="0" w:oddVBand="0" w:evenVBand="0" w:oddHBand="0" w:evenHBand="0" w:firstRowFirstColumn="0" w:firstRowLastColumn="0" w:lastRowFirstColumn="0" w:lastRowLastColumn="0"/>
              <w:rPr>
                <w:i/>
                <w:iCs/>
                <w:szCs w:val="22"/>
              </w:rPr>
            </w:pPr>
            <w:r w:rsidRPr="00E75C53">
              <w:rPr>
                <w:i/>
                <w:iCs/>
                <w:szCs w:val="22"/>
              </w:rPr>
              <w:t>Pembrolizumab as monotherapy is indicated for the treatment of</w:t>
            </w:r>
            <w:r>
              <w:rPr>
                <w:i/>
                <w:iCs/>
                <w:szCs w:val="22"/>
              </w:rPr>
              <w:t xml:space="preserve"> </w:t>
            </w:r>
            <w:r w:rsidRPr="00E75C53">
              <w:rPr>
                <w:i/>
                <w:iCs/>
                <w:szCs w:val="22"/>
              </w:rPr>
              <w:t>adult and paediatric patients aged 3 years and older with relapsed</w:t>
            </w:r>
            <w:r>
              <w:rPr>
                <w:i/>
                <w:iCs/>
                <w:szCs w:val="22"/>
              </w:rPr>
              <w:t xml:space="preserve"> </w:t>
            </w:r>
            <w:r w:rsidRPr="00E75C53">
              <w:rPr>
                <w:i/>
                <w:iCs/>
                <w:szCs w:val="22"/>
              </w:rPr>
              <w:t>or refractory classical Hodgkin lymphoma (</w:t>
            </w:r>
            <w:proofErr w:type="spellStart"/>
            <w:r w:rsidRPr="00E75C53">
              <w:rPr>
                <w:i/>
                <w:iCs/>
                <w:szCs w:val="22"/>
              </w:rPr>
              <w:t>cHL</w:t>
            </w:r>
            <w:proofErr w:type="spellEnd"/>
            <w:r w:rsidRPr="00E75C53">
              <w:rPr>
                <w:i/>
                <w:iCs/>
                <w:szCs w:val="22"/>
              </w:rPr>
              <w:t>) who have failed</w:t>
            </w:r>
            <w:r>
              <w:rPr>
                <w:i/>
                <w:iCs/>
                <w:szCs w:val="22"/>
              </w:rPr>
              <w:t xml:space="preserve"> </w:t>
            </w:r>
            <w:r w:rsidRPr="00E75C53">
              <w:rPr>
                <w:i/>
                <w:iCs/>
                <w:szCs w:val="22"/>
              </w:rPr>
              <w:t>autologous stem cell transplant (ASCT) or following at least one</w:t>
            </w:r>
            <w:r>
              <w:rPr>
                <w:i/>
                <w:iCs/>
                <w:szCs w:val="22"/>
              </w:rPr>
              <w:t xml:space="preserve"> </w:t>
            </w:r>
            <w:r w:rsidRPr="00E75C53">
              <w:rPr>
                <w:i/>
                <w:iCs/>
                <w:szCs w:val="22"/>
              </w:rPr>
              <w:t>prior therapy when ASCT is not a treatment option.</w:t>
            </w:r>
          </w:p>
        </w:tc>
      </w:tr>
      <w:tr w:rsidR="00E75C53" w:rsidRPr="00D01DDB" w14:paraId="1BB168E5" w14:textId="77777777" w:rsidTr="00295490">
        <w:tc>
          <w:tcPr>
            <w:cnfStyle w:val="001000000000" w:firstRow="0" w:lastRow="0" w:firstColumn="1" w:lastColumn="0" w:oddVBand="0" w:evenVBand="0" w:oddHBand="0" w:evenHBand="0" w:firstRowFirstColumn="0" w:firstRowLastColumn="0" w:lastRowFirstColumn="0" w:lastRowLastColumn="0"/>
            <w:tcW w:w="858" w:type="pct"/>
          </w:tcPr>
          <w:p w14:paraId="194F3737" w14:textId="43583793" w:rsidR="00E75C53" w:rsidRDefault="00E75C53" w:rsidP="00295490">
            <w:pPr>
              <w:ind w:left="0"/>
              <w:rPr>
                <w:szCs w:val="22"/>
              </w:rPr>
            </w:pPr>
            <w:r>
              <w:rPr>
                <w:szCs w:val="22"/>
              </w:rPr>
              <w:t>New Zealand</w:t>
            </w:r>
          </w:p>
        </w:tc>
        <w:tc>
          <w:tcPr>
            <w:tcW w:w="860" w:type="pct"/>
          </w:tcPr>
          <w:p w14:paraId="0F05FAD9" w14:textId="1B2B3601" w:rsidR="00E75C53" w:rsidRDefault="00E75C53" w:rsidP="00295490">
            <w:pPr>
              <w:ind w:left="0"/>
              <w:cnfStyle w:val="000000000000" w:firstRow="0" w:lastRow="0" w:firstColumn="0" w:lastColumn="0" w:oddVBand="0" w:evenVBand="0" w:oddHBand="0" w:evenHBand="0" w:firstRowFirstColumn="0" w:firstRowLastColumn="0" w:lastRowFirstColumn="0" w:lastRowLastColumn="0"/>
              <w:rPr>
                <w:szCs w:val="22"/>
              </w:rPr>
            </w:pPr>
            <w:r>
              <w:rPr>
                <w:szCs w:val="22"/>
              </w:rPr>
              <w:t>1 July 2020</w:t>
            </w:r>
          </w:p>
        </w:tc>
        <w:tc>
          <w:tcPr>
            <w:tcW w:w="1160" w:type="pct"/>
          </w:tcPr>
          <w:p w14:paraId="7374FD58" w14:textId="59AC410D" w:rsidR="00E75C53" w:rsidRPr="00E75C53" w:rsidRDefault="00E75C53" w:rsidP="00295490">
            <w:pPr>
              <w:ind w:left="0"/>
              <w:cnfStyle w:val="000000000000" w:firstRow="0" w:lastRow="0" w:firstColumn="0" w:lastColumn="0" w:oddVBand="0" w:evenVBand="0" w:oddHBand="0" w:evenHBand="0" w:firstRowFirstColumn="0" w:firstRowLastColumn="0" w:lastRowFirstColumn="0" w:lastRowLastColumn="0"/>
              <w:rPr>
                <w:szCs w:val="22"/>
              </w:rPr>
            </w:pPr>
            <w:r w:rsidRPr="00E75C53">
              <w:rPr>
                <w:szCs w:val="22"/>
              </w:rPr>
              <w:t xml:space="preserve">Approved on </w:t>
            </w:r>
            <w:r w:rsidR="00AD48E1">
              <w:rPr>
                <w:szCs w:val="22"/>
              </w:rPr>
              <w:t>12</w:t>
            </w:r>
            <w:r w:rsidR="00295490">
              <w:rPr>
                <w:szCs w:val="22"/>
              </w:rPr>
              <w:t> </w:t>
            </w:r>
            <w:r w:rsidR="00AD48E1">
              <w:rPr>
                <w:szCs w:val="22"/>
              </w:rPr>
              <w:t>November 2020</w:t>
            </w:r>
          </w:p>
        </w:tc>
        <w:tc>
          <w:tcPr>
            <w:tcW w:w="2122" w:type="pct"/>
          </w:tcPr>
          <w:p w14:paraId="6A2800BE" w14:textId="268C804F" w:rsidR="00E75C53" w:rsidRPr="00E75C53" w:rsidRDefault="00B004E2" w:rsidP="00295490">
            <w:pPr>
              <w:ind w:left="0"/>
              <w:cnfStyle w:val="000000000000" w:firstRow="0" w:lastRow="0" w:firstColumn="0" w:lastColumn="0" w:oddVBand="0" w:evenVBand="0" w:oddHBand="0" w:evenHBand="0" w:firstRowFirstColumn="0" w:firstRowLastColumn="0" w:lastRowFirstColumn="0" w:lastRowLastColumn="0"/>
              <w:rPr>
                <w:i/>
                <w:iCs/>
                <w:szCs w:val="22"/>
              </w:rPr>
            </w:pPr>
            <w:r>
              <w:rPr>
                <w:i/>
                <w:iCs/>
                <w:szCs w:val="22"/>
              </w:rPr>
              <w:t xml:space="preserve">Keytruda </w:t>
            </w:r>
            <w:r w:rsidR="00E75C53" w:rsidRPr="00E75C53">
              <w:rPr>
                <w:i/>
                <w:iCs/>
                <w:szCs w:val="22"/>
              </w:rPr>
              <w:t>is indicated for the treatment of adult and paediatric</w:t>
            </w:r>
            <w:r w:rsidR="003361D8">
              <w:rPr>
                <w:i/>
                <w:iCs/>
                <w:szCs w:val="22"/>
              </w:rPr>
              <w:t xml:space="preserve"> </w:t>
            </w:r>
            <w:r w:rsidR="00E75C53" w:rsidRPr="00E75C53">
              <w:rPr>
                <w:i/>
                <w:iCs/>
                <w:szCs w:val="22"/>
              </w:rPr>
              <w:t>patients with relapsed or refractory classical Hodgkin Lymphoma</w:t>
            </w:r>
            <w:r w:rsidR="00E75C53">
              <w:rPr>
                <w:i/>
                <w:iCs/>
                <w:szCs w:val="22"/>
              </w:rPr>
              <w:t xml:space="preserve"> </w:t>
            </w:r>
            <w:r w:rsidR="00E75C53" w:rsidRPr="00E75C53">
              <w:rPr>
                <w:i/>
                <w:iCs/>
                <w:szCs w:val="22"/>
              </w:rPr>
              <w:t>(</w:t>
            </w:r>
            <w:proofErr w:type="spellStart"/>
            <w:r w:rsidR="00E75C53" w:rsidRPr="00E75C53">
              <w:rPr>
                <w:i/>
                <w:iCs/>
                <w:szCs w:val="22"/>
              </w:rPr>
              <w:t>cHL</w:t>
            </w:r>
            <w:proofErr w:type="spellEnd"/>
            <w:r w:rsidR="00E75C53" w:rsidRPr="00E75C53">
              <w:rPr>
                <w:i/>
                <w:iCs/>
                <w:szCs w:val="22"/>
              </w:rPr>
              <w:t>).</w:t>
            </w:r>
          </w:p>
        </w:tc>
      </w:tr>
    </w:tbl>
    <w:p w14:paraId="56170D8F" w14:textId="452C35F4" w:rsidR="00324B33" w:rsidRDefault="00324B33" w:rsidP="00324B33"/>
    <w:p w14:paraId="064CCADF" w14:textId="77777777" w:rsidR="00324B33" w:rsidRDefault="00324B33" w:rsidP="00324B33">
      <w:pPr>
        <w:pStyle w:val="Heading3"/>
      </w:pPr>
      <w:bookmarkStart w:id="25" w:name="_Toc103679292"/>
      <w:bookmarkStart w:id="26" w:name="_Toc133584011"/>
      <w:r>
        <w:lastRenderedPageBreak/>
        <w:t>Product Information</w:t>
      </w:r>
      <w:bookmarkEnd w:id="25"/>
      <w:bookmarkEnd w:id="26"/>
    </w:p>
    <w:p w14:paraId="4B0F7D57" w14:textId="37A530DB" w:rsidR="00324B33" w:rsidRPr="00BD5DBD" w:rsidRDefault="00324B33" w:rsidP="00324B33">
      <w:pPr>
        <w:rPr>
          <w:szCs w:val="22"/>
        </w:rPr>
      </w:pPr>
      <w:bookmarkStart w:id="27" w:name="_Toc504480011"/>
      <w:r w:rsidRPr="00BD5DBD">
        <w:rPr>
          <w:szCs w:val="22"/>
        </w:rPr>
        <w:t xml:space="preserve">The </w:t>
      </w:r>
      <w:hyperlink r:id="rId19" w:history="1">
        <w:r w:rsidRPr="00BD5DBD">
          <w:rPr>
            <w:rStyle w:val="Hyperlink"/>
            <w:szCs w:val="22"/>
          </w:rPr>
          <w:t>Product Information</w:t>
        </w:r>
      </w:hyperlink>
      <w:r w:rsidRPr="00BD5DBD">
        <w:rPr>
          <w:szCs w:val="22"/>
        </w:rPr>
        <w:t xml:space="preserve"> (</w:t>
      </w:r>
      <w:hyperlink r:id="rId20"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1"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2" w:history="1">
        <w:r w:rsidRPr="00BD5DBD">
          <w:rPr>
            <w:rStyle w:val="Hyperlink"/>
            <w:szCs w:val="22"/>
          </w:rPr>
          <w:t>PI/CMI search facility.</w:t>
        </w:r>
      </w:hyperlink>
    </w:p>
    <w:p w14:paraId="6D92589C" w14:textId="77777777" w:rsidR="00324B33" w:rsidRDefault="00324B33" w:rsidP="00324B33">
      <w:pPr>
        <w:pStyle w:val="Heading2"/>
      </w:pPr>
      <w:bookmarkStart w:id="28" w:name="_Toc103679293"/>
      <w:bookmarkStart w:id="29" w:name="_Toc133584012"/>
      <w:r>
        <w:t>Registration timeline</w:t>
      </w:r>
      <w:bookmarkEnd w:id="27"/>
      <w:bookmarkEnd w:id="28"/>
      <w:bookmarkEnd w:id="29"/>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20D271C0" w14:textId="57501075" w:rsidR="00324B33" w:rsidRPr="00E75C53" w:rsidRDefault="00477C4E" w:rsidP="00324B33">
      <w:pPr>
        <w:rPr>
          <w:szCs w:val="22"/>
        </w:rPr>
      </w:pPr>
      <w:r w:rsidRPr="00BD5DBD">
        <w:rPr>
          <w:szCs w:val="22"/>
        </w:rPr>
        <w:t xml:space="preserve">This submission was evaluated under the </w:t>
      </w:r>
      <w:hyperlink r:id="rId23" w:history="1">
        <w:r w:rsidRPr="00BD5DBD">
          <w:rPr>
            <w:rStyle w:val="Hyperlink"/>
            <w:szCs w:val="22"/>
          </w:rPr>
          <w:t>standard prescription medicines registration process</w:t>
        </w:r>
      </w:hyperlink>
      <w:r w:rsidRPr="00BD5DBD">
        <w:rPr>
          <w:szCs w:val="22"/>
        </w:rPr>
        <w:t>.</w:t>
      </w:r>
      <w:r w:rsidR="00324B33" w:rsidRPr="008110BC">
        <w:rPr>
          <w:i/>
          <w:color w:val="007099"/>
        </w:rPr>
        <w:t>.</w:t>
      </w:r>
    </w:p>
    <w:p w14:paraId="44628C5F" w14:textId="2C4CF1BD" w:rsidR="00324B33" w:rsidRDefault="00324B33" w:rsidP="0013528C">
      <w:pPr>
        <w:pStyle w:val="TableTitle"/>
      </w:pPr>
      <w:r>
        <w:t xml:space="preserve">Table </w:t>
      </w:r>
      <w:r>
        <w:fldChar w:fldCharType="begin"/>
      </w:r>
      <w:r>
        <w:instrText>SEQ Table \* ARABIC</w:instrText>
      </w:r>
      <w:r>
        <w:fldChar w:fldCharType="separate"/>
      </w:r>
      <w:r w:rsidR="00A463D1">
        <w:rPr>
          <w:noProof/>
        </w:rPr>
        <w:t>4</w:t>
      </w:r>
      <w:r>
        <w:fldChar w:fldCharType="end"/>
      </w:r>
      <w:r>
        <w:t>:</w:t>
      </w:r>
      <w:r w:rsidRPr="006A58A8">
        <w:t xml:space="preserve"> Timeline for Submission </w:t>
      </w:r>
      <w:r w:rsidR="00E75C53" w:rsidRPr="00E75C53">
        <w:t>PM-2020-02312-1-6</w:t>
      </w:r>
    </w:p>
    <w:tbl>
      <w:tblPr>
        <w:tblStyle w:val="TableTGAblue2023"/>
        <w:tblW w:w="8642" w:type="dxa"/>
        <w:tblLook w:val="04A0" w:firstRow="1" w:lastRow="0" w:firstColumn="1" w:lastColumn="0" w:noHBand="0" w:noVBand="1"/>
      </w:tblPr>
      <w:tblGrid>
        <w:gridCol w:w="5807"/>
        <w:gridCol w:w="2835"/>
      </w:tblGrid>
      <w:tr w:rsidR="00324B33" w:rsidRPr="00D01DDB" w14:paraId="6C59BE9C" w14:textId="77777777" w:rsidTr="00A23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6D80E78" w14:textId="3EC0CCAF" w:rsidR="00324B33" w:rsidRPr="00D01DDB" w:rsidRDefault="00324B33" w:rsidP="00324B33">
            <w:pPr>
              <w:rPr>
                <w:szCs w:val="22"/>
              </w:rPr>
            </w:pPr>
            <w:r w:rsidRPr="00D01DDB">
              <w:rPr>
                <w:szCs w:val="22"/>
              </w:rPr>
              <w:t>Description</w:t>
            </w:r>
          </w:p>
        </w:tc>
        <w:tc>
          <w:tcPr>
            <w:tcW w:w="2835"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2835" w:type="dxa"/>
          </w:tcPr>
          <w:p w14:paraId="2963D9D8" w14:textId="1EF4E58A" w:rsidR="00324B33" w:rsidRPr="00D01DDB" w:rsidRDefault="00E75C5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June 2020</w:t>
            </w:r>
          </w:p>
        </w:tc>
      </w:tr>
      <w:tr w:rsidR="00324B33" w:rsidRPr="00D01DDB" w14:paraId="767E33A4"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4AFC5B50" w14:textId="65C586FC" w:rsidR="00324B33" w:rsidRPr="00D01DDB" w:rsidRDefault="00FE5DFF" w:rsidP="00324B33">
            <w:pPr>
              <w:rPr>
                <w:szCs w:val="22"/>
              </w:rPr>
            </w:pPr>
            <w:r>
              <w:rPr>
                <w:szCs w:val="22"/>
              </w:rPr>
              <w:t>E</w:t>
            </w:r>
            <w:r w:rsidR="00324B33" w:rsidRPr="00D01DDB">
              <w:rPr>
                <w:szCs w:val="22"/>
              </w:rPr>
              <w:t>valuation completed</w:t>
            </w:r>
          </w:p>
        </w:tc>
        <w:tc>
          <w:tcPr>
            <w:tcW w:w="2835" w:type="dxa"/>
          </w:tcPr>
          <w:p w14:paraId="4E47DF62" w14:textId="57D273E0" w:rsidR="00324B33" w:rsidRPr="00D01DDB" w:rsidRDefault="00214CE7" w:rsidP="00324B33">
            <w:pPr>
              <w:cnfStyle w:val="000000000000" w:firstRow="0" w:lastRow="0" w:firstColumn="0" w:lastColumn="0" w:oddVBand="0" w:evenVBand="0" w:oddHBand="0" w:evenHBand="0" w:firstRowFirstColumn="0" w:firstRowLastColumn="0" w:lastRowFirstColumn="0" w:lastRowLastColumn="0"/>
              <w:rPr>
                <w:szCs w:val="22"/>
              </w:rPr>
            </w:pPr>
            <w:r w:rsidRPr="00214CE7">
              <w:rPr>
                <w:szCs w:val="22"/>
              </w:rPr>
              <w:t>17 May 2021</w:t>
            </w:r>
          </w:p>
        </w:tc>
      </w:tr>
      <w:tr w:rsidR="00324B33" w:rsidRPr="00D01DDB" w14:paraId="302FCB45"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716E9DC1" w14:textId="1ECCDCD0" w:rsidR="00324B33" w:rsidRPr="00D01DDB" w:rsidRDefault="00324B33" w:rsidP="00324B33">
            <w:pPr>
              <w:rPr>
                <w:szCs w:val="22"/>
              </w:rPr>
            </w:pPr>
            <w:r w:rsidRPr="00D01DDB">
              <w:rPr>
                <w:szCs w:val="22"/>
              </w:rPr>
              <w:t xml:space="preserve">Delegate’s Overall benefit-risk assessment </w:t>
            </w:r>
            <w:r w:rsidRPr="00214CE7">
              <w:rPr>
                <w:szCs w:val="22"/>
              </w:rPr>
              <w:t>and request for Advisory Committee advice</w:t>
            </w:r>
          </w:p>
        </w:tc>
        <w:tc>
          <w:tcPr>
            <w:tcW w:w="2835" w:type="dxa"/>
          </w:tcPr>
          <w:p w14:paraId="3BA6EF79" w14:textId="2BB806AC" w:rsidR="00324B33" w:rsidRPr="00D01DDB" w:rsidRDefault="00E043E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w:t>
            </w:r>
            <w:r w:rsidR="008174DA">
              <w:rPr>
                <w:szCs w:val="22"/>
              </w:rPr>
              <w:t xml:space="preserve"> </w:t>
            </w:r>
            <w:r w:rsidR="00214CE7">
              <w:rPr>
                <w:szCs w:val="22"/>
              </w:rPr>
              <w:t>July 2021</w:t>
            </w:r>
          </w:p>
        </w:tc>
      </w:tr>
      <w:tr w:rsidR="00324B33" w:rsidRPr="00D01DDB" w14:paraId="5832EBC8"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720592DE" w14:textId="1F72CD22" w:rsidR="00324B33" w:rsidRPr="00D01DDB" w:rsidRDefault="00324B33" w:rsidP="00324B33">
            <w:pPr>
              <w:rPr>
                <w:szCs w:val="22"/>
              </w:rPr>
            </w:pPr>
            <w:r w:rsidRPr="00D01DDB">
              <w:rPr>
                <w:szCs w:val="22"/>
              </w:rPr>
              <w:t>Sponsor’s pre-Advisory Committee response</w:t>
            </w:r>
          </w:p>
        </w:tc>
        <w:tc>
          <w:tcPr>
            <w:tcW w:w="2835" w:type="dxa"/>
          </w:tcPr>
          <w:p w14:paraId="5AE04841" w14:textId="5ACF7A39" w:rsidR="00324B33" w:rsidRPr="00D01DDB" w:rsidRDefault="00E043E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14 </w:t>
            </w:r>
            <w:r w:rsidR="00214CE7">
              <w:rPr>
                <w:szCs w:val="22"/>
              </w:rPr>
              <w:t>July 2021</w:t>
            </w:r>
          </w:p>
        </w:tc>
      </w:tr>
      <w:tr w:rsidR="00324B33" w:rsidRPr="00D01DDB" w14:paraId="5754F7AC"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789DE187" w14:textId="123446EE" w:rsidR="00324B33" w:rsidRPr="00D01DDB" w:rsidRDefault="00324B33" w:rsidP="00324B33">
            <w:pPr>
              <w:rPr>
                <w:szCs w:val="22"/>
              </w:rPr>
            </w:pPr>
            <w:r w:rsidRPr="00D01DDB">
              <w:rPr>
                <w:szCs w:val="22"/>
              </w:rPr>
              <w:t>Advisory Committee meeting</w:t>
            </w:r>
          </w:p>
        </w:tc>
        <w:tc>
          <w:tcPr>
            <w:tcW w:w="2835" w:type="dxa"/>
          </w:tcPr>
          <w:p w14:paraId="5BE1EDE7" w14:textId="79B7CA96" w:rsidR="00324B33" w:rsidRPr="00D01DDB" w:rsidRDefault="00214CE7" w:rsidP="00324B33">
            <w:pPr>
              <w:cnfStyle w:val="000000000000" w:firstRow="0" w:lastRow="0" w:firstColumn="0" w:lastColumn="0" w:oddVBand="0" w:evenVBand="0" w:oddHBand="0" w:evenHBand="0" w:firstRowFirstColumn="0" w:firstRowLastColumn="0" w:lastRowFirstColumn="0" w:lastRowLastColumn="0"/>
              <w:rPr>
                <w:szCs w:val="22"/>
              </w:rPr>
            </w:pPr>
            <w:r w:rsidRPr="00214CE7">
              <w:rPr>
                <w:szCs w:val="22"/>
              </w:rPr>
              <w:t>5 and 6 August 2021</w:t>
            </w:r>
          </w:p>
        </w:tc>
      </w:tr>
      <w:tr w:rsidR="00324B33" w:rsidRPr="00D01DDB" w14:paraId="6E5D32FE"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4E95C44C" w14:textId="7A91C710" w:rsidR="00324B33" w:rsidRPr="00D01DDB" w:rsidRDefault="00324B33" w:rsidP="00324B33">
            <w:pPr>
              <w:rPr>
                <w:szCs w:val="22"/>
              </w:rPr>
            </w:pPr>
            <w:r w:rsidRPr="00D01DDB">
              <w:rPr>
                <w:szCs w:val="22"/>
              </w:rPr>
              <w:t>Registration decision (Outcome)</w:t>
            </w:r>
          </w:p>
        </w:tc>
        <w:tc>
          <w:tcPr>
            <w:tcW w:w="2835" w:type="dxa"/>
          </w:tcPr>
          <w:p w14:paraId="62987ABD" w14:textId="46F6A0D5" w:rsidR="00324B33" w:rsidRPr="00D01DDB" w:rsidRDefault="00214CE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October 2021</w:t>
            </w:r>
          </w:p>
        </w:tc>
      </w:tr>
      <w:tr w:rsidR="00324B33" w:rsidRPr="00D01DDB" w14:paraId="6DDCDDA4"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192FD19D" w14:textId="458EB044" w:rsidR="00324B33" w:rsidRPr="00D01DDB" w:rsidRDefault="00324B33" w:rsidP="00324B33">
            <w:pPr>
              <w:rPr>
                <w:szCs w:val="22"/>
              </w:rPr>
            </w:pPr>
            <w:r w:rsidRPr="00D01DDB">
              <w:rPr>
                <w:szCs w:val="22"/>
              </w:rPr>
              <w:t>Completion of administrative activities and registration on the ARTG</w:t>
            </w:r>
          </w:p>
        </w:tc>
        <w:tc>
          <w:tcPr>
            <w:tcW w:w="2835" w:type="dxa"/>
          </w:tcPr>
          <w:p w14:paraId="5A8923FD" w14:textId="1B583E5B" w:rsidR="00324B33" w:rsidRPr="00D01DDB" w:rsidRDefault="00214CE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21 October 2021</w:t>
            </w:r>
          </w:p>
        </w:tc>
      </w:tr>
      <w:tr w:rsidR="00324B33" w:rsidRPr="00D01DDB" w14:paraId="56D922E2" w14:textId="77777777" w:rsidTr="00A231CE">
        <w:tc>
          <w:tcPr>
            <w:cnfStyle w:val="001000000000" w:firstRow="0" w:lastRow="0" w:firstColumn="1" w:lastColumn="0" w:oddVBand="0" w:evenVBand="0" w:oddHBand="0" w:evenHBand="0" w:firstRowFirstColumn="0" w:firstRowLastColumn="0" w:lastRowFirstColumn="0" w:lastRowLastColumn="0"/>
            <w:tcW w:w="5807"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2835" w:type="dxa"/>
          </w:tcPr>
          <w:p w14:paraId="5BAF9FA1" w14:textId="7FC57AFE" w:rsidR="00324B33" w:rsidRPr="00D01DDB" w:rsidRDefault="00214CE7" w:rsidP="00324B33">
            <w:pPr>
              <w:cnfStyle w:val="000000000000" w:firstRow="0" w:lastRow="0" w:firstColumn="0" w:lastColumn="0" w:oddVBand="0" w:evenVBand="0" w:oddHBand="0" w:evenHBand="0" w:firstRowFirstColumn="0" w:firstRowLastColumn="0" w:lastRowFirstColumn="0" w:lastRowLastColumn="0"/>
              <w:rPr>
                <w:szCs w:val="22"/>
              </w:rPr>
            </w:pPr>
            <w:r w:rsidRPr="00214CE7">
              <w:rPr>
                <w:szCs w:val="22"/>
              </w:rPr>
              <w:t>253</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30" w:name="_Toc196046504"/>
      <w:bookmarkStart w:id="31" w:name="_Toc247691527"/>
      <w:bookmarkStart w:id="32" w:name="_Toc314842510"/>
      <w:bookmarkStart w:id="33" w:name="_Toc103679294"/>
      <w:bookmarkStart w:id="34" w:name="_Toc133584013"/>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0"/>
      <w:bookmarkEnd w:id="31"/>
      <w:bookmarkEnd w:id="32"/>
      <w:bookmarkEnd w:id="33"/>
      <w:bookmarkEnd w:id="34"/>
    </w:p>
    <w:p w14:paraId="540151FC" w14:textId="77777777" w:rsidR="00C22214" w:rsidRPr="00BD5DBD" w:rsidRDefault="00C22214" w:rsidP="00BD5DBD">
      <w:pPr>
        <w:rPr>
          <w:szCs w:val="22"/>
        </w:rPr>
      </w:pPr>
      <w:bookmarkStart w:id="35" w:name="_Toc247691528"/>
      <w:bookmarkStart w:id="36" w:name="_Toc314842511"/>
      <w:r w:rsidRPr="00BD5DBD">
        <w:rPr>
          <w:szCs w:val="22"/>
        </w:rPr>
        <w:t>A summary of the TGA’s assessment for this submission is provided below.</w:t>
      </w:r>
    </w:p>
    <w:p w14:paraId="5F5FAA14" w14:textId="77777777" w:rsidR="00C22214" w:rsidRPr="00BD5DBD" w:rsidRDefault="00C22214" w:rsidP="00C22214">
      <w:pPr>
        <w:rPr>
          <w:szCs w:val="22"/>
        </w:rPr>
      </w:pPr>
      <w:r w:rsidRPr="00BD5DBD">
        <w:rPr>
          <w:szCs w:val="22"/>
        </w:rPr>
        <w:t>This section is a TGA summary of wording used in TGA’s evaluation report, which discussed numerous aspects of overseas evaluation reports and included some information that was commercial-in-confidence.</w:t>
      </w:r>
    </w:p>
    <w:p w14:paraId="56BA366D" w14:textId="77777777" w:rsidR="00B004E2" w:rsidRDefault="007072A1" w:rsidP="00966EF1">
      <w:pPr>
        <w:rPr>
          <w:szCs w:val="22"/>
        </w:rPr>
      </w:pPr>
      <w:r w:rsidRPr="00BD5DBD">
        <w:rPr>
          <w:szCs w:val="22"/>
        </w:rPr>
        <w:t>Relevant guidelines or guidance documents referred to by the Delegate are listed below:</w:t>
      </w:r>
    </w:p>
    <w:p w14:paraId="2420F57A" w14:textId="41A61218" w:rsidR="00214CE7" w:rsidRDefault="00E83B6C" w:rsidP="00214CE7">
      <w:pPr>
        <w:pStyle w:val="ListBullet"/>
      </w:pPr>
      <w:hyperlink r:id="rId24" w:history="1">
        <w:r w:rsidR="00214CE7" w:rsidRPr="00913CDD">
          <w:rPr>
            <w:rStyle w:val="Hyperlink"/>
          </w:rPr>
          <w:t>EMA/CHMP/27994/2008/Rev 1</w:t>
        </w:r>
      </w:hyperlink>
      <w:r w:rsidR="00214CE7">
        <w:t xml:space="preserve"> Appendix 1 to the guideline on the evaluation of anticancer medicinal products in man Methodological consideration for using progression-free survival (PFS) or disease-free survival (DFS) in confirmatory trials</w:t>
      </w:r>
    </w:p>
    <w:p w14:paraId="7726ECFF" w14:textId="1B10FEA9" w:rsidR="00214CE7" w:rsidRPr="00214CE7" w:rsidRDefault="00E83B6C" w:rsidP="00214CE7">
      <w:pPr>
        <w:pStyle w:val="ListBullet"/>
      </w:pPr>
      <w:hyperlink r:id="rId25" w:history="1">
        <w:r w:rsidR="00214CE7" w:rsidRPr="00913CDD">
          <w:rPr>
            <w:rStyle w:val="Hyperlink"/>
          </w:rPr>
          <w:t>EMA/CHMP/703715/2012</w:t>
        </w:r>
      </w:hyperlink>
      <w:r w:rsidR="00214CE7">
        <w:t xml:space="preserve"> Rev.2 Appendix 4 to the guideline on the evaluation of anticancer medicinal products in man Condition specific guidance</w:t>
      </w:r>
    </w:p>
    <w:p w14:paraId="37F5A1C0" w14:textId="77777777" w:rsidR="00C22214" w:rsidRDefault="00C22214" w:rsidP="00C22214">
      <w:pPr>
        <w:pStyle w:val="Heading3"/>
      </w:pPr>
      <w:bookmarkStart w:id="37" w:name="_Toc103679295"/>
      <w:bookmarkStart w:id="38" w:name="_Toc133584014"/>
      <w:r>
        <w:lastRenderedPageBreak/>
        <w:t>Quality</w:t>
      </w:r>
      <w:bookmarkEnd w:id="35"/>
      <w:bookmarkEnd w:id="36"/>
      <w:bookmarkEnd w:id="37"/>
      <w:bookmarkEnd w:id="38"/>
    </w:p>
    <w:p w14:paraId="29A3BB75" w14:textId="5E6AF7FE" w:rsidR="00A01C56" w:rsidRPr="00BD5DBD" w:rsidRDefault="00637F0E" w:rsidP="00637F0E">
      <w:pPr>
        <w:rPr>
          <w:szCs w:val="22"/>
        </w:rPr>
      </w:pPr>
      <w:r w:rsidRPr="00BD5DBD">
        <w:rPr>
          <w:szCs w:val="22"/>
        </w:rPr>
        <w:t>Quality evaluation is not required for this submission as there are no proposed changes to the quality of the currently approved product in Australia.</w:t>
      </w:r>
      <w:r w:rsidR="00C816C6" w:rsidRPr="00BD5DBD">
        <w:rPr>
          <w:szCs w:val="22"/>
        </w:rPr>
        <w:t xml:space="preserve"> The quality of the currently approved product is suitable for the proposed changes in this submission.</w:t>
      </w:r>
      <w:r w:rsidRPr="00BD5DBD">
        <w:rPr>
          <w:szCs w:val="22"/>
        </w:rPr>
        <w:t xml:space="preserve"> A full quality evaluation was conducted at the time this product received initial registration</w:t>
      </w:r>
      <w:r w:rsidR="00214CE7">
        <w:rPr>
          <w:szCs w:val="22"/>
        </w:rPr>
        <w:t>.</w:t>
      </w:r>
      <w:bookmarkStart w:id="39" w:name="_Ref133240833"/>
      <w:r w:rsidR="00B02783" w:rsidRPr="00C13873">
        <w:rPr>
          <w:szCs w:val="22"/>
          <w:vertAlign w:val="superscript"/>
        </w:rPr>
        <w:fldChar w:fldCharType="begin"/>
      </w:r>
      <w:r w:rsidR="00B02783" w:rsidRPr="00C13873">
        <w:rPr>
          <w:szCs w:val="22"/>
          <w:vertAlign w:val="superscript"/>
        </w:rPr>
        <w:instrText xml:space="preserve"> NOTEREF _Ref136594130 \h </w:instrText>
      </w:r>
      <w:r w:rsidR="00B02783">
        <w:rPr>
          <w:szCs w:val="22"/>
          <w:vertAlign w:val="superscript"/>
        </w:rPr>
        <w:instrText xml:space="preserve"> \* MERGEFORMAT </w:instrText>
      </w:r>
      <w:r w:rsidR="00B02783" w:rsidRPr="00C13873">
        <w:rPr>
          <w:szCs w:val="22"/>
          <w:vertAlign w:val="superscript"/>
        </w:rPr>
      </w:r>
      <w:r w:rsidR="00B02783" w:rsidRPr="00C13873">
        <w:rPr>
          <w:szCs w:val="22"/>
          <w:vertAlign w:val="superscript"/>
        </w:rPr>
        <w:fldChar w:fldCharType="separate"/>
      </w:r>
      <w:r w:rsidR="00B02783" w:rsidRPr="00C13873">
        <w:rPr>
          <w:szCs w:val="22"/>
          <w:vertAlign w:val="superscript"/>
        </w:rPr>
        <w:t>11</w:t>
      </w:r>
      <w:r w:rsidR="00B02783" w:rsidRPr="00C13873">
        <w:rPr>
          <w:szCs w:val="22"/>
          <w:vertAlign w:val="superscript"/>
        </w:rPr>
        <w:fldChar w:fldCharType="end"/>
      </w:r>
      <w:r w:rsidR="00913CDD">
        <w:rPr>
          <w:szCs w:val="22"/>
        </w:rPr>
        <w:fldChar w:fldCharType="begin"/>
      </w:r>
      <w:r w:rsidR="00913CDD">
        <w:rPr>
          <w:szCs w:val="22"/>
        </w:rPr>
        <w:instrText xml:space="preserve"> NOTEREF _Ref133240833 \f \h </w:instrText>
      </w:r>
      <w:r w:rsidR="00913CDD">
        <w:rPr>
          <w:szCs w:val="22"/>
        </w:rPr>
      </w:r>
      <w:r w:rsidR="00913CDD">
        <w:rPr>
          <w:szCs w:val="22"/>
        </w:rPr>
        <w:fldChar w:fldCharType="end"/>
      </w:r>
      <w:bookmarkEnd w:id="39"/>
    </w:p>
    <w:p w14:paraId="2BE90AAE" w14:textId="77777777" w:rsidR="00C22214" w:rsidRDefault="00C22214" w:rsidP="00C22214">
      <w:pPr>
        <w:pStyle w:val="Heading3"/>
      </w:pPr>
      <w:bookmarkStart w:id="40" w:name="_Toc314842512"/>
      <w:bookmarkStart w:id="41" w:name="_Toc103679296"/>
      <w:bookmarkStart w:id="42" w:name="_Toc133584015"/>
      <w:r>
        <w:t>Nonclinical</w:t>
      </w:r>
      <w:bookmarkEnd w:id="40"/>
      <w:bookmarkEnd w:id="41"/>
      <w:bookmarkEnd w:id="42"/>
    </w:p>
    <w:p w14:paraId="15C51A23" w14:textId="0153F15D" w:rsidR="008804CF" w:rsidRPr="00BD5DBD" w:rsidRDefault="008804CF" w:rsidP="008804CF">
      <w:pPr>
        <w:rPr>
          <w:b/>
          <w:bCs/>
          <w:szCs w:val="22"/>
        </w:rPr>
      </w:pPr>
      <w:bookmarkStart w:id="43" w:name="_Toc247691530"/>
      <w:bookmarkStart w:id="44" w:name="_Toc314842513"/>
      <w:bookmarkStart w:id="45" w:name="_Toc103679297"/>
      <w:r w:rsidRPr="00BD5DBD">
        <w:rPr>
          <w:szCs w:val="22"/>
        </w:rPr>
        <w:t>No new nonclinical data or further nonclinical evaluation were required for this submission.</w:t>
      </w:r>
      <w:r w:rsidR="008C754C" w:rsidRPr="00BD5DBD">
        <w:rPr>
          <w:szCs w:val="22"/>
        </w:rPr>
        <w:t xml:space="preserve"> </w:t>
      </w:r>
      <w:r w:rsidRPr="00BD5DBD">
        <w:rPr>
          <w:szCs w:val="22"/>
        </w:rPr>
        <w:t>The TGA considers that previously submitted and evaluated data satisfactorily address nonclinical aspects of safety/efficacy relating to this submission</w:t>
      </w:r>
      <w:r w:rsidR="00F865A7" w:rsidRPr="00BD5DBD">
        <w:rPr>
          <w:szCs w:val="22"/>
        </w:rPr>
        <w:t>.</w:t>
      </w:r>
    </w:p>
    <w:p w14:paraId="35B580A5" w14:textId="69B9BE44" w:rsidR="00C22214" w:rsidRDefault="00C22214" w:rsidP="008804CF">
      <w:pPr>
        <w:pStyle w:val="Heading3"/>
      </w:pPr>
      <w:bookmarkStart w:id="46" w:name="_Toc133584016"/>
      <w:r>
        <w:t>Clinical</w:t>
      </w:r>
      <w:bookmarkEnd w:id="43"/>
      <w:bookmarkEnd w:id="44"/>
      <w:bookmarkEnd w:id="45"/>
      <w:bookmarkEnd w:id="46"/>
    </w:p>
    <w:p w14:paraId="32B0DEDA" w14:textId="77777777" w:rsidR="00C22214" w:rsidRPr="00433318" w:rsidRDefault="00C22214" w:rsidP="00433318">
      <w:pPr>
        <w:pStyle w:val="Heading4"/>
      </w:pPr>
      <w:bookmarkStart w:id="47" w:name="_Toc98931928"/>
      <w:bookmarkStart w:id="48" w:name="_Toc133584017"/>
      <w:r>
        <w:t>Summary of clinical studies</w:t>
      </w:r>
      <w:bookmarkEnd w:id="47"/>
      <w:bookmarkEnd w:id="48"/>
    </w:p>
    <w:p w14:paraId="256DD73E" w14:textId="1DC891D0" w:rsidR="00B004E2" w:rsidRDefault="00C22214" w:rsidP="00C22214">
      <w:pPr>
        <w:rPr>
          <w:szCs w:val="22"/>
        </w:rPr>
      </w:pPr>
      <w:r w:rsidRPr="00BD5DBD">
        <w:rPr>
          <w:szCs w:val="22"/>
        </w:rPr>
        <w:t xml:space="preserve">The clinical dossier </w:t>
      </w:r>
      <w:r w:rsidR="0097444F">
        <w:rPr>
          <w:szCs w:val="22"/>
        </w:rPr>
        <w:t xml:space="preserve">mainly </w:t>
      </w:r>
      <w:r w:rsidRPr="00BD5DBD">
        <w:rPr>
          <w:szCs w:val="22"/>
        </w:rPr>
        <w:t>consisted of</w:t>
      </w:r>
      <w:r w:rsidR="007357B9" w:rsidRPr="00BD5DBD">
        <w:rPr>
          <w:szCs w:val="22"/>
        </w:rPr>
        <w:t>:</w:t>
      </w:r>
    </w:p>
    <w:p w14:paraId="3DF49722" w14:textId="6490CC20" w:rsidR="00C22214" w:rsidRPr="0097444F" w:rsidRDefault="00B361FD" w:rsidP="00051FDB">
      <w:pPr>
        <w:pStyle w:val="ListBullet"/>
        <w:rPr>
          <w:szCs w:val="22"/>
        </w:rPr>
      </w:pPr>
      <w:r w:rsidRPr="0097444F">
        <w:rPr>
          <w:szCs w:val="22"/>
        </w:rPr>
        <w:t>K</w:t>
      </w:r>
      <w:r w:rsidR="002D22AB">
        <w:rPr>
          <w:szCs w:val="22"/>
        </w:rPr>
        <w:t>EYNOTE</w:t>
      </w:r>
      <w:r w:rsidRPr="0097444F">
        <w:rPr>
          <w:szCs w:val="22"/>
        </w:rPr>
        <w:t xml:space="preserve"> 204</w:t>
      </w:r>
      <w:r w:rsidR="0097444F" w:rsidRPr="0097444F">
        <w:rPr>
          <w:szCs w:val="22"/>
        </w:rPr>
        <w:t xml:space="preserve"> trial - A Phase III, </w:t>
      </w:r>
      <w:r w:rsidR="0097444F">
        <w:rPr>
          <w:szCs w:val="22"/>
        </w:rPr>
        <w:t>r</w:t>
      </w:r>
      <w:r w:rsidR="0097444F" w:rsidRPr="0097444F">
        <w:rPr>
          <w:szCs w:val="22"/>
        </w:rPr>
        <w:t>andomi</w:t>
      </w:r>
      <w:r w:rsidR="00CC16D0">
        <w:rPr>
          <w:szCs w:val="22"/>
        </w:rPr>
        <w:t>s</w:t>
      </w:r>
      <w:r w:rsidR="0097444F" w:rsidRPr="0097444F">
        <w:rPr>
          <w:szCs w:val="22"/>
        </w:rPr>
        <w:t xml:space="preserve">ed </w:t>
      </w:r>
      <w:r w:rsidR="0097444F">
        <w:rPr>
          <w:szCs w:val="22"/>
        </w:rPr>
        <w:t>o</w:t>
      </w:r>
      <w:r w:rsidR="0097444F" w:rsidRPr="0097444F">
        <w:rPr>
          <w:szCs w:val="22"/>
        </w:rPr>
        <w:t xml:space="preserve">pen-label, </w:t>
      </w:r>
      <w:r w:rsidR="0097444F">
        <w:rPr>
          <w:szCs w:val="22"/>
        </w:rPr>
        <w:t>c</w:t>
      </w:r>
      <w:r w:rsidR="0097444F" w:rsidRPr="0097444F">
        <w:rPr>
          <w:szCs w:val="22"/>
        </w:rPr>
        <w:t xml:space="preserve">linical </w:t>
      </w:r>
      <w:r w:rsidR="0097444F">
        <w:rPr>
          <w:szCs w:val="22"/>
        </w:rPr>
        <w:t>t</w:t>
      </w:r>
      <w:r w:rsidR="0097444F" w:rsidRPr="0097444F">
        <w:rPr>
          <w:szCs w:val="22"/>
        </w:rPr>
        <w:t xml:space="preserve">rial to </w:t>
      </w:r>
      <w:r w:rsidR="0097444F">
        <w:rPr>
          <w:szCs w:val="22"/>
        </w:rPr>
        <w:t>c</w:t>
      </w:r>
      <w:r w:rsidR="0097444F" w:rsidRPr="0097444F">
        <w:rPr>
          <w:szCs w:val="22"/>
        </w:rPr>
        <w:t xml:space="preserve">ompare </w:t>
      </w:r>
      <w:r w:rsidR="0097444F">
        <w:rPr>
          <w:szCs w:val="22"/>
        </w:rPr>
        <w:t>p</w:t>
      </w:r>
      <w:r w:rsidR="0097444F" w:rsidRPr="0097444F">
        <w:rPr>
          <w:szCs w:val="22"/>
        </w:rPr>
        <w:t xml:space="preserve">embrolizumab with </w:t>
      </w:r>
      <w:r w:rsidR="0097444F">
        <w:rPr>
          <w:szCs w:val="22"/>
        </w:rPr>
        <w:t>b</w:t>
      </w:r>
      <w:r w:rsidR="0097444F" w:rsidRPr="0097444F">
        <w:rPr>
          <w:szCs w:val="22"/>
        </w:rPr>
        <w:t xml:space="preserve">rentuximab </w:t>
      </w:r>
      <w:r w:rsidR="0097444F">
        <w:rPr>
          <w:szCs w:val="22"/>
        </w:rPr>
        <w:t>v</w:t>
      </w:r>
      <w:r w:rsidR="0097444F" w:rsidRPr="0097444F">
        <w:rPr>
          <w:szCs w:val="22"/>
        </w:rPr>
        <w:t xml:space="preserve">edotin in </w:t>
      </w:r>
      <w:r w:rsidR="0097444F">
        <w:rPr>
          <w:szCs w:val="22"/>
        </w:rPr>
        <w:t>s</w:t>
      </w:r>
      <w:r w:rsidR="0097444F" w:rsidRPr="0097444F">
        <w:rPr>
          <w:szCs w:val="22"/>
        </w:rPr>
        <w:t xml:space="preserve">ubjects with </w:t>
      </w:r>
      <w:r w:rsidR="0097444F">
        <w:rPr>
          <w:szCs w:val="22"/>
        </w:rPr>
        <w:t>r</w:t>
      </w:r>
      <w:r w:rsidR="0097444F" w:rsidRPr="0097444F">
        <w:rPr>
          <w:szCs w:val="22"/>
        </w:rPr>
        <w:t xml:space="preserve">elapsed or </w:t>
      </w:r>
      <w:r w:rsidR="0097444F">
        <w:rPr>
          <w:szCs w:val="22"/>
        </w:rPr>
        <w:t>r</w:t>
      </w:r>
      <w:r w:rsidR="0097444F" w:rsidRPr="0097444F">
        <w:rPr>
          <w:szCs w:val="22"/>
        </w:rPr>
        <w:t xml:space="preserve">efractory </w:t>
      </w:r>
      <w:r w:rsidR="0097444F">
        <w:rPr>
          <w:szCs w:val="22"/>
        </w:rPr>
        <w:t>c</w:t>
      </w:r>
      <w:r w:rsidR="0097444F" w:rsidRPr="0097444F">
        <w:rPr>
          <w:szCs w:val="22"/>
        </w:rPr>
        <w:t>lassical Hodgkin</w:t>
      </w:r>
      <w:r w:rsidR="0097444F">
        <w:rPr>
          <w:szCs w:val="22"/>
        </w:rPr>
        <w:t xml:space="preserve"> l</w:t>
      </w:r>
      <w:r w:rsidR="0097444F" w:rsidRPr="0097444F">
        <w:rPr>
          <w:szCs w:val="22"/>
        </w:rPr>
        <w:t xml:space="preserve">ymphoma </w:t>
      </w:r>
    </w:p>
    <w:p w14:paraId="6B56CB17" w14:textId="734F07C0" w:rsidR="00C22214" w:rsidRPr="0097444F" w:rsidRDefault="002D22AB" w:rsidP="00051FDB">
      <w:pPr>
        <w:pStyle w:val="ListBullet"/>
        <w:rPr>
          <w:szCs w:val="22"/>
        </w:rPr>
      </w:pPr>
      <w:r>
        <w:rPr>
          <w:szCs w:val="22"/>
        </w:rPr>
        <w:t xml:space="preserve">KEYNOTE </w:t>
      </w:r>
      <w:r w:rsidR="00B361FD" w:rsidRPr="0097444F">
        <w:rPr>
          <w:szCs w:val="22"/>
        </w:rPr>
        <w:t>087</w:t>
      </w:r>
      <w:r w:rsidR="0097444F" w:rsidRPr="0097444F">
        <w:rPr>
          <w:szCs w:val="22"/>
        </w:rPr>
        <w:t xml:space="preserve"> trial - A Phase II </w:t>
      </w:r>
      <w:r w:rsidR="0097444F">
        <w:rPr>
          <w:szCs w:val="22"/>
        </w:rPr>
        <w:t>c</w:t>
      </w:r>
      <w:r w:rsidR="0097444F" w:rsidRPr="0097444F">
        <w:rPr>
          <w:szCs w:val="22"/>
        </w:rPr>
        <w:t xml:space="preserve">linical </w:t>
      </w:r>
      <w:r w:rsidR="0097444F">
        <w:rPr>
          <w:szCs w:val="22"/>
        </w:rPr>
        <w:t>t</w:t>
      </w:r>
      <w:r w:rsidR="0097444F" w:rsidRPr="0097444F">
        <w:rPr>
          <w:szCs w:val="22"/>
        </w:rPr>
        <w:t>rial of</w:t>
      </w:r>
      <w:r w:rsidR="0097444F">
        <w:rPr>
          <w:szCs w:val="22"/>
        </w:rPr>
        <w:t xml:space="preserve"> p</w:t>
      </w:r>
      <w:r w:rsidR="0097444F" w:rsidRPr="0097444F">
        <w:rPr>
          <w:szCs w:val="22"/>
        </w:rPr>
        <w:t xml:space="preserve">embrolizumab in </w:t>
      </w:r>
      <w:r w:rsidR="0097444F">
        <w:rPr>
          <w:szCs w:val="22"/>
        </w:rPr>
        <w:t>s</w:t>
      </w:r>
      <w:r w:rsidR="0097444F" w:rsidRPr="0097444F">
        <w:rPr>
          <w:szCs w:val="22"/>
        </w:rPr>
        <w:t xml:space="preserve">ubjects with relapsed or </w:t>
      </w:r>
      <w:r w:rsidR="0097444F">
        <w:rPr>
          <w:szCs w:val="22"/>
        </w:rPr>
        <w:t>r</w:t>
      </w:r>
      <w:r w:rsidR="0097444F" w:rsidRPr="0097444F">
        <w:rPr>
          <w:szCs w:val="22"/>
        </w:rPr>
        <w:t xml:space="preserve">efractory </w:t>
      </w:r>
      <w:r w:rsidR="0097444F">
        <w:rPr>
          <w:szCs w:val="22"/>
        </w:rPr>
        <w:t>c</w:t>
      </w:r>
      <w:r w:rsidR="0097444F" w:rsidRPr="0097444F">
        <w:rPr>
          <w:szCs w:val="22"/>
        </w:rPr>
        <w:t>lassical Hodgkin</w:t>
      </w:r>
      <w:r w:rsidR="0097444F">
        <w:rPr>
          <w:szCs w:val="22"/>
        </w:rPr>
        <w:t xml:space="preserve"> l</w:t>
      </w:r>
      <w:r w:rsidR="0097444F" w:rsidRPr="0097444F">
        <w:rPr>
          <w:szCs w:val="22"/>
        </w:rPr>
        <w:t>ymphoma</w:t>
      </w:r>
    </w:p>
    <w:p w14:paraId="5F1C20EA" w14:textId="77D93470" w:rsidR="00B361FD" w:rsidRPr="0097444F" w:rsidRDefault="002D22AB" w:rsidP="00051FDB">
      <w:pPr>
        <w:pStyle w:val="ListBullet"/>
        <w:rPr>
          <w:szCs w:val="22"/>
        </w:rPr>
      </w:pPr>
      <w:r>
        <w:rPr>
          <w:szCs w:val="22"/>
        </w:rPr>
        <w:t xml:space="preserve">KEYNOTE 051 trial </w:t>
      </w:r>
      <w:r w:rsidR="0097444F" w:rsidRPr="0097444F">
        <w:rPr>
          <w:szCs w:val="22"/>
        </w:rPr>
        <w:t xml:space="preserve">- A Phase I/II </w:t>
      </w:r>
      <w:r w:rsidR="0097444F">
        <w:rPr>
          <w:szCs w:val="22"/>
        </w:rPr>
        <w:t>trial</w:t>
      </w:r>
      <w:r w:rsidR="0097444F" w:rsidRPr="0097444F">
        <w:rPr>
          <w:szCs w:val="22"/>
        </w:rPr>
        <w:t xml:space="preserve"> of </w:t>
      </w:r>
      <w:r w:rsidR="0097444F">
        <w:rPr>
          <w:szCs w:val="22"/>
        </w:rPr>
        <w:t>p</w:t>
      </w:r>
      <w:r w:rsidR="0097444F" w:rsidRPr="0097444F">
        <w:rPr>
          <w:szCs w:val="22"/>
        </w:rPr>
        <w:t xml:space="preserve">embrolizumab in </w:t>
      </w:r>
      <w:r w:rsidR="0097444F">
        <w:rPr>
          <w:szCs w:val="22"/>
        </w:rPr>
        <w:t>c</w:t>
      </w:r>
      <w:r w:rsidR="0097444F" w:rsidRPr="0097444F">
        <w:rPr>
          <w:szCs w:val="22"/>
        </w:rPr>
        <w:t xml:space="preserve">hildren </w:t>
      </w:r>
      <w:r w:rsidR="0097444F">
        <w:rPr>
          <w:szCs w:val="22"/>
        </w:rPr>
        <w:t>w</w:t>
      </w:r>
      <w:r w:rsidR="0097444F" w:rsidRPr="0097444F">
        <w:rPr>
          <w:szCs w:val="22"/>
        </w:rPr>
        <w:t xml:space="preserve">ith advanced </w:t>
      </w:r>
      <w:r w:rsidR="0097444F">
        <w:rPr>
          <w:szCs w:val="22"/>
        </w:rPr>
        <w:t>m</w:t>
      </w:r>
      <w:r w:rsidR="0097444F" w:rsidRPr="0097444F">
        <w:rPr>
          <w:szCs w:val="22"/>
        </w:rPr>
        <w:t xml:space="preserve">elanoma or a PD-L1 </w:t>
      </w:r>
      <w:r w:rsidR="0097444F">
        <w:rPr>
          <w:szCs w:val="22"/>
        </w:rPr>
        <w:t>p</w:t>
      </w:r>
      <w:r w:rsidR="0097444F" w:rsidRPr="0097444F">
        <w:rPr>
          <w:szCs w:val="22"/>
        </w:rPr>
        <w:t xml:space="preserve">ositive </w:t>
      </w:r>
      <w:r w:rsidR="0097444F">
        <w:rPr>
          <w:szCs w:val="22"/>
        </w:rPr>
        <w:t>a</w:t>
      </w:r>
      <w:r w:rsidR="0097444F" w:rsidRPr="0097444F">
        <w:rPr>
          <w:szCs w:val="22"/>
        </w:rPr>
        <w:t xml:space="preserve">dvanced, </w:t>
      </w:r>
      <w:proofErr w:type="gramStart"/>
      <w:r w:rsidR="0097444F">
        <w:rPr>
          <w:szCs w:val="22"/>
        </w:rPr>
        <w:t>r</w:t>
      </w:r>
      <w:r w:rsidR="0097444F" w:rsidRPr="0097444F">
        <w:rPr>
          <w:szCs w:val="22"/>
        </w:rPr>
        <w:t>elapsed</w:t>
      </w:r>
      <w:proofErr w:type="gramEnd"/>
      <w:r w:rsidR="0097444F" w:rsidRPr="0097444F">
        <w:rPr>
          <w:szCs w:val="22"/>
        </w:rPr>
        <w:t xml:space="preserve"> or </w:t>
      </w:r>
      <w:r w:rsidR="0097444F">
        <w:rPr>
          <w:szCs w:val="22"/>
        </w:rPr>
        <w:t>r</w:t>
      </w:r>
      <w:r w:rsidR="0097444F" w:rsidRPr="0097444F">
        <w:rPr>
          <w:szCs w:val="22"/>
        </w:rPr>
        <w:t xml:space="preserve">efractory </w:t>
      </w:r>
      <w:r w:rsidR="0097444F">
        <w:rPr>
          <w:szCs w:val="22"/>
        </w:rPr>
        <w:t>s</w:t>
      </w:r>
      <w:r w:rsidR="0097444F" w:rsidRPr="0097444F">
        <w:rPr>
          <w:szCs w:val="22"/>
        </w:rPr>
        <w:t xml:space="preserve">olid </w:t>
      </w:r>
      <w:r w:rsidR="0097444F">
        <w:rPr>
          <w:szCs w:val="22"/>
        </w:rPr>
        <w:t>t</w:t>
      </w:r>
      <w:r w:rsidR="0097444F" w:rsidRPr="0097444F">
        <w:rPr>
          <w:szCs w:val="22"/>
        </w:rPr>
        <w:t>umo</w:t>
      </w:r>
      <w:r w:rsidR="0097444F">
        <w:rPr>
          <w:szCs w:val="22"/>
        </w:rPr>
        <w:t>u</w:t>
      </w:r>
      <w:r w:rsidR="0097444F" w:rsidRPr="0097444F">
        <w:rPr>
          <w:szCs w:val="22"/>
        </w:rPr>
        <w:t xml:space="preserve">r or </w:t>
      </w:r>
      <w:r w:rsidR="0097444F">
        <w:rPr>
          <w:szCs w:val="22"/>
        </w:rPr>
        <w:t>l</w:t>
      </w:r>
      <w:r w:rsidR="0097444F" w:rsidRPr="0097444F">
        <w:rPr>
          <w:szCs w:val="22"/>
        </w:rPr>
        <w:t>ymphoma</w:t>
      </w:r>
      <w:r w:rsidR="0097444F">
        <w:rPr>
          <w:szCs w:val="22"/>
        </w:rPr>
        <w:t xml:space="preserve"> </w:t>
      </w:r>
    </w:p>
    <w:p w14:paraId="0D68BCC2" w14:textId="4E0B100D" w:rsidR="00214CE7" w:rsidRDefault="00214CE7" w:rsidP="00B361FD">
      <w:pPr>
        <w:pStyle w:val="Heading4"/>
      </w:pPr>
      <w:bookmarkStart w:id="49" w:name="_Toc133584018"/>
      <w:r>
        <w:t>Pharmacology</w:t>
      </w:r>
      <w:bookmarkEnd w:id="49"/>
    </w:p>
    <w:p w14:paraId="1973B1C5" w14:textId="38C2091A" w:rsidR="00214CE7" w:rsidRDefault="00214CE7" w:rsidP="00B361FD">
      <w:pPr>
        <w:pStyle w:val="Heading5"/>
      </w:pPr>
      <w:r>
        <w:t>Population pharmacokinetic data</w:t>
      </w:r>
    </w:p>
    <w:p w14:paraId="20B0C6A9" w14:textId="1FE45D4F" w:rsidR="00214CE7" w:rsidRDefault="00214CE7" w:rsidP="00214CE7">
      <w:r w:rsidRPr="00214CE7">
        <w:t>The predicted</w:t>
      </w:r>
      <w:r w:rsidR="00D92581">
        <w:t xml:space="preserve"> maximum, average and minimum plasma concentration (</w:t>
      </w:r>
      <w:proofErr w:type="spellStart"/>
      <w:r w:rsidRPr="00214CE7">
        <w:t>C</w:t>
      </w:r>
      <w:r w:rsidRPr="00D92581">
        <w:rPr>
          <w:vertAlign w:val="subscript"/>
        </w:rPr>
        <w:t>max</w:t>
      </w:r>
      <w:proofErr w:type="spellEnd"/>
      <w:r w:rsidRPr="00214CE7">
        <w:t xml:space="preserve">, </w:t>
      </w:r>
      <w:proofErr w:type="spellStart"/>
      <w:r w:rsidRPr="00214CE7">
        <w:t>C</w:t>
      </w:r>
      <w:r w:rsidRPr="00D92581">
        <w:rPr>
          <w:vertAlign w:val="subscript"/>
        </w:rPr>
        <w:t>av</w:t>
      </w:r>
      <w:r w:rsidR="00B02783">
        <w:rPr>
          <w:vertAlign w:val="subscript"/>
        </w:rPr>
        <w:t>g</w:t>
      </w:r>
      <w:proofErr w:type="spellEnd"/>
      <w:r w:rsidRPr="00214CE7">
        <w:t xml:space="preserve"> and </w:t>
      </w:r>
      <w:proofErr w:type="spellStart"/>
      <w:r w:rsidRPr="00214CE7">
        <w:t>C</w:t>
      </w:r>
      <w:r w:rsidRPr="00D92581">
        <w:rPr>
          <w:vertAlign w:val="subscript"/>
        </w:rPr>
        <w:t>min</w:t>
      </w:r>
      <w:proofErr w:type="spellEnd"/>
      <w:r w:rsidR="00D92581">
        <w:t xml:space="preserve">) </w:t>
      </w:r>
      <w:r w:rsidRPr="00214CE7">
        <w:t xml:space="preserve">for pembrolizumab dosed at 2 mg/kg </w:t>
      </w:r>
      <w:r w:rsidR="00D92581">
        <w:t>once every three weeks</w:t>
      </w:r>
      <w:r w:rsidRPr="00214CE7">
        <w:t xml:space="preserve"> based on data from patients aged 2 </w:t>
      </w:r>
      <w:r w:rsidR="00D92581">
        <w:t>to</w:t>
      </w:r>
      <w:r w:rsidRPr="00214CE7">
        <w:t xml:space="preserve"> 6 years (n</w:t>
      </w:r>
      <w:r w:rsidR="00D92581">
        <w:t xml:space="preserve"> </w:t>
      </w:r>
      <w:r w:rsidRPr="00214CE7">
        <w:t>=</w:t>
      </w:r>
      <w:r w:rsidR="00D92581">
        <w:t xml:space="preserve"> </w:t>
      </w:r>
      <w:r w:rsidRPr="00214CE7">
        <w:t>22), 6</w:t>
      </w:r>
      <w:r w:rsidR="00D92581">
        <w:t xml:space="preserve"> to</w:t>
      </w:r>
      <w:r w:rsidRPr="00214CE7">
        <w:t>12 years (n</w:t>
      </w:r>
      <w:r w:rsidR="00D92581">
        <w:t xml:space="preserve"> </w:t>
      </w:r>
      <w:r w:rsidRPr="00214CE7">
        <w:t>=</w:t>
      </w:r>
      <w:r w:rsidR="00D92581">
        <w:t xml:space="preserve"> </w:t>
      </w:r>
      <w:r w:rsidRPr="00214CE7">
        <w:t xml:space="preserve">35), 12 </w:t>
      </w:r>
      <w:r w:rsidR="00D92581" w:rsidRPr="002D22AB">
        <w:t>to</w:t>
      </w:r>
      <w:r w:rsidRPr="002D22AB">
        <w:t xml:space="preserve"> 18 years</w:t>
      </w:r>
      <w:r w:rsidR="00B004E2" w:rsidRPr="002D22AB">
        <w:t xml:space="preserve"> </w:t>
      </w:r>
      <w:r w:rsidRPr="002D22AB">
        <w:t>(n</w:t>
      </w:r>
      <w:r w:rsidR="00D92581" w:rsidRPr="002D22AB">
        <w:t xml:space="preserve"> </w:t>
      </w:r>
      <w:r w:rsidRPr="002D22AB">
        <w:t>=</w:t>
      </w:r>
      <w:r w:rsidR="00D92581" w:rsidRPr="002D22AB">
        <w:t xml:space="preserve"> </w:t>
      </w:r>
      <w:r w:rsidRPr="002D22AB">
        <w:t>93) and 18 years</w:t>
      </w:r>
      <w:r w:rsidR="00D92581" w:rsidRPr="002D22AB">
        <w:t xml:space="preserve"> and older</w:t>
      </w:r>
      <w:r w:rsidRPr="002D22AB">
        <w:t xml:space="preserve"> </w:t>
      </w:r>
      <w:r w:rsidR="00B02783">
        <w:t xml:space="preserve">patients </w:t>
      </w:r>
      <w:r w:rsidRPr="002D22AB">
        <w:t>(</w:t>
      </w:r>
      <w:r w:rsidR="00D92581" w:rsidRPr="002D22AB">
        <w:t>n</w:t>
      </w:r>
      <w:r w:rsidR="00B02783">
        <w:t> </w:t>
      </w:r>
      <w:r w:rsidRPr="002D22AB">
        <w:t>=</w:t>
      </w:r>
      <w:r w:rsidR="00D92581" w:rsidRPr="002D22AB">
        <w:t xml:space="preserve"> </w:t>
      </w:r>
      <w:r w:rsidRPr="002D22AB">
        <w:t xml:space="preserve">200) were similar. The existing population pharmacokinetics model was updated with additional data from children with solid tumours and </w:t>
      </w:r>
      <w:r w:rsidR="006920E4">
        <w:t>classical Hodgkin lymphoma</w:t>
      </w:r>
      <w:r w:rsidRPr="002D22AB">
        <w:t xml:space="preserve"> in </w:t>
      </w:r>
      <w:r w:rsidR="00A029F3">
        <w:t xml:space="preserve">the </w:t>
      </w:r>
      <w:r w:rsidR="002D22AB" w:rsidRPr="002D22AB">
        <w:t xml:space="preserve">KEYNOTE 051 trial </w:t>
      </w:r>
      <w:r w:rsidRPr="002D22AB">
        <w:t xml:space="preserve">and adult data in </w:t>
      </w:r>
      <w:r w:rsidR="009A599D" w:rsidRPr="002D22AB">
        <w:t>relapsed</w:t>
      </w:r>
      <w:r w:rsidR="0097444F" w:rsidRPr="002D22AB">
        <w:t xml:space="preserve"> or </w:t>
      </w:r>
      <w:r w:rsidR="009A599D" w:rsidRPr="002D22AB">
        <w:t>refractory classical Hodgkin lymphoma</w:t>
      </w:r>
      <w:r w:rsidRPr="002D22AB">
        <w:t xml:space="preserve"> from </w:t>
      </w:r>
      <w:r w:rsidR="00A029F3">
        <w:t xml:space="preserve">the </w:t>
      </w:r>
      <w:r w:rsidR="002D22AB" w:rsidRPr="002D22AB">
        <w:t>KEYNOTE 204 trial</w:t>
      </w:r>
      <w:r w:rsidRPr="002D22AB">
        <w:t xml:space="preserve">. The evaluation concluded the observed clinical </w:t>
      </w:r>
      <w:proofErr w:type="gramStart"/>
      <w:r w:rsidRPr="002D22AB">
        <w:t>data</w:t>
      </w:r>
      <w:proofErr w:type="gramEnd"/>
      <w:r w:rsidRPr="002D22AB">
        <w:t xml:space="preserve"> and the updated population </w:t>
      </w:r>
      <w:r w:rsidR="00D92581" w:rsidRPr="002D22AB">
        <w:t>pharmacokinetic</w:t>
      </w:r>
      <w:r w:rsidRPr="00214CE7">
        <w:t xml:space="preserve"> model were consistent with previous findings and supported the proposed dosing in children of 2 mg/kg </w:t>
      </w:r>
      <w:r w:rsidR="00D92581">
        <w:t>once every three weeks</w:t>
      </w:r>
      <w:r w:rsidRPr="00214CE7">
        <w:t>.</w:t>
      </w:r>
    </w:p>
    <w:p w14:paraId="1AED58B5" w14:textId="77777777" w:rsidR="00B004E2" w:rsidRDefault="00214CE7" w:rsidP="00B361FD">
      <w:pPr>
        <w:pStyle w:val="Heading5"/>
      </w:pPr>
      <w:r>
        <w:t>Pharmacodynamics</w:t>
      </w:r>
    </w:p>
    <w:p w14:paraId="19B00B46" w14:textId="16DC66BC" w:rsidR="00214CE7" w:rsidRDefault="00214CE7" w:rsidP="00214CE7">
      <w:r>
        <w:t xml:space="preserve">Evaluation of the immunogenicity data from 125 children </w:t>
      </w:r>
      <w:r w:rsidRPr="002D22AB">
        <w:t xml:space="preserve">from </w:t>
      </w:r>
      <w:r w:rsidR="00A029F3">
        <w:t xml:space="preserve">the </w:t>
      </w:r>
      <w:r w:rsidR="002D22AB" w:rsidRPr="002D22AB">
        <w:t xml:space="preserve">KEYNOTE 051 trial </w:t>
      </w:r>
      <w:r>
        <w:t xml:space="preserve">found </w:t>
      </w:r>
      <w:r w:rsidR="00D92581">
        <w:t>two</w:t>
      </w:r>
      <w:r>
        <w:t xml:space="preserve"> patients (1.6%) had non-treatment emergent pembrolizumab antibodies, and no patients had treatment</w:t>
      </w:r>
      <w:r w:rsidR="00A029F3">
        <w:t>-</w:t>
      </w:r>
      <w:r>
        <w:t xml:space="preserve">emergent </w:t>
      </w:r>
      <w:r w:rsidR="00A029F3">
        <w:t xml:space="preserve">antidrug </w:t>
      </w:r>
      <w:r>
        <w:t>antibodies. This was consistent with immunogenicity rates in adults (2.1%).</w:t>
      </w:r>
    </w:p>
    <w:p w14:paraId="54D37B57" w14:textId="7CF53821" w:rsidR="00214CE7" w:rsidRDefault="00214CE7" w:rsidP="00B361FD">
      <w:pPr>
        <w:pStyle w:val="Heading4"/>
      </w:pPr>
      <w:bookmarkStart w:id="50" w:name="_Toc133584019"/>
      <w:r>
        <w:lastRenderedPageBreak/>
        <w:t>Efficacy</w:t>
      </w:r>
      <w:bookmarkEnd w:id="50"/>
    </w:p>
    <w:p w14:paraId="641C981A" w14:textId="4E0ADA7C" w:rsidR="00214CE7" w:rsidRDefault="002D22AB" w:rsidP="00B361FD">
      <w:pPr>
        <w:pStyle w:val="Heading5"/>
      </w:pPr>
      <w:r>
        <w:t>KEYNOTE 204 trial</w:t>
      </w:r>
    </w:p>
    <w:p w14:paraId="66774C96" w14:textId="3FB94864" w:rsidR="00214CE7" w:rsidRDefault="00A029F3" w:rsidP="00214CE7">
      <w:r>
        <w:t xml:space="preserve">The </w:t>
      </w:r>
      <w:r w:rsidR="002D22AB">
        <w:t>KEYNOTE 204 trial</w:t>
      </w:r>
      <w:r w:rsidR="00214CE7">
        <w:t xml:space="preserve"> is an ongoing multi-centre, randomised, open-label, investigator-blind, active controlled study that compared pembrolizumab given as 200 mg </w:t>
      </w:r>
      <w:r w:rsidR="00D92581">
        <w:t>once every three weeks</w:t>
      </w:r>
      <w:r w:rsidR="00214CE7">
        <w:t xml:space="preserve"> </w:t>
      </w:r>
      <w:r w:rsidR="00D92581">
        <w:t xml:space="preserve">intravenously </w:t>
      </w:r>
      <w:r w:rsidR="00214CE7">
        <w:t xml:space="preserve">with brentuximab vedotin 1.8 mg/kg </w:t>
      </w:r>
      <w:r w:rsidR="00D92581">
        <w:t>intravenously</w:t>
      </w:r>
      <w:r w:rsidR="00214CE7">
        <w:t xml:space="preserve"> in </w:t>
      </w:r>
      <w:r w:rsidR="00D92581" w:rsidRPr="00D92581">
        <w:t>relapsed or refractory</w:t>
      </w:r>
      <w:r w:rsidR="00214CE7">
        <w:t xml:space="preserve"> </w:t>
      </w:r>
      <w:r w:rsidR="00D92581" w:rsidRPr="00D92581">
        <w:t xml:space="preserve">classical Hodgkin lymphoma </w:t>
      </w:r>
      <w:r w:rsidR="00214CE7">
        <w:t xml:space="preserve">patients. The comparator of </w:t>
      </w:r>
      <w:r w:rsidR="009A599D" w:rsidRPr="009A599D">
        <w:t>brentuximab vedotin</w:t>
      </w:r>
      <w:r w:rsidR="00214CE7">
        <w:t xml:space="preserve"> was justified based on the standard of care at the time of the trial. Data are presented from the second pre-specified</w:t>
      </w:r>
      <w:r w:rsidR="00077C45">
        <w:t xml:space="preserve"> second</w:t>
      </w:r>
      <w:r w:rsidR="00214CE7">
        <w:t xml:space="preserve"> interim analysis of the study. The median exposure was 10.02 months in the pembrolizumab arm and 4.81 months in the </w:t>
      </w:r>
      <w:r w:rsidR="009A599D" w:rsidRPr="009A599D">
        <w:t>brentuximab vedotin</w:t>
      </w:r>
      <w:r w:rsidR="00214CE7">
        <w:t xml:space="preserve"> arm.</w:t>
      </w:r>
    </w:p>
    <w:p w14:paraId="0C9F88A2" w14:textId="7B74AD50" w:rsidR="00214CE7" w:rsidRDefault="00214CE7" w:rsidP="00B361FD">
      <w:pPr>
        <w:pStyle w:val="Heading6"/>
      </w:pPr>
      <w:r>
        <w:t>Study design</w:t>
      </w:r>
    </w:p>
    <w:p w14:paraId="34137AE5" w14:textId="5D91CC91" w:rsidR="00214CE7" w:rsidRDefault="00077C45" w:rsidP="00214CE7">
      <w:r>
        <w:t>The first patient first visit was on 29 June 2016</w:t>
      </w:r>
      <w:r w:rsidR="00CB1F7B">
        <w:t xml:space="preserve"> and t</w:t>
      </w:r>
      <w:r>
        <w:t>he last patient’s last visit was 16 January 2020.  The d</w:t>
      </w:r>
      <w:r w:rsidR="00214CE7">
        <w:t>ata cut-off</w:t>
      </w:r>
      <w:r w:rsidR="00B004E2">
        <w:t xml:space="preserve"> </w:t>
      </w:r>
      <w:r w:rsidR="00214CE7">
        <w:t xml:space="preserve">date for this </w:t>
      </w:r>
      <w:r>
        <w:t xml:space="preserve">second </w:t>
      </w:r>
      <w:r w:rsidR="00214CE7">
        <w:t xml:space="preserve">interim analysis </w:t>
      </w:r>
      <w:r>
        <w:t>was</w:t>
      </w:r>
      <w:r w:rsidR="00214CE7">
        <w:t xml:space="preserve"> 16 January 2020</w:t>
      </w:r>
      <w:r>
        <w:t>.  The c</w:t>
      </w:r>
      <w:r w:rsidR="00214CE7">
        <w:t xml:space="preserve">linical </w:t>
      </w:r>
      <w:r>
        <w:t>s</w:t>
      </w:r>
      <w:r w:rsidR="00214CE7">
        <w:t xml:space="preserve">tudy </w:t>
      </w:r>
      <w:r>
        <w:t>r</w:t>
      </w:r>
      <w:r w:rsidR="00214CE7">
        <w:t xml:space="preserve">eport </w:t>
      </w:r>
      <w:r>
        <w:t xml:space="preserve">is dated </w:t>
      </w:r>
      <w:r w:rsidR="00214CE7">
        <w:t>10 April 2020</w:t>
      </w:r>
      <w:r>
        <w:t>.</w:t>
      </w:r>
    </w:p>
    <w:p w14:paraId="4629C46F" w14:textId="782C3610" w:rsidR="00214CE7" w:rsidRDefault="00077C45" w:rsidP="00214CE7">
      <w:r>
        <w:t>The study was conducted over a</w:t>
      </w:r>
      <w:r w:rsidR="00214CE7">
        <w:t xml:space="preserve"> total of 123 sites across 20 countries</w:t>
      </w:r>
      <w:r>
        <w:t xml:space="preserve">. </w:t>
      </w:r>
    </w:p>
    <w:p w14:paraId="532307FC" w14:textId="71EBCBD9" w:rsidR="00077C45" w:rsidRDefault="00077C45" w:rsidP="00214CE7">
      <w:r>
        <w:t xml:space="preserve">A summary of the study schema and patient flow is in </w:t>
      </w:r>
      <w:r>
        <w:fldChar w:fldCharType="begin"/>
      </w:r>
      <w:r>
        <w:instrText xml:space="preserve"> REF _Ref133242485 \h </w:instrText>
      </w:r>
      <w:r>
        <w:fldChar w:fldCharType="separate"/>
      </w:r>
      <w:r w:rsidR="0049023A">
        <w:t xml:space="preserve">Figure </w:t>
      </w:r>
      <w:r w:rsidR="0049023A">
        <w:rPr>
          <w:noProof/>
        </w:rPr>
        <w:t>1</w:t>
      </w:r>
      <w:r>
        <w:fldChar w:fldCharType="end"/>
      </w:r>
      <w:r>
        <w:t xml:space="preserve"> below.</w:t>
      </w:r>
    </w:p>
    <w:p w14:paraId="540CA850" w14:textId="205DF545" w:rsidR="00077C45" w:rsidRDefault="00077C45" w:rsidP="00077C45">
      <w:pPr>
        <w:pStyle w:val="TableTitle"/>
      </w:pPr>
      <w:bookmarkStart w:id="51" w:name="_Ref133242485"/>
      <w:r>
        <w:t xml:space="preserve">Figure </w:t>
      </w:r>
      <w:r>
        <w:fldChar w:fldCharType="begin"/>
      </w:r>
      <w:r>
        <w:instrText>SEQ Figure \* ARABIC</w:instrText>
      </w:r>
      <w:r>
        <w:fldChar w:fldCharType="separate"/>
      </w:r>
      <w:r w:rsidR="00DC1FDA">
        <w:rPr>
          <w:noProof/>
        </w:rPr>
        <w:t>1</w:t>
      </w:r>
      <w:r>
        <w:fldChar w:fldCharType="end"/>
      </w:r>
      <w:bookmarkEnd w:id="51"/>
      <w:r>
        <w:t xml:space="preserve">: </w:t>
      </w:r>
      <w:r w:rsidR="003B68D0" w:rsidRPr="003B68D0">
        <w:t>KEYNOTE 204 trial</w:t>
      </w:r>
      <w:r w:rsidR="003B68D0">
        <w:t xml:space="preserve"> </w:t>
      </w:r>
      <w:r w:rsidR="00A029F3">
        <w:t>S</w:t>
      </w:r>
      <w:r w:rsidRPr="00077C45">
        <w:t>ummary schema and patient flow</w:t>
      </w:r>
    </w:p>
    <w:p w14:paraId="4FEB0D7D" w14:textId="1E70DA12" w:rsidR="00214CE7" w:rsidRPr="00232BCF" w:rsidRDefault="00214CE7" w:rsidP="00214CE7">
      <w:pPr>
        <w:kinsoku w:val="0"/>
        <w:overflowPunct w:val="0"/>
        <w:autoSpaceDE w:val="0"/>
        <w:autoSpaceDN w:val="0"/>
        <w:adjustRightInd w:val="0"/>
        <w:spacing w:before="3" w:after="0" w:line="240" w:lineRule="auto"/>
        <w:rPr>
          <w:rFonts w:ascii="Times New Roman" w:hAnsi="Times New Roman"/>
          <w:sz w:val="14"/>
          <w:szCs w:val="14"/>
        </w:rPr>
      </w:pPr>
    </w:p>
    <w:p w14:paraId="077150E0" w14:textId="77777777" w:rsidR="00214CE7" w:rsidRPr="00232BCF" w:rsidRDefault="00214CE7" w:rsidP="00214CE7">
      <w:pPr>
        <w:kinsoku w:val="0"/>
        <w:overflowPunct w:val="0"/>
        <w:autoSpaceDE w:val="0"/>
        <w:autoSpaceDN w:val="0"/>
        <w:adjustRightInd w:val="0"/>
        <w:spacing w:before="0" w:after="0" w:line="240" w:lineRule="auto"/>
        <w:ind w:left="109"/>
        <w:rPr>
          <w:rFonts w:ascii="Times New Roman" w:hAnsi="Times New Roman"/>
          <w:sz w:val="20"/>
        </w:rPr>
      </w:pPr>
      <w:r w:rsidRPr="00232BCF">
        <w:rPr>
          <w:rFonts w:ascii="Times New Roman" w:hAnsi="Times New Roman"/>
          <w:noProof/>
          <w:sz w:val="20"/>
          <w:lang w:val="en-GB" w:eastAsia="en-GB"/>
        </w:rPr>
        <w:drawing>
          <wp:inline distT="0" distB="0" distL="0" distR="0" wp14:anchorId="3CE3F500" wp14:editId="0ABA5F3A">
            <wp:extent cx="5193792" cy="2886553"/>
            <wp:effectExtent l="0" t="0" r="6985" b="9525"/>
            <wp:docPr id="4" name="Picture 4" descr="This figure shows the KEYNOTE 204 trial summary schema and patient flow.  The screening phase had 300 patients enrolled which were randomised into two treatment arms for the treatment cycle (pembrolizumab and brentuximab vendotin).  The follow up period had two categories: Discontinue treatment due to disease progression (new treatment) and Discontinue treatment no due to disease progression (no new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the KEYNOTE 204 trial summary schema and patient flow.  The screening phase had 300 patients enrolled which were randomised into two treatment arms for the treatment cycle (pembrolizumab and brentuximab vendotin).  The follow up period had two categories: Discontinue treatment due to disease progression (new treatment) and Discontinue treatment no due to disease progression (no new treatmen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213" cy="2900681"/>
                    </a:xfrm>
                    <a:prstGeom prst="rect">
                      <a:avLst/>
                    </a:prstGeom>
                    <a:noFill/>
                    <a:ln>
                      <a:noFill/>
                    </a:ln>
                  </pic:spPr>
                </pic:pic>
              </a:graphicData>
            </a:graphic>
          </wp:inline>
        </w:drawing>
      </w:r>
    </w:p>
    <w:p w14:paraId="09F0B74D" w14:textId="7322ED98" w:rsidR="00214CE7" w:rsidRDefault="00077C45" w:rsidP="00077C45">
      <w:r w:rsidRPr="00077C45">
        <w:t>During</w:t>
      </w:r>
      <w:r>
        <w:t xml:space="preserve"> screening</w:t>
      </w:r>
      <w:r w:rsidRPr="00077C45">
        <w:t xml:space="preserve"> </w:t>
      </w:r>
      <w:r w:rsidR="00214CE7" w:rsidRPr="00077C45">
        <w:t xml:space="preserve">338 </w:t>
      </w:r>
      <w:r>
        <w:t xml:space="preserve">patients were </w:t>
      </w:r>
      <w:r w:rsidR="00214CE7" w:rsidRPr="00077C45">
        <w:t>screened</w:t>
      </w:r>
      <w:r>
        <w:t xml:space="preserve"> and </w:t>
      </w:r>
      <w:r w:rsidR="00214CE7" w:rsidRPr="00077C45">
        <w:t xml:space="preserve">304 patients </w:t>
      </w:r>
      <w:r>
        <w:t xml:space="preserve">were </w:t>
      </w:r>
      <w:r w:rsidR="00214CE7" w:rsidRPr="00077C45">
        <w:t>randomised</w:t>
      </w:r>
      <w:r>
        <w:t>.</w:t>
      </w:r>
    </w:p>
    <w:p w14:paraId="1E01D077" w14:textId="7CF9ACD8" w:rsidR="00077C45" w:rsidRDefault="00077C45" w:rsidP="00077C45">
      <w:r>
        <w:t xml:space="preserve">There were two treatment arms: pembrolizumab 200 mg intravenously once every three weeks (n = 151) or brentuximab </w:t>
      </w:r>
      <w:proofErr w:type="spellStart"/>
      <w:r>
        <w:t>vendotin</w:t>
      </w:r>
      <w:proofErr w:type="spellEnd"/>
      <w:r>
        <w:t xml:space="preserve"> 1.8 mg/kg intravenously once every three weeks (n = 153). The treatment continued for up to 35 cycles or until </w:t>
      </w:r>
      <w:r w:rsidRPr="00077C45">
        <w:t>documented disease progression</w:t>
      </w:r>
      <w:r>
        <w:t>.</w:t>
      </w:r>
    </w:p>
    <w:p w14:paraId="1168E4DD" w14:textId="00838247" w:rsidR="00077C45" w:rsidRDefault="00077C45" w:rsidP="00077C45">
      <w:r>
        <w:t>The patient flow at the second interim analysis (16 January 2020) was</w:t>
      </w:r>
      <w:r w:rsidR="00A029F3">
        <w:t xml:space="preserve"> as follows</w:t>
      </w:r>
      <w:r>
        <w:t>:</w:t>
      </w:r>
    </w:p>
    <w:p w14:paraId="7093B1A4" w14:textId="11E77F26" w:rsidR="00214CE7" w:rsidRPr="00077C45" w:rsidRDefault="00214CE7" w:rsidP="00077C45">
      <w:pPr>
        <w:pStyle w:val="ListBullet"/>
      </w:pPr>
      <w:r w:rsidRPr="00077C45">
        <w:t>Received treatment</w:t>
      </w:r>
      <w:r w:rsidR="00217C8A">
        <w:t>:</w:t>
      </w:r>
      <w:r w:rsidRPr="00077C45">
        <w:t xml:space="preserve"> 148/151 (98%) pembrolizumab; 152/153 (99%) </w:t>
      </w:r>
      <w:r w:rsidR="009A599D" w:rsidRPr="00077C45">
        <w:t>brentuximab vedotin</w:t>
      </w:r>
    </w:p>
    <w:p w14:paraId="6D12D0BE" w14:textId="7905A281" w:rsidR="00214CE7" w:rsidRPr="00077C45" w:rsidRDefault="00214CE7" w:rsidP="00077C45">
      <w:pPr>
        <w:pStyle w:val="ListBullet"/>
      </w:pPr>
      <w:r w:rsidRPr="00077C45">
        <w:t>Completed treatment</w:t>
      </w:r>
      <w:r w:rsidR="00217C8A">
        <w:t>:</w:t>
      </w:r>
      <w:r w:rsidRPr="00077C45">
        <w:t xml:space="preserve"> 25/151 (16.6%) pembrolizumab; 3/153 (2%) </w:t>
      </w:r>
      <w:r w:rsidR="009A599D" w:rsidRPr="00077C45">
        <w:t>brentuximab vedotin</w:t>
      </w:r>
    </w:p>
    <w:p w14:paraId="05DF0615" w14:textId="68381690" w:rsidR="00214CE7" w:rsidRPr="00077C45" w:rsidRDefault="00214CE7" w:rsidP="00077C45">
      <w:pPr>
        <w:pStyle w:val="ListBullet"/>
      </w:pPr>
      <w:r w:rsidRPr="00077C45">
        <w:t>Continuing treatment</w:t>
      </w:r>
      <w:r w:rsidR="00217C8A">
        <w:t>:</w:t>
      </w:r>
      <w:r w:rsidRPr="00077C45">
        <w:t xml:space="preserve"> 13/151 (8.6%) pembrolizumab; 3/153 (2%) </w:t>
      </w:r>
      <w:r w:rsidR="009A599D" w:rsidRPr="00077C45">
        <w:t>brentuximab vedotin</w:t>
      </w:r>
    </w:p>
    <w:p w14:paraId="57F90D3F" w14:textId="132203A4" w:rsidR="00214CE7" w:rsidRPr="00077C45" w:rsidRDefault="00214CE7" w:rsidP="00077C45">
      <w:pPr>
        <w:pStyle w:val="ListBullet"/>
      </w:pPr>
      <w:r w:rsidRPr="00077C45">
        <w:lastRenderedPageBreak/>
        <w:t>Discontinued treatment</w:t>
      </w:r>
      <w:r w:rsidR="00217C8A">
        <w:t>:</w:t>
      </w:r>
      <w:r w:rsidRPr="00077C45">
        <w:t xml:space="preserve"> 110/151 (72.8%) pembrolizumab; 146/152 (96%)</w:t>
      </w:r>
      <w:r w:rsidR="00A029F3">
        <w:t xml:space="preserve"> </w:t>
      </w:r>
      <w:r w:rsidR="00A029F3" w:rsidRPr="00077C45">
        <w:t>brentuximab vedotin</w:t>
      </w:r>
    </w:p>
    <w:p w14:paraId="087E1DE1" w14:textId="3635ABC7" w:rsidR="00214CE7" w:rsidRPr="00077C45" w:rsidRDefault="00214CE7" w:rsidP="00077C45">
      <w:pPr>
        <w:pStyle w:val="ListBullet"/>
      </w:pPr>
      <w:r w:rsidRPr="00077C45">
        <w:t xml:space="preserve">Discontinued due to adverse events: 20/151 (13.2%) pembrolizumab; 29/153 (19%) </w:t>
      </w:r>
      <w:r w:rsidR="009A599D" w:rsidRPr="00077C45">
        <w:t>brentuximab vedotin</w:t>
      </w:r>
    </w:p>
    <w:p w14:paraId="694CFB1B" w14:textId="12AADDEE" w:rsidR="00214CE7" w:rsidRPr="00077C45" w:rsidRDefault="00214CE7" w:rsidP="00077C45">
      <w:pPr>
        <w:pStyle w:val="ListBullet"/>
      </w:pPr>
      <w:r w:rsidRPr="00077C45">
        <w:t xml:space="preserve">Discontinued due to progressive disease: 58/151 (38.4%) pembrolizumab; 75/153 (49%) </w:t>
      </w:r>
      <w:r w:rsidR="009A599D" w:rsidRPr="00077C45">
        <w:t>brentuximab vedotin</w:t>
      </w:r>
    </w:p>
    <w:p w14:paraId="6CD5B725" w14:textId="1541BBAA" w:rsidR="00214CE7" w:rsidRPr="00217C8A" w:rsidRDefault="00214CE7" w:rsidP="00217C8A">
      <w:pPr>
        <w:pStyle w:val="ListBullet"/>
      </w:pPr>
      <w:r w:rsidRPr="00077C45">
        <w:t>Discontinued due to bone marrow transplant</w:t>
      </w:r>
      <w:r w:rsidR="00217C8A">
        <w:t>:</w:t>
      </w:r>
      <w:r w:rsidRPr="00077C45">
        <w:t xml:space="preserve"> 16/151 (10.6%)</w:t>
      </w:r>
      <w:r w:rsidR="00217C8A">
        <w:t xml:space="preserve"> </w:t>
      </w:r>
      <w:r w:rsidR="00217C8A" w:rsidRPr="00217C8A">
        <w:t>pembrolizumab</w:t>
      </w:r>
      <w:r w:rsidRPr="00077C45">
        <w:t xml:space="preserve">; 17/153 (11.1%) </w:t>
      </w:r>
      <w:r w:rsidR="009A599D" w:rsidRPr="00077C45">
        <w:t>brentuximab vedotin</w:t>
      </w:r>
    </w:p>
    <w:p w14:paraId="57B51949" w14:textId="63496D8E" w:rsidR="00214CE7" w:rsidRDefault="00214CE7" w:rsidP="00B361FD">
      <w:pPr>
        <w:pStyle w:val="Heading6"/>
      </w:pPr>
      <w:r>
        <w:t>Key inclusion criteria</w:t>
      </w:r>
    </w:p>
    <w:p w14:paraId="12FCDB2C" w14:textId="73657EAB" w:rsidR="00217C8A" w:rsidRPr="00217C8A" w:rsidRDefault="00217C8A" w:rsidP="00217C8A">
      <w:r>
        <w:t>The key inclusion criteria were:</w:t>
      </w:r>
    </w:p>
    <w:p w14:paraId="701B7461" w14:textId="72096D43" w:rsidR="00B004E2" w:rsidRDefault="00214CE7" w:rsidP="00217C8A">
      <w:pPr>
        <w:pStyle w:val="ListBullet"/>
      </w:pPr>
      <w:r>
        <w:t>Age</w:t>
      </w:r>
      <w:r w:rsidR="00217C8A">
        <w:t xml:space="preserve"> </w:t>
      </w:r>
      <w:r>
        <w:t>18</w:t>
      </w:r>
      <w:r w:rsidR="00217C8A">
        <w:t xml:space="preserve"> </w:t>
      </w:r>
      <w:r>
        <w:t>years</w:t>
      </w:r>
      <w:r w:rsidR="00217C8A">
        <w:t xml:space="preserve"> or older</w:t>
      </w:r>
      <w:r>
        <w:t xml:space="preserve"> with </w:t>
      </w:r>
      <w:r w:rsidR="00217C8A" w:rsidRPr="00217C8A">
        <w:t>relapsed or refractory classical Hodgkin lymphoma</w:t>
      </w:r>
    </w:p>
    <w:p w14:paraId="333B96DF" w14:textId="4F9709AB" w:rsidR="00214CE7" w:rsidRDefault="00214CE7" w:rsidP="00217C8A">
      <w:pPr>
        <w:pStyle w:val="ListBullet"/>
      </w:pPr>
      <w:r>
        <w:t xml:space="preserve">No minimum prior </w:t>
      </w:r>
      <w:proofErr w:type="gramStart"/>
      <w:r>
        <w:t>therapies</w:t>
      </w:r>
      <w:r w:rsidR="00A029F3">
        <w:t>;</w:t>
      </w:r>
      <w:proofErr w:type="gramEnd"/>
      <w:r>
        <w:t xml:space="preserve"> prior </w:t>
      </w:r>
      <w:r w:rsidR="009A599D">
        <w:t>brentuximab vedotin</w:t>
      </w:r>
      <w:r>
        <w:t xml:space="preserve"> therapy allowed not required</w:t>
      </w:r>
      <w:r w:rsidR="00217C8A">
        <w:t xml:space="preserve"> (i</w:t>
      </w:r>
      <w:r>
        <w:t xml:space="preserve">f prior </w:t>
      </w:r>
      <w:r w:rsidR="009A599D">
        <w:t>brentuximab vedotin</w:t>
      </w:r>
      <w:r>
        <w:t xml:space="preserve"> therapy or </w:t>
      </w:r>
      <w:r w:rsidR="009A599D">
        <w:t>brentuximab vedotin</w:t>
      </w:r>
      <w:r>
        <w:t xml:space="preserve"> containing regimen had achieved complete response or partial response</w:t>
      </w:r>
      <w:r w:rsidR="00217C8A">
        <w:t>)</w:t>
      </w:r>
    </w:p>
    <w:p w14:paraId="1017B60B" w14:textId="0A6827C7" w:rsidR="00214CE7" w:rsidRDefault="00214CE7" w:rsidP="00217C8A">
      <w:pPr>
        <w:pStyle w:val="ListBullet"/>
      </w:pPr>
      <w:r>
        <w:t>The inclusion criteria related to prior transplant and transplant eligibility changed through the conduct of the study</w:t>
      </w:r>
    </w:p>
    <w:p w14:paraId="78AF6CFB" w14:textId="6473FF1F" w:rsidR="00214CE7" w:rsidRDefault="00214CE7" w:rsidP="00217C8A">
      <w:pPr>
        <w:pStyle w:val="ListBullet"/>
      </w:pPr>
      <w:r>
        <w:t xml:space="preserve">Relapsed (disease progression after most recent therapy) or refractory (failure to achieve </w:t>
      </w:r>
      <w:r w:rsidR="00217C8A">
        <w:t>complete response (</w:t>
      </w:r>
      <w:r>
        <w:t>CR</w:t>
      </w:r>
      <w:r w:rsidR="00217C8A">
        <w:t>)</w:t>
      </w:r>
      <w:r>
        <w:t xml:space="preserve"> or </w:t>
      </w:r>
      <w:r w:rsidR="00217C8A">
        <w:t>partial response (</w:t>
      </w:r>
      <w:r>
        <w:t>PR</w:t>
      </w:r>
      <w:r w:rsidR="00217C8A">
        <w:t>)</w:t>
      </w:r>
      <w:r w:rsidR="00B004E2">
        <w:t xml:space="preserve"> </w:t>
      </w:r>
      <w:r>
        <w:t xml:space="preserve">to most recent therapy) </w:t>
      </w:r>
      <w:r w:rsidR="00217C8A">
        <w:t>classical Hodgkin lymphoma</w:t>
      </w:r>
    </w:p>
    <w:p w14:paraId="7CF4C0BB" w14:textId="5B6C6CB9" w:rsidR="00214CE7" w:rsidRDefault="00214CE7" w:rsidP="00A029F3">
      <w:pPr>
        <w:pStyle w:val="ListBullet"/>
      </w:pPr>
      <w:r>
        <w:t>ECOG performance status 0 or 1</w:t>
      </w:r>
      <w:r w:rsidR="00A029F3">
        <w:t xml:space="preserve"> (fully active (0), or r</w:t>
      </w:r>
      <w:r w:rsidR="00A029F3" w:rsidRPr="00A029F3">
        <w:t xml:space="preserve">estricted in physically strenuous activity but ambulatory and able to carry </w:t>
      </w:r>
      <w:r w:rsidR="00A029F3">
        <w:t>out light work (1))</w:t>
      </w:r>
    </w:p>
    <w:p w14:paraId="1DF5FC65" w14:textId="341B694B" w:rsidR="00214CE7" w:rsidRDefault="00217C8A" w:rsidP="00217C8A">
      <w:pPr>
        <w:pStyle w:val="ListBullet"/>
      </w:pPr>
      <w:r>
        <w:t>Four</w:t>
      </w:r>
      <w:r w:rsidR="00214CE7">
        <w:t xml:space="preserve"> </w:t>
      </w:r>
      <w:r>
        <w:t xml:space="preserve">or more weeks </w:t>
      </w:r>
      <w:r w:rsidR="00214CE7">
        <w:t>since last therapy</w:t>
      </w:r>
    </w:p>
    <w:p w14:paraId="06CC929A" w14:textId="705AC866" w:rsidR="00A029F3" w:rsidRDefault="00A029F3" w:rsidP="00051FDB">
      <w:pPr>
        <w:pStyle w:val="ListBullet"/>
      </w:pPr>
      <w:r>
        <w:t>With l</w:t>
      </w:r>
      <w:r w:rsidR="00214CE7">
        <w:t>ab</w:t>
      </w:r>
      <w:r w:rsidR="00217C8A">
        <w:t>oratory results</w:t>
      </w:r>
      <w:r>
        <w:t xml:space="preserve"> fulfilling the following criteria</w:t>
      </w:r>
      <w:r w:rsidR="00214CE7">
        <w:t>:</w:t>
      </w:r>
    </w:p>
    <w:p w14:paraId="2045C5CF" w14:textId="65C6E4BE" w:rsidR="00A029F3" w:rsidRDefault="00217C8A" w:rsidP="00C13873">
      <w:pPr>
        <w:pStyle w:val="ListBullet2"/>
      </w:pPr>
      <w:r>
        <w:t>A</w:t>
      </w:r>
      <w:r w:rsidRPr="0044571F">
        <w:t>bsolute neutrophil count</w:t>
      </w:r>
      <w:r w:rsidR="00214CE7">
        <w:t xml:space="preserve"> </w:t>
      </w:r>
      <w:r>
        <w:t>≥</w:t>
      </w:r>
      <w:r w:rsidR="00214CE7">
        <w:t xml:space="preserve"> 1000/µL,</w:t>
      </w:r>
    </w:p>
    <w:p w14:paraId="2B35A221" w14:textId="1A423840" w:rsidR="00A029F3" w:rsidRDefault="00214CE7" w:rsidP="00C13873">
      <w:pPr>
        <w:pStyle w:val="ListBullet2"/>
      </w:pPr>
      <w:r>
        <w:t>platelets ≥ 75,000/µL,</w:t>
      </w:r>
    </w:p>
    <w:p w14:paraId="71C1D5EF" w14:textId="79749FF3" w:rsidR="00A029F3" w:rsidRDefault="00214CE7" w:rsidP="00C13873">
      <w:pPr>
        <w:pStyle w:val="ListBullet2"/>
      </w:pPr>
      <w:r>
        <w:t>haemoglobin &gt; 8</w:t>
      </w:r>
      <w:r w:rsidR="00217C8A">
        <w:t xml:space="preserve"> </w:t>
      </w:r>
      <w:r>
        <w:t>g/dL</w:t>
      </w:r>
      <w:r w:rsidR="00217C8A">
        <w:t>,</w:t>
      </w:r>
    </w:p>
    <w:p w14:paraId="08325204" w14:textId="0A293008" w:rsidR="00A029F3" w:rsidRDefault="00217C8A" w:rsidP="00C13873">
      <w:pPr>
        <w:pStyle w:val="ListBullet2"/>
      </w:pPr>
      <w:r>
        <w:t>c</w:t>
      </w:r>
      <w:r w:rsidR="00214CE7">
        <w:t xml:space="preserve">reatinine ≤ 1.5 x </w:t>
      </w:r>
      <w:r>
        <w:t>upper limit of normal (ULN)</w:t>
      </w:r>
      <w:r w:rsidR="00214CE7">
        <w:t xml:space="preserve"> or ≥ 60 mL/</w:t>
      </w:r>
      <w:proofErr w:type="gramStart"/>
      <w:r w:rsidR="00214CE7">
        <w:t>min;</w:t>
      </w:r>
      <w:proofErr w:type="gramEnd"/>
    </w:p>
    <w:p w14:paraId="0315AA4D" w14:textId="69245508" w:rsidR="00A029F3" w:rsidRDefault="00214CE7" w:rsidP="00C13873">
      <w:pPr>
        <w:pStyle w:val="ListBullet2"/>
      </w:pPr>
      <w:r>
        <w:t>total bili</w:t>
      </w:r>
      <w:r w:rsidR="00217C8A">
        <w:t>rubin</w:t>
      </w:r>
      <w:r>
        <w:t xml:space="preserve"> ≤ 1.5 ULN</w:t>
      </w:r>
      <w:r w:rsidR="00217C8A">
        <w:t>,</w:t>
      </w:r>
    </w:p>
    <w:p w14:paraId="41E7F850" w14:textId="56C7D7DD" w:rsidR="00214CE7" w:rsidRDefault="00217C8A" w:rsidP="00C13873">
      <w:pPr>
        <w:pStyle w:val="ListBullet2"/>
      </w:pPr>
      <w:r>
        <w:t>a</w:t>
      </w:r>
      <w:r w:rsidRPr="0044571F">
        <w:t>spartate transaminase</w:t>
      </w:r>
      <w:r w:rsidR="00214CE7">
        <w:t xml:space="preserve"> and </w:t>
      </w:r>
      <w:r w:rsidRPr="0044571F">
        <w:t>alanine transaminase</w:t>
      </w:r>
      <w:r w:rsidR="00214CE7">
        <w:t xml:space="preserve"> ≤ 2.5 </w:t>
      </w:r>
      <w:r w:rsidR="0044571F">
        <w:t xml:space="preserve">x </w:t>
      </w:r>
      <w:r w:rsidR="00214CE7">
        <w:t xml:space="preserve">ULN (≤ 5 x ULN </w:t>
      </w:r>
      <w:r w:rsidR="00A029F3">
        <w:t xml:space="preserve">with </w:t>
      </w:r>
      <w:r w:rsidR="00214CE7">
        <w:t>liver involve</w:t>
      </w:r>
      <w:r w:rsidR="00A029F3">
        <w:t>ment</w:t>
      </w:r>
      <w:r w:rsidR="00214CE7">
        <w:t>)</w:t>
      </w:r>
      <w:r w:rsidR="00A029F3">
        <w:t>.</w:t>
      </w:r>
    </w:p>
    <w:p w14:paraId="72140B04" w14:textId="6D215F71" w:rsidR="00214CE7" w:rsidRDefault="00214CE7" w:rsidP="00B361FD">
      <w:pPr>
        <w:pStyle w:val="Heading6"/>
      </w:pPr>
      <w:r>
        <w:t>Key exclusion criteria</w:t>
      </w:r>
    </w:p>
    <w:p w14:paraId="34576810" w14:textId="053BBD9E" w:rsidR="00A029F3" w:rsidRPr="00C00401" w:rsidRDefault="00A029F3" w:rsidP="00C13873">
      <w:r>
        <w:t>Key exclusion criteria included:</w:t>
      </w:r>
    </w:p>
    <w:p w14:paraId="05F77A77" w14:textId="41B5550C" w:rsidR="00214CE7" w:rsidRDefault="00214CE7" w:rsidP="0044571F">
      <w:pPr>
        <w:pStyle w:val="ListBullet"/>
      </w:pPr>
      <w:r>
        <w:t xml:space="preserve">Diagnosis of immunosuppression or receiving </w:t>
      </w:r>
      <w:r w:rsidR="0044571F">
        <w:t xml:space="preserve">more than </w:t>
      </w:r>
      <w:r>
        <w:t xml:space="preserve">10 mg prednisolone or equivalent or any immunosuppressant within </w:t>
      </w:r>
      <w:r w:rsidR="0044571F">
        <w:t>seven</w:t>
      </w:r>
      <w:r>
        <w:t xml:space="preserve"> days prior to first dose of trial treatment</w:t>
      </w:r>
    </w:p>
    <w:p w14:paraId="0221CAD3" w14:textId="3391BC60" w:rsidR="00214CE7" w:rsidRDefault="00214CE7" w:rsidP="0044571F">
      <w:pPr>
        <w:pStyle w:val="ListBullet"/>
      </w:pPr>
      <w:r>
        <w:t xml:space="preserve">Monoclonal antibody within </w:t>
      </w:r>
      <w:r w:rsidR="0044571F">
        <w:t>four</w:t>
      </w:r>
      <w:r>
        <w:t xml:space="preserve"> weeks of first study treatment or not recovered (≤ Grade 1 at </w:t>
      </w:r>
      <w:r w:rsidR="0044571F">
        <w:t>B</w:t>
      </w:r>
      <w:r>
        <w:t xml:space="preserve">aseline) from </w:t>
      </w:r>
      <w:r w:rsidR="0044571F">
        <w:t>adverse events</w:t>
      </w:r>
      <w:r>
        <w:t xml:space="preserve"> due to agents given </w:t>
      </w:r>
      <w:r w:rsidR="0044571F">
        <w:t>more than</w:t>
      </w:r>
      <w:r>
        <w:t xml:space="preserve"> </w:t>
      </w:r>
      <w:r w:rsidR="0044571F">
        <w:t xml:space="preserve">four </w:t>
      </w:r>
      <w:r>
        <w:t>weeks prior</w:t>
      </w:r>
    </w:p>
    <w:p w14:paraId="606D1C62" w14:textId="09E35C4A" w:rsidR="00B004E2" w:rsidRDefault="00214CE7" w:rsidP="0044571F">
      <w:pPr>
        <w:pStyle w:val="ListBullet"/>
      </w:pPr>
      <w:r>
        <w:lastRenderedPageBreak/>
        <w:t xml:space="preserve">Chemotherapy, targeted small molecule therapy, or radiational therapy including investigational agents within </w:t>
      </w:r>
      <w:r w:rsidR="0044571F">
        <w:t>four</w:t>
      </w:r>
      <w:r>
        <w:t xml:space="preserve"> weeks of study Day 1 or not recovered (≤ Grade 1 at </w:t>
      </w:r>
      <w:r w:rsidR="0044571F">
        <w:t>B</w:t>
      </w:r>
      <w:r>
        <w:t xml:space="preserve">aseline) from </w:t>
      </w:r>
      <w:r w:rsidR="0044571F">
        <w:t>adverse events</w:t>
      </w:r>
      <w:r>
        <w:t xml:space="preserve"> due to prior agents</w:t>
      </w:r>
    </w:p>
    <w:p w14:paraId="649C352B" w14:textId="360D47D7" w:rsidR="00214CE7" w:rsidRDefault="0044571F" w:rsidP="0044571F">
      <w:pPr>
        <w:pStyle w:val="ListBullet"/>
      </w:pPr>
      <w:r>
        <w:t xml:space="preserve">Allogenic stem cell transplant less than </w:t>
      </w:r>
      <w:r w:rsidR="00214CE7">
        <w:t>5 years</w:t>
      </w:r>
      <w:r>
        <w:t xml:space="preserve"> ago</w:t>
      </w:r>
    </w:p>
    <w:p w14:paraId="57B09527" w14:textId="34A2C50C" w:rsidR="00214CE7" w:rsidRDefault="00214CE7" w:rsidP="0044571F">
      <w:pPr>
        <w:pStyle w:val="ListBullet"/>
      </w:pPr>
      <w:r>
        <w:t xml:space="preserve">Active </w:t>
      </w:r>
      <w:r w:rsidR="0044571F">
        <w:t>central nervous system</w:t>
      </w:r>
      <w:r w:rsidR="0044571F" w:rsidRPr="0044571F">
        <w:t xml:space="preserve"> metastases </w:t>
      </w:r>
      <w:r>
        <w:t xml:space="preserve">or carcinomatous meningitis but could have previously treated radiologically stable, clinically stable brain </w:t>
      </w:r>
      <w:r w:rsidR="0044571F" w:rsidRPr="0044571F">
        <w:t>metastases</w:t>
      </w:r>
      <w:r>
        <w:t xml:space="preserve"> not requiring steroid for at least 14 days</w:t>
      </w:r>
    </w:p>
    <w:p w14:paraId="2C56CD8A" w14:textId="5A591282" w:rsidR="00214CE7" w:rsidRDefault="00214CE7" w:rsidP="0044571F">
      <w:pPr>
        <w:pStyle w:val="ListBullet"/>
      </w:pPr>
      <w:r>
        <w:t xml:space="preserve">Active autoimmune disease requiring systemic treatment in past </w:t>
      </w:r>
      <w:r w:rsidR="0044571F">
        <w:t>two</w:t>
      </w:r>
      <w:r>
        <w:t xml:space="preserve"> years</w:t>
      </w:r>
    </w:p>
    <w:p w14:paraId="1917EED8" w14:textId="4B925EBE" w:rsidR="00214CE7" w:rsidRDefault="0044571F" w:rsidP="0044571F">
      <w:pPr>
        <w:pStyle w:val="ListBullet"/>
      </w:pPr>
      <w:r>
        <w:t>K</w:t>
      </w:r>
      <w:r w:rsidR="00214CE7">
        <w:t xml:space="preserve">nown additional malignancy that was progressive or needing active treatment in previous </w:t>
      </w:r>
      <w:r>
        <w:t>three</w:t>
      </w:r>
      <w:r w:rsidR="00214CE7">
        <w:t xml:space="preserve"> years</w:t>
      </w:r>
    </w:p>
    <w:p w14:paraId="33A00CA5" w14:textId="6AD8D621" w:rsidR="00B004E2" w:rsidRDefault="00214CE7" w:rsidP="0044571F">
      <w:pPr>
        <w:pStyle w:val="ListBullet"/>
      </w:pPr>
      <w:r>
        <w:t>Prior (non-infectious) pneumonitis requiring steroid</w:t>
      </w:r>
      <w:r w:rsidR="00477AF2">
        <w:t>s</w:t>
      </w:r>
    </w:p>
    <w:p w14:paraId="1A9C0BD7" w14:textId="48039509" w:rsidR="00214CE7" w:rsidRDefault="00214CE7" w:rsidP="0044571F">
      <w:pPr>
        <w:pStyle w:val="ListBullet"/>
      </w:pPr>
      <w:r>
        <w:t xml:space="preserve">Eligible for allogenic or autologous </w:t>
      </w:r>
      <w:r w:rsidR="0044571F">
        <w:t>stem cell transplant</w:t>
      </w:r>
      <w:r>
        <w:t xml:space="preserve"> (</w:t>
      </w:r>
      <w:r w:rsidR="00477AF2">
        <w:t xml:space="preserve">note this exclusion criterion </w:t>
      </w:r>
      <w:r>
        <w:t>changed throughout the study</w:t>
      </w:r>
      <w:r w:rsidR="00477AF2">
        <w:t xml:space="preserve">, </w:t>
      </w:r>
      <w:r>
        <w:t xml:space="preserve">see </w:t>
      </w:r>
      <w:r w:rsidR="00477AF2" w:rsidRPr="00C13873">
        <w:rPr>
          <w:i/>
        </w:rPr>
        <w:fldChar w:fldCharType="begin"/>
      </w:r>
      <w:r w:rsidR="00477AF2" w:rsidRPr="00C13873">
        <w:rPr>
          <w:i/>
        </w:rPr>
        <w:instrText xml:space="preserve"> REF _Ref136594894 \h </w:instrText>
      </w:r>
      <w:r w:rsidR="00477AF2">
        <w:rPr>
          <w:i/>
        </w:rPr>
        <w:instrText xml:space="preserve"> \* MERGEFORMAT </w:instrText>
      </w:r>
      <w:r w:rsidR="00477AF2" w:rsidRPr="00C13873">
        <w:rPr>
          <w:i/>
        </w:rPr>
      </w:r>
      <w:r w:rsidR="00477AF2" w:rsidRPr="00C13873">
        <w:rPr>
          <w:i/>
        </w:rPr>
        <w:fldChar w:fldCharType="separate"/>
      </w:r>
      <w:r w:rsidR="00477AF2" w:rsidRPr="00C13873">
        <w:rPr>
          <w:i/>
        </w:rPr>
        <w:t>Protocol amendments and deviations</w:t>
      </w:r>
      <w:r w:rsidR="00477AF2" w:rsidRPr="00C13873">
        <w:rPr>
          <w:i/>
        </w:rPr>
        <w:fldChar w:fldCharType="end"/>
      </w:r>
      <w:r w:rsidR="00477AF2">
        <w:t>,</w:t>
      </w:r>
      <w:r>
        <w:t xml:space="preserve"> </w:t>
      </w:r>
      <w:r w:rsidR="0044571F">
        <w:t>below</w:t>
      </w:r>
      <w:r>
        <w:t>)</w:t>
      </w:r>
    </w:p>
    <w:p w14:paraId="571E5AD3" w14:textId="334E3DCE" w:rsidR="00214CE7" w:rsidRDefault="00477AF2" w:rsidP="0044571F">
      <w:pPr>
        <w:pStyle w:val="ListBullet"/>
      </w:pPr>
      <w:r>
        <w:t xml:space="preserve">Administration of </w:t>
      </w:r>
      <w:r w:rsidR="00C13873">
        <w:t>l</w:t>
      </w:r>
      <w:r w:rsidR="00214CE7">
        <w:t>ive vaccines, anti-PD-1, anti-PD-L1, anti PD-L2 agents, anti</w:t>
      </w:r>
      <w:r>
        <w:t>-</w:t>
      </w:r>
      <w:r w:rsidR="00214CE7">
        <w:t>CD137</w:t>
      </w:r>
      <w:r>
        <w:t xml:space="preserve"> antibodies</w:t>
      </w:r>
      <w:r w:rsidR="00214CE7">
        <w:t>, or OX</w:t>
      </w:r>
      <w:r>
        <w:noBreakHyphen/>
      </w:r>
      <w:r w:rsidR="00214CE7">
        <w:t>40, or medicine specifically targeting T-cell co-stimulation or checkpoint pathways.</w:t>
      </w:r>
    </w:p>
    <w:p w14:paraId="2ADE783E" w14:textId="0DF2CD17" w:rsidR="00214CE7" w:rsidRDefault="00214CE7" w:rsidP="0044571F">
      <w:pPr>
        <w:pStyle w:val="Heading6"/>
      </w:pPr>
      <w:r w:rsidRPr="00214CE7">
        <w:t>Endpoints</w:t>
      </w:r>
    </w:p>
    <w:p w14:paraId="078F0F2D" w14:textId="7B096658" w:rsidR="0044571F" w:rsidRDefault="00214CE7" w:rsidP="00DC31D2">
      <w:pPr>
        <w:pStyle w:val="Heading7"/>
        <w:tabs>
          <w:tab w:val="left" w:pos="7134"/>
        </w:tabs>
      </w:pPr>
      <w:r>
        <w:t>Primary</w:t>
      </w:r>
      <w:r w:rsidR="00DC31D2">
        <w:tab/>
      </w:r>
    </w:p>
    <w:p w14:paraId="1BCA92EF" w14:textId="13B445DC" w:rsidR="000C30CD" w:rsidRDefault="00163D04" w:rsidP="00214CE7">
      <w:r>
        <w:t>The primary end-point</w:t>
      </w:r>
      <w:r w:rsidR="005140A5">
        <w:t>s are</w:t>
      </w:r>
      <w:r>
        <w:t xml:space="preserve"> d</w:t>
      </w:r>
      <w:r w:rsidR="00214CE7">
        <w:t>ual primary efficacy endpoints of progression free survival (PFS</w:t>
      </w:r>
      <w:r w:rsidR="00214CE7" w:rsidRPr="000C30CD">
        <w:t>)</w:t>
      </w:r>
      <w:r w:rsidR="000C30CD">
        <w:t xml:space="preserve"> </w:t>
      </w:r>
      <w:r w:rsidR="00214CE7">
        <w:t xml:space="preserve">assessed by </w:t>
      </w:r>
      <w:r w:rsidR="00477AF2">
        <w:rPr>
          <w:szCs w:val="22"/>
        </w:rPr>
        <w:t>b</w:t>
      </w:r>
      <w:r w:rsidR="00204E76">
        <w:rPr>
          <w:szCs w:val="22"/>
        </w:rPr>
        <w:t xml:space="preserve">linded independent central </w:t>
      </w:r>
      <w:r w:rsidR="00204E76" w:rsidRPr="00826C50">
        <w:rPr>
          <w:szCs w:val="22"/>
        </w:rPr>
        <w:t>review (</w:t>
      </w:r>
      <w:r w:rsidR="00214CE7" w:rsidRPr="00826C50">
        <w:t>BICR</w:t>
      </w:r>
      <w:r w:rsidR="00204E76" w:rsidRPr="00826C50">
        <w:t>)</w:t>
      </w:r>
      <w:r w:rsidR="00214CE7" w:rsidRPr="00826C50">
        <w:t xml:space="preserve"> </w:t>
      </w:r>
      <w:r w:rsidR="00357671" w:rsidRPr="00826C50">
        <w:t>to</w:t>
      </w:r>
      <w:r w:rsidR="00357671">
        <w:t xml:space="preserve"> the</w:t>
      </w:r>
      <w:r w:rsidR="00214CE7">
        <w:t xml:space="preserve"> I</w:t>
      </w:r>
      <w:r w:rsidR="00204E76">
        <w:t xml:space="preserve">nternal Working Group (IWG) classification for response in clinical trials </w:t>
      </w:r>
      <w:r w:rsidR="00214CE7">
        <w:t>response</w:t>
      </w:r>
      <w:r w:rsidR="00477AF2">
        <w:t>;</w:t>
      </w:r>
      <w:r w:rsidR="006920E4">
        <w:rPr>
          <w:rStyle w:val="FootnoteReference"/>
        </w:rPr>
        <w:footnoteReference w:id="13"/>
      </w:r>
      <w:r w:rsidR="00214CE7">
        <w:t xml:space="preserve"> including clinical and imaging data following </w:t>
      </w:r>
      <w:r w:rsidR="000C30CD" w:rsidRPr="000C30CD">
        <w:t>autologous stem cell transplant</w:t>
      </w:r>
      <w:r w:rsidR="000C30CD">
        <w:t xml:space="preserve"> </w:t>
      </w:r>
      <w:r w:rsidR="00214CE7">
        <w:t>or allo</w:t>
      </w:r>
      <w:r w:rsidR="000C30CD">
        <w:t>genic stem cell transplant</w:t>
      </w:r>
      <w:r w:rsidR="00214CE7">
        <w:t>, and</w:t>
      </w:r>
      <w:r w:rsidR="005140A5">
        <w:t xml:space="preserve"> o</w:t>
      </w:r>
      <w:r w:rsidR="00214CE7">
        <w:t xml:space="preserve">verall </w:t>
      </w:r>
      <w:r w:rsidR="005140A5">
        <w:t>s</w:t>
      </w:r>
      <w:r w:rsidR="00214CE7">
        <w:t>urvival</w:t>
      </w:r>
      <w:r w:rsidR="00477AF2">
        <w:t>. Overall survival</w:t>
      </w:r>
      <w:r w:rsidR="00214CE7">
        <w:t xml:space="preserve"> </w:t>
      </w:r>
      <w:r w:rsidR="005140A5">
        <w:t xml:space="preserve">was </w:t>
      </w:r>
      <w:r w:rsidR="00214CE7">
        <w:t xml:space="preserve">to be formally analysed at </w:t>
      </w:r>
      <w:r w:rsidR="00077C45">
        <w:t>the third interim analysis</w:t>
      </w:r>
      <w:r w:rsidR="00214CE7">
        <w:t>.</w:t>
      </w:r>
    </w:p>
    <w:p w14:paraId="414A8EA2" w14:textId="644EA142" w:rsidR="000C30CD" w:rsidRDefault="00214CE7" w:rsidP="000C30CD">
      <w:pPr>
        <w:pStyle w:val="Heading7"/>
      </w:pPr>
      <w:r>
        <w:t>Secondary</w:t>
      </w:r>
    </w:p>
    <w:p w14:paraId="68CCFF7E" w14:textId="4B002A39" w:rsidR="00214CE7" w:rsidRDefault="00163D04" w:rsidP="00214CE7">
      <w:r>
        <w:t xml:space="preserve">The secondary endpoints </w:t>
      </w:r>
      <w:r w:rsidR="005140A5">
        <w:t>are</w:t>
      </w:r>
      <w:r>
        <w:t xml:space="preserve"> progression-free survival</w:t>
      </w:r>
      <w:r w:rsidR="00214CE7">
        <w:t xml:space="preserve"> excluding clinical and imaging with censoring for </w:t>
      </w:r>
      <w:r w:rsidR="000C30CD">
        <w:t>stem cell transplant</w:t>
      </w:r>
      <w:r w:rsidR="00214CE7">
        <w:t xml:space="preserve">, </w:t>
      </w:r>
      <w:r w:rsidR="00913CDD">
        <w:t>o</w:t>
      </w:r>
      <w:r w:rsidR="00913CDD" w:rsidRPr="00913CDD">
        <w:t>bjective response rate</w:t>
      </w:r>
      <w:r w:rsidR="00214CE7">
        <w:t xml:space="preserve"> and </w:t>
      </w:r>
      <w:r w:rsidR="000C30CD">
        <w:t>complete re</w:t>
      </w:r>
      <w:r w:rsidR="005140A5">
        <w:t xml:space="preserve">mission </w:t>
      </w:r>
      <w:r w:rsidR="000C30CD">
        <w:t>rate</w:t>
      </w:r>
      <w:r w:rsidR="00214CE7">
        <w:t xml:space="preserve"> (</w:t>
      </w:r>
      <w:r w:rsidR="005140A5">
        <w:t>ass</w:t>
      </w:r>
      <w:r w:rsidR="005140A5" w:rsidRPr="005140A5">
        <w:t xml:space="preserve">essed by </w:t>
      </w:r>
      <w:r w:rsidR="00214CE7" w:rsidRPr="005140A5">
        <w:t>BICR) censoring</w:t>
      </w:r>
      <w:r w:rsidR="00214CE7">
        <w:t xml:space="preserve"> for </w:t>
      </w:r>
      <w:r w:rsidR="000C30CD" w:rsidRPr="000C30CD">
        <w:t>stem cell transplant</w:t>
      </w:r>
      <w:r w:rsidR="00CB1F7B">
        <w:t xml:space="preserve"> and</w:t>
      </w:r>
      <w:r w:rsidR="00214CE7">
        <w:t xml:space="preserve"> PFS (</w:t>
      </w:r>
      <w:r w:rsidR="005140A5">
        <w:t xml:space="preserve">assessed </w:t>
      </w:r>
      <w:r w:rsidR="00214CE7">
        <w:t xml:space="preserve">by </w:t>
      </w:r>
      <w:r w:rsidR="005140A5">
        <w:t>the i</w:t>
      </w:r>
      <w:r w:rsidR="00214CE7">
        <w:t>nvestigator)</w:t>
      </w:r>
      <w:r w:rsidR="000C30CD">
        <w:t>.</w:t>
      </w:r>
    </w:p>
    <w:p w14:paraId="661A8C42" w14:textId="0E4AA05A" w:rsidR="000C30CD" w:rsidRDefault="00214CE7" w:rsidP="000C30CD">
      <w:pPr>
        <w:pStyle w:val="Heading7"/>
      </w:pPr>
      <w:r>
        <w:t xml:space="preserve">Exploratory </w:t>
      </w:r>
    </w:p>
    <w:p w14:paraId="1B7273F8" w14:textId="3ACBC481" w:rsidR="00214CE7" w:rsidRDefault="005140A5" w:rsidP="00214CE7">
      <w:r>
        <w:t>Exploratory endpoints include s</w:t>
      </w:r>
      <w:r w:rsidR="00163D04" w:rsidRPr="00163D04">
        <w:t>econd progression-free survival</w:t>
      </w:r>
      <w:r>
        <w:t xml:space="preserve">, </w:t>
      </w:r>
      <w:r w:rsidR="00163D04">
        <w:t>as assessed by the investigator</w:t>
      </w:r>
      <w:r w:rsidR="00CB1F7B">
        <w:t xml:space="preserve"> </w:t>
      </w:r>
      <w:r w:rsidR="00357671">
        <w:t>(</w:t>
      </w:r>
      <w:r w:rsidR="00214CE7">
        <w:t>time from randomisation to first of subsequent disease progression after initiation of new anti-cancer therapy or death from any cause).</w:t>
      </w:r>
      <w:r w:rsidR="00B004E2">
        <w:t xml:space="preserve"> </w:t>
      </w:r>
      <w:r w:rsidR="00214CE7">
        <w:t xml:space="preserve">Patients alive without a second progression would be censored at the last time known to be alive and without second disease progression. </w:t>
      </w:r>
      <w:r>
        <w:t>Other endpoints include d</w:t>
      </w:r>
      <w:r w:rsidR="00214CE7">
        <w:t xml:space="preserve">uration of </w:t>
      </w:r>
      <w:r>
        <w:t>r</w:t>
      </w:r>
      <w:r w:rsidR="00214CE7">
        <w:t xml:space="preserve">esponse (DOR), </w:t>
      </w:r>
      <w:r w:rsidR="00477AF2">
        <w:t xml:space="preserve">and </w:t>
      </w:r>
      <w:r>
        <w:t>q</w:t>
      </w:r>
      <w:r w:rsidR="00214CE7">
        <w:t xml:space="preserve">uality of </w:t>
      </w:r>
      <w:r>
        <w:t>l</w:t>
      </w:r>
      <w:r w:rsidR="00214CE7">
        <w:t xml:space="preserve">ife </w:t>
      </w:r>
      <w:r>
        <w:t>a</w:t>
      </w:r>
      <w:r w:rsidR="00214CE7">
        <w:t>ssessments</w:t>
      </w:r>
      <w:r w:rsidR="00B004E2">
        <w:t xml:space="preserve"> </w:t>
      </w:r>
      <w:r w:rsidR="00214CE7">
        <w:t xml:space="preserve">(EORTC QLQ-C30 and </w:t>
      </w:r>
      <w:proofErr w:type="spellStart"/>
      <w:r w:rsidR="00214CE7">
        <w:t>EuroQoL</w:t>
      </w:r>
      <w:proofErr w:type="spellEnd"/>
      <w:r w:rsidR="00214CE7">
        <w:t xml:space="preserve"> EQ-5D)</w:t>
      </w:r>
      <w:r w:rsidR="000C30CD">
        <w:t xml:space="preserve"> </w:t>
      </w:r>
    </w:p>
    <w:p w14:paraId="229A6D5A" w14:textId="02D08008" w:rsidR="000C30CD" w:rsidRDefault="00214CE7" w:rsidP="00CB1F7B">
      <w:pPr>
        <w:pStyle w:val="Heading7"/>
        <w:tabs>
          <w:tab w:val="left" w:pos="7717"/>
        </w:tabs>
      </w:pPr>
      <w:r>
        <w:t>Safety</w:t>
      </w:r>
      <w:r w:rsidR="00CB1F7B">
        <w:tab/>
      </w:r>
    </w:p>
    <w:p w14:paraId="36B2AAC8" w14:textId="15DD73B2" w:rsidR="00214CE7" w:rsidRDefault="000C30CD" w:rsidP="00214CE7">
      <w:r>
        <w:t>Adverse events</w:t>
      </w:r>
      <w:r w:rsidR="00214CE7">
        <w:t xml:space="preserve"> monitored </w:t>
      </w:r>
      <w:r w:rsidR="00D92581">
        <w:t>once every three weeks</w:t>
      </w:r>
      <w:r w:rsidR="00214CE7">
        <w:t xml:space="preserve"> from the first dose of study treatment</w:t>
      </w:r>
      <w:r w:rsidR="00477AF2">
        <w:t>.</w:t>
      </w:r>
    </w:p>
    <w:p w14:paraId="1088C19A" w14:textId="3C0999C8" w:rsidR="00214CE7" w:rsidRDefault="00214CE7" w:rsidP="00B361FD">
      <w:pPr>
        <w:pStyle w:val="Heading6"/>
      </w:pPr>
      <w:r w:rsidRPr="00214CE7">
        <w:lastRenderedPageBreak/>
        <w:t>Statistics</w:t>
      </w:r>
    </w:p>
    <w:p w14:paraId="69EAD52D" w14:textId="78FD6AF0" w:rsidR="00214CE7" w:rsidRPr="00A4068B" w:rsidRDefault="005140A5" w:rsidP="005140A5">
      <w:pPr>
        <w:rPr>
          <w:sz w:val="19"/>
          <w:lang w:val="en-US"/>
        </w:rPr>
      </w:pPr>
      <w:r>
        <w:t xml:space="preserve">The study was randomised </w:t>
      </w:r>
      <w:r w:rsidR="00477AF2">
        <w:t xml:space="preserve">in a </w:t>
      </w:r>
      <w:r>
        <w:t>1:1</w:t>
      </w:r>
      <w:r w:rsidR="00477AF2">
        <w:t xml:space="preserve"> ratio</w:t>
      </w:r>
      <w:r>
        <w:t xml:space="preserve">.  </w:t>
      </w:r>
    </w:p>
    <w:p w14:paraId="3F347A47" w14:textId="22E21695" w:rsidR="00FF3488" w:rsidRDefault="00214CE7" w:rsidP="00BD5380">
      <w:pPr>
        <w:pStyle w:val="Heading7"/>
      </w:pPr>
      <w:r w:rsidRPr="00A4068B">
        <w:rPr>
          <w:lang w:val="en-US"/>
        </w:rPr>
        <w:t xml:space="preserve">Primary </w:t>
      </w:r>
      <w:r w:rsidRPr="005140A5">
        <w:t>endpoint</w:t>
      </w:r>
      <w:r w:rsidR="00FF3488">
        <w:t xml:space="preserve"> (p</w:t>
      </w:r>
      <w:r w:rsidR="00FF3488" w:rsidRPr="00FF3488">
        <w:t xml:space="preserve">rogression free survival </w:t>
      </w:r>
      <w:r w:rsidR="00FF3488">
        <w:t>or</w:t>
      </w:r>
      <w:r w:rsidR="00FF3488" w:rsidRPr="00FF3488">
        <w:t xml:space="preserve"> </w:t>
      </w:r>
      <w:r w:rsidR="00F301D8">
        <w:t>overall survival</w:t>
      </w:r>
      <w:r w:rsidR="00FF3488">
        <w:t>)</w:t>
      </w:r>
    </w:p>
    <w:p w14:paraId="2F5388C4" w14:textId="1DF40453" w:rsidR="00214CE7" w:rsidRPr="003B68D0" w:rsidRDefault="00FF3488" w:rsidP="003B68D0">
      <w:pPr>
        <w:rPr>
          <w:lang w:val="en-US"/>
        </w:rPr>
      </w:pPr>
      <w:r w:rsidRPr="00F301D8">
        <w:rPr>
          <w:bCs/>
          <w:i/>
          <w:iCs/>
          <w:lang w:val="en-US"/>
        </w:rPr>
        <w:t xml:space="preserve">Progression free survival </w:t>
      </w:r>
      <w:r w:rsidR="00214CE7" w:rsidRPr="00F301D8">
        <w:rPr>
          <w:bCs/>
          <w:i/>
          <w:iCs/>
          <w:lang w:val="en-US"/>
        </w:rPr>
        <w:t xml:space="preserve">per </w:t>
      </w:r>
      <w:r w:rsidR="00F301D8" w:rsidRPr="00F301D8">
        <w:rPr>
          <w:bCs/>
          <w:i/>
          <w:iCs/>
          <w:lang w:val="en-US"/>
        </w:rPr>
        <w:t>the Independent Review Committee</w:t>
      </w:r>
      <w:r w:rsidR="00214CE7" w:rsidRPr="00F301D8">
        <w:rPr>
          <w:bCs/>
          <w:i/>
          <w:iCs/>
          <w:lang w:val="en-US"/>
        </w:rPr>
        <w:t xml:space="preserve"> without censoring for </w:t>
      </w:r>
      <w:r w:rsidR="005140A5" w:rsidRPr="00F301D8">
        <w:rPr>
          <w:bCs/>
          <w:i/>
          <w:iCs/>
          <w:lang w:val="en-US"/>
        </w:rPr>
        <w:t>stem cell transplant</w:t>
      </w:r>
      <w:r w:rsidR="00214CE7" w:rsidRPr="00F301D8">
        <w:rPr>
          <w:b/>
          <w:bCs/>
          <w:i/>
          <w:iCs/>
          <w:lang w:val="en-US"/>
        </w:rPr>
        <w:t>:</w:t>
      </w:r>
      <w:r w:rsidR="00214CE7" w:rsidRPr="00B21C5E">
        <w:rPr>
          <w:b/>
          <w:bCs/>
          <w:color w:val="93C571" w:themeColor="accent6" w:themeTint="BF"/>
          <w:lang w:val="en-US"/>
        </w:rPr>
        <w:t xml:space="preserve"> </w:t>
      </w:r>
      <w:r w:rsidR="00214CE7" w:rsidRPr="00CE03EC">
        <w:rPr>
          <w:lang w:val="en-US"/>
        </w:rPr>
        <w:t xml:space="preserve">194 </w:t>
      </w:r>
      <w:r w:rsidR="005140A5">
        <w:rPr>
          <w:lang w:val="en-US"/>
        </w:rPr>
        <w:t>progression free survival</w:t>
      </w:r>
      <w:r w:rsidR="00214CE7" w:rsidRPr="00CE03EC">
        <w:rPr>
          <w:lang w:val="en-US"/>
        </w:rPr>
        <w:t xml:space="preserve"> </w:t>
      </w:r>
      <w:r w:rsidR="00214CE7" w:rsidRPr="00411451">
        <w:rPr>
          <w:lang w:val="en-US"/>
        </w:rPr>
        <w:t>events gave 85% power</w:t>
      </w:r>
      <w:r w:rsidR="00357671">
        <w:rPr>
          <w:lang w:val="en-US"/>
        </w:rPr>
        <w:t>,</w:t>
      </w:r>
      <w:r w:rsidR="00214CE7" w:rsidRPr="00411451">
        <w:rPr>
          <w:b/>
        </w:rPr>
        <w:t xml:space="preserve"> </w:t>
      </w:r>
      <w:r>
        <w:rPr>
          <w:bCs/>
        </w:rPr>
        <w:t>hazard ratio (</w:t>
      </w:r>
      <w:r w:rsidR="005140A5">
        <w:rPr>
          <w:lang w:val="en-US"/>
        </w:rPr>
        <w:t>H</w:t>
      </w:r>
      <w:r>
        <w:rPr>
          <w:lang w:val="en-US"/>
        </w:rPr>
        <w:t xml:space="preserve">R) </w:t>
      </w:r>
      <w:r w:rsidR="00214CE7">
        <w:rPr>
          <w:lang w:val="en-US"/>
        </w:rPr>
        <w:t>=</w:t>
      </w:r>
      <w:r>
        <w:rPr>
          <w:lang w:val="en-US"/>
        </w:rPr>
        <w:t xml:space="preserve"> </w:t>
      </w:r>
      <w:r w:rsidR="00214CE7">
        <w:rPr>
          <w:lang w:val="en-US"/>
        </w:rPr>
        <w:t xml:space="preserve">0.622 (pembrolizumab </w:t>
      </w:r>
      <w:r>
        <w:rPr>
          <w:lang w:val="en-US"/>
        </w:rPr>
        <w:t>versus</w:t>
      </w:r>
      <w:r w:rsidR="00214CE7">
        <w:rPr>
          <w:lang w:val="en-US"/>
        </w:rPr>
        <w:t xml:space="preserve"> </w:t>
      </w:r>
      <w:r w:rsidR="009A599D">
        <w:rPr>
          <w:lang w:val="en-US"/>
        </w:rPr>
        <w:t>brentuximab vedotin</w:t>
      </w:r>
      <w:r w:rsidR="00214CE7">
        <w:rPr>
          <w:lang w:val="en-US"/>
        </w:rPr>
        <w:t>)</w:t>
      </w:r>
      <w:r w:rsidR="00214CE7" w:rsidRPr="00CE03EC">
        <w:rPr>
          <w:lang w:val="en-US"/>
        </w:rPr>
        <w:t xml:space="preserve"> w</w:t>
      </w:r>
      <w:r>
        <w:rPr>
          <w:lang w:val="en-US"/>
        </w:rPr>
        <w:t>ith</w:t>
      </w:r>
      <w:r w:rsidR="00214CE7" w:rsidRPr="00CE03EC">
        <w:rPr>
          <w:lang w:val="en-US"/>
        </w:rPr>
        <w:t xml:space="preserve"> alpha</w:t>
      </w:r>
      <w:r>
        <w:rPr>
          <w:lang w:val="en-US"/>
        </w:rPr>
        <w:t xml:space="preserve"> </w:t>
      </w:r>
      <w:r w:rsidR="00214CE7" w:rsidRPr="00CE03EC">
        <w:rPr>
          <w:lang w:val="en-US"/>
        </w:rPr>
        <w:t>=</w:t>
      </w:r>
      <w:r>
        <w:rPr>
          <w:lang w:val="en-US"/>
        </w:rPr>
        <w:t xml:space="preserve"> </w:t>
      </w:r>
      <w:r w:rsidR="00214CE7" w:rsidRPr="00CE03EC">
        <w:rPr>
          <w:lang w:val="en-US"/>
        </w:rPr>
        <w:t xml:space="preserve">0.0120 (assumes </w:t>
      </w:r>
      <w:r w:rsidR="00357671">
        <w:rPr>
          <w:lang w:val="en-US"/>
        </w:rPr>
        <w:t>progression free survival</w:t>
      </w:r>
      <w:r w:rsidR="00214CE7" w:rsidRPr="00CE03EC">
        <w:rPr>
          <w:lang w:val="en-US"/>
        </w:rPr>
        <w:t xml:space="preserve"> follows exponential distribution with median 5.6 months in control arm)</w:t>
      </w:r>
      <w:r>
        <w:rPr>
          <w:lang w:val="en-US"/>
        </w:rPr>
        <w:t>.</w:t>
      </w:r>
    </w:p>
    <w:p w14:paraId="058086B9" w14:textId="0E33A363" w:rsidR="00214CE7" w:rsidRDefault="00214CE7" w:rsidP="00FF3488">
      <w:pPr>
        <w:rPr>
          <w:lang w:val="en-US"/>
        </w:rPr>
      </w:pPr>
      <w:r w:rsidRPr="00C2526A">
        <w:rPr>
          <w:i/>
          <w:iCs/>
          <w:lang w:val="en-US"/>
        </w:rPr>
        <w:t xml:space="preserve">Key secondary </w:t>
      </w:r>
      <w:r w:rsidR="00FF3488" w:rsidRPr="00C2526A">
        <w:rPr>
          <w:i/>
          <w:iCs/>
          <w:lang w:val="en-US"/>
        </w:rPr>
        <w:t>overall survival</w:t>
      </w:r>
      <w:r w:rsidRPr="00C2526A">
        <w:rPr>
          <w:i/>
          <w:iCs/>
          <w:lang w:val="en-US"/>
        </w:rPr>
        <w:t>:</w:t>
      </w:r>
      <w:r w:rsidRPr="00C2526A">
        <w:rPr>
          <w:lang w:val="en-US"/>
        </w:rPr>
        <w:t xml:space="preserve"> 146 </w:t>
      </w:r>
      <w:r w:rsidR="00FF3488" w:rsidRPr="00C2526A">
        <w:rPr>
          <w:lang w:val="en-US"/>
        </w:rPr>
        <w:t>overall survival</w:t>
      </w:r>
      <w:r w:rsidRPr="00C2526A">
        <w:rPr>
          <w:lang w:val="en-US"/>
        </w:rPr>
        <w:t xml:space="preserve"> events gave</w:t>
      </w:r>
      <w:r w:rsidR="00346C54" w:rsidRPr="00C2526A">
        <w:rPr>
          <w:lang w:val="en-US"/>
        </w:rPr>
        <w:t xml:space="preserve"> a</w:t>
      </w:r>
      <w:r w:rsidRPr="00C2526A">
        <w:rPr>
          <w:lang w:val="en-US"/>
        </w:rPr>
        <w:t xml:space="preserve"> HR = 0.6 (pembrolizumab </w:t>
      </w:r>
      <w:r w:rsidR="00FF3488" w:rsidRPr="00C2526A">
        <w:rPr>
          <w:lang w:val="en-US"/>
        </w:rPr>
        <w:t>versus</w:t>
      </w:r>
      <w:r w:rsidRPr="00C2526A">
        <w:rPr>
          <w:lang w:val="en-US"/>
        </w:rPr>
        <w:t xml:space="preserve"> </w:t>
      </w:r>
      <w:r w:rsidR="009A599D" w:rsidRPr="00C2526A">
        <w:rPr>
          <w:lang w:val="en-US"/>
        </w:rPr>
        <w:t>brentuximab vedotin</w:t>
      </w:r>
      <w:r w:rsidRPr="00C2526A">
        <w:rPr>
          <w:lang w:val="en-US"/>
        </w:rPr>
        <w:t xml:space="preserve">) </w:t>
      </w:r>
      <w:r w:rsidR="00FF3488" w:rsidRPr="00C2526A">
        <w:rPr>
          <w:lang w:val="en-US"/>
        </w:rPr>
        <w:t>with</w:t>
      </w:r>
      <w:r w:rsidRPr="00C2526A">
        <w:rPr>
          <w:lang w:val="en-US"/>
        </w:rPr>
        <w:t xml:space="preserve"> 80% power, alpha </w:t>
      </w:r>
      <w:r w:rsidR="00FF3488" w:rsidRPr="00C2526A">
        <w:rPr>
          <w:lang w:val="en-US"/>
        </w:rPr>
        <w:t xml:space="preserve">= </w:t>
      </w:r>
      <w:r w:rsidRPr="00C2526A">
        <w:rPr>
          <w:lang w:val="en-US"/>
        </w:rPr>
        <w:t xml:space="preserve">0.0125 (assumes </w:t>
      </w:r>
      <w:r w:rsidR="00FF3488" w:rsidRPr="00C2526A">
        <w:rPr>
          <w:lang w:val="en-US"/>
        </w:rPr>
        <w:t>overall survival</w:t>
      </w:r>
      <w:r w:rsidRPr="00C2526A">
        <w:rPr>
          <w:lang w:val="en-US"/>
        </w:rPr>
        <w:t xml:space="preserve"> follows exponential distribution with median 22.4 months in control arm)</w:t>
      </w:r>
      <w:r w:rsidR="00FF3488" w:rsidRPr="00C2526A">
        <w:rPr>
          <w:lang w:val="en-US"/>
        </w:rPr>
        <w:t>.</w:t>
      </w:r>
    </w:p>
    <w:p w14:paraId="252EBA59" w14:textId="5A0C9498" w:rsidR="00214CE7" w:rsidRPr="00CE03EC" w:rsidRDefault="00214CE7" w:rsidP="00FF3488">
      <w:pPr>
        <w:rPr>
          <w:bCs/>
          <w:lang w:val="en-US"/>
        </w:rPr>
      </w:pPr>
      <w:r w:rsidRPr="00F301D8">
        <w:rPr>
          <w:i/>
          <w:iCs/>
          <w:lang w:val="en-US"/>
        </w:rPr>
        <w:t xml:space="preserve">Key secondary </w:t>
      </w:r>
      <w:r w:rsidR="00FF3488" w:rsidRPr="00F301D8">
        <w:rPr>
          <w:i/>
          <w:iCs/>
          <w:lang w:val="en-US"/>
        </w:rPr>
        <w:t>objective response rate</w:t>
      </w:r>
      <w:r>
        <w:rPr>
          <w:lang w:val="en-US"/>
        </w:rPr>
        <w:t xml:space="preserve">: only if </w:t>
      </w:r>
      <w:r w:rsidR="00FF3488" w:rsidRPr="00FF3488">
        <w:rPr>
          <w:lang w:val="en-US"/>
        </w:rPr>
        <w:t>progression free survival</w:t>
      </w:r>
      <w:r>
        <w:rPr>
          <w:lang w:val="en-US"/>
        </w:rPr>
        <w:t xml:space="preserve"> hypothesis rejected, 90% power (1-sided al</w:t>
      </w:r>
      <w:r w:rsidR="00FF3488">
        <w:rPr>
          <w:lang w:val="en-US"/>
        </w:rPr>
        <w:t>ph</w:t>
      </w:r>
      <w:r>
        <w:rPr>
          <w:lang w:val="en-US"/>
        </w:rPr>
        <w:t>a</w:t>
      </w:r>
      <w:r w:rsidR="00357671">
        <w:rPr>
          <w:lang w:val="en-US"/>
        </w:rPr>
        <w:t xml:space="preserve"> =</w:t>
      </w:r>
      <w:r>
        <w:rPr>
          <w:lang w:val="en-US"/>
        </w:rPr>
        <w:t xml:space="preserve"> 0.006) to detect 18</w:t>
      </w:r>
      <w:r w:rsidR="00346C54">
        <w:rPr>
          <w:lang w:val="en-US"/>
        </w:rPr>
        <w:t>%</w:t>
      </w:r>
      <w:r w:rsidR="00FF3488">
        <w:rPr>
          <w:lang w:val="en-US"/>
        </w:rPr>
        <w:t xml:space="preserve"> to </w:t>
      </w:r>
      <w:r>
        <w:rPr>
          <w:lang w:val="en-US"/>
        </w:rPr>
        <w:t xml:space="preserve">20% improvement on experimental arm assuming true </w:t>
      </w:r>
      <w:r w:rsidR="00913CDD">
        <w:rPr>
          <w:lang w:val="en-US"/>
        </w:rPr>
        <w:t>o</w:t>
      </w:r>
      <w:r w:rsidR="00913CDD" w:rsidRPr="00913CDD">
        <w:rPr>
          <w:lang w:val="en-US"/>
        </w:rPr>
        <w:t>bjective response rate</w:t>
      </w:r>
      <w:r>
        <w:rPr>
          <w:lang w:val="en-US"/>
        </w:rPr>
        <w:t xml:space="preserve"> ranges from 60</w:t>
      </w:r>
      <w:r w:rsidR="00346C54">
        <w:rPr>
          <w:lang w:val="en-US"/>
        </w:rPr>
        <w:t xml:space="preserve"> to </w:t>
      </w:r>
      <w:r>
        <w:rPr>
          <w:lang w:val="en-US"/>
        </w:rPr>
        <w:t>70%</w:t>
      </w:r>
      <w:r w:rsidR="00FF3488">
        <w:rPr>
          <w:lang w:val="en-US"/>
        </w:rPr>
        <w:t>.</w:t>
      </w:r>
    </w:p>
    <w:p w14:paraId="0CAFA1E1" w14:textId="00CAFEC5" w:rsidR="00214CE7" w:rsidRPr="00534862" w:rsidRDefault="00214CE7" w:rsidP="00FF3488">
      <w:pPr>
        <w:rPr>
          <w:bCs/>
          <w:lang w:val="en-US"/>
        </w:rPr>
      </w:pPr>
      <w:r w:rsidRPr="00534862">
        <w:rPr>
          <w:bCs/>
          <w:lang w:val="en-US"/>
        </w:rPr>
        <w:t xml:space="preserve">Both </w:t>
      </w:r>
      <w:r w:rsidR="00346C54">
        <w:rPr>
          <w:bCs/>
          <w:lang w:val="en-US"/>
        </w:rPr>
        <w:t xml:space="preserve">key secondary endpoints </w:t>
      </w:r>
      <w:r w:rsidRPr="00534862">
        <w:rPr>
          <w:bCs/>
          <w:lang w:val="en-US"/>
        </w:rPr>
        <w:t xml:space="preserve">assume </w:t>
      </w:r>
      <w:r w:rsidR="00FF3488">
        <w:rPr>
          <w:bCs/>
          <w:lang w:val="en-US"/>
        </w:rPr>
        <w:t>one</w:t>
      </w:r>
      <w:r w:rsidRPr="00534862">
        <w:rPr>
          <w:bCs/>
          <w:lang w:val="en-US"/>
        </w:rPr>
        <w:t xml:space="preserve"> interim analysis for </w:t>
      </w:r>
      <w:r w:rsidR="00FF3488" w:rsidRPr="00FF3488">
        <w:rPr>
          <w:bCs/>
          <w:lang w:val="en-US"/>
        </w:rPr>
        <w:t>progression free survival</w:t>
      </w:r>
      <w:r w:rsidRPr="00534862">
        <w:rPr>
          <w:bCs/>
          <w:lang w:val="en-US"/>
        </w:rPr>
        <w:t xml:space="preserve">, </w:t>
      </w:r>
      <w:r w:rsidR="00FF3488">
        <w:rPr>
          <w:bCs/>
          <w:lang w:val="en-US"/>
        </w:rPr>
        <w:t>two</w:t>
      </w:r>
      <w:r w:rsidRPr="00534862">
        <w:rPr>
          <w:bCs/>
          <w:lang w:val="en-US"/>
        </w:rPr>
        <w:t xml:space="preserve"> </w:t>
      </w:r>
      <w:r w:rsidR="00346C54">
        <w:rPr>
          <w:bCs/>
          <w:lang w:val="en-US"/>
        </w:rPr>
        <w:t xml:space="preserve">interim analyses </w:t>
      </w:r>
      <w:r w:rsidRPr="00534862">
        <w:rPr>
          <w:bCs/>
          <w:lang w:val="en-US"/>
        </w:rPr>
        <w:t xml:space="preserve">for </w:t>
      </w:r>
      <w:r w:rsidR="00FF3488">
        <w:rPr>
          <w:bCs/>
          <w:lang w:val="en-US"/>
        </w:rPr>
        <w:t>overall survival</w:t>
      </w:r>
      <w:r w:rsidR="00346C54">
        <w:rPr>
          <w:bCs/>
          <w:lang w:val="en-US"/>
        </w:rPr>
        <w:t>, an</w:t>
      </w:r>
      <w:r w:rsidRPr="00534862">
        <w:rPr>
          <w:bCs/>
          <w:lang w:val="en-US"/>
        </w:rPr>
        <w:t xml:space="preserve"> enrollment period of 12 months</w:t>
      </w:r>
      <w:r w:rsidR="00357671">
        <w:rPr>
          <w:bCs/>
          <w:lang w:val="en-US"/>
        </w:rPr>
        <w:t xml:space="preserve"> and</w:t>
      </w:r>
      <w:r w:rsidR="00346C54">
        <w:rPr>
          <w:bCs/>
          <w:lang w:val="en-US"/>
        </w:rPr>
        <w:t xml:space="preserve"> a</w:t>
      </w:r>
      <w:r w:rsidRPr="00534862">
        <w:rPr>
          <w:bCs/>
          <w:lang w:val="en-US"/>
        </w:rPr>
        <w:t xml:space="preserve"> cumulative drop-out of 5% at the end of 3 years. </w:t>
      </w:r>
      <w:r w:rsidR="00346C54">
        <w:rPr>
          <w:bCs/>
          <w:lang w:val="en-US"/>
        </w:rPr>
        <w:t>Both</w:t>
      </w:r>
      <w:r w:rsidR="00F301D8">
        <w:rPr>
          <w:bCs/>
          <w:lang w:val="en-US"/>
        </w:rPr>
        <w:t xml:space="preserve"> also</w:t>
      </w:r>
      <w:r w:rsidR="00346C54">
        <w:rPr>
          <w:bCs/>
          <w:lang w:val="en-US"/>
        </w:rPr>
        <w:t xml:space="preserve"> a</w:t>
      </w:r>
      <w:r w:rsidRPr="00534862">
        <w:rPr>
          <w:bCs/>
          <w:lang w:val="en-US"/>
        </w:rPr>
        <w:t xml:space="preserve">ssumed median </w:t>
      </w:r>
      <w:r w:rsidR="00FF3488" w:rsidRPr="00FF3488">
        <w:rPr>
          <w:bCs/>
          <w:lang w:val="en-US"/>
        </w:rPr>
        <w:t>progression free survival</w:t>
      </w:r>
      <w:r w:rsidRPr="00534862">
        <w:rPr>
          <w:bCs/>
          <w:lang w:val="en-US"/>
        </w:rPr>
        <w:t xml:space="preserve"> </w:t>
      </w:r>
      <w:r w:rsidR="00346C54">
        <w:rPr>
          <w:bCs/>
          <w:lang w:val="en-US"/>
        </w:rPr>
        <w:t xml:space="preserve">of </w:t>
      </w:r>
      <w:r w:rsidRPr="00534862">
        <w:rPr>
          <w:bCs/>
          <w:lang w:val="en-US"/>
        </w:rPr>
        <w:t>5.6</w:t>
      </w:r>
      <w:r w:rsidR="00357671">
        <w:rPr>
          <w:bCs/>
          <w:lang w:val="en-US"/>
        </w:rPr>
        <w:t> </w:t>
      </w:r>
      <w:r w:rsidRPr="00534862">
        <w:rPr>
          <w:bCs/>
          <w:lang w:val="en-US"/>
        </w:rPr>
        <w:t xml:space="preserve">months and </w:t>
      </w:r>
      <w:r w:rsidR="00FF3488">
        <w:rPr>
          <w:bCs/>
          <w:lang w:val="en-US"/>
        </w:rPr>
        <w:t>overall survival</w:t>
      </w:r>
      <w:r w:rsidRPr="00534862">
        <w:rPr>
          <w:bCs/>
          <w:lang w:val="en-US"/>
        </w:rPr>
        <w:t xml:space="preserve"> of 22.4 months (from published study with </w:t>
      </w:r>
      <w:r w:rsidR="009A599D">
        <w:rPr>
          <w:bCs/>
          <w:lang w:val="en-US"/>
        </w:rPr>
        <w:t>brentuximab vedotin</w:t>
      </w:r>
      <w:r w:rsidRPr="00534862">
        <w:rPr>
          <w:bCs/>
          <w:lang w:val="en-US"/>
        </w:rPr>
        <w:t xml:space="preserve"> and prior </w:t>
      </w:r>
      <w:r w:rsidR="00FF3488">
        <w:rPr>
          <w:bCs/>
          <w:lang w:val="en-US"/>
        </w:rPr>
        <w:t>stem cell transplant</w:t>
      </w:r>
      <w:r w:rsidRPr="00534862">
        <w:rPr>
          <w:bCs/>
          <w:lang w:val="en-US"/>
        </w:rPr>
        <w:t>)</w:t>
      </w:r>
      <w:r w:rsidR="00FF3488">
        <w:rPr>
          <w:bCs/>
          <w:lang w:val="en-US"/>
        </w:rPr>
        <w:t>.</w:t>
      </w:r>
    </w:p>
    <w:p w14:paraId="76892697" w14:textId="7A5FD595" w:rsidR="00FF3488" w:rsidRDefault="00214CE7" w:rsidP="00FF3488">
      <w:pPr>
        <w:pStyle w:val="Heading7"/>
        <w:rPr>
          <w:lang w:val="en-US"/>
        </w:rPr>
      </w:pPr>
      <w:r w:rsidRPr="00FF3488">
        <w:rPr>
          <w:lang w:val="en-US"/>
        </w:rPr>
        <w:t>Interim analyses</w:t>
      </w:r>
    </w:p>
    <w:p w14:paraId="72175F11" w14:textId="675DF01D" w:rsidR="00214CE7" w:rsidRPr="00FF3488" w:rsidRDefault="00FF3488" w:rsidP="00FF3488">
      <w:pPr>
        <w:rPr>
          <w:bCs/>
          <w:lang w:val="en-US"/>
        </w:rPr>
      </w:pPr>
      <w:r>
        <w:rPr>
          <w:bCs/>
          <w:lang w:val="en-US"/>
        </w:rPr>
        <w:t>Four</w:t>
      </w:r>
      <w:r w:rsidR="00214CE7" w:rsidRPr="00FF3488">
        <w:rPr>
          <w:bCs/>
          <w:lang w:val="en-US"/>
        </w:rPr>
        <w:t xml:space="preserve"> interim analyses </w:t>
      </w:r>
      <w:r w:rsidR="00346C54">
        <w:rPr>
          <w:bCs/>
          <w:lang w:val="en-US"/>
        </w:rPr>
        <w:t xml:space="preserve">were </w:t>
      </w:r>
      <w:r w:rsidR="00214CE7" w:rsidRPr="00FF3488">
        <w:rPr>
          <w:bCs/>
          <w:lang w:val="en-US"/>
        </w:rPr>
        <w:t xml:space="preserve">planned. </w:t>
      </w:r>
      <w:r w:rsidR="00077C45" w:rsidRPr="00FF3488">
        <w:rPr>
          <w:bCs/>
          <w:lang w:val="en-US"/>
        </w:rPr>
        <w:t xml:space="preserve">The second interim analysis </w:t>
      </w:r>
      <w:r w:rsidR="00346C54">
        <w:rPr>
          <w:bCs/>
          <w:lang w:val="en-US"/>
        </w:rPr>
        <w:t xml:space="preserve">was </w:t>
      </w:r>
      <w:r w:rsidR="00214CE7" w:rsidRPr="00FF3488">
        <w:rPr>
          <w:bCs/>
          <w:lang w:val="en-US"/>
        </w:rPr>
        <w:t xml:space="preserve">presented to support </w:t>
      </w:r>
      <w:r w:rsidR="00346C54">
        <w:rPr>
          <w:bCs/>
          <w:lang w:val="en-US"/>
        </w:rPr>
        <w:t xml:space="preserve">the </w:t>
      </w:r>
      <w:r w:rsidR="00214CE7" w:rsidRPr="00FF3488">
        <w:rPr>
          <w:bCs/>
          <w:lang w:val="en-US"/>
        </w:rPr>
        <w:t>submission</w:t>
      </w:r>
      <w:r w:rsidR="00346C54">
        <w:rPr>
          <w:bCs/>
          <w:lang w:val="en-US"/>
        </w:rPr>
        <w:t>.</w:t>
      </w:r>
    </w:p>
    <w:p w14:paraId="1BF2ABEB" w14:textId="497A0016" w:rsidR="00FF3488" w:rsidRDefault="00214CE7" w:rsidP="00FF3488">
      <w:pPr>
        <w:pStyle w:val="Heading7"/>
        <w:rPr>
          <w:lang w:val="en-US"/>
        </w:rPr>
      </w:pPr>
      <w:r w:rsidRPr="008032ED">
        <w:rPr>
          <w:lang w:val="en-US"/>
        </w:rPr>
        <w:t>Multiplicity</w:t>
      </w:r>
    </w:p>
    <w:p w14:paraId="011B845F" w14:textId="24D504A5" w:rsidR="00B004E2" w:rsidRDefault="00346C54" w:rsidP="00FF3488">
      <w:pPr>
        <w:rPr>
          <w:lang w:val="en-US"/>
        </w:rPr>
      </w:pPr>
      <w:r>
        <w:rPr>
          <w:lang w:val="en-US"/>
        </w:rPr>
        <w:t>The o</w:t>
      </w:r>
      <w:r w:rsidR="00214CE7" w:rsidRPr="00452DF3">
        <w:rPr>
          <w:lang w:val="en-US"/>
        </w:rPr>
        <w:t xml:space="preserve">verall control of type 1 error </w:t>
      </w:r>
      <w:r>
        <w:rPr>
          <w:lang w:val="en-US"/>
        </w:rPr>
        <w:t xml:space="preserve">was </w:t>
      </w:r>
      <w:r w:rsidR="00214CE7" w:rsidRPr="00452DF3">
        <w:rPr>
          <w:lang w:val="en-US"/>
        </w:rPr>
        <w:t>to 0.25 (1 sided)</w:t>
      </w:r>
      <w:r w:rsidR="00357671">
        <w:rPr>
          <w:lang w:val="en-US"/>
        </w:rPr>
        <w:t xml:space="preserve"> with t</w:t>
      </w:r>
      <w:r w:rsidR="00214CE7">
        <w:rPr>
          <w:lang w:val="en-US"/>
        </w:rPr>
        <w:t xml:space="preserve">esting of </w:t>
      </w:r>
      <w:r w:rsidR="00357671">
        <w:rPr>
          <w:lang w:val="en-US"/>
        </w:rPr>
        <w:t>progression free survival</w:t>
      </w:r>
      <w:r w:rsidR="00214CE7">
        <w:rPr>
          <w:lang w:val="en-US"/>
        </w:rPr>
        <w:t xml:space="preserve">, </w:t>
      </w:r>
      <w:r w:rsidR="00357671">
        <w:rPr>
          <w:lang w:val="en-US"/>
        </w:rPr>
        <w:t xml:space="preserve">overall </w:t>
      </w:r>
      <w:proofErr w:type="gramStart"/>
      <w:r w:rsidR="00357671">
        <w:rPr>
          <w:lang w:val="en-US"/>
        </w:rPr>
        <w:t>survival</w:t>
      </w:r>
      <w:proofErr w:type="gramEnd"/>
      <w:r w:rsidR="00214CE7">
        <w:rPr>
          <w:lang w:val="en-US"/>
        </w:rPr>
        <w:t xml:space="preserve"> and </w:t>
      </w:r>
      <w:r w:rsidR="00913CDD" w:rsidRPr="00913CDD">
        <w:rPr>
          <w:lang w:val="en-US"/>
        </w:rPr>
        <w:t>objective response rate</w:t>
      </w:r>
      <w:r w:rsidR="00214CE7">
        <w:rPr>
          <w:lang w:val="en-US"/>
        </w:rPr>
        <w:t xml:space="preserve"> hypotheses.</w:t>
      </w:r>
      <w:r w:rsidR="00357671">
        <w:rPr>
          <w:lang w:val="en-US"/>
        </w:rPr>
        <w:t xml:space="preserve">  The multiplicity strategy is shown in </w:t>
      </w:r>
      <w:r w:rsidR="00357671">
        <w:rPr>
          <w:lang w:val="en-US"/>
        </w:rPr>
        <w:fldChar w:fldCharType="begin"/>
      </w:r>
      <w:r w:rsidR="00357671">
        <w:rPr>
          <w:lang w:val="en-US"/>
        </w:rPr>
        <w:instrText xml:space="preserve"> REF _Ref133838575 \h </w:instrText>
      </w:r>
      <w:r w:rsidR="00357671">
        <w:rPr>
          <w:lang w:val="en-US"/>
        </w:rPr>
      </w:r>
      <w:r w:rsidR="00357671">
        <w:rPr>
          <w:lang w:val="en-US"/>
        </w:rPr>
        <w:fldChar w:fldCharType="separate"/>
      </w:r>
      <w:r w:rsidR="00357671">
        <w:t xml:space="preserve">Figure </w:t>
      </w:r>
      <w:r w:rsidR="00357671">
        <w:rPr>
          <w:noProof/>
        </w:rPr>
        <w:t>2</w:t>
      </w:r>
      <w:r w:rsidR="00357671">
        <w:rPr>
          <w:lang w:val="en-US"/>
        </w:rPr>
        <w:fldChar w:fldCharType="end"/>
      </w:r>
      <w:r w:rsidR="00357671">
        <w:rPr>
          <w:lang w:val="en-US"/>
        </w:rPr>
        <w:t>.</w:t>
      </w:r>
    </w:p>
    <w:p w14:paraId="3B5D890B" w14:textId="05E8D74D" w:rsidR="00DC1FDA" w:rsidRDefault="00DC1FDA" w:rsidP="00DC1FDA">
      <w:pPr>
        <w:pStyle w:val="TableTitle"/>
        <w:rPr>
          <w:lang w:val="en-US"/>
        </w:rPr>
      </w:pPr>
      <w:bookmarkStart w:id="52" w:name="_Ref133838575"/>
      <w:r>
        <w:t xml:space="preserve">Figure </w:t>
      </w:r>
      <w:r>
        <w:fldChar w:fldCharType="begin"/>
      </w:r>
      <w:r>
        <w:instrText>SEQ Figure \* ARABIC</w:instrText>
      </w:r>
      <w:r>
        <w:fldChar w:fldCharType="separate"/>
      </w:r>
      <w:r>
        <w:rPr>
          <w:noProof/>
        </w:rPr>
        <w:t>2</w:t>
      </w:r>
      <w:r>
        <w:fldChar w:fldCharType="end"/>
      </w:r>
      <w:bookmarkEnd w:id="52"/>
      <w:r>
        <w:t xml:space="preserve">: </w:t>
      </w:r>
      <w:r w:rsidR="00357671">
        <w:t xml:space="preserve">KEYNOTE 204 trial </w:t>
      </w:r>
      <w:r w:rsidR="00477AF2">
        <w:t xml:space="preserve">Strategy to control for </w:t>
      </w:r>
      <w:r w:rsidR="00357671">
        <w:t>m</w:t>
      </w:r>
      <w:r>
        <w:t>ultiplicity</w:t>
      </w:r>
    </w:p>
    <w:p w14:paraId="2D01C353" w14:textId="0F6159FA" w:rsidR="00DC1FDA" w:rsidRDefault="00DC1FDA" w:rsidP="00FF3488">
      <w:pPr>
        <w:rPr>
          <w:lang w:val="en-US"/>
        </w:rPr>
      </w:pPr>
      <w:r>
        <w:rPr>
          <w:noProof/>
          <w:lang w:val="en-GB" w:eastAsia="en-GB"/>
        </w:rPr>
        <w:drawing>
          <wp:inline distT="0" distB="0" distL="0" distR="0" wp14:anchorId="188B7315" wp14:editId="60BEA2E0">
            <wp:extent cx="2874352" cy="2816721"/>
            <wp:effectExtent l="0" t="0" r="2540" b="3175"/>
            <wp:docPr id="486" name="Picture 486" descr="This figure shows the KEYNOTE 204 trial multiplicity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This figure shows the KEYNOTE 204 trial multiplicity strategy"/>
                    <pic:cNvPicPr/>
                  </pic:nvPicPr>
                  <pic:blipFill>
                    <a:blip r:embed="rId27"/>
                    <a:stretch>
                      <a:fillRect/>
                    </a:stretch>
                  </pic:blipFill>
                  <pic:spPr>
                    <a:xfrm>
                      <a:off x="0" y="0"/>
                      <a:ext cx="2878321" cy="2820611"/>
                    </a:xfrm>
                    <a:prstGeom prst="rect">
                      <a:avLst/>
                    </a:prstGeom>
                  </pic:spPr>
                </pic:pic>
              </a:graphicData>
            </a:graphic>
          </wp:inline>
        </w:drawing>
      </w:r>
    </w:p>
    <w:p w14:paraId="7068630F" w14:textId="2D960A76" w:rsidR="00214CE7" w:rsidRPr="00DC1FDA" w:rsidRDefault="00DC1FDA" w:rsidP="00DC1FDA">
      <w:pPr>
        <w:pStyle w:val="TableDescription"/>
        <w:rPr>
          <w:lang w:val="en-US"/>
        </w:rPr>
      </w:pPr>
      <w:r>
        <w:rPr>
          <w:lang w:val="en-US"/>
        </w:rPr>
        <w:t>Abbreviations: PFS = progression free survival, OS = overall survival, ORR = objective response rate</w:t>
      </w:r>
    </w:p>
    <w:p w14:paraId="64EF4041" w14:textId="3D8F296E" w:rsidR="00214CE7" w:rsidRDefault="00214CE7" w:rsidP="00B361FD">
      <w:pPr>
        <w:pStyle w:val="Heading6"/>
      </w:pPr>
      <w:bookmarkStart w:id="53" w:name="_Ref136594894"/>
      <w:r w:rsidRPr="00214CE7">
        <w:lastRenderedPageBreak/>
        <w:t xml:space="preserve">Protocol </w:t>
      </w:r>
      <w:r w:rsidR="000C30CD">
        <w:t>a</w:t>
      </w:r>
      <w:r w:rsidRPr="00214CE7">
        <w:t xml:space="preserve">mendments and </w:t>
      </w:r>
      <w:r w:rsidR="000C30CD">
        <w:t>d</w:t>
      </w:r>
      <w:r w:rsidRPr="00214CE7">
        <w:t>eviations</w:t>
      </w:r>
      <w:bookmarkEnd w:id="53"/>
    </w:p>
    <w:p w14:paraId="6A037E44" w14:textId="38352DEA" w:rsidR="00214CE7" w:rsidRPr="000C30CD" w:rsidRDefault="00214CE7" w:rsidP="000C30CD">
      <w:pPr>
        <w:pStyle w:val="Heading7"/>
      </w:pPr>
      <w:r w:rsidRPr="000C30CD">
        <w:t>Major amendments</w:t>
      </w:r>
    </w:p>
    <w:p w14:paraId="230FF748" w14:textId="4468AFC1" w:rsidR="00214CE7" w:rsidRPr="000C30CD" w:rsidRDefault="00214CE7" w:rsidP="000C30CD">
      <w:r w:rsidRPr="00F301D8">
        <w:rPr>
          <w:i/>
          <w:iCs/>
        </w:rPr>
        <w:t>Initial protocol:</w:t>
      </w:r>
      <w:r w:rsidRPr="000C30CD">
        <w:t xml:space="preserve"> Enrolment of patients who failed </w:t>
      </w:r>
      <w:r w:rsidR="00346C54" w:rsidRPr="00346C54">
        <w:t xml:space="preserve">autologous stem cell transplant </w:t>
      </w:r>
      <w:r w:rsidRPr="000C30CD">
        <w:t xml:space="preserve">or had received </w:t>
      </w:r>
      <w:r w:rsidR="005140A5">
        <w:t>one or more</w:t>
      </w:r>
      <w:r w:rsidRPr="000C30CD">
        <w:t xml:space="preserve"> multi-agent chemotherapy regimen.</w:t>
      </w:r>
    </w:p>
    <w:p w14:paraId="368E534F" w14:textId="3A153163" w:rsidR="00214CE7" w:rsidRPr="000C30CD" w:rsidRDefault="00214CE7" w:rsidP="000C30CD">
      <w:r w:rsidRPr="00F301D8">
        <w:rPr>
          <w:i/>
          <w:iCs/>
        </w:rPr>
        <w:t>Amendment 2:</w:t>
      </w:r>
      <w:r w:rsidRPr="000C30CD">
        <w:t xml:space="preserve"> Allowed prior treatment with </w:t>
      </w:r>
      <w:r w:rsidR="009A599D" w:rsidRPr="000C30CD">
        <w:t>brentuximab vedotin</w:t>
      </w:r>
      <w:r w:rsidRPr="000C30CD">
        <w:t xml:space="preserve"> or </w:t>
      </w:r>
      <w:r w:rsidR="009A599D" w:rsidRPr="000C30CD">
        <w:t>brentuximab vedotin</w:t>
      </w:r>
      <w:r w:rsidRPr="000C30CD">
        <w:t xml:space="preserve">-containing regimens provided subject responded (achieved a </w:t>
      </w:r>
      <w:r w:rsidR="00346C54">
        <w:t>complete response</w:t>
      </w:r>
      <w:r w:rsidRPr="000C30CD">
        <w:t xml:space="preserve"> or </w:t>
      </w:r>
      <w:r w:rsidR="00346C54">
        <w:t>partial response</w:t>
      </w:r>
      <w:r w:rsidRPr="000C30CD">
        <w:t xml:space="preserve">) to prior </w:t>
      </w:r>
      <w:r w:rsidR="009A599D" w:rsidRPr="000C30CD">
        <w:t>brentuximab vedotin</w:t>
      </w:r>
      <w:r w:rsidRPr="000C30CD">
        <w:t xml:space="preserve"> or </w:t>
      </w:r>
      <w:r w:rsidR="009A599D" w:rsidRPr="000C30CD">
        <w:t>brentuximab vedotin</w:t>
      </w:r>
      <w:r w:rsidRPr="000C30CD">
        <w:t xml:space="preserve">-containing regimens. Based on results from Cohorts 1 and 2 in </w:t>
      </w:r>
      <w:r w:rsidR="00477AF2">
        <w:t xml:space="preserve">the </w:t>
      </w:r>
      <w:r w:rsidR="002D22AB">
        <w:t>KEYNOTE</w:t>
      </w:r>
      <w:r w:rsidR="00346C54">
        <w:t xml:space="preserve"> </w:t>
      </w:r>
      <w:r w:rsidRPr="000C30CD">
        <w:t>087</w:t>
      </w:r>
      <w:r w:rsidR="00357671">
        <w:t xml:space="preserve"> trial</w:t>
      </w:r>
      <w:r w:rsidRPr="000C30CD">
        <w:t xml:space="preserve">. Allowed enrolment of subjects who have </w:t>
      </w:r>
      <w:r w:rsidR="00235D0F" w:rsidRPr="00235D0F">
        <w:t xml:space="preserve">relapsed or refractory classical Hodgkin </w:t>
      </w:r>
      <w:r w:rsidR="007D3D1C">
        <w:t>lymphoma</w:t>
      </w:r>
      <w:r w:rsidR="00235D0F" w:rsidRPr="00235D0F">
        <w:t xml:space="preserve"> </w:t>
      </w:r>
      <w:r w:rsidRPr="000C30CD">
        <w:t xml:space="preserve">and have received at least </w:t>
      </w:r>
      <w:r w:rsidR="00235D0F">
        <w:t>one</w:t>
      </w:r>
      <w:r w:rsidRPr="000C30CD">
        <w:t xml:space="preserve"> prior chemotherapy regimen regardless of transplant eligibility. Additional follow-up included to allow for collection of events of clinical interest data post </w:t>
      </w:r>
      <w:r w:rsidR="00235D0F" w:rsidRPr="00235D0F">
        <w:t xml:space="preserve">allogenic stem cell transplant </w:t>
      </w:r>
      <w:r w:rsidRPr="000C30CD">
        <w:t>was included per FDA request.</w:t>
      </w:r>
    </w:p>
    <w:p w14:paraId="0D1EC27D" w14:textId="72F63A0E" w:rsidR="00214CE7" w:rsidRPr="000C30CD" w:rsidRDefault="00214CE7" w:rsidP="000C30CD">
      <w:r w:rsidRPr="00F301D8">
        <w:rPr>
          <w:i/>
          <w:iCs/>
        </w:rPr>
        <w:t>Amendment 3:</w:t>
      </w:r>
      <w:r w:rsidRPr="000C30CD">
        <w:t xml:space="preserve"> Addition of exclusion of subjects eligible for allogeneic or autologous </w:t>
      </w:r>
      <w:r w:rsidR="00235D0F">
        <w:t>stem cell transplant</w:t>
      </w:r>
      <w:r w:rsidRPr="000C30CD">
        <w:t>.</w:t>
      </w:r>
    </w:p>
    <w:p w14:paraId="7017DF25" w14:textId="3A7010A0" w:rsidR="00214CE7" w:rsidRPr="000C30CD" w:rsidRDefault="00214CE7" w:rsidP="000C30CD">
      <w:r w:rsidRPr="00F301D8">
        <w:rPr>
          <w:i/>
          <w:iCs/>
        </w:rPr>
        <w:t>Amendment 4:</w:t>
      </w:r>
      <w:r w:rsidRPr="000C30CD">
        <w:t xml:space="preserve"> Due to the larger than expected number of participants who received an auto</w:t>
      </w:r>
      <w:r w:rsidR="00235D0F">
        <w:t xml:space="preserve">logous </w:t>
      </w:r>
      <w:r w:rsidRPr="000C30CD">
        <w:t xml:space="preserve">or </w:t>
      </w:r>
      <w:r w:rsidR="00235D0F" w:rsidRPr="00235D0F">
        <w:t xml:space="preserve">allogenic stem cell transplant </w:t>
      </w:r>
      <w:r w:rsidRPr="000C30CD">
        <w:t xml:space="preserve">in the context of the study, the </w:t>
      </w:r>
      <w:r w:rsidR="005140A5">
        <w:t>s</w:t>
      </w:r>
      <w:r w:rsidRPr="000C30CD">
        <w:t xml:space="preserve">ponsor changed the exploratory endpoint of </w:t>
      </w:r>
      <w:r w:rsidR="00235D0F">
        <w:t>progression free survival</w:t>
      </w:r>
      <w:r w:rsidRPr="000C30CD">
        <w:t xml:space="preserve"> based on IWG per BICR incorporating imaging data post-</w:t>
      </w:r>
      <w:r w:rsidR="00235D0F">
        <w:t>stem cell transplant</w:t>
      </w:r>
      <w:r w:rsidRPr="000C30CD">
        <w:t xml:space="preserve"> to the primary endpoint. To conduct the </w:t>
      </w:r>
      <w:r w:rsidR="00235D0F">
        <w:t>progression-free analysis</w:t>
      </w:r>
      <w:r w:rsidRPr="000C30CD">
        <w:t xml:space="preserve"> within a reasonable timeframe, the power of </w:t>
      </w:r>
      <w:r w:rsidR="00235D0F">
        <w:t>progression-free analysis</w:t>
      </w:r>
      <w:r w:rsidRPr="000C30CD">
        <w:t xml:space="preserve"> was reduced to 85% and an interim for </w:t>
      </w:r>
      <w:r w:rsidR="00235D0F">
        <w:t>progression-free analysis</w:t>
      </w:r>
      <w:r w:rsidRPr="000C30CD">
        <w:t xml:space="preserve"> was added.</w:t>
      </w:r>
    </w:p>
    <w:p w14:paraId="49586145" w14:textId="26F8DDA2" w:rsidR="00214CE7" w:rsidRPr="000C30CD" w:rsidRDefault="00214CE7" w:rsidP="000C30CD">
      <w:r w:rsidRPr="00F301D8">
        <w:rPr>
          <w:i/>
          <w:iCs/>
        </w:rPr>
        <w:t>Amendment 5:</w:t>
      </w:r>
      <w:r w:rsidRPr="000C30CD">
        <w:t xml:space="preserve"> To clarify that both clinical and imaging data following autologous or allogeneic-</w:t>
      </w:r>
      <w:r w:rsidR="00235D0F">
        <w:t xml:space="preserve">stem cell transplant </w:t>
      </w:r>
      <w:r w:rsidRPr="000C30CD">
        <w:t xml:space="preserve">will be collected and included in the evaluation of the primary </w:t>
      </w:r>
      <w:r w:rsidR="00235D0F">
        <w:t>progression-free survival</w:t>
      </w:r>
      <w:r w:rsidRPr="000C30CD">
        <w:t xml:space="preserve"> endpoint. For subjects who receive consolidative therapy following autologous or allogeneic</w:t>
      </w:r>
      <w:r w:rsidR="00235D0F">
        <w:t xml:space="preserve"> stem cell transplant</w:t>
      </w:r>
      <w:r w:rsidRPr="000C30CD">
        <w:t xml:space="preserve"> and have not yet progressed, data after the initiation of post-</w:t>
      </w:r>
      <w:r w:rsidR="00235D0F">
        <w:t>stem cell transplant</w:t>
      </w:r>
      <w:r w:rsidRPr="000C30CD">
        <w:t xml:space="preserve"> consolidative therapy will not be collected; these subjects will be censored at the date of their last assessment prior to initiation of the post-transplant consolidative therapy in the primary </w:t>
      </w:r>
      <w:r w:rsidR="00235D0F">
        <w:t>progression free survival</w:t>
      </w:r>
      <w:r w:rsidRPr="000C30CD">
        <w:t xml:space="preserve"> analysis. Progression or death after two or more consecutive missed disease assessments will not be</w:t>
      </w:r>
      <w:r w:rsidR="000C30CD">
        <w:t xml:space="preserve"> </w:t>
      </w:r>
      <w:r w:rsidRPr="000C30CD">
        <w:t>considered as events in the primary</w:t>
      </w:r>
      <w:r w:rsidR="00235D0F">
        <w:t xml:space="preserve"> progression free survival</w:t>
      </w:r>
      <w:r w:rsidRPr="000C30CD">
        <w:t xml:space="preserve"> analysis.</w:t>
      </w:r>
    </w:p>
    <w:p w14:paraId="4BB966C6" w14:textId="370ECBB0" w:rsidR="000C30CD" w:rsidRDefault="00214CE7" w:rsidP="000C30CD">
      <w:pPr>
        <w:pStyle w:val="Heading7"/>
        <w:rPr>
          <w:lang w:val="en-US"/>
        </w:rPr>
      </w:pPr>
      <w:r w:rsidRPr="00330D4F">
        <w:rPr>
          <w:lang w:val="en-US"/>
        </w:rPr>
        <w:t>Important Protocol Deviations</w:t>
      </w:r>
    </w:p>
    <w:p w14:paraId="61F0E29C" w14:textId="0911EBD1" w:rsidR="00214CE7" w:rsidRDefault="005140A5" w:rsidP="003B68D0">
      <w:r>
        <w:t>Twenty-four</w:t>
      </w:r>
      <w:r w:rsidR="00214CE7" w:rsidRPr="000C30CD">
        <w:t xml:space="preserve"> </w:t>
      </w:r>
      <w:r w:rsidR="00477AF2">
        <w:t xml:space="preserve">(24) </w:t>
      </w:r>
      <w:r w:rsidR="00214CE7" w:rsidRPr="000C30CD">
        <w:t>subjects had</w:t>
      </w:r>
      <w:r>
        <w:t xml:space="preserve"> one or more </w:t>
      </w:r>
      <w:r w:rsidR="00214CE7" w:rsidRPr="000C30CD">
        <w:t>protocol deviation</w:t>
      </w:r>
      <w:r>
        <w:t>s</w:t>
      </w:r>
      <w:r w:rsidR="00214CE7" w:rsidRPr="000C30CD">
        <w:t>, of which</w:t>
      </w:r>
      <w:r>
        <w:t xml:space="preserve"> there were</w:t>
      </w:r>
      <w:r w:rsidR="00214CE7" w:rsidRPr="000C30CD">
        <w:t xml:space="preserve"> </w:t>
      </w:r>
      <w:r>
        <w:t>three</w:t>
      </w:r>
      <w:r w:rsidR="00214CE7" w:rsidRPr="000C30CD">
        <w:t xml:space="preserve"> in the pembrolizumab arm (</w:t>
      </w:r>
      <w:r>
        <w:t>two</w:t>
      </w:r>
      <w:r w:rsidR="00214CE7" w:rsidRPr="000C30CD">
        <w:t xml:space="preserve"> patients that did </w:t>
      </w:r>
      <w:r w:rsidR="00FB727F">
        <w:t>not have</w:t>
      </w:r>
      <w:r w:rsidR="00214CE7" w:rsidRPr="000C30CD">
        <w:t xml:space="preserve"> </w:t>
      </w:r>
      <w:r w:rsidR="00235D0F" w:rsidRPr="00235D0F">
        <w:t xml:space="preserve">relapsed or refractory classical Hodgkin </w:t>
      </w:r>
      <w:r w:rsidR="00235D0F">
        <w:t>l</w:t>
      </w:r>
      <w:r w:rsidR="00235D0F" w:rsidRPr="00235D0F">
        <w:t>ymphoma</w:t>
      </w:r>
      <w:r w:rsidR="00214CE7" w:rsidRPr="000C30CD">
        <w:t xml:space="preserve">) and </w:t>
      </w:r>
      <w:r>
        <w:t>one</w:t>
      </w:r>
      <w:r w:rsidR="00214CE7" w:rsidRPr="000C30CD">
        <w:t xml:space="preserve"> in the </w:t>
      </w:r>
      <w:r w:rsidR="009A599D" w:rsidRPr="000C30CD">
        <w:t>brentuximab vedotin</w:t>
      </w:r>
      <w:r w:rsidR="00214CE7" w:rsidRPr="000C30CD">
        <w:t xml:space="preserve"> arm were considered clinically important. Major protocol deviation leading to discontinuation in 1% in each arm.</w:t>
      </w:r>
    </w:p>
    <w:p w14:paraId="6131B727" w14:textId="424E78AE" w:rsidR="000C30CD" w:rsidRPr="000C30CD" w:rsidRDefault="003B68D0" w:rsidP="003B68D0">
      <w:pPr>
        <w:pStyle w:val="Heading7"/>
      </w:pPr>
      <w:r>
        <w:t>Baseline characteristics</w:t>
      </w:r>
    </w:p>
    <w:p w14:paraId="4A72D7F1" w14:textId="7F8045B4" w:rsidR="00DD69AF" w:rsidRDefault="00DD69AF" w:rsidP="00DD69AF">
      <w:pPr>
        <w:rPr>
          <w:lang w:eastAsia="ja-JP"/>
        </w:rPr>
      </w:pPr>
      <w:r w:rsidRPr="00B0511A">
        <w:rPr>
          <w:lang w:eastAsia="ja-JP"/>
        </w:rPr>
        <w:t xml:space="preserve">A summary of the baseline characteristics of patients is </w:t>
      </w:r>
      <w:r w:rsidR="003B68D0">
        <w:rPr>
          <w:lang w:eastAsia="ja-JP"/>
        </w:rPr>
        <w:t xml:space="preserve">in </w:t>
      </w:r>
      <w:r w:rsidR="003B68D0">
        <w:rPr>
          <w:lang w:eastAsia="ja-JP"/>
        </w:rPr>
        <w:fldChar w:fldCharType="begin"/>
      </w:r>
      <w:r w:rsidR="003B68D0">
        <w:rPr>
          <w:lang w:eastAsia="ja-JP"/>
        </w:rPr>
        <w:instrText xml:space="preserve"> REF _Ref133579066 \h </w:instrText>
      </w:r>
      <w:r w:rsidR="003B68D0">
        <w:rPr>
          <w:lang w:eastAsia="ja-JP"/>
        </w:rPr>
      </w:r>
      <w:r w:rsidR="003B68D0">
        <w:rPr>
          <w:lang w:eastAsia="ja-JP"/>
        </w:rPr>
        <w:fldChar w:fldCharType="separate"/>
      </w:r>
      <w:r w:rsidR="00477AF2">
        <w:t xml:space="preserve">Table </w:t>
      </w:r>
      <w:r w:rsidR="00477AF2">
        <w:rPr>
          <w:noProof/>
        </w:rPr>
        <w:t>5</w:t>
      </w:r>
      <w:r w:rsidR="003B68D0">
        <w:rPr>
          <w:lang w:eastAsia="ja-JP"/>
        </w:rPr>
        <w:fldChar w:fldCharType="end"/>
      </w:r>
      <w:r w:rsidRPr="00B0511A">
        <w:rPr>
          <w:lang w:eastAsia="ja-JP"/>
        </w:rPr>
        <w:t>.</w:t>
      </w:r>
    </w:p>
    <w:p w14:paraId="4D928E36" w14:textId="0CDF2E3A" w:rsidR="00477AF2" w:rsidRDefault="00477AF2" w:rsidP="00C13873">
      <w:pPr>
        <w:spacing w:before="0"/>
        <w:rPr>
          <w:lang w:eastAsia="ja-JP"/>
        </w:rPr>
      </w:pPr>
      <w:r>
        <w:rPr>
          <w:lang w:eastAsia="ja-JP"/>
        </w:rPr>
        <w:br w:type="page"/>
      </w:r>
    </w:p>
    <w:p w14:paraId="127C5AD9" w14:textId="1939162E" w:rsidR="003B68D0" w:rsidRDefault="003B68D0" w:rsidP="003B68D0">
      <w:pPr>
        <w:pStyle w:val="TableTitle"/>
        <w:rPr>
          <w:lang w:eastAsia="ja-JP"/>
        </w:rPr>
      </w:pPr>
      <w:bookmarkStart w:id="54" w:name="_Ref133579066"/>
      <w:r>
        <w:lastRenderedPageBreak/>
        <w:t xml:space="preserve">Table </w:t>
      </w:r>
      <w:r>
        <w:fldChar w:fldCharType="begin"/>
      </w:r>
      <w:r>
        <w:instrText>SEQ Table \* ARABIC</w:instrText>
      </w:r>
      <w:r>
        <w:fldChar w:fldCharType="separate"/>
      </w:r>
      <w:r w:rsidR="00A463D1">
        <w:rPr>
          <w:noProof/>
        </w:rPr>
        <w:t>5</w:t>
      </w:r>
      <w:r>
        <w:fldChar w:fldCharType="end"/>
      </w:r>
      <w:bookmarkEnd w:id="54"/>
      <w:r>
        <w:t xml:space="preserve">: </w:t>
      </w:r>
      <w:r w:rsidRPr="003B68D0">
        <w:t>KEYNOTE</w:t>
      </w:r>
      <w:r>
        <w:t xml:space="preserve"> </w:t>
      </w:r>
      <w:r w:rsidRPr="003B68D0">
        <w:t xml:space="preserve">204 </w:t>
      </w:r>
      <w:r>
        <w:t>trial: Patient baseline characteristics</w:t>
      </w:r>
    </w:p>
    <w:tbl>
      <w:tblPr>
        <w:tblStyle w:val="TGABlack2023"/>
        <w:tblW w:w="8779" w:type="dxa"/>
        <w:tblLook w:val="0420" w:firstRow="1" w:lastRow="0" w:firstColumn="0" w:lastColumn="0" w:noHBand="0" w:noVBand="1"/>
      </w:tblPr>
      <w:tblGrid>
        <w:gridCol w:w="1657"/>
        <w:gridCol w:w="2659"/>
        <w:gridCol w:w="2381"/>
        <w:gridCol w:w="2082"/>
      </w:tblGrid>
      <w:tr w:rsidR="00DD69AF" w:rsidRPr="008F6C08" w14:paraId="4910707F" w14:textId="77777777" w:rsidTr="00FF3488">
        <w:trPr>
          <w:cnfStyle w:val="100000000000" w:firstRow="1" w:lastRow="0" w:firstColumn="0" w:lastColumn="0" w:oddVBand="0" w:evenVBand="0" w:oddHBand="0" w:evenHBand="0" w:firstRowFirstColumn="0" w:firstRowLastColumn="0" w:lastRowFirstColumn="0" w:lastRowLastColumn="0"/>
          <w:trHeight w:val="20"/>
        </w:trPr>
        <w:tc>
          <w:tcPr>
            <w:tcW w:w="1657" w:type="dxa"/>
            <w:shd w:val="clear" w:color="auto" w:fill="auto"/>
            <w:hideMark/>
          </w:tcPr>
          <w:p w14:paraId="1687D794" w14:textId="77777777" w:rsidR="00DD69AF" w:rsidRPr="00062C68" w:rsidRDefault="00DD69AF" w:rsidP="003B68D0">
            <w:pPr>
              <w:pStyle w:val="TableText"/>
            </w:pPr>
          </w:p>
        </w:tc>
        <w:tc>
          <w:tcPr>
            <w:tcW w:w="2659" w:type="dxa"/>
            <w:shd w:val="clear" w:color="auto" w:fill="auto"/>
          </w:tcPr>
          <w:p w14:paraId="746608FA" w14:textId="77777777" w:rsidR="00DD69AF" w:rsidRPr="00062C68" w:rsidRDefault="00DD69AF" w:rsidP="003B68D0">
            <w:pPr>
              <w:pStyle w:val="TableText"/>
            </w:pPr>
          </w:p>
        </w:tc>
        <w:tc>
          <w:tcPr>
            <w:tcW w:w="2381" w:type="dxa"/>
            <w:shd w:val="clear" w:color="auto" w:fill="auto"/>
            <w:hideMark/>
          </w:tcPr>
          <w:p w14:paraId="09735237" w14:textId="22948692" w:rsidR="00DD69AF" w:rsidRPr="00062C68" w:rsidRDefault="00DD69AF" w:rsidP="003B68D0">
            <w:pPr>
              <w:pStyle w:val="TableText"/>
              <w:rPr>
                <w:lang w:val="en-US"/>
              </w:rPr>
            </w:pPr>
            <w:r w:rsidRPr="00062C68">
              <w:rPr>
                <w:lang w:val="en-US"/>
              </w:rPr>
              <w:t>Pembro</w:t>
            </w:r>
            <w:r w:rsidR="00FF3488" w:rsidRPr="00062C68">
              <w:rPr>
                <w:lang w:val="en-US"/>
              </w:rPr>
              <w:t>lizumab</w:t>
            </w:r>
            <w:r w:rsidR="00062C68" w:rsidRPr="00062C68">
              <w:rPr>
                <w:lang w:val="en-US"/>
              </w:rPr>
              <w:br/>
            </w:r>
            <w:r w:rsidRPr="00062C68">
              <w:rPr>
                <w:lang w:val="en-US"/>
              </w:rPr>
              <w:t>(n</w:t>
            </w:r>
            <w:r w:rsidR="00062C68" w:rsidRPr="00062C68">
              <w:rPr>
                <w:lang w:val="en-US"/>
              </w:rPr>
              <w:t xml:space="preserve"> </w:t>
            </w:r>
            <w:r w:rsidRPr="00062C68">
              <w:rPr>
                <w:lang w:val="en-US"/>
              </w:rPr>
              <w:t>=</w:t>
            </w:r>
            <w:r w:rsidR="00062C68" w:rsidRPr="00062C68">
              <w:rPr>
                <w:lang w:val="en-US"/>
              </w:rPr>
              <w:t xml:space="preserve"> </w:t>
            </w:r>
            <w:r w:rsidRPr="00062C68">
              <w:rPr>
                <w:lang w:val="en-US"/>
              </w:rPr>
              <w:t>151)</w:t>
            </w:r>
          </w:p>
          <w:p w14:paraId="2825B0F8" w14:textId="77777777" w:rsidR="00DD69AF" w:rsidRPr="00062C68" w:rsidRDefault="00DD69AF" w:rsidP="003B68D0">
            <w:pPr>
              <w:pStyle w:val="TableText"/>
              <w:rPr>
                <w:lang w:val="en-US"/>
              </w:rPr>
            </w:pPr>
          </w:p>
        </w:tc>
        <w:tc>
          <w:tcPr>
            <w:tcW w:w="2082" w:type="dxa"/>
            <w:shd w:val="clear" w:color="auto" w:fill="auto"/>
            <w:hideMark/>
          </w:tcPr>
          <w:p w14:paraId="4902DB48" w14:textId="3CB65EFF" w:rsidR="00DD69AF" w:rsidRPr="00062C68" w:rsidRDefault="00062C68" w:rsidP="003B68D0">
            <w:pPr>
              <w:pStyle w:val="TableText"/>
              <w:rPr>
                <w:lang w:val="en-US"/>
              </w:rPr>
            </w:pPr>
            <w:r>
              <w:rPr>
                <w:lang w:val="en-US"/>
              </w:rPr>
              <w:t>B</w:t>
            </w:r>
            <w:r w:rsidR="009A599D" w:rsidRPr="00062C68">
              <w:rPr>
                <w:lang w:val="en-US"/>
              </w:rPr>
              <w:t>rentuximab vedotin</w:t>
            </w:r>
            <w:r w:rsidR="00DD69AF" w:rsidRPr="00062C68">
              <w:rPr>
                <w:lang w:val="en-US"/>
              </w:rPr>
              <w:t xml:space="preserve"> (n</w:t>
            </w:r>
            <w:r w:rsidRPr="00062C68">
              <w:rPr>
                <w:lang w:val="en-US"/>
              </w:rPr>
              <w:t xml:space="preserve"> </w:t>
            </w:r>
            <w:r w:rsidR="00DD69AF" w:rsidRPr="00062C68">
              <w:rPr>
                <w:lang w:val="en-US"/>
              </w:rPr>
              <w:t>=</w:t>
            </w:r>
            <w:r w:rsidRPr="00062C68">
              <w:rPr>
                <w:lang w:val="en-US"/>
              </w:rPr>
              <w:t xml:space="preserve"> </w:t>
            </w:r>
            <w:r w:rsidR="00DD69AF" w:rsidRPr="00062C68">
              <w:rPr>
                <w:lang w:val="en-US"/>
              </w:rPr>
              <w:t>153)</w:t>
            </w:r>
          </w:p>
          <w:p w14:paraId="0DA3340C" w14:textId="77777777" w:rsidR="00DD69AF" w:rsidRPr="00062C68" w:rsidRDefault="00DD69AF" w:rsidP="003B68D0">
            <w:pPr>
              <w:pStyle w:val="TableText"/>
              <w:rPr>
                <w:lang w:val="en-US"/>
              </w:rPr>
            </w:pPr>
          </w:p>
        </w:tc>
      </w:tr>
      <w:tr w:rsidR="00DD69AF" w:rsidRPr="008F6C08" w14:paraId="07CFB550" w14:textId="77777777" w:rsidTr="00FF3488">
        <w:trPr>
          <w:trHeight w:val="20"/>
        </w:trPr>
        <w:tc>
          <w:tcPr>
            <w:tcW w:w="1657" w:type="dxa"/>
            <w:hideMark/>
          </w:tcPr>
          <w:p w14:paraId="16B8A490" w14:textId="77777777" w:rsidR="00DD69AF" w:rsidRPr="003B68D0" w:rsidRDefault="00DD69AF" w:rsidP="003B68D0">
            <w:pPr>
              <w:pStyle w:val="TableText"/>
            </w:pPr>
            <w:r w:rsidRPr="003B68D0">
              <w:t>Age</w:t>
            </w:r>
          </w:p>
        </w:tc>
        <w:tc>
          <w:tcPr>
            <w:tcW w:w="2659" w:type="dxa"/>
          </w:tcPr>
          <w:p w14:paraId="448DD56B" w14:textId="77777777" w:rsidR="00DD69AF" w:rsidRPr="003B68D0" w:rsidRDefault="00DD69AF" w:rsidP="003B68D0">
            <w:pPr>
              <w:pStyle w:val="TableText"/>
            </w:pPr>
            <w:r w:rsidRPr="003B68D0">
              <w:t>Median (range)</w:t>
            </w:r>
          </w:p>
        </w:tc>
        <w:tc>
          <w:tcPr>
            <w:tcW w:w="2381" w:type="dxa"/>
            <w:hideMark/>
          </w:tcPr>
          <w:p w14:paraId="1041510D" w14:textId="77777777" w:rsidR="00DD69AF" w:rsidRPr="003B68D0" w:rsidRDefault="00DD69AF" w:rsidP="003B68D0">
            <w:pPr>
              <w:pStyle w:val="TableText"/>
            </w:pPr>
            <w:r w:rsidRPr="003B68D0">
              <w:t>36 (18-84)</w:t>
            </w:r>
          </w:p>
        </w:tc>
        <w:tc>
          <w:tcPr>
            <w:tcW w:w="2082" w:type="dxa"/>
            <w:hideMark/>
          </w:tcPr>
          <w:p w14:paraId="34CF17C5" w14:textId="77777777" w:rsidR="00DD69AF" w:rsidRPr="00062C68" w:rsidRDefault="00DD69AF" w:rsidP="003B68D0">
            <w:pPr>
              <w:pStyle w:val="TableText"/>
              <w:rPr>
                <w:iCs/>
              </w:rPr>
            </w:pPr>
            <w:r w:rsidRPr="00062C68">
              <w:rPr>
                <w:iCs/>
              </w:rPr>
              <w:t>35 (18-83)</w:t>
            </w:r>
          </w:p>
        </w:tc>
      </w:tr>
      <w:tr w:rsidR="00DD69AF" w:rsidRPr="008F6C08" w14:paraId="474FC921" w14:textId="77777777" w:rsidTr="00FF3488">
        <w:trPr>
          <w:trHeight w:val="20"/>
        </w:trPr>
        <w:tc>
          <w:tcPr>
            <w:tcW w:w="1657" w:type="dxa"/>
            <w:hideMark/>
          </w:tcPr>
          <w:p w14:paraId="466B823F" w14:textId="77777777" w:rsidR="00DD69AF" w:rsidRPr="003B68D0" w:rsidRDefault="00DD69AF" w:rsidP="003B68D0">
            <w:pPr>
              <w:pStyle w:val="TableText"/>
            </w:pPr>
            <w:r w:rsidRPr="003B68D0">
              <w:t>Age group</w:t>
            </w:r>
          </w:p>
          <w:p w14:paraId="25708FF8" w14:textId="77777777" w:rsidR="00DD69AF" w:rsidRPr="003B68D0" w:rsidRDefault="00DD69AF" w:rsidP="003B68D0">
            <w:pPr>
              <w:pStyle w:val="TableText"/>
            </w:pPr>
          </w:p>
        </w:tc>
        <w:tc>
          <w:tcPr>
            <w:tcW w:w="2659" w:type="dxa"/>
          </w:tcPr>
          <w:p w14:paraId="6A4FD1D7" w14:textId="36FB5912" w:rsidR="00DD69AF" w:rsidRPr="003B68D0" w:rsidRDefault="00DD69AF" w:rsidP="003B68D0">
            <w:pPr>
              <w:pStyle w:val="TableText"/>
            </w:pPr>
            <w:r w:rsidRPr="003B68D0">
              <w:t>&lt;</w:t>
            </w:r>
            <w:r w:rsidR="00062C68" w:rsidRPr="003B68D0">
              <w:t xml:space="preserve"> </w:t>
            </w:r>
            <w:r w:rsidRPr="003B68D0">
              <w:t>65 years</w:t>
            </w:r>
          </w:p>
          <w:p w14:paraId="13322084" w14:textId="6394CCB2" w:rsidR="00DD69AF" w:rsidRPr="003B68D0" w:rsidRDefault="00DD69AF" w:rsidP="003B68D0">
            <w:pPr>
              <w:pStyle w:val="TableText"/>
            </w:pPr>
            <w:r w:rsidRPr="003B68D0">
              <w:t>≥</w:t>
            </w:r>
            <w:r w:rsidR="00062C68" w:rsidRPr="003B68D0">
              <w:t xml:space="preserve"> </w:t>
            </w:r>
            <w:r w:rsidRPr="003B68D0">
              <w:t>65 years</w:t>
            </w:r>
          </w:p>
        </w:tc>
        <w:tc>
          <w:tcPr>
            <w:tcW w:w="2381" w:type="dxa"/>
            <w:hideMark/>
          </w:tcPr>
          <w:p w14:paraId="051621A7" w14:textId="77777777" w:rsidR="00DD69AF" w:rsidRPr="003B68D0" w:rsidRDefault="00DD69AF" w:rsidP="003B68D0">
            <w:pPr>
              <w:pStyle w:val="TableText"/>
            </w:pPr>
            <w:r w:rsidRPr="003B68D0">
              <w:t>124 (82.1%)</w:t>
            </w:r>
          </w:p>
          <w:p w14:paraId="3D15B1E6" w14:textId="77777777" w:rsidR="00DD69AF" w:rsidRPr="003B68D0" w:rsidRDefault="00DD69AF" w:rsidP="003B68D0">
            <w:pPr>
              <w:pStyle w:val="TableText"/>
            </w:pPr>
            <w:r w:rsidRPr="003B68D0">
              <w:t>27(17.9%)</w:t>
            </w:r>
          </w:p>
        </w:tc>
        <w:tc>
          <w:tcPr>
            <w:tcW w:w="2082" w:type="dxa"/>
            <w:hideMark/>
          </w:tcPr>
          <w:p w14:paraId="0456A12C" w14:textId="77777777" w:rsidR="00DD69AF" w:rsidRPr="00062C68" w:rsidRDefault="00DD69AF" w:rsidP="003B68D0">
            <w:pPr>
              <w:pStyle w:val="TableText"/>
              <w:rPr>
                <w:iCs/>
              </w:rPr>
            </w:pPr>
            <w:r w:rsidRPr="00062C68">
              <w:rPr>
                <w:iCs/>
              </w:rPr>
              <w:t>131(85.6%)</w:t>
            </w:r>
          </w:p>
          <w:p w14:paraId="0A71B595" w14:textId="77777777" w:rsidR="00DD69AF" w:rsidRPr="00062C68" w:rsidRDefault="00DD69AF" w:rsidP="003B68D0">
            <w:pPr>
              <w:pStyle w:val="TableText"/>
              <w:rPr>
                <w:iCs/>
              </w:rPr>
            </w:pPr>
            <w:r w:rsidRPr="00062C68">
              <w:rPr>
                <w:iCs/>
              </w:rPr>
              <w:t>22 (14.4%)</w:t>
            </w:r>
          </w:p>
        </w:tc>
      </w:tr>
      <w:tr w:rsidR="00DD69AF" w:rsidRPr="008F6C08" w14:paraId="28B334B8" w14:textId="77777777" w:rsidTr="00FF3488">
        <w:trPr>
          <w:trHeight w:val="20"/>
        </w:trPr>
        <w:tc>
          <w:tcPr>
            <w:tcW w:w="1657" w:type="dxa"/>
            <w:vMerge w:val="restart"/>
            <w:hideMark/>
          </w:tcPr>
          <w:p w14:paraId="5AE3D313" w14:textId="77777777" w:rsidR="00DD69AF" w:rsidRPr="00062C68" w:rsidRDefault="00DD69AF" w:rsidP="003B68D0">
            <w:pPr>
              <w:pStyle w:val="TableText"/>
              <w:rPr>
                <w:lang w:val="en-US"/>
              </w:rPr>
            </w:pPr>
            <w:r w:rsidRPr="00062C68">
              <w:rPr>
                <w:lang w:val="en-US"/>
              </w:rPr>
              <w:t>Sex</w:t>
            </w:r>
          </w:p>
        </w:tc>
        <w:tc>
          <w:tcPr>
            <w:tcW w:w="2659" w:type="dxa"/>
          </w:tcPr>
          <w:p w14:paraId="712562CE" w14:textId="77777777" w:rsidR="00DD69AF" w:rsidRPr="00062C68" w:rsidRDefault="00DD69AF" w:rsidP="003B68D0">
            <w:pPr>
              <w:pStyle w:val="TableText"/>
              <w:rPr>
                <w:iCs/>
                <w:lang w:val="en-US"/>
              </w:rPr>
            </w:pPr>
            <w:r w:rsidRPr="00062C68">
              <w:rPr>
                <w:iCs/>
                <w:lang w:val="en-US"/>
              </w:rPr>
              <w:t>Male</w:t>
            </w:r>
          </w:p>
        </w:tc>
        <w:tc>
          <w:tcPr>
            <w:tcW w:w="2381" w:type="dxa"/>
            <w:hideMark/>
          </w:tcPr>
          <w:p w14:paraId="424C700C" w14:textId="77777777" w:rsidR="00DD69AF" w:rsidRPr="00062C68" w:rsidRDefault="00DD69AF" w:rsidP="003B68D0">
            <w:pPr>
              <w:pStyle w:val="TableText"/>
              <w:rPr>
                <w:iCs/>
              </w:rPr>
            </w:pPr>
            <w:r w:rsidRPr="00062C68">
              <w:rPr>
                <w:iCs/>
              </w:rPr>
              <w:t>84 (55.6%)</w:t>
            </w:r>
          </w:p>
        </w:tc>
        <w:tc>
          <w:tcPr>
            <w:tcW w:w="2082" w:type="dxa"/>
            <w:hideMark/>
          </w:tcPr>
          <w:p w14:paraId="097355E7" w14:textId="77777777" w:rsidR="00DD69AF" w:rsidRPr="00062C68" w:rsidRDefault="00DD69AF" w:rsidP="003B68D0">
            <w:pPr>
              <w:pStyle w:val="TableText"/>
              <w:rPr>
                <w:iCs/>
              </w:rPr>
            </w:pPr>
            <w:r w:rsidRPr="00062C68">
              <w:rPr>
                <w:iCs/>
              </w:rPr>
              <w:t>90 (58.8%)</w:t>
            </w:r>
          </w:p>
        </w:tc>
      </w:tr>
      <w:tr w:rsidR="00DD69AF" w:rsidRPr="008F6C08" w14:paraId="4E4BE29C" w14:textId="77777777" w:rsidTr="00FF3488">
        <w:trPr>
          <w:trHeight w:val="20"/>
        </w:trPr>
        <w:tc>
          <w:tcPr>
            <w:tcW w:w="1657" w:type="dxa"/>
            <w:vMerge/>
          </w:tcPr>
          <w:p w14:paraId="7DFA3A5A" w14:textId="77777777" w:rsidR="00DD69AF" w:rsidRPr="00062C68" w:rsidRDefault="00DD69AF" w:rsidP="003B68D0">
            <w:pPr>
              <w:pStyle w:val="TableText"/>
              <w:rPr>
                <w:lang w:val="en-US"/>
              </w:rPr>
            </w:pPr>
          </w:p>
        </w:tc>
        <w:tc>
          <w:tcPr>
            <w:tcW w:w="2659" w:type="dxa"/>
          </w:tcPr>
          <w:p w14:paraId="039D81CA" w14:textId="77777777" w:rsidR="00DD69AF" w:rsidRPr="00062C68" w:rsidRDefault="00DD69AF" w:rsidP="003B68D0">
            <w:pPr>
              <w:pStyle w:val="TableText"/>
              <w:rPr>
                <w:iCs/>
                <w:lang w:val="en-US"/>
              </w:rPr>
            </w:pPr>
            <w:r w:rsidRPr="00062C68">
              <w:rPr>
                <w:iCs/>
                <w:lang w:val="en-US"/>
              </w:rPr>
              <w:t>Female</w:t>
            </w:r>
          </w:p>
        </w:tc>
        <w:tc>
          <w:tcPr>
            <w:tcW w:w="2381" w:type="dxa"/>
          </w:tcPr>
          <w:p w14:paraId="4C88D5DC" w14:textId="77777777" w:rsidR="00DD69AF" w:rsidRPr="00062C68" w:rsidRDefault="00DD69AF" w:rsidP="003B68D0">
            <w:pPr>
              <w:pStyle w:val="TableText"/>
              <w:rPr>
                <w:iCs/>
              </w:rPr>
            </w:pPr>
            <w:r w:rsidRPr="00062C68">
              <w:rPr>
                <w:iCs/>
              </w:rPr>
              <w:t>67 (44.4%)</w:t>
            </w:r>
          </w:p>
        </w:tc>
        <w:tc>
          <w:tcPr>
            <w:tcW w:w="2082" w:type="dxa"/>
          </w:tcPr>
          <w:p w14:paraId="38812A98" w14:textId="77777777" w:rsidR="00DD69AF" w:rsidRPr="00062C68" w:rsidRDefault="00DD69AF" w:rsidP="003B68D0">
            <w:pPr>
              <w:pStyle w:val="TableText"/>
              <w:rPr>
                <w:iCs/>
              </w:rPr>
            </w:pPr>
            <w:r w:rsidRPr="00062C68">
              <w:rPr>
                <w:iCs/>
              </w:rPr>
              <w:t>63 (41.2%)</w:t>
            </w:r>
          </w:p>
        </w:tc>
      </w:tr>
      <w:tr w:rsidR="00DD69AF" w:rsidRPr="008F6C08" w14:paraId="1C28AD55" w14:textId="77777777" w:rsidTr="00FF3488">
        <w:trPr>
          <w:trHeight w:val="20"/>
        </w:trPr>
        <w:tc>
          <w:tcPr>
            <w:tcW w:w="1657" w:type="dxa"/>
            <w:hideMark/>
          </w:tcPr>
          <w:p w14:paraId="504148E5" w14:textId="77777777" w:rsidR="00DD69AF" w:rsidRPr="00062C68" w:rsidRDefault="00DD69AF" w:rsidP="003B68D0">
            <w:pPr>
              <w:pStyle w:val="TableText"/>
              <w:rPr>
                <w:lang w:val="en-US"/>
              </w:rPr>
            </w:pPr>
            <w:r w:rsidRPr="00062C68">
              <w:rPr>
                <w:lang w:val="en-US"/>
              </w:rPr>
              <w:t>Race</w:t>
            </w:r>
          </w:p>
          <w:p w14:paraId="73966B4E" w14:textId="77777777" w:rsidR="00DD69AF" w:rsidRPr="00062C68" w:rsidRDefault="00DD69AF" w:rsidP="003B68D0">
            <w:pPr>
              <w:pStyle w:val="TableText"/>
              <w:rPr>
                <w:lang w:val="en-US"/>
              </w:rPr>
            </w:pPr>
          </w:p>
        </w:tc>
        <w:tc>
          <w:tcPr>
            <w:tcW w:w="2659" w:type="dxa"/>
          </w:tcPr>
          <w:p w14:paraId="6C9F81AD" w14:textId="77777777" w:rsidR="00DD69AF" w:rsidRPr="00062C68" w:rsidRDefault="00DD69AF" w:rsidP="003B68D0">
            <w:pPr>
              <w:pStyle w:val="TableText"/>
              <w:rPr>
                <w:iCs/>
                <w:lang w:val="en-US"/>
              </w:rPr>
            </w:pPr>
            <w:r w:rsidRPr="00062C68">
              <w:rPr>
                <w:iCs/>
                <w:lang w:val="en-US"/>
              </w:rPr>
              <w:t>White</w:t>
            </w:r>
          </w:p>
          <w:p w14:paraId="3E3EAAE1" w14:textId="77777777" w:rsidR="00DD69AF" w:rsidRPr="00062C68" w:rsidRDefault="00DD69AF" w:rsidP="003B68D0">
            <w:pPr>
              <w:pStyle w:val="TableText"/>
              <w:rPr>
                <w:iCs/>
                <w:lang w:val="en-US"/>
              </w:rPr>
            </w:pPr>
            <w:r w:rsidRPr="00062C68">
              <w:rPr>
                <w:iCs/>
                <w:lang w:val="en-US"/>
              </w:rPr>
              <w:t>Asian</w:t>
            </w:r>
          </w:p>
        </w:tc>
        <w:tc>
          <w:tcPr>
            <w:tcW w:w="2381" w:type="dxa"/>
            <w:hideMark/>
          </w:tcPr>
          <w:p w14:paraId="052E5C46" w14:textId="77777777" w:rsidR="00DD69AF" w:rsidRPr="00062C68" w:rsidRDefault="00DD69AF" w:rsidP="003B68D0">
            <w:pPr>
              <w:pStyle w:val="TableText"/>
              <w:rPr>
                <w:iCs/>
              </w:rPr>
            </w:pPr>
            <w:r w:rsidRPr="00062C68">
              <w:rPr>
                <w:iCs/>
              </w:rPr>
              <w:t>119 (78.8%)</w:t>
            </w:r>
          </w:p>
          <w:p w14:paraId="5E96976F" w14:textId="77777777" w:rsidR="00DD69AF" w:rsidRPr="00062C68" w:rsidRDefault="00DD69AF" w:rsidP="003B68D0">
            <w:pPr>
              <w:pStyle w:val="TableText"/>
              <w:rPr>
                <w:iCs/>
              </w:rPr>
            </w:pPr>
            <w:r w:rsidRPr="00062C68">
              <w:rPr>
                <w:iCs/>
              </w:rPr>
              <w:t>13 (8.6%)</w:t>
            </w:r>
          </w:p>
        </w:tc>
        <w:tc>
          <w:tcPr>
            <w:tcW w:w="2082" w:type="dxa"/>
            <w:hideMark/>
          </w:tcPr>
          <w:p w14:paraId="523C6B65" w14:textId="77777777" w:rsidR="00DD69AF" w:rsidRPr="00062C68" w:rsidRDefault="00DD69AF" w:rsidP="003B68D0">
            <w:pPr>
              <w:pStyle w:val="TableText"/>
              <w:rPr>
                <w:iCs/>
              </w:rPr>
            </w:pPr>
            <w:r w:rsidRPr="00062C68">
              <w:rPr>
                <w:iCs/>
              </w:rPr>
              <w:t>115 (75.2%)</w:t>
            </w:r>
          </w:p>
          <w:p w14:paraId="72F0D502" w14:textId="77777777" w:rsidR="00DD69AF" w:rsidRPr="00062C68" w:rsidRDefault="00DD69AF" w:rsidP="003B68D0">
            <w:pPr>
              <w:pStyle w:val="TableText"/>
              <w:rPr>
                <w:iCs/>
              </w:rPr>
            </w:pPr>
            <w:r w:rsidRPr="00062C68">
              <w:rPr>
                <w:iCs/>
              </w:rPr>
              <w:t>13 (8.5%)</w:t>
            </w:r>
          </w:p>
        </w:tc>
      </w:tr>
      <w:tr w:rsidR="00DD69AF" w:rsidRPr="008F6C08" w14:paraId="37F56255" w14:textId="77777777" w:rsidTr="00FF3488">
        <w:trPr>
          <w:trHeight w:val="20"/>
        </w:trPr>
        <w:tc>
          <w:tcPr>
            <w:tcW w:w="1657" w:type="dxa"/>
            <w:vMerge w:val="restart"/>
          </w:tcPr>
          <w:p w14:paraId="5F8E563E" w14:textId="77777777" w:rsidR="00DD69AF" w:rsidRPr="00062C68" w:rsidRDefault="00DD69AF" w:rsidP="003B68D0">
            <w:pPr>
              <w:pStyle w:val="TableText"/>
              <w:rPr>
                <w:lang w:val="en-US"/>
              </w:rPr>
            </w:pPr>
            <w:r w:rsidRPr="00062C68">
              <w:rPr>
                <w:lang w:val="en-US"/>
              </w:rPr>
              <w:t>Location</w:t>
            </w:r>
          </w:p>
        </w:tc>
        <w:tc>
          <w:tcPr>
            <w:tcW w:w="2659" w:type="dxa"/>
          </w:tcPr>
          <w:p w14:paraId="728F637C" w14:textId="77777777" w:rsidR="00DD69AF" w:rsidRPr="00062C68" w:rsidRDefault="00DD69AF" w:rsidP="003B68D0">
            <w:pPr>
              <w:pStyle w:val="TableText"/>
              <w:rPr>
                <w:iCs/>
                <w:lang w:val="en-US"/>
              </w:rPr>
            </w:pPr>
            <w:r w:rsidRPr="00062C68">
              <w:rPr>
                <w:iCs/>
                <w:lang w:val="en-US"/>
              </w:rPr>
              <w:t>North America</w:t>
            </w:r>
          </w:p>
        </w:tc>
        <w:tc>
          <w:tcPr>
            <w:tcW w:w="2381" w:type="dxa"/>
          </w:tcPr>
          <w:p w14:paraId="01E87985" w14:textId="77777777" w:rsidR="00DD69AF" w:rsidRPr="00062C68" w:rsidRDefault="00DD69AF" w:rsidP="003B68D0">
            <w:pPr>
              <w:pStyle w:val="TableText"/>
              <w:rPr>
                <w:iCs/>
              </w:rPr>
            </w:pPr>
            <w:r w:rsidRPr="00062C68">
              <w:rPr>
                <w:iCs/>
              </w:rPr>
              <w:t>27 (17.9%)</w:t>
            </w:r>
          </w:p>
        </w:tc>
        <w:tc>
          <w:tcPr>
            <w:tcW w:w="2082" w:type="dxa"/>
          </w:tcPr>
          <w:p w14:paraId="4E8AA554" w14:textId="77777777" w:rsidR="00DD69AF" w:rsidRPr="00062C68" w:rsidRDefault="00DD69AF" w:rsidP="003B68D0">
            <w:pPr>
              <w:pStyle w:val="TableText"/>
              <w:rPr>
                <w:iCs/>
              </w:rPr>
            </w:pPr>
            <w:r w:rsidRPr="00062C68">
              <w:rPr>
                <w:iCs/>
              </w:rPr>
              <w:t>30 (19.6%)</w:t>
            </w:r>
          </w:p>
        </w:tc>
      </w:tr>
      <w:tr w:rsidR="00DD69AF" w:rsidRPr="008F6C08" w14:paraId="45F39651" w14:textId="77777777" w:rsidTr="00FF3488">
        <w:trPr>
          <w:trHeight w:val="20"/>
        </w:trPr>
        <w:tc>
          <w:tcPr>
            <w:tcW w:w="1657" w:type="dxa"/>
            <w:vMerge/>
          </w:tcPr>
          <w:p w14:paraId="5BCA270D" w14:textId="77777777" w:rsidR="00DD69AF" w:rsidRPr="00062C68" w:rsidRDefault="00DD69AF" w:rsidP="003B68D0">
            <w:pPr>
              <w:pStyle w:val="TableText"/>
              <w:rPr>
                <w:lang w:val="en-US"/>
              </w:rPr>
            </w:pPr>
          </w:p>
        </w:tc>
        <w:tc>
          <w:tcPr>
            <w:tcW w:w="2659" w:type="dxa"/>
          </w:tcPr>
          <w:p w14:paraId="75490532" w14:textId="77777777" w:rsidR="00DD69AF" w:rsidRPr="00062C68" w:rsidRDefault="00DD69AF" w:rsidP="003B68D0">
            <w:pPr>
              <w:pStyle w:val="TableText"/>
              <w:rPr>
                <w:iCs/>
                <w:lang w:val="en-US"/>
              </w:rPr>
            </w:pPr>
            <w:r w:rsidRPr="00062C68">
              <w:rPr>
                <w:iCs/>
                <w:lang w:val="en-US"/>
              </w:rPr>
              <w:t>EU</w:t>
            </w:r>
          </w:p>
        </w:tc>
        <w:tc>
          <w:tcPr>
            <w:tcW w:w="2381" w:type="dxa"/>
          </w:tcPr>
          <w:p w14:paraId="0D594973" w14:textId="77777777" w:rsidR="00DD69AF" w:rsidRPr="00062C68" w:rsidRDefault="00DD69AF" w:rsidP="003B68D0">
            <w:pPr>
              <w:pStyle w:val="TableText"/>
              <w:rPr>
                <w:iCs/>
              </w:rPr>
            </w:pPr>
            <w:r w:rsidRPr="00062C68">
              <w:rPr>
                <w:iCs/>
              </w:rPr>
              <w:t>49 (32.5%)</w:t>
            </w:r>
          </w:p>
        </w:tc>
        <w:tc>
          <w:tcPr>
            <w:tcW w:w="2082" w:type="dxa"/>
          </w:tcPr>
          <w:p w14:paraId="3563850A" w14:textId="77777777" w:rsidR="00DD69AF" w:rsidRPr="00062C68" w:rsidRDefault="00DD69AF" w:rsidP="003B68D0">
            <w:pPr>
              <w:pStyle w:val="TableText"/>
              <w:rPr>
                <w:iCs/>
              </w:rPr>
            </w:pPr>
            <w:r w:rsidRPr="00062C68">
              <w:rPr>
                <w:iCs/>
              </w:rPr>
              <w:t>46 (30.1%)</w:t>
            </w:r>
          </w:p>
        </w:tc>
      </w:tr>
      <w:tr w:rsidR="00DD69AF" w:rsidRPr="008F6C08" w14:paraId="14EB5532" w14:textId="77777777" w:rsidTr="00FF3488">
        <w:trPr>
          <w:trHeight w:val="20"/>
        </w:trPr>
        <w:tc>
          <w:tcPr>
            <w:tcW w:w="1657" w:type="dxa"/>
            <w:vMerge/>
          </w:tcPr>
          <w:p w14:paraId="2CDA786B" w14:textId="77777777" w:rsidR="00DD69AF" w:rsidRPr="00062C68" w:rsidRDefault="00DD69AF" w:rsidP="003B68D0">
            <w:pPr>
              <w:pStyle w:val="TableText"/>
              <w:rPr>
                <w:lang w:val="en-US"/>
              </w:rPr>
            </w:pPr>
          </w:p>
        </w:tc>
        <w:tc>
          <w:tcPr>
            <w:tcW w:w="2659" w:type="dxa"/>
          </w:tcPr>
          <w:p w14:paraId="544A764A" w14:textId="77777777" w:rsidR="00DD69AF" w:rsidRPr="00062C68" w:rsidRDefault="00DD69AF" w:rsidP="003B68D0">
            <w:pPr>
              <w:pStyle w:val="TableText"/>
              <w:rPr>
                <w:iCs/>
                <w:lang w:val="en-US"/>
              </w:rPr>
            </w:pPr>
            <w:r w:rsidRPr="00062C68">
              <w:rPr>
                <w:iCs/>
                <w:lang w:val="en-US"/>
              </w:rPr>
              <w:t>Rest of World</w:t>
            </w:r>
          </w:p>
        </w:tc>
        <w:tc>
          <w:tcPr>
            <w:tcW w:w="2381" w:type="dxa"/>
          </w:tcPr>
          <w:p w14:paraId="47A8D16B" w14:textId="77777777" w:rsidR="00DD69AF" w:rsidRPr="00062C68" w:rsidRDefault="00DD69AF" w:rsidP="003B68D0">
            <w:pPr>
              <w:pStyle w:val="TableText"/>
              <w:rPr>
                <w:iCs/>
              </w:rPr>
            </w:pPr>
            <w:r w:rsidRPr="00062C68">
              <w:rPr>
                <w:iCs/>
              </w:rPr>
              <w:t>66 (43.7%)</w:t>
            </w:r>
          </w:p>
        </w:tc>
        <w:tc>
          <w:tcPr>
            <w:tcW w:w="2082" w:type="dxa"/>
          </w:tcPr>
          <w:p w14:paraId="3276DC39" w14:textId="77777777" w:rsidR="00DD69AF" w:rsidRPr="00062C68" w:rsidRDefault="00DD69AF" w:rsidP="003B68D0">
            <w:pPr>
              <w:pStyle w:val="TableText"/>
              <w:rPr>
                <w:iCs/>
              </w:rPr>
            </w:pPr>
            <w:r w:rsidRPr="00062C68">
              <w:rPr>
                <w:iCs/>
              </w:rPr>
              <w:t>70 (45.8%)</w:t>
            </w:r>
          </w:p>
        </w:tc>
      </w:tr>
      <w:tr w:rsidR="00DD69AF" w:rsidRPr="008F6C08" w14:paraId="0550A1FD" w14:textId="77777777" w:rsidTr="00FF3488">
        <w:trPr>
          <w:trHeight w:val="20"/>
        </w:trPr>
        <w:tc>
          <w:tcPr>
            <w:tcW w:w="1657" w:type="dxa"/>
            <w:hideMark/>
          </w:tcPr>
          <w:p w14:paraId="23301484" w14:textId="77777777" w:rsidR="00DD69AF" w:rsidRPr="00062C68" w:rsidRDefault="00DD69AF" w:rsidP="003B68D0">
            <w:pPr>
              <w:pStyle w:val="TableText"/>
              <w:rPr>
                <w:lang w:val="en-US"/>
              </w:rPr>
            </w:pPr>
            <w:r w:rsidRPr="00062C68">
              <w:rPr>
                <w:lang w:val="en-US"/>
              </w:rPr>
              <w:t>ECOG status</w:t>
            </w:r>
          </w:p>
          <w:p w14:paraId="068FCC05" w14:textId="77777777" w:rsidR="00DD69AF" w:rsidRPr="00062C68" w:rsidRDefault="00DD69AF" w:rsidP="003B68D0">
            <w:pPr>
              <w:pStyle w:val="TableText"/>
              <w:rPr>
                <w:lang w:val="en-US"/>
              </w:rPr>
            </w:pPr>
          </w:p>
        </w:tc>
        <w:tc>
          <w:tcPr>
            <w:tcW w:w="2659" w:type="dxa"/>
          </w:tcPr>
          <w:p w14:paraId="55929AE8" w14:textId="77777777" w:rsidR="00DD69AF" w:rsidRPr="00062C68" w:rsidRDefault="00DD69AF" w:rsidP="003B68D0">
            <w:pPr>
              <w:pStyle w:val="TableText"/>
              <w:rPr>
                <w:iCs/>
                <w:lang w:val="en-US"/>
              </w:rPr>
            </w:pPr>
            <w:r w:rsidRPr="00062C68">
              <w:rPr>
                <w:iCs/>
                <w:lang w:val="en-US"/>
              </w:rPr>
              <w:t>0</w:t>
            </w:r>
          </w:p>
          <w:p w14:paraId="744D8DDF" w14:textId="77777777" w:rsidR="00DD69AF" w:rsidRPr="00062C68" w:rsidRDefault="00DD69AF" w:rsidP="003B68D0">
            <w:pPr>
              <w:pStyle w:val="TableText"/>
              <w:rPr>
                <w:iCs/>
                <w:lang w:val="en-US"/>
              </w:rPr>
            </w:pPr>
            <w:r w:rsidRPr="00062C68">
              <w:rPr>
                <w:iCs/>
                <w:lang w:val="en-US"/>
              </w:rPr>
              <w:t>1</w:t>
            </w:r>
          </w:p>
          <w:p w14:paraId="5E488AD0" w14:textId="77777777" w:rsidR="00DD69AF" w:rsidRPr="00062C68" w:rsidRDefault="00DD69AF" w:rsidP="003B68D0">
            <w:pPr>
              <w:pStyle w:val="TableText"/>
              <w:rPr>
                <w:iCs/>
                <w:lang w:val="en-US"/>
              </w:rPr>
            </w:pPr>
            <w:r w:rsidRPr="00062C68">
              <w:rPr>
                <w:iCs/>
                <w:lang w:val="en-US"/>
              </w:rPr>
              <w:t>2</w:t>
            </w:r>
          </w:p>
        </w:tc>
        <w:tc>
          <w:tcPr>
            <w:tcW w:w="2381" w:type="dxa"/>
            <w:hideMark/>
          </w:tcPr>
          <w:p w14:paraId="20022F7F" w14:textId="77777777" w:rsidR="00DD69AF" w:rsidRPr="00062C68" w:rsidRDefault="00DD69AF" w:rsidP="003B68D0">
            <w:pPr>
              <w:pStyle w:val="TableText"/>
              <w:rPr>
                <w:iCs/>
              </w:rPr>
            </w:pPr>
            <w:r w:rsidRPr="00062C68">
              <w:rPr>
                <w:iCs/>
              </w:rPr>
              <w:t>86 (57%)</w:t>
            </w:r>
          </w:p>
          <w:p w14:paraId="0EE4DE20" w14:textId="77777777" w:rsidR="00DD69AF" w:rsidRPr="00062C68" w:rsidRDefault="00DD69AF" w:rsidP="003B68D0">
            <w:pPr>
              <w:pStyle w:val="TableText"/>
              <w:rPr>
                <w:iCs/>
              </w:rPr>
            </w:pPr>
            <w:r w:rsidRPr="00062C68">
              <w:rPr>
                <w:iCs/>
              </w:rPr>
              <w:t>64 (42.4%)</w:t>
            </w:r>
          </w:p>
          <w:p w14:paraId="7D2A33EF" w14:textId="77777777" w:rsidR="00DD69AF" w:rsidRPr="00062C68" w:rsidRDefault="00DD69AF" w:rsidP="003B68D0">
            <w:pPr>
              <w:pStyle w:val="TableText"/>
              <w:rPr>
                <w:iCs/>
              </w:rPr>
            </w:pPr>
            <w:r w:rsidRPr="00062C68">
              <w:rPr>
                <w:iCs/>
              </w:rPr>
              <w:t>1 (0.7%)</w:t>
            </w:r>
          </w:p>
        </w:tc>
        <w:tc>
          <w:tcPr>
            <w:tcW w:w="2082" w:type="dxa"/>
            <w:hideMark/>
          </w:tcPr>
          <w:p w14:paraId="57174E82" w14:textId="77777777" w:rsidR="00DD69AF" w:rsidRPr="00062C68" w:rsidRDefault="00DD69AF" w:rsidP="003B68D0">
            <w:pPr>
              <w:pStyle w:val="TableText"/>
              <w:rPr>
                <w:iCs/>
              </w:rPr>
            </w:pPr>
            <w:r w:rsidRPr="00062C68">
              <w:rPr>
                <w:iCs/>
              </w:rPr>
              <w:t>100 (65.4%)</w:t>
            </w:r>
          </w:p>
          <w:p w14:paraId="342BC6A4" w14:textId="77777777" w:rsidR="00DD69AF" w:rsidRPr="00062C68" w:rsidRDefault="00DD69AF" w:rsidP="003B68D0">
            <w:pPr>
              <w:pStyle w:val="TableText"/>
              <w:rPr>
                <w:iCs/>
              </w:rPr>
            </w:pPr>
            <w:r w:rsidRPr="00062C68">
              <w:rPr>
                <w:iCs/>
              </w:rPr>
              <w:t>179 (34.6%)</w:t>
            </w:r>
          </w:p>
          <w:p w14:paraId="0E704D42" w14:textId="77777777" w:rsidR="00DD69AF" w:rsidRPr="00062C68" w:rsidRDefault="00DD69AF" w:rsidP="003B68D0">
            <w:pPr>
              <w:pStyle w:val="TableText"/>
              <w:rPr>
                <w:iCs/>
              </w:rPr>
            </w:pPr>
            <w:r w:rsidRPr="00062C68">
              <w:rPr>
                <w:iCs/>
              </w:rPr>
              <w:t>0</w:t>
            </w:r>
          </w:p>
        </w:tc>
      </w:tr>
      <w:tr w:rsidR="00DD69AF" w:rsidRPr="008F6C08" w14:paraId="04FA0E7D" w14:textId="77777777" w:rsidTr="00FF3488">
        <w:trPr>
          <w:trHeight w:val="20"/>
        </w:trPr>
        <w:tc>
          <w:tcPr>
            <w:tcW w:w="1657" w:type="dxa"/>
            <w:hideMark/>
          </w:tcPr>
          <w:p w14:paraId="0163258E" w14:textId="77777777" w:rsidR="00DD69AF" w:rsidRPr="00062C68" w:rsidRDefault="00DD69AF" w:rsidP="003B68D0">
            <w:pPr>
              <w:pStyle w:val="TableText"/>
              <w:rPr>
                <w:lang w:val="en-US"/>
              </w:rPr>
            </w:pPr>
            <w:r w:rsidRPr="00062C68">
              <w:rPr>
                <w:lang w:val="en-US"/>
              </w:rPr>
              <w:t>Disease subtype</w:t>
            </w:r>
          </w:p>
          <w:p w14:paraId="53A4665E" w14:textId="77777777" w:rsidR="00DD69AF" w:rsidRPr="00062C68" w:rsidRDefault="00DD69AF" w:rsidP="003B68D0">
            <w:pPr>
              <w:pStyle w:val="TableText"/>
              <w:rPr>
                <w:lang w:val="en-US"/>
              </w:rPr>
            </w:pPr>
          </w:p>
        </w:tc>
        <w:tc>
          <w:tcPr>
            <w:tcW w:w="2659" w:type="dxa"/>
          </w:tcPr>
          <w:p w14:paraId="64F7FD50" w14:textId="77777777" w:rsidR="00DD69AF" w:rsidRPr="00062C68" w:rsidRDefault="00DD69AF" w:rsidP="003B68D0">
            <w:pPr>
              <w:pStyle w:val="TableText"/>
              <w:rPr>
                <w:iCs/>
                <w:lang w:val="en-US"/>
              </w:rPr>
            </w:pPr>
            <w:proofErr w:type="spellStart"/>
            <w:r w:rsidRPr="00062C68">
              <w:rPr>
                <w:iCs/>
                <w:lang w:val="en-US"/>
              </w:rPr>
              <w:t>cHL</w:t>
            </w:r>
            <w:proofErr w:type="spellEnd"/>
            <w:r w:rsidRPr="00062C68">
              <w:rPr>
                <w:iCs/>
                <w:lang w:val="en-US"/>
              </w:rPr>
              <w:t xml:space="preserve"> Mixed Cellularity</w:t>
            </w:r>
          </w:p>
          <w:p w14:paraId="18BDD136" w14:textId="77777777" w:rsidR="00DD69AF" w:rsidRPr="00062C68" w:rsidRDefault="00DD69AF" w:rsidP="003B68D0">
            <w:pPr>
              <w:pStyle w:val="TableText"/>
              <w:rPr>
                <w:iCs/>
                <w:lang w:val="en-US"/>
              </w:rPr>
            </w:pPr>
            <w:proofErr w:type="spellStart"/>
            <w:r w:rsidRPr="00062C68">
              <w:rPr>
                <w:iCs/>
                <w:lang w:val="en-US"/>
              </w:rPr>
              <w:t>cHL</w:t>
            </w:r>
            <w:proofErr w:type="spellEnd"/>
            <w:r w:rsidRPr="00062C68">
              <w:rPr>
                <w:iCs/>
                <w:lang w:val="en-US"/>
              </w:rPr>
              <w:t xml:space="preserve"> nodular sclerosis</w:t>
            </w:r>
          </w:p>
          <w:p w14:paraId="450FD4B7" w14:textId="77777777" w:rsidR="00DD69AF" w:rsidRPr="00062C68" w:rsidRDefault="00DD69AF" w:rsidP="003B68D0">
            <w:pPr>
              <w:pStyle w:val="TableText"/>
              <w:rPr>
                <w:iCs/>
                <w:lang w:val="en-US"/>
              </w:rPr>
            </w:pPr>
            <w:proofErr w:type="spellStart"/>
            <w:r w:rsidRPr="00062C68">
              <w:rPr>
                <w:iCs/>
                <w:lang w:val="en-US"/>
              </w:rPr>
              <w:t>cHL</w:t>
            </w:r>
            <w:proofErr w:type="spellEnd"/>
            <w:r w:rsidRPr="00062C68">
              <w:rPr>
                <w:iCs/>
                <w:lang w:val="en-US"/>
              </w:rPr>
              <w:t xml:space="preserve"> Lymphocyte Depleted</w:t>
            </w:r>
          </w:p>
          <w:p w14:paraId="0B6050FE" w14:textId="77777777" w:rsidR="00DD69AF" w:rsidRPr="00062C68" w:rsidRDefault="00DD69AF" w:rsidP="003B68D0">
            <w:pPr>
              <w:pStyle w:val="TableText"/>
              <w:rPr>
                <w:iCs/>
                <w:lang w:val="en-US"/>
              </w:rPr>
            </w:pPr>
            <w:proofErr w:type="spellStart"/>
            <w:r w:rsidRPr="00062C68">
              <w:rPr>
                <w:iCs/>
                <w:lang w:val="en-US"/>
              </w:rPr>
              <w:t>cHL</w:t>
            </w:r>
            <w:proofErr w:type="spellEnd"/>
            <w:r w:rsidRPr="00062C68">
              <w:rPr>
                <w:iCs/>
                <w:lang w:val="en-US"/>
              </w:rPr>
              <w:t xml:space="preserve"> Lymphocyte Rich</w:t>
            </w:r>
          </w:p>
          <w:p w14:paraId="090FD1F4" w14:textId="77777777" w:rsidR="00DD69AF" w:rsidRPr="00062C68" w:rsidRDefault="00DD69AF" w:rsidP="003B68D0">
            <w:pPr>
              <w:pStyle w:val="TableText"/>
              <w:rPr>
                <w:iCs/>
                <w:lang w:val="en-US"/>
              </w:rPr>
            </w:pPr>
            <w:r w:rsidRPr="00062C68">
              <w:rPr>
                <w:iCs/>
                <w:lang w:val="en-US"/>
              </w:rPr>
              <w:t>Missing</w:t>
            </w:r>
          </w:p>
        </w:tc>
        <w:tc>
          <w:tcPr>
            <w:tcW w:w="2381" w:type="dxa"/>
            <w:hideMark/>
          </w:tcPr>
          <w:p w14:paraId="3EF64187" w14:textId="77777777" w:rsidR="00DD69AF" w:rsidRPr="00062C68" w:rsidRDefault="00DD69AF" w:rsidP="003B68D0">
            <w:pPr>
              <w:pStyle w:val="TableText"/>
              <w:rPr>
                <w:iCs/>
              </w:rPr>
            </w:pPr>
            <w:r w:rsidRPr="00062C68">
              <w:rPr>
                <w:iCs/>
              </w:rPr>
              <w:t>23 (15.2%)</w:t>
            </w:r>
          </w:p>
          <w:p w14:paraId="083CA140" w14:textId="77777777" w:rsidR="00DD69AF" w:rsidRPr="00062C68" w:rsidRDefault="00DD69AF" w:rsidP="003B68D0">
            <w:pPr>
              <w:pStyle w:val="TableText"/>
              <w:rPr>
                <w:iCs/>
              </w:rPr>
            </w:pPr>
            <w:r w:rsidRPr="00062C68">
              <w:rPr>
                <w:iCs/>
              </w:rPr>
              <w:t>119 (78.8%)</w:t>
            </w:r>
          </w:p>
          <w:p w14:paraId="1902D97D" w14:textId="77777777" w:rsidR="00DD69AF" w:rsidRPr="00062C68" w:rsidRDefault="00DD69AF" w:rsidP="003B68D0">
            <w:pPr>
              <w:pStyle w:val="TableText"/>
              <w:rPr>
                <w:iCs/>
              </w:rPr>
            </w:pPr>
            <w:r w:rsidRPr="00062C68">
              <w:rPr>
                <w:iCs/>
              </w:rPr>
              <w:t>3 (2.0%)</w:t>
            </w:r>
          </w:p>
          <w:p w14:paraId="1D5E3D98" w14:textId="77777777" w:rsidR="00DD69AF" w:rsidRPr="00062C68" w:rsidRDefault="00DD69AF" w:rsidP="003B68D0">
            <w:pPr>
              <w:pStyle w:val="TableText"/>
              <w:rPr>
                <w:iCs/>
              </w:rPr>
            </w:pPr>
            <w:r w:rsidRPr="00062C68">
              <w:rPr>
                <w:iCs/>
              </w:rPr>
              <w:t>1 (0.7%)</w:t>
            </w:r>
          </w:p>
          <w:p w14:paraId="436DB800" w14:textId="77777777" w:rsidR="00DD69AF" w:rsidRPr="00062C68" w:rsidRDefault="00DD69AF" w:rsidP="003B68D0">
            <w:pPr>
              <w:pStyle w:val="TableText"/>
              <w:rPr>
                <w:iCs/>
              </w:rPr>
            </w:pPr>
            <w:r w:rsidRPr="00062C68">
              <w:rPr>
                <w:iCs/>
              </w:rPr>
              <w:t>5 (3.3%)</w:t>
            </w:r>
          </w:p>
        </w:tc>
        <w:tc>
          <w:tcPr>
            <w:tcW w:w="2082" w:type="dxa"/>
            <w:hideMark/>
          </w:tcPr>
          <w:p w14:paraId="6338B249" w14:textId="77777777" w:rsidR="00DD69AF" w:rsidRPr="00062C68" w:rsidRDefault="00DD69AF" w:rsidP="003B68D0">
            <w:pPr>
              <w:pStyle w:val="TableText"/>
              <w:rPr>
                <w:iCs/>
              </w:rPr>
            </w:pPr>
            <w:r w:rsidRPr="00062C68">
              <w:rPr>
                <w:iCs/>
              </w:rPr>
              <w:t>17 (11.1%)</w:t>
            </w:r>
          </w:p>
          <w:p w14:paraId="111C9601" w14:textId="77777777" w:rsidR="00DD69AF" w:rsidRPr="00062C68" w:rsidRDefault="00DD69AF" w:rsidP="003B68D0">
            <w:pPr>
              <w:pStyle w:val="TableText"/>
              <w:rPr>
                <w:iCs/>
              </w:rPr>
            </w:pPr>
            <w:r w:rsidRPr="00062C68">
              <w:rPr>
                <w:iCs/>
              </w:rPr>
              <w:t>128 (83.0%)</w:t>
            </w:r>
          </w:p>
          <w:p w14:paraId="10B36508" w14:textId="77777777" w:rsidR="00DD69AF" w:rsidRPr="00062C68" w:rsidRDefault="00DD69AF" w:rsidP="003B68D0">
            <w:pPr>
              <w:pStyle w:val="TableText"/>
              <w:rPr>
                <w:iCs/>
              </w:rPr>
            </w:pPr>
            <w:r w:rsidRPr="00062C68">
              <w:rPr>
                <w:iCs/>
              </w:rPr>
              <w:t>3(2.0%)</w:t>
            </w:r>
          </w:p>
          <w:p w14:paraId="4D378E04" w14:textId="77777777" w:rsidR="00DD69AF" w:rsidRPr="00062C68" w:rsidRDefault="00DD69AF" w:rsidP="003B68D0">
            <w:pPr>
              <w:pStyle w:val="TableText"/>
              <w:rPr>
                <w:iCs/>
              </w:rPr>
            </w:pPr>
            <w:r w:rsidRPr="00062C68">
              <w:rPr>
                <w:iCs/>
              </w:rPr>
              <w:t>1 (0.7%)</w:t>
            </w:r>
          </w:p>
          <w:p w14:paraId="67500C70" w14:textId="77777777" w:rsidR="00DD69AF" w:rsidRPr="00062C68" w:rsidRDefault="00DD69AF" w:rsidP="003B68D0">
            <w:pPr>
              <w:pStyle w:val="TableText"/>
              <w:rPr>
                <w:iCs/>
              </w:rPr>
            </w:pPr>
            <w:r w:rsidRPr="00062C68">
              <w:rPr>
                <w:iCs/>
              </w:rPr>
              <w:t>5 (3.3%)</w:t>
            </w:r>
          </w:p>
        </w:tc>
      </w:tr>
      <w:tr w:rsidR="00DD69AF" w:rsidRPr="008F6C08" w14:paraId="72E59548" w14:textId="77777777" w:rsidTr="00FF3488">
        <w:trPr>
          <w:trHeight w:val="20"/>
        </w:trPr>
        <w:tc>
          <w:tcPr>
            <w:tcW w:w="1657" w:type="dxa"/>
          </w:tcPr>
          <w:p w14:paraId="080A972C" w14:textId="1892F537" w:rsidR="00DD69AF" w:rsidRPr="00062C68" w:rsidRDefault="00DD69AF" w:rsidP="003B68D0">
            <w:pPr>
              <w:pStyle w:val="TableText"/>
              <w:rPr>
                <w:lang w:val="en-US"/>
              </w:rPr>
            </w:pPr>
            <w:r w:rsidRPr="00062C68">
              <w:rPr>
                <w:lang w:val="en-US"/>
              </w:rPr>
              <w:t>Stratification</w:t>
            </w:r>
          </w:p>
        </w:tc>
        <w:tc>
          <w:tcPr>
            <w:tcW w:w="2659" w:type="dxa"/>
          </w:tcPr>
          <w:p w14:paraId="19562A95" w14:textId="77777777" w:rsidR="00DD69AF" w:rsidRPr="00062C68" w:rsidRDefault="00DD69AF" w:rsidP="003B68D0">
            <w:pPr>
              <w:pStyle w:val="TableText"/>
              <w:rPr>
                <w:iCs/>
                <w:lang w:val="en-US"/>
              </w:rPr>
            </w:pPr>
            <w:r w:rsidRPr="00062C68">
              <w:rPr>
                <w:iCs/>
                <w:lang w:val="en-US"/>
              </w:rPr>
              <w:t>Prior auto-SCT</w:t>
            </w:r>
          </w:p>
          <w:p w14:paraId="19AC676E" w14:textId="77777777" w:rsidR="00DD69AF" w:rsidRPr="00062C68" w:rsidRDefault="00DD69AF" w:rsidP="003B68D0">
            <w:pPr>
              <w:pStyle w:val="TableText"/>
              <w:rPr>
                <w:iCs/>
                <w:lang w:val="en-US"/>
              </w:rPr>
            </w:pPr>
            <w:r w:rsidRPr="00062C68">
              <w:rPr>
                <w:iCs/>
                <w:lang w:val="en-US"/>
              </w:rPr>
              <w:t>No prior auto-SCT</w:t>
            </w:r>
          </w:p>
          <w:p w14:paraId="138F670F" w14:textId="77777777" w:rsidR="00DD69AF" w:rsidRPr="00062C68" w:rsidRDefault="00DD69AF" w:rsidP="003B68D0">
            <w:pPr>
              <w:pStyle w:val="TableText"/>
              <w:rPr>
                <w:bCs/>
                <w:iCs/>
                <w:lang w:val="en-US"/>
              </w:rPr>
            </w:pPr>
            <w:r w:rsidRPr="00062C68">
              <w:rPr>
                <w:bCs/>
                <w:iCs/>
                <w:lang w:val="en-US"/>
              </w:rPr>
              <w:t>Disease after frontline therapy</w:t>
            </w:r>
          </w:p>
          <w:p w14:paraId="7F717453" w14:textId="77777777" w:rsidR="00DD69AF" w:rsidRPr="00062C68" w:rsidRDefault="00DD69AF" w:rsidP="003B68D0">
            <w:pPr>
              <w:pStyle w:val="TableText"/>
              <w:rPr>
                <w:iCs/>
                <w:lang w:val="en-US"/>
              </w:rPr>
            </w:pPr>
            <w:r w:rsidRPr="00062C68">
              <w:rPr>
                <w:iCs/>
                <w:lang w:val="en-US"/>
              </w:rPr>
              <w:t>Primary refractory disease</w:t>
            </w:r>
          </w:p>
          <w:p w14:paraId="3E88981A" w14:textId="77777777" w:rsidR="00DD69AF" w:rsidRPr="00062C68" w:rsidRDefault="00DD69AF" w:rsidP="003B68D0">
            <w:pPr>
              <w:pStyle w:val="TableText"/>
              <w:rPr>
                <w:iCs/>
                <w:lang w:val="en-US"/>
              </w:rPr>
            </w:pPr>
            <w:r w:rsidRPr="00062C68">
              <w:rPr>
                <w:iCs/>
                <w:lang w:val="en-US"/>
              </w:rPr>
              <w:t>Relapsed &lt; 12 months</w:t>
            </w:r>
          </w:p>
          <w:p w14:paraId="4540C5BA" w14:textId="58D5F288" w:rsidR="00DD69AF" w:rsidRPr="00062C68" w:rsidRDefault="00DD69AF" w:rsidP="003B68D0">
            <w:pPr>
              <w:pStyle w:val="TableText"/>
              <w:rPr>
                <w:iCs/>
                <w:lang w:val="en-US"/>
              </w:rPr>
            </w:pPr>
            <w:r w:rsidRPr="00062C68">
              <w:rPr>
                <w:iCs/>
                <w:lang w:val="en-US"/>
              </w:rPr>
              <w:t>Relapsed ≥ 12 months</w:t>
            </w:r>
          </w:p>
        </w:tc>
        <w:tc>
          <w:tcPr>
            <w:tcW w:w="2381" w:type="dxa"/>
          </w:tcPr>
          <w:p w14:paraId="60EE4D68" w14:textId="77777777" w:rsidR="00DD69AF" w:rsidRPr="00062C68" w:rsidRDefault="00DD69AF" w:rsidP="003B68D0">
            <w:pPr>
              <w:pStyle w:val="TableText"/>
              <w:rPr>
                <w:iCs/>
              </w:rPr>
            </w:pPr>
            <w:r w:rsidRPr="00062C68">
              <w:rPr>
                <w:iCs/>
                <w:lang w:val="en-US"/>
              </w:rPr>
              <w:t>56 (37.1%)</w:t>
            </w:r>
          </w:p>
          <w:p w14:paraId="311C6AA5" w14:textId="77777777" w:rsidR="00DD69AF" w:rsidRPr="00062C68" w:rsidRDefault="00DD69AF" w:rsidP="003B68D0">
            <w:pPr>
              <w:pStyle w:val="TableText"/>
              <w:rPr>
                <w:iCs/>
                <w:lang w:val="en-US"/>
              </w:rPr>
            </w:pPr>
            <w:r w:rsidRPr="00062C68">
              <w:rPr>
                <w:iCs/>
                <w:lang w:val="en-US"/>
              </w:rPr>
              <w:t>95 (62.9%)</w:t>
            </w:r>
          </w:p>
          <w:p w14:paraId="296E3FC3" w14:textId="5077D6F3" w:rsidR="00DD69AF" w:rsidRPr="00062C68" w:rsidRDefault="00062C68" w:rsidP="003B68D0">
            <w:pPr>
              <w:pStyle w:val="TableText"/>
              <w:rPr>
                <w:iCs/>
                <w:color w:val="93C571" w:themeColor="accent6" w:themeTint="BF"/>
              </w:rPr>
            </w:pPr>
            <w:r w:rsidRPr="00062C68">
              <w:rPr>
                <w:iCs/>
                <w:color w:val="93C571" w:themeColor="accent6" w:themeTint="BF"/>
              </w:rPr>
              <w:br/>
            </w:r>
          </w:p>
          <w:p w14:paraId="0590F42F" w14:textId="77777777" w:rsidR="00DD69AF" w:rsidRPr="00062C68" w:rsidRDefault="00DD69AF" w:rsidP="003B68D0">
            <w:pPr>
              <w:pStyle w:val="TableText"/>
              <w:rPr>
                <w:iCs/>
                <w:lang w:val="en-US"/>
              </w:rPr>
            </w:pPr>
            <w:r w:rsidRPr="00062C68">
              <w:rPr>
                <w:iCs/>
                <w:lang w:val="en-US"/>
              </w:rPr>
              <w:t>61 (40.4%)</w:t>
            </w:r>
          </w:p>
          <w:p w14:paraId="24F46879" w14:textId="77777777" w:rsidR="00DD69AF" w:rsidRPr="00062C68" w:rsidRDefault="00DD69AF" w:rsidP="003B68D0">
            <w:pPr>
              <w:pStyle w:val="TableText"/>
              <w:rPr>
                <w:iCs/>
                <w:lang w:val="en-US"/>
              </w:rPr>
            </w:pPr>
            <w:r w:rsidRPr="00062C68">
              <w:rPr>
                <w:iCs/>
                <w:lang w:val="en-US"/>
              </w:rPr>
              <w:t>42 (27.8%)</w:t>
            </w:r>
          </w:p>
          <w:p w14:paraId="4F58A2AD" w14:textId="77777777" w:rsidR="00DD69AF" w:rsidRPr="00062C68" w:rsidRDefault="00DD69AF" w:rsidP="003B68D0">
            <w:pPr>
              <w:pStyle w:val="TableText"/>
              <w:rPr>
                <w:iCs/>
                <w:color w:val="93C571" w:themeColor="accent6" w:themeTint="BF"/>
              </w:rPr>
            </w:pPr>
            <w:r w:rsidRPr="00062C68">
              <w:rPr>
                <w:iCs/>
                <w:lang w:val="en-US"/>
              </w:rPr>
              <w:t>48 (13.8%)</w:t>
            </w:r>
          </w:p>
        </w:tc>
        <w:tc>
          <w:tcPr>
            <w:tcW w:w="2082" w:type="dxa"/>
          </w:tcPr>
          <w:p w14:paraId="1665B3F2" w14:textId="77777777" w:rsidR="00DD69AF" w:rsidRPr="00062C68" w:rsidRDefault="00DD69AF" w:rsidP="003B68D0">
            <w:pPr>
              <w:pStyle w:val="TableText"/>
              <w:rPr>
                <w:iCs/>
              </w:rPr>
            </w:pPr>
            <w:r w:rsidRPr="00062C68">
              <w:rPr>
                <w:iCs/>
              </w:rPr>
              <w:t>56 (36.6%)</w:t>
            </w:r>
          </w:p>
          <w:p w14:paraId="56B5105F" w14:textId="77777777" w:rsidR="00DD69AF" w:rsidRPr="00062C68" w:rsidRDefault="00DD69AF" w:rsidP="003B68D0">
            <w:pPr>
              <w:pStyle w:val="TableText"/>
              <w:rPr>
                <w:iCs/>
                <w:lang w:val="en-US"/>
              </w:rPr>
            </w:pPr>
            <w:r w:rsidRPr="00062C68">
              <w:rPr>
                <w:iCs/>
                <w:lang w:val="en-US"/>
              </w:rPr>
              <w:t>97 (63.4%)</w:t>
            </w:r>
          </w:p>
          <w:p w14:paraId="2C5F6326" w14:textId="207DFC59" w:rsidR="00DD69AF" w:rsidRPr="00062C68" w:rsidRDefault="00062C68" w:rsidP="003B68D0">
            <w:pPr>
              <w:pStyle w:val="TableText"/>
              <w:rPr>
                <w:iCs/>
                <w:color w:val="93C571" w:themeColor="accent6" w:themeTint="BF"/>
              </w:rPr>
            </w:pPr>
            <w:r w:rsidRPr="00062C68">
              <w:rPr>
                <w:iCs/>
                <w:color w:val="93C571" w:themeColor="accent6" w:themeTint="BF"/>
              </w:rPr>
              <w:br/>
            </w:r>
          </w:p>
          <w:p w14:paraId="626B844A" w14:textId="77777777" w:rsidR="00DD69AF" w:rsidRPr="00062C68" w:rsidRDefault="00DD69AF" w:rsidP="003B68D0">
            <w:pPr>
              <w:pStyle w:val="TableText"/>
              <w:rPr>
                <w:iCs/>
                <w:lang w:val="en-US"/>
              </w:rPr>
            </w:pPr>
            <w:r w:rsidRPr="00062C68">
              <w:rPr>
                <w:iCs/>
                <w:lang w:val="en-US"/>
              </w:rPr>
              <w:t>62 (40.5%)</w:t>
            </w:r>
          </w:p>
          <w:p w14:paraId="51BF02C4" w14:textId="77777777" w:rsidR="00DD69AF" w:rsidRPr="00062C68" w:rsidRDefault="00DD69AF" w:rsidP="003B68D0">
            <w:pPr>
              <w:pStyle w:val="TableText"/>
              <w:rPr>
                <w:iCs/>
                <w:lang w:val="en-US"/>
              </w:rPr>
            </w:pPr>
            <w:r w:rsidRPr="00062C68">
              <w:rPr>
                <w:iCs/>
                <w:lang w:val="en-US"/>
              </w:rPr>
              <w:t>42 (27.5%)</w:t>
            </w:r>
          </w:p>
          <w:p w14:paraId="27DA0B05" w14:textId="77777777" w:rsidR="00DD69AF" w:rsidRPr="00062C68" w:rsidRDefault="00DD69AF" w:rsidP="003B68D0">
            <w:pPr>
              <w:pStyle w:val="TableText"/>
              <w:rPr>
                <w:iCs/>
                <w:color w:val="93C571" w:themeColor="accent6" w:themeTint="BF"/>
              </w:rPr>
            </w:pPr>
            <w:r w:rsidRPr="00062C68">
              <w:rPr>
                <w:iCs/>
                <w:lang w:val="en-US"/>
              </w:rPr>
              <w:t>49 (32.0%)</w:t>
            </w:r>
          </w:p>
        </w:tc>
      </w:tr>
      <w:tr w:rsidR="00DD69AF" w:rsidRPr="008F6C08" w14:paraId="33588526" w14:textId="77777777" w:rsidTr="00FF3488">
        <w:trPr>
          <w:trHeight w:val="20"/>
        </w:trPr>
        <w:tc>
          <w:tcPr>
            <w:tcW w:w="1657" w:type="dxa"/>
          </w:tcPr>
          <w:p w14:paraId="6C9CDC85" w14:textId="77777777" w:rsidR="00DD69AF" w:rsidRPr="00062C68" w:rsidRDefault="00DD69AF" w:rsidP="003B68D0">
            <w:pPr>
              <w:pStyle w:val="TableText"/>
              <w:rPr>
                <w:lang w:val="en-US"/>
              </w:rPr>
            </w:pPr>
            <w:r w:rsidRPr="00062C68">
              <w:rPr>
                <w:lang w:val="en-US"/>
              </w:rPr>
              <w:t>Response to first therapy before study treatment</w:t>
            </w:r>
          </w:p>
        </w:tc>
        <w:tc>
          <w:tcPr>
            <w:tcW w:w="2659" w:type="dxa"/>
          </w:tcPr>
          <w:p w14:paraId="58C4D3C6" w14:textId="77777777" w:rsidR="00DD69AF" w:rsidRPr="00062C68" w:rsidRDefault="00DD69AF" w:rsidP="003B68D0">
            <w:pPr>
              <w:pStyle w:val="TableText"/>
              <w:rPr>
                <w:iCs/>
                <w:lang w:val="en-US"/>
              </w:rPr>
            </w:pPr>
            <w:r w:rsidRPr="00062C68">
              <w:rPr>
                <w:iCs/>
                <w:lang w:val="en-US"/>
              </w:rPr>
              <w:t>Refractory</w:t>
            </w:r>
          </w:p>
          <w:p w14:paraId="11FD3DB5" w14:textId="77777777" w:rsidR="00DD69AF" w:rsidRPr="00062C68" w:rsidRDefault="00DD69AF" w:rsidP="003B68D0">
            <w:pPr>
              <w:pStyle w:val="TableText"/>
              <w:rPr>
                <w:iCs/>
                <w:lang w:val="en-US"/>
              </w:rPr>
            </w:pPr>
            <w:r w:rsidRPr="00062C68">
              <w:rPr>
                <w:iCs/>
                <w:lang w:val="en-US"/>
              </w:rPr>
              <w:t>Relapse</w:t>
            </w:r>
          </w:p>
          <w:p w14:paraId="3B34F603" w14:textId="77777777" w:rsidR="00DD69AF" w:rsidRPr="00062C68" w:rsidRDefault="00DD69AF" w:rsidP="003B68D0">
            <w:pPr>
              <w:pStyle w:val="TableText"/>
              <w:rPr>
                <w:iCs/>
                <w:color w:val="93C571" w:themeColor="accent6" w:themeTint="BF"/>
                <w:lang w:val="en-US"/>
              </w:rPr>
            </w:pPr>
            <w:r w:rsidRPr="00062C68">
              <w:rPr>
                <w:iCs/>
                <w:lang w:val="en-US"/>
              </w:rPr>
              <w:t>Other</w:t>
            </w:r>
          </w:p>
        </w:tc>
        <w:tc>
          <w:tcPr>
            <w:tcW w:w="2381" w:type="dxa"/>
          </w:tcPr>
          <w:p w14:paraId="79CE9FD6" w14:textId="77777777" w:rsidR="00DD69AF" w:rsidRPr="00062C68" w:rsidRDefault="00DD69AF" w:rsidP="003B68D0">
            <w:pPr>
              <w:pStyle w:val="TableText"/>
              <w:rPr>
                <w:iCs/>
              </w:rPr>
            </w:pPr>
            <w:r w:rsidRPr="00062C68">
              <w:rPr>
                <w:iCs/>
                <w:lang w:val="en-US"/>
              </w:rPr>
              <w:t>47 (31.1%)</w:t>
            </w:r>
          </w:p>
          <w:p w14:paraId="06D6D147" w14:textId="77777777" w:rsidR="00DD69AF" w:rsidRPr="00062C68" w:rsidRDefault="00DD69AF" w:rsidP="003B68D0">
            <w:pPr>
              <w:pStyle w:val="TableText"/>
              <w:rPr>
                <w:iCs/>
              </w:rPr>
            </w:pPr>
            <w:r w:rsidRPr="00062C68">
              <w:rPr>
                <w:iCs/>
                <w:lang w:val="en-US"/>
              </w:rPr>
              <w:t>97 (64.2%)</w:t>
            </w:r>
          </w:p>
          <w:p w14:paraId="7A274012" w14:textId="77777777" w:rsidR="00DD69AF" w:rsidRPr="00062C68" w:rsidRDefault="00DD69AF" w:rsidP="003B68D0">
            <w:pPr>
              <w:pStyle w:val="TableText"/>
              <w:rPr>
                <w:iCs/>
                <w:color w:val="93C571" w:themeColor="accent6" w:themeTint="BF"/>
                <w:lang w:val="en-US"/>
              </w:rPr>
            </w:pPr>
            <w:r w:rsidRPr="00062C68">
              <w:rPr>
                <w:iCs/>
                <w:lang w:val="en-US"/>
              </w:rPr>
              <w:t xml:space="preserve">7 </w:t>
            </w:r>
            <w:proofErr w:type="gramStart"/>
            <w:r w:rsidRPr="00062C68">
              <w:rPr>
                <w:iCs/>
                <w:lang w:val="en-US"/>
              </w:rPr>
              <w:t>( 4.6</w:t>
            </w:r>
            <w:proofErr w:type="gramEnd"/>
            <w:r w:rsidRPr="00062C68">
              <w:rPr>
                <w:iCs/>
                <w:lang w:val="en-US"/>
              </w:rPr>
              <w:t>%)</w:t>
            </w:r>
          </w:p>
        </w:tc>
        <w:tc>
          <w:tcPr>
            <w:tcW w:w="2082" w:type="dxa"/>
          </w:tcPr>
          <w:p w14:paraId="4ED1E3FB" w14:textId="77777777" w:rsidR="00DD69AF" w:rsidRPr="00062C68" w:rsidRDefault="00DD69AF" w:rsidP="003B68D0">
            <w:pPr>
              <w:pStyle w:val="TableText"/>
              <w:rPr>
                <w:iCs/>
              </w:rPr>
            </w:pPr>
            <w:r w:rsidRPr="00062C68">
              <w:rPr>
                <w:iCs/>
              </w:rPr>
              <w:t>40 (26.1%)</w:t>
            </w:r>
          </w:p>
          <w:p w14:paraId="6523EE52" w14:textId="77777777" w:rsidR="00DD69AF" w:rsidRPr="00062C68" w:rsidRDefault="00DD69AF" w:rsidP="003B68D0">
            <w:pPr>
              <w:pStyle w:val="TableText"/>
              <w:rPr>
                <w:iCs/>
              </w:rPr>
            </w:pPr>
            <w:r w:rsidRPr="00062C68">
              <w:rPr>
                <w:iCs/>
                <w:lang w:val="en-US"/>
              </w:rPr>
              <w:t>102 (66.7%)</w:t>
            </w:r>
          </w:p>
          <w:p w14:paraId="2E7AAD56" w14:textId="77777777" w:rsidR="00DD69AF" w:rsidRPr="00062C68" w:rsidRDefault="00DD69AF" w:rsidP="003B68D0">
            <w:pPr>
              <w:pStyle w:val="TableText"/>
              <w:rPr>
                <w:iCs/>
                <w:color w:val="93C571" w:themeColor="accent6" w:themeTint="BF"/>
                <w:lang w:val="en-US"/>
              </w:rPr>
            </w:pPr>
            <w:r w:rsidRPr="00062C68">
              <w:rPr>
                <w:iCs/>
                <w:lang w:val="en-US"/>
              </w:rPr>
              <w:t>11 (7.2%)</w:t>
            </w:r>
          </w:p>
        </w:tc>
      </w:tr>
      <w:tr w:rsidR="00DD69AF" w:rsidRPr="008F6C08" w14:paraId="56EB045E" w14:textId="77777777" w:rsidTr="00FF3488">
        <w:trPr>
          <w:trHeight w:val="20"/>
        </w:trPr>
        <w:tc>
          <w:tcPr>
            <w:tcW w:w="1657" w:type="dxa"/>
          </w:tcPr>
          <w:p w14:paraId="15B16913" w14:textId="5F8882D9" w:rsidR="00DD69AF" w:rsidRPr="00062C68" w:rsidRDefault="00DD69AF" w:rsidP="003B68D0">
            <w:pPr>
              <w:pStyle w:val="TableText"/>
              <w:rPr>
                <w:lang w:val="en-US"/>
              </w:rPr>
            </w:pPr>
            <w:r w:rsidRPr="00062C68">
              <w:rPr>
                <w:lang w:val="en-US"/>
              </w:rPr>
              <w:t>Response to last therapy before study</w:t>
            </w:r>
            <w:r w:rsidR="00062C68" w:rsidRPr="00062C68">
              <w:rPr>
                <w:lang w:val="en-US"/>
              </w:rPr>
              <w:t xml:space="preserve"> </w:t>
            </w:r>
            <w:r w:rsidRPr="00062C68">
              <w:rPr>
                <w:lang w:val="en-US"/>
              </w:rPr>
              <w:t>treatment</w:t>
            </w:r>
          </w:p>
        </w:tc>
        <w:tc>
          <w:tcPr>
            <w:tcW w:w="2659" w:type="dxa"/>
          </w:tcPr>
          <w:p w14:paraId="5218C42F" w14:textId="77777777" w:rsidR="00DD69AF" w:rsidRPr="00062C68" w:rsidRDefault="00DD69AF" w:rsidP="003B68D0">
            <w:pPr>
              <w:pStyle w:val="TableText"/>
              <w:rPr>
                <w:iCs/>
                <w:lang w:val="en-US"/>
              </w:rPr>
            </w:pPr>
            <w:r w:rsidRPr="00062C68">
              <w:rPr>
                <w:iCs/>
                <w:lang w:val="en-US"/>
              </w:rPr>
              <w:t>Refractory</w:t>
            </w:r>
          </w:p>
          <w:p w14:paraId="1B2B2774" w14:textId="77777777" w:rsidR="00DD69AF" w:rsidRPr="00062C68" w:rsidRDefault="00DD69AF" w:rsidP="003B68D0">
            <w:pPr>
              <w:pStyle w:val="TableText"/>
              <w:rPr>
                <w:iCs/>
                <w:lang w:val="en-US"/>
              </w:rPr>
            </w:pPr>
            <w:r w:rsidRPr="00062C68">
              <w:rPr>
                <w:iCs/>
                <w:lang w:val="en-US"/>
              </w:rPr>
              <w:t>Untreated Relapse</w:t>
            </w:r>
          </w:p>
          <w:p w14:paraId="61954197" w14:textId="77777777" w:rsidR="00DD69AF" w:rsidRPr="00062C68" w:rsidRDefault="00DD69AF" w:rsidP="003B68D0">
            <w:pPr>
              <w:pStyle w:val="TableText"/>
              <w:rPr>
                <w:iCs/>
                <w:color w:val="93C571" w:themeColor="accent6" w:themeTint="BF"/>
                <w:lang w:val="en-US"/>
              </w:rPr>
            </w:pPr>
            <w:r w:rsidRPr="00062C68">
              <w:rPr>
                <w:iCs/>
                <w:lang w:val="en-US"/>
              </w:rPr>
              <w:t>Other</w:t>
            </w:r>
          </w:p>
        </w:tc>
        <w:tc>
          <w:tcPr>
            <w:tcW w:w="2381" w:type="dxa"/>
          </w:tcPr>
          <w:p w14:paraId="36021D64" w14:textId="77777777" w:rsidR="00DD69AF" w:rsidRPr="00062C68" w:rsidRDefault="00DD69AF" w:rsidP="003B68D0">
            <w:pPr>
              <w:pStyle w:val="TableText"/>
              <w:rPr>
                <w:iCs/>
              </w:rPr>
            </w:pPr>
            <w:r w:rsidRPr="00062C68">
              <w:rPr>
                <w:iCs/>
                <w:lang w:val="en-US"/>
              </w:rPr>
              <w:t>65 (43.0%)</w:t>
            </w:r>
          </w:p>
          <w:p w14:paraId="0A2E4F83" w14:textId="77777777" w:rsidR="00DD69AF" w:rsidRPr="00062C68" w:rsidRDefault="00DD69AF" w:rsidP="003B68D0">
            <w:pPr>
              <w:pStyle w:val="TableText"/>
              <w:rPr>
                <w:iCs/>
              </w:rPr>
            </w:pPr>
            <w:r w:rsidRPr="00062C68">
              <w:rPr>
                <w:iCs/>
                <w:lang w:val="en-US"/>
              </w:rPr>
              <w:t>50 (33.1%)</w:t>
            </w:r>
          </w:p>
          <w:p w14:paraId="2DAD0153" w14:textId="77777777" w:rsidR="00DD69AF" w:rsidRPr="00062C68" w:rsidRDefault="00DD69AF" w:rsidP="003B68D0">
            <w:pPr>
              <w:pStyle w:val="TableText"/>
              <w:rPr>
                <w:iCs/>
                <w:color w:val="93C571" w:themeColor="accent6" w:themeTint="BF"/>
                <w:lang w:val="en-US"/>
              </w:rPr>
            </w:pPr>
            <w:r w:rsidRPr="00062C68">
              <w:rPr>
                <w:iCs/>
                <w:lang w:val="en-US"/>
              </w:rPr>
              <w:t>36 (23.8%)</w:t>
            </w:r>
          </w:p>
        </w:tc>
        <w:tc>
          <w:tcPr>
            <w:tcW w:w="2082" w:type="dxa"/>
          </w:tcPr>
          <w:p w14:paraId="6118917C" w14:textId="77777777" w:rsidR="00DD69AF" w:rsidRPr="00062C68" w:rsidRDefault="00DD69AF" w:rsidP="003B68D0">
            <w:pPr>
              <w:pStyle w:val="TableText"/>
              <w:rPr>
                <w:iCs/>
              </w:rPr>
            </w:pPr>
            <w:r w:rsidRPr="00062C68">
              <w:rPr>
                <w:iCs/>
              </w:rPr>
              <w:t>64 (41.8%)</w:t>
            </w:r>
          </w:p>
          <w:p w14:paraId="06923511" w14:textId="77777777" w:rsidR="00DD69AF" w:rsidRPr="00062C68" w:rsidRDefault="00DD69AF" w:rsidP="003B68D0">
            <w:pPr>
              <w:pStyle w:val="TableText"/>
              <w:rPr>
                <w:iCs/>
              </w:rPr>
            </w:pPr>
            <w:r w:rsidRPr="00062C68">
              <w:rPr>
                <w:iCs/>
                <w:lang w:val="en-US"/>
              </w:rPr>
              <w:t>61 (39.9%)</w:t>
            </w:r>
          </w:p>
          <w:p w14:paraId="320A79AF" w14:textId="77777777" w:rsidR="00DD69AF" w:rsidRPr="00062C68" w:rsidRDefault="00DD69AF" w:rsidP="003B68D0">
            <w:pPr>
              <w:pStyle w:val="TableText"/>
              <w:rPr>
                <w:iCs/>
                <w:color w:val="93C571" w:themeColor="accent6" w:themeTint="BF"/>
                <w:lang w:val="en-US"/>
              </w:rPr>
            </w:pPr>
            <w:r w:rsidRPr="00062C68">
              <w:rPr>
                <w:iCs/>
                <w:lang w:val="en-US"/>
              </w:rPr>
              <w:t>28 (18.8%)</w:t>
            </w:r>
          </w:p>
        </w:tc>
      </w:tr>
      <w:tr w:rsidR="00DD69AF" w:rsidRPr="008F6C08" w14:paraId="06360603" w14:textId="77777777" w:rsidTr="00FF3488">
        <w:trPr>
          <w:trHeight w:val="20"/>
        </w:trPr>
        <w:tc>
          <w:tcPr>
            <w:tcW w:w="1657" w:type="dxa"/>
          </w:tcPr>
          <w:p w14:paraId="1113632B" w14:textId="08E7BD77" w:rsidR="00DD69AF" w:rsidRPr="00062C68" w:rsidRDefault="00DD69AF" w:rsidP="003B68D0">
            <w:pPr>
              <w:pStyle w:val="TableText"/>
              <w:rPr>
                <w:lang w:val="en-US"/>
              </w:rPr>
            </w:pPr>
            <w:r w:rsidRPr="00062C68">
              <w:rPr>
                <w:lang w:val="en-US"/>
              </w:rPr>
              <w:t>Prior therapy</w:t>
            </w:r>
            <w:r w:rsidR="00B004E2" w:rsidRPr="00062C68">
              <w:rPr>
                <w:lang w:val="en-US"/>
              </w:rPr>
              <w:t xml:space="preserve"> </w:t>
            </w:r>
          </w:p>
        </w:tc>
        <w:tc>
          <w:tcPr>
            <w:tcW w:w="2659" w:type="dxa"/>
          </w:tcPr>
          <w:p w14:paraId="2FD01402" w14:textId="77777777" w:rsidR="00DD69AF" w:rsidRPr="00062C68" w:rsidRDefault="00DD69AF" w:rsidP="003B68D0">
            <w:pPr>
              <w:pStyle w:val="TableText"/>
              <w:rPr>
                <w:iCs/>
                <w:lang w:val="en-US"/>
              </w:rPr>
            </w:pPr>
            <w:r w:rsidRPr="00062C68">
              <w:rPr>
                <w:iCs/>
                <w:lang w:val="en-US"/>
              </w:rPr>
              <w:t>Median lines of therapy</w:t>
            </w:r>
          </w:p>
          <w:p w14:paraId="5C9C4AB8" w14:textId="04F9DDBB" w:rsidR="00DD69AF" w:rsidRPr="00062C68" w:rsidRDefault="00DD69AF" w:rsidP="003B68D0">
            <w:pPr>
              <w:pStyle w:val="TableText"/>
              <w:rPr>
                <w:iCs/>
                <w:lang w:val="en-US"/>
              </w:rPr>
            </w:pPr>
            <w:r w:rsidRPr="00062C68">
              <w:rPr>
                <w:iCs/>
                <w:lang w:val="en-US"/>
              </w:rPr>
              <w:t xml:space="preserve">Prior </w:t>
            </w:r>
            <w:proofErr w:type="gramStart"/>
            <w:r w:rsidRPr="00062C68">
              <w:rPr>
                <w:iCs/>
                <w:lang w:val="en-US"/>
              </w:rPr>
              <w:t>regimen ,</w:t>
            </w:r>
            <w:proofErr w:type="gramEnd"/>
            <w:r w:rsidRPr="00062C68">
              <w:rPr>
                <w:iCs/>
                <w:lang w:val="en-US"/>
              </w:rPr>
              <w:t xml:space="preserve"> medians</w:t>
            </w:r>
          </w:p>
        </w:tc>
        <w:tc>
          <w:tcPr>
            <w:tcW w:w="2381" w:type="dxa"/>
          </w:tcPr>
          <w:p w14:paraId="72EB654F" w14:textId="77777777" w:rsidR="00DD69AF" w:rsidRPr="00062C68" w:rsidRDefault="00DD69AF" w:rsidP="003B68D0">
            <w:pPr>
              <w:pStyle w:val="TableText"/>
              <w:rPr>
                <w:iCs/>
                <w:lang w:val="en-US"/>
              </w:rPr>
            </w:pPr>
            <w:r w:rsidRPr="00062C68">
              <w:rPr>
                <w:iCs/>
                <w:lang w:val="en-US"/>
              </w:rPr>
              <w:t>2</w:t>
            </w:r>
          </w:p>
          <w:p w14:paraId="4B9A7A30" w14:textId="77777777" w:rsidR="00DD69AF" w:rsidRPr="00062C68" w:rsidRDefault="00DD69AF" w:rsidP="003B68D0">
            <w:pPr>
              <w:pStyle w:val="TableText"/>
              <w:rPr>
                <w:iCs/>
                <w:lang w:val="en-US"/>
              </w:rPr>
            </w:pPr>
            <w:r w:rsidRPr="00062C68">
              <w:rPr>
                <w:iCs/>
                <w:lang w:val="en-US"/>
              </w:rPr>
              <w:t>2</w:t>
            </w:r>
          </w:p>
        </w:tc>
        <w:tc>
          <w:tcPr>
            <w:tcW w:w="2082" w:type="dxa"/>
          </w:tcPr>
          <w:p w14:paraId="004E7243" w14:textId="77777777" w:rsidR="00DD69AF" w:rsidRPr="00062C68" w:rsidRDefault="00DD69AF" w:rsidP="003B68D0">
            <w:pPr>
              <w:pStyle w:val="TableText"/>
              <w:rPr>
                <w:iCs/>
              </w:rPr>
            </w:pPr>
            <w:r w:rsidRPr="00062C68">
              <w:rPr>
                <w:iCs/>
              </w:rPr>
              <w:t>3</w:t>
            </w:r>
          </w:p>
          <w:p w14:paraId="5C821A41" w14:textId="77777777" w:rsidR="00DD69AF" w:rsidRPr="00062C68" w:rsidRDefault="00DD69AF" w:rsidP="003B68D0">
            <w:pPr>
              <w:pStyle w:val="TableText"/>
              <w:rPr>
                <w:iCs/>
                <w:color w:val="93C571" w:themeColor="accent6" w:themeTint="BF"/>
              </w:rPr>
            </w:pPr>
            <w:r w:rsidRPr="00062C68">
              <w:rPr>
                <w:iCs/>
              </w:rPr>
              <w:t>3</w:t>
            </w:r>
          </w:p>
        </w:tc>
      </w:tr>
    </w:tbl>
    <w:p w14:paraId="7B30ECD8" w14:textId="2F332939" w:rsidR="00DD69AF" w:rsidRPr="000C30CD" w:rsidRDefault="00DD69AF" w:rsidP="000C30CD">
      <w:r w:rsidRPr="000C30CD">
        <w:t xml:space="preserve">Most (94%) of the pembrolizumab arm and 87% of the </w:t>
      </w:r>
      <w:r w:rsidR="009A599D" w:rsidRPr="000C30CD">
        <w:t>brentuximab vedotin</w:t>
      </w:r>
      <w:r w:rsidRPr="000C30CD">
        <w:t xml:space="preserve"> arm expressed PDL1 ≥ 1%. Most had no baseline bone marrow involvement (around 94%), had no baseline B </w:t>
      </w:r>
      <w:r w:rsidRPr="000C30CD">
        <w:lastRenderedPageBreak/>
        <w:t xml:space="preserve">symptoms (around 74%), had no bulky disease (around 80%), had no prior radiation (61%) and no prior use of </w:t>
      </w:r>
      <w:r w:rsidR="009A599D" w:rsidRPr="000C30CD">
        <w:t>brentuximab vedotin</w:t>
      </w:r>
      <w:r w:rsidRPr="000C30CD">
        <w:t xml:space="preserve"> (95%).</w:t>
      </w:r>
    </w:p>
    <w:p w14:paraId="0F0C30F0" w14:textId="76FF1262" w:rsidR="00DD69AF" w:rsidRDefault="00DD69AF" w:rsidP="00062C68">
      <w:pPr>
        <w:pStyle w:val="Heading6"/>
        <w:rPr>
          <w:lang w:val="en-US"/>
        </w:rPr>
      </w:pPr>
      <w:r>
        <w:rPr>
          <w:lang w:val="en-US"/>
        </w:rPr>
        <w:t xml:space="preserve">Efficacy </w:t>
      </w:r>
      <w:r w:rsidR="00477AF2">
        <w:rPr>
          <w:lang w:val="en-US"/>
        </w:rPr>
        <w:t>r</w:t>
      </w:r>
      <w:r>
        <w:rPr>
          <w:lang w:val="en-US"/>
        </w:rPr>
        <w:t>esults</w:t>
      </w:r>
    </w:p>
    <w:p w14:paraId="3058E9DF" w14:textId="5BDE4C5F" w:rsidR="005B6BF9" w:rsidRDefault="00477AF2" w:rsidP="005B6BF9">
      <w:pPr>
        <w:rPr>
          <w:lang w:val="en-US"/>
        </w:rPr>
      </w:pPr>
      <w:r>
        <w:rPr>
          <w:lang w:val="en-US"/>
        </w:rPr>
        <w:t xml:space="preserve">The </w:t>
      </w:r>
      <w:r w:rsidR="005B6BF9">
        <w:rPr>
          <w:lang w:val="en-US"/>
        </w:rPr>
        <w:t xml:space="preserve">KEYNOTE 204 trial efficacy results are shown in </w:t>
      </w:r>
      <w:r w:rsidR="005B6BF9">
        <w:rPr>
          <w:lang w:val="en-US"/>
        </w:rPr>
        <w:fldChar w:fldCharType="begin"/>
      </w:r>
      <w:r w:rsidR="005B6BF9">
        <w:rPr>
          <w:lang w:val="en-US"/>
        </w:rPr>
        <w:instrText xml:space="preserve"> REF _Ref133581088 \h </w:instrText>
      </w:r>
      <w:r w:rsidR="005B6BF9">
        <w:rPr>
          <w:lang w:val="en-US"/>
        </w:rPr>
      </w:r>
      <w:r w:rsidR="005B6BF9">
        <w:rPr>
          <w:lang w:val="en-US"/>
        </w:rPr>
        <w:fldChar w:fldCharType="separate"/>
      </w:r>
      <w:r w:rsidR="005605FC">
        <w:t xml:space="preserve">Table </w:t>
      </w:r>
      <w:r w:rsidR="005605FC">
        <w:rPr>
          <w:noProof/>
        </w:rPr>
        <w:t>6</w:t>
      </w:r>
      <w:r w:rsidR="005B6BF9">
        <w:rPr>
          <w:lang w:val="en-US"/>
        </w:rPr>
        <w:fldChar w:fldCharType="end"/>
      </w:r>
      <w:r w:rsidR="005B6BF9">
        <w:rPr>
          <w:lang w:val="en-US"/>
        </w:rPr>
        <w:t>.</w:t>
      </w:r>
    </w:p>
    <w:p w14:paraId="38667829" w14:textId="32712D84" w:rsidR="005B6BF9" w:rsidRPr="005B6BF9" w:rsidRDefault="005B6BF9" w:rsidP="005B6BF9">
      <w:pPr>
        <w:pStyle w:val="TableTitle"/>
        <w:rPr>
          <w:lang w:val="en-US"/>
        </w:rPr>
      </w:pPr>
      <w:bookmarkStart w:id="55" w:name="_Ref133581088"/>
      <w:r>
        <w:t xml:space="preserve">Table </w:t>
      </w:r>
      <w:r>
        <w:fldChar w:fldCharType="begin"/>
      </w:r>
      <w:r>
        <w:instrText>SEQ Table \* ARABIC</w:instrText>
      </w:r>
      <w:r>
        <w:fldChar w:fldCharType="separate"/>
      </w:r>
      <w:r w:rsidR="00A463D1">
        <w:rPr>
          <w:noProof/>
        </w:rPr>
        <w:t>6</w:t>
      </w:r>
      <w:r>
        <w:fldChar w:fldCharType="end"/>
      </w:r>
      <w:bookmarkEnd w:id="55"/>
      <w:r>
        <w:t xml:space="preserve">: KEYNOTE 204 trial </w:t>
      </w:r>
      <w:r w:rsidR="00477AF2">
        <w:t>E</w:t>
      </w:r>
      <w:r>
        <w:t>fficacy results</w:t>
      </w:r>
    </w:p>
    <w:tbl>
      <w:tblPr>
        <w:tblStyle w:val="TGABlack2023"/>
        <w:tblW w:w="0" w:type="auto"/>
        <w:tblLook w:val="04A0" w:firstRow="1" w:lastRow="0" w:firstColumn="1" w:lastColumn="0" w:noHBand="0" w:noVBand="1"/>
      </w:tblPr>
      <w:tblGrid>
        <w:gridCol w:w="3534"/>
        <w:gridCol w:w="5196"/>
      </w:tblGrid>
      <w:tr w:rsidR="00062C68" w:rsidRPr="00062C68" w14:paraId="6A4B71E8" w14:textId="77777777" w:rsidTr="00062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gridSpan w:val="2"/>
            <w:shd w:val="clear" w:color="auto" w:fill="auto"/>
          </w:tcPr>
          <w:p w14:paraId="3D8A1247" w14:textId="5E10E0DC" w:rsidR="00DD69AF" w:rsidRPr="00062C68" w:rsidRDefault="00DD69AF" w:rsidP="00826C50">
            <w:pPr>
              <w:spacing w:before="40" w:afterLines="40" w:after="96"/>
              <w:jc w:val="center"/>
              <w:rPr>
                <w:b w:val="0"/>
                <w:color w:val="auto"/>
                <w:sz w:val="20"/>
                <w:szCs w:val="20"/>
                <w:lang w:eastAsia="ja-JP"/>
              </w:rPr>
            </w:pPr>
            <w:r w:rsidRPr="00062C68">
              <w:rPr>
                <w:color w:val="auto"/>
                <w:sz w:val="20"/>
                <w:szCs w:val="20"/>
                <w:lang w:eastAsia="ja-JP"/>
              </w:rPr>
              <w:t xml:space="preserve">Overall relapsed /refractory classical Hodgkin </w:t>
            </w:r>
            <w:r w:rsidR="007D3D1C">
              <w:rPr>
                <w:color w:val="auto"/>
                <w:sz w:val="20"/>
                <w:szCs w:val="20"/>
                <w:lang w:eastAsia="ja-JP"/>
              </w:rPr>
              <w:t>lymphoma</w:t>
            </w:r>
            <w:r w:rsidRPr="00062C68">
              <w:rPr>
                <w:color w:val="auto"/>
                <w:sz w:val="20"/>
                <w:szCs w:val="20"/>
                <w:lang w:eastAsia="ja-JP"/>
              </w:rPr>
              <w:t xml:space="preserve"> – </w:t>
            </w:r>
            <w:r w:rsidR="002D22AB" w:rsidRPr="00062C68">
              <w:rPr>
                <w:color w:val="auto"/>
                <w:sz w:val="20"/>
                <w:szCs w:val="20"/>
                <w:lang w:eastAsia="ja-JP"/>
              </w:rPr>
              <w:t>KEYNOTE 204 trial</w:t>
            </w:r>
            <w:r w:rsidRPr="00062C68">
              <w:rPr>
                <w:color w:val="auto"/>
                <w:sz w:val="20"/>
                <w:szCs w:val="20"/>
                <w:lang w:eastAsia="ja-JP"/>
              </w:rPr>
              <w:t xml:space="preserve"> efficacy</w:t>
            </w:r>
          </w:p>
          <w:p w14:paraId="1C32F771" w14:textId="7E2D2703" w:rsidR="00DD69AF" w:rsidRPr="00062C68" w:rsidRDefault="00DD69AF" w:rsidP="00826C50">
            <w:pPr>
              <w:spacing w:before="40" w:afterLines="40" w:after="96"/>
              <w:jc w:val="center"/>
              <w:rPr>
                <w:color w:val="auto"/>
                <w:sz w:val="20"/>
                <w:szCs w:val="20"/>
                <w:lang w:eastAsia="ja-JP"/>
              </w:rPr>
            </w:pPr>
            <w:r w:rsidRPr="00062C68">
              <w:rPr>
                <w:color w:val="auto"/>
                <w:sz w:val="20"/>
                <w:szCs w:val="20"/>
                <w:lang w:eastAsia="ja-JP"/>
              </w:rPr>
              <w:t>(N=304)</w:t>
            </w:r>
          </w:p>
        </w:tc>
      </w:tr>
      <w:tr w:rsidR="00062C68" w:rsidRPr="00062C68" w14:paraId="04972922" w14:textId="77777777" w:rsidTr="00062C68">
        <w:tc>
          <w:tcPr>
            <w:cnfStyle w:val="001000000000" w:firstRow="0" w:lastRow="0" w:firstColumn="1" w:lastColumn="0" w:oddVBand="0" w:evenVBand="0" w:oddHBand="0" w:evenHBand="0" w:firstRowFirstColumn="0" w:firstRowLastColumn="0" w:lastRowFirstColumn="0" w:lastRowLastColumn="0"/>
            <w:tcW w:w="8730" w:type="dxa"/>
            <w:gridSpan w:val="2"/>
            <w:shd w:val="clear" w:color="auto" w:fill="auto"/>
          </w:tcPr>
          <w:p w14:paraId="6B5DB289" w14:textId="77777777" w:rsidR="00DD69AF" w:rsidRPr="00062C68" w:rsidRDefault="00DD69AF" w:rsidP="00826C50">
            <w:pPr>
              <w:pStyle w:val="TableText"/>
              <w:spacing w:before="40" w:afterLines="40" w:after="96"/>
              <w:jc w:val="center"/>
              <w:rPr>
                <w:color w:val="auto"/>
                <w:szCs w:val="20"/>
                <w:vertAlign w:val="superscript"/>
                <w:lang w:eastAsia="ja-JP"/>
              </w:rPr>
            </w:pPr>
            <w:r w:rsidRPr="00062C68">
              <w:rPr>
                <w:color w:val="auto"/>
                <w:szCs w:val="20"/>
                <w:lang w:eastAsia="ja-JP"/>
              </w:rPr>
              <w:t>PFS (BICR, IWG response criteria) [</w:t>
            </w:r>
            <w:proofErr w:type="spellStart"/>
            <w:r w:rsidRPr="00062C68">
              <w:rPr>
                <w:color w:val="auto"/>
                <w:szCs w:val="20"/>
                <w:lang w:eastAsia="ja-JP"/>
              </w:rPr>
              <w:t>Cheson</w:t>
            </w:r>
            <w:proofErr w:type="spellEnd"/>
            <w:r w:rsidRPr="00062C68">
              <w:rPr>
                <w:color w:val="auto"/>
                <w:szCs w:val="20"/>
                <w:lang w:eastAsia="ja-JP"/>
              </w:rPr>
              <w:t>, 2007]</w:t>
            </w:r>
          </w:p>
        </w:tc>
      </w:tr>
      <w:tr w:rsidR="00062C68" w:rsidRPr="00062C68" w14:paraId="7DC414EE" w14:textId="77777777" w:rsidTr="00062C68">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14:paraId="3611BE77" w14:textId="77777777" w:rsidR="00DD69AF" w:rsidRPr="00062C68" w:rsidRDefault="00DD69AF" w:rsidP="00826C50">
            <w:pPr>
              <w:pStyle w:val="TableText"/>
              <w:spacing w:before="40" w:afterLines="40" w:after="96"/>
              <w:rPr>
                <w:color w:val="auto"/>
                <w:szCs w:val="20"/>
                <w:vertAlign w:val="superscript"/>
                <w:lang w:eastAsia="ja-JP"/>
              </w:rPr>
            </w:pPr>
            <w:r w:rsidRPr="00062C68">
              <w:rPr>
                <w:color w:val="auto"/>
                <w:szCs w:val="20"/>
                <w:lang w:eastAsia="ja-JP"/>
              </w:rPr>
              <w:t xml:space="preserve">Median PFS, months (95% </w:t>
            </w:r>
            <w:proofErr w:type="gramStart"/>
            <w:r w:rsidRPr="00062C68">
              <w:rPr>
                <w:color w:val="auto"/>
                <w:szCs w:val="20"/>
                <w:lang w:eastAsia="ja-JP"/>
              </w:rPr>
              <w:t>CI)</w:t>
            </w:r>
            <w:r w:rsidRPr="00062C68">
              <w:rPr>
                <w:color w:val="auto"/>
                <w:szCs w:val="20"/>
                <w:vertAlign w:val="superscript"/>
                <w:lang w:eastAsia="ja-JP"/>
              </w:rPr>
              <w:t>*</w:t>
            </w:r>
            <w:proofErr w:type="gramEnd"/>
          </w:p>
        </w:tc>
        <w:tc>
          <w:tcPr>
            <w:tcW w:w="5196" w:type="dxa"/>
            <w:shd w:val="clear" w:color="auto" w:fill="auto"/>
          </w:tcPr>
          <w:p w14:paraId="61C4AF26"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HR: 0.65 (95% CI: 0.48, 0.88; p=0.00271)</w:t>
            </w:r>
          </w:p>
          <w:p w14:paraId="51802F6D"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Pembrolizumab arm: 13.2 (10.9, 19.4)</w:t>
            </w:r>
          </w:p>
          <w:p w14:paraId="3DA854A5"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Brentuximab arm: 8.3 (5.7, 8.8)</w:t>
            </w:r>
          </w:p>
        </w:tc>
      </w:tr>
      <w:tr w:rsidR="00062C68" w:rsidRPr="00062C68" w14:paraId="7A1A0ACC" w14:textId="77777777" w:rsidTr="00062C68">
        <w:tc>
          <w:tcPr>
            <w:cnfStyle w:val="001000000000" w:firstRow="0" w:lastRow="0" w:firstColumn="1" w:lastColumn="0" w:oddVBand="0" w:evenVBand="0" w:oddHBand="0" w:evenHBand="0" w:firstRowFirstColumn="0" w:firstRowLastColumn="0" w:lastRowFirstColumn="0" w:lastRowLastColumn="0"/>
            <w:tcW w:w="8730" w:type="dxa"/>
            <w:gridSpan w:val="2"/>
            <w:shd w:val="clear" w:color="auto" w:fill="auto"/>
          </w:tcPr>
          <w:p w14:paraId="6663EA3E" w14:textId="77777777" w:rsidR="00DD69AF" w:rsidRPr="00062C68" w:rsidRDefault="00DD69AF" w:rsidP="00826C50">
            <w:pPr>
              <w:pStyle w:val="TableText"/>
              <w:spacing w:before="40" w:afterLines="40" w:after="96"/>
              <w:jc w:val="center"/>
              <w:rPr>
                <w:color w:val="auto"/>
                <w:szCs w:val="20"/>
                <w:lang w:eastAsia="ja-JP"/>
              </w:rPr>
            </w:pPr>
            <w:r w:rsidRPr="00062C68">
              <w:rPr>
                <w:color w:val="auto"/>
                <w:szCs w:val="20"/>
                <w:lang w:eastAsia="ja-JP"/>
              </w:rPr>
              <w:t xml:space="preserve">PFS-secondary, (BICR, IWG response </w:t>
            </w:r>
            <w:proofErr w:type="gramStart"/>
            <w:r w:rsidRPr="00062C68">
              <w:rPr>
                <w:color w:val="auto"/>
                <w:szCs w:val="20"/>
                <w:lang w:eastAsia="ja-JP"/>
              </w:rPr>
              <w:t>criteria)[</w:t>
            </w:r>
            <w:proofErr w:type="spellStart"/>
            <w:proofErr w:type="gramEnd"/>
            <w:r w:rsidRPr="00062C68">
              <w:rPr>
                <w:color w:val="auto"/>
                <w:szCs w:val="20"/>
                <w:lang w:eastAsia="ja-JP"/>
              </w:rPr>
              <w:t>Cheson</w:t>
            </w:r>
            <w:proofErr w:type="spellEnd"/>
            <w:r w:rsidRPr="00062C68">
              <w:rPr>
                <w:color w:val="auto"/>
                <w:szCs w:val="20"/>
                <w:lang w:eastAsia="ja-JP"/>
              </w:rPr>
              <w:t xml:space="preserve"> 2007]</w:t>
            </w:r>
          </w:p>
          <w:p w14:paraId="221E2910" w14:textId="77777777" w:rsidR="00DD69AF" w:rsidRPr="00062C68" w:rsidRDefault="00DD69AF" w:rsidP="00826C50">
            <w:pPr>
              <w:pStyle w:val="TableText"/>
              <w:spacing w:before="40" w:afterLines="40" w:after="96"/>
              <w:jc w:val="center"/>
              <w:rPr>
                <w:color w:val="auto"/>
                <w:szCs w:val="20"/>
                <w:lang w:eastAsia="ja-JP"/>
              </w:rPr>
            </w:pPr>
            <w:r w:rsidRPr="00062C68">
              <w:rPr>
                <w:color w:val="auto"/>
                <w:szCs w:val="20"/>
                <w:lang w:eastAsia="ja-JP"/>
              </w:rPr>
              <w:t>(</w:t>
            </w:r>
            <w:proofErr w:type="gramStart"/>
            <w:r w:rsidRPr="00062C68">
              <w:rPr>
                <w:color w:val="auto"/>
                <w:szCs w:val="20"/>
                <w:lang w:eastAsia="ja-JP"/>
              </w:rPr>
              <w:t>no</w:t>
            </w:r>
            <w:proofErr w:type="gramEnd"/>
            <w:r w:rsidRPr="00062C68">
              <w:rPr>
                <w:color w:val="auto"/>
                <w:szCs w:val="20"/>
                <w:lang w:eastAsia="ja-JP"/>
              </w:rPr>
              <w:t xml:space="preserve"> alfa spent at 1A2)</w:t>
            </w:r>
          </w:p>
        </w:tc>
      </w:tr>
      <w:tr w:rsidR="00062C68" w:rsidRPr="00062C68" w14:paraId="5C78BB7A" w14:textId="77777777" w:rsidTr="00062C68">
        <w:trPr>
          <w:trHeight w:val="334"/>
        </w:trPr>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14:paraId="541D38F5" w14:textId="77777777" w:rsidR="00DD69AF" w:rsidRPr="00062C68" w:rsidRDefault="00DD69AF" w:rsidP="00826C50">
            <w:pPr>
              <w:pStyle w:val="TableText"/>
              <w:spacing w:before="40" w:afterLines="40" w:after="96"/>
              <w:rPr>
                <w:color w:val="auto"/>
                <w:szCs w:val="20"/>
                <w:lang w:eastAsia="ja-JP"/>
              </w:rPr>
            </w:pPr>
            <w:r w:rsidRPr="00062C68">
              <w:rPr>
                <w:color w:val="auto"/>
                <w:szCs w:val="20"/>
                <w:lang w:eastAsia="ja-JP"/>
              </w:rPr>
              <w:t xml:space="preserve">Median PFS, months (95% </w:t>
            </w:r>
            <w:proofErr w:type="gramStart"/>
            <w:r w:rsidRPr="00062C68">
              <w:rPr>
                <w:color w:val="auto"/>
                <w:szCs w:val="20"/>
                <w:lang w:eastAsia="ja-JP"/>
              </w:rPr>
              <w:t>CI)</w:t>
            </w:r>
            <w:r w:rsidRPr="00062C68">
              <w:rPr>
                <w:color w:val="auto"/>
                <w:szCs w:val="20"/>
                <w:vertAlign w:val="superscript"/>
                <w:lang w:eastAsia="ja-JP"/>
              </w:rPr>
              <w:t>*</w:t>
            </w:r>
            <w:proofErr w:type="gramEnd"/>
          </w:p>
        </w:tc>
        <w:tc>
          <w:tcPr>
            <w:tcW w:w="5196" w:type="dxa"/>
            <w:shd w:val="clear" w:color="auto" w:fill="auto"/>
          </w:tcPr>
          <w:p w14:paraId="001EEACC"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HR 0.62 (95% CI: 0.46, 0.85)</w:t>
            </w:r>
          </w:p>
          <w:p w14:paraId="3D2234C7"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Pembrolizumab arm: 12.6 (8.7, 19.2)</w:t>
            </w:r>
          </w:p>
          <w:p w14:paraId="644F97A0"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Brentuximab arm: 8.2 (5.6, 8.6)</w:t>
            </w:r>
          </w:p>
        </w:tc>
      </w:tr>
      <w:tr w:rsidR="00062C68" w:rsidRPr="00062C68" w14:paraId="56FA5B8C" w14:textId="77777777" w:rsidTr="00062C68">
        <w:tc>
          <w:tcPr>
            <w:cnfStyle w:val="001000000000" w:firstRow="0" w:lastRow="0" w:firstColumn="1" w:lastColumn="0" w:oddVBand="0" w:evenVBand="0" w:oddHBand="0" w:evenHBand="0" w:firstRowFirstColumn="0" w:firstRowLastColumn="0" w:lastRowFirstColumn="0" w:lastRowLastColumn="0"/>
            <w:tcW w:w="8730" w:type="dxa"/>
            <w:gridSpan w:val="2"/>
            <w:shd w:val="clear" w:color="auto" w:fill="auto"/>
          </w:tcPr>
          <w:p w14:paraId="1EBD15CF" w14:textId="77777777" w:rsidR="00DD69AF" w:rsidRPr="00062C68" w:rsidRDefault="00DD69AF" w:rsidP="00826C50">
            <w:pPr>
              <w:pStyle w:val="TableText"/>
              <w:spacing w:before="40" w:afterLines="40" w:after="96"/>
              <w:jc w:val="center"/>
              <w:rPr>
                <w:color w:val="auto"/>
                <w:szCs w:val="20"/>
                <w:lang w:eastAsia="ja-JP"/>
              </w:rPr>
            </w:pPr>
            <w:r w:rsidRPr="00062C68">
              <w:rPr>
                <w:color w:val="auto"/>
                <w:szCs w:val="20"/>
                <w:lang w:eastAsia="ja-JP"/>
              </w:rPr>
              <w:t>ORR, CR + PR, CRR and DOR efficacy response (BICR, IWG response criteria)</w:t>
            </w:r>
          </w:p>
        </w:tc>
      </w:tr>
      <w:tr w:rsidR="00062C68" w:rsidRPr="00062C68" w14:paraId="46A1282A" w14:textId="77777777" w:rsidTr="00062C68">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14:paraId="5D96F049" w14:textId="77777777" w:rsidR="00DD69AF" w:rsidRPr="00062C68" w:rsidRDefault="00DD69AF" w:rsidP="00826C50">
            <w:pPr>
              <w:pStyle w:val="TableText"/>
              <w:spacing w:before="40" w:afterLines="40" w:after="96"/>
              <w:rPr>
                <w:color w:val="auto"/>
                <w:szCs w:val="20"/>
                <w:lang w:eastAsia="ja-JP"/>
              </w:rPr>
            </w:pPr>
            <w:r w:rsidRPr="00062C68">
              <w:rPr>
                <w:color w:val="auto"/>
                <w:szCs w:val="20"/>
                <w:lang w:eastAsia="ja-JP"/>
              </w:rPr>
              <w:t>Participants with response (CR + PR)</w:t>
            </w:r>
          </w:p>
        </w:tc>
        <w:tc>
          <w:tcPr>
            <w:tcW w:w="5196" w:type="dxa"/>
            <w:shd w:val="clear" w:color="auto" w:fill="auto"/>
          </w:tcPr>
          <w:p w14:paraId="028D05FA"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Pembrolizumab arm: 37 (24.5%) and 62 (41.1%)</w:t>
            </w:r>
          </w:p>
          <w:p w14:paraId="772AF90C" w14:textId="147303DC"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Brentuximab arm:</w:t>
            </w:r>
            <w:r w:rsidR="00B004E2" w:rsidRPr="00062C68">
              <w:rPr>
                <w:color w:val="auto"/>
                <w:szCs w:val="20"/>
                <w:lang w:eastAsia="ja-JP"/>
              </w:rPr>
              <w:t xml:space="preserve"> </w:t>
            </w:r>
            <w:r w:rsidRPr="00062C68">
              <w:rPr>
                <w:color w:val="auto"/>
                <w:szCs w:val="20"/>
                <w:lang w:eastAsia="ja-JP"/>
              </w:rPr>
              <w:t xml:space="preserve">37 (24.2%) and 46 (30.1%) </w:t>
            </w:r>
          </w:p>
        </w:tc>
      </w:tr>
      <w:tr w:rsidR="00062C68" w:rsidRPr="00062C68" w14:paraId="66C3EBAF" w14:textId="77777777" w:rsidTr="00062C68">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14:paraId="2F8EA5E8" w14:textId="77777777" w:rsidR="00DD69AF" w:rsidRPr="00062C68" w:rsidRDefault="00DD69AF" w:rsidP="00826C50">
            <w:pPr>
              <w:pStyle w:val="TableText"/>
              <w:spacing w:before="40" w:afterLines="40" w:after="96"/>
              <w:rPr>
                <w:color w:val="auto"/>
                <w:szCs w:val="20"/>
                <w:vertAlign w:val="superscript"/>
                <w:lang w:eastAsia="ja-JP"/>
              </w:rPr>
            </w:pPr>
            <w:r w:rsidRPr="00062C68">
              <w:rPr>
                <w:color w:val="auto"/>
                <w:szCs w:val="20"/>
                <w:lang w:eastAsia="ja-JP"/>
              </w:rPr>
              <w:t>ORR % (95% CI)</w:t>
            </w:r>
          </w:p>
        </w:tc>
        <w:tc>
          <w:tcPr>
            <w:tcW w:w="5196" w:type="dxa"/>
            <w:shd w:val="clear" w:color="auto" w:fill="auto"/>
          </w:tcPr>
          <w:p w14:paraId="0E7F762C"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Pembrolizumab arm: 65.6% (57.4, 73.1)</w:t>
            </w:r>
          </w:p>
          <w:p w14:paraId="4AE53500"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Brentuximab arm: 54.2% (46.0, 62.3)</w:t>
            </w:r>
          </w:p>
          <w:p w14:paraId="562F119F"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 Difference: 11.3 (95% CI: 0.2, 22.1; p=0.023, p threshold 0.006)</w:t>
            </w:r>
          </w:p>
        </w:tc>
      </w:tr>
      <w:tr w:rsidR="00062C68" w:rsidRPr="00062C68" w14:paraId="4AAD8C8E" w14:textId="77777777" w:rsidTr="00062C68">
        <w:trPr>
          <w:trHeight w:val="334"/>
        </w:trPr>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14:paraId="05357A23" w14:textId="77777777" w:rsidR="00DD69AF" w:rsidRPr="00062C68" w:rsidRDefault="00DD69AF" w:rsidP="00826C50">
            <w:pPr>
              <w:pStyle w:val="TableText"/>
              <w:spacing w:before="40" w:afterLines="40" w:after="96"/>
              <w:rPr>
                <w:color w:val="auto"/>
                <w:szCs w:val="20"/>
                <w:lang w:eastAsia="ja-JP"/>
              </w:rPr>
            </w:pPr>
            <w:r w:rsidRPr="00062C68">
              <w:rPr>
                <w:color w:val="auto"/>
                <w:szCs w:val="20"/>
                <w:lang w:eastAsia="ja-JP"/>
              </w:rPr>
              <w:t>CRR (95% CI)</w:t>
            </w:r>
          </w:p>
        </w:tc>
        <w:tc>
          <w:tcPr>
            <w:tcW w:w="5196" w:type="dxa"/>
            <w:shd w:val="clear" w:color="auto" w:fill="auto"/>
          </w:tcPr>
          <w:p w14:paraId="6F9B30DB"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Pembrolizumab arm: 24.5% (17.9%, 32.2%)</w:t>
            </w:r>
          </w:p>
          <w:p w14:paraId="2FAE3ED7"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Brentuximab arm: 24.3% (17.6%, 31.8%)</w:t>
            </w:r>
          </w:p>
        </w:tc>
      </w:tr>
      <w:tr w:rsidR="00062C68" w:rsidRPr="00062C68" w14:paraId="27F2B90E" w14:textId="77777777" w:rsidTr="00062C68">
        <w:trPr>
          <w:trHeight w:val="334"/>
        </w:trPr>
        <w:tc>
          <w:tcPr>
            <w:cnfStyle w:val="001000000000" w:firstRow="0" w:lastRow="0" w:firstColumn="1" w:lastColumn="0" w:oddVBand="0" w:evenVBand="0" w:oddHBand="0" w:evenHBand="0" w:firstRowFirstColumn="0" w:firstRowLastColumn="0" w:lastRowFirstColumn="0" w:lastRowLastColumn="0"/>
            <w:tcW w:w="3534" w:type="dxa"/>
            <w:shd w:val="clear" w:color="auto" w:fill="auto"/>
          </w:tcPr>
          <w:p w14:paraId="7EF6043D" w14:textId="77777777" w:rsidR="00DD69AF" w:rsidRPr="00062C68" w:rsidRDefault="00DD69AF" w:rsidP="00826C50">
            <w:pPr>
              <w:pStyle w:val="TableText"/>
              <w:spacing w:before="40" w:afterLines="40" w:after="96"/>
              <w:rPr>
                <w:color w:val="auto"/>
                <w:szCs w:val="20"/>
                <w:lang w:eastAsia="ja-JP"/>
              </w:rPr>
            </w:pPr>
            <w:r w:rsidRPr="00062C68">
              <w:rPr>
                <w:color w:val="auto"/>
                <w:szCs w:val="20"/>
                <w:lang w:eastAsia="ja-JP"/>
              </w:rPr>
              <w:t>DOR, median (range)</w:t>
            </w:r>
            <w:r w:rsidRPr="00062C68">
              <w:rPr>
                <w:color w:val="auto"/>
                <w:szCs w:val="20"/>
                <w:vertAlign w:val="superscript"/>
                <w:lang w:eastAsia="ja-JP"/>
              </w:rPr>
              <w:t>*</w:t>
            </w:r>
          </w:p>
        </w:tc>
        <w:tc>
          <w:tcPr>
            <w:tcW w:w="5196" w:type="dxa"/>
            <w:shd w:val="clear" w:color="auto" w:fill="auto"/>
          </w:tcPr>
          <w:p w14:paraId="3F0DA480"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Pembrolizumab arm: 20.7 months (0+, 33.2+ months)</w:t>
            </w:r>
          </w:p>
          <w:p w14:paraId="096CA496" w14:textId="77777777" w:rsidR="00DD69AF" w:rsidRPr="00062C68" w:rsidRDefault="00DD69AF" w:rsidP="00826C50">
            <w:pPr>
              <w:pStyle w:val="TableText"/>
              <w:spacing w:before="40" w:afterLines="40" w:after="96"/>
              <w:cnfStyle w:val="000000000000" w:firstRow="0" w:lastRow="0" w:firstColumn="0" w:lastColumn="0" w:oddVBand="0" w:evenVBand="0" w:oddHBand="0" w:evenHBand="0" w:firstRowFirstColumn="0" w:firstRowLastColumn="0" w:lastRowFirstColumn="0" w:lastRowLastColumn="0"/>
              <w:rPr>
                <w:color w:val="auto"/>
                <w:szCs w:val="20"/>
                <w:lang w:eastAsia="ja-JP"/>
              </w:rPr>
            </w:pPr>
            <w:r w:rsidRPr="00062C68">
              <w:rPr>
                <w:color w:val="auto"/>
                <w:szCs w:val="20"/>
                <w:lang w:eastAsia="ja-JP"/>
              </w:rPr>
              <w:t>Brentuximab arm: 13.8 months (0+, 33.9+ months)</w:t>
            </w:r>
          </w:p>
        </w:tc>
      </w:tr>
    </w:tbl>
    <w:p w14:paraId="2DBFD87C" w14:textId="370FF0EA" w:rsidR="006920E4" w:rsidRDefault="006920E4" w:rsidP="006920E4">
      <w:pPr>
        <w:pStyle w:val="TableDescription"/>
      </w:pPr>
      <w:r>
        <w:t xml:space="preserve">* </w:t>
      </w:r>
      <w:proofErr w:type="gramStart"/>
      <w:r>
        <w:t>estimate</w:t>
      </w:r>
      <w:proofErr w:type="gramEnd"/>
      <w:r>
        <w:t xml:space="preserve"> from product-limit (Kaplan-Meier) method for censored data</w:t>
      </w:r>
    </w:p>
    <w:p w14:paraId="0B019D05" w14:textId="3AEBFACB" w:rsidR="006920E4" w:rsidRDefault="006920E4" w:rsidP="006920E4">
      <w:pPr>
        <w:pStyle w:val="TableDescription"/>
      </w:pPr>
      <w:r>
        <w:t>Abbreviations: CI = confidence interval; PFS = progression free survival, ORR = objection response rate; CR = complete response</w:t>
      </w:r>
      <w:r w:rsidR="00CC693A">
        <w:t>; CRR = complete response rate;</w:t>
      </w:r>
      <w:r>
        <w:t xml:space="preserve"> </w:t>
      </w:r>
      <w:r w:rsidR="00297BCC">
        <w:t xml:space="preserve">HR = hazard reduction; </w:t>
      </w:r>
      <w:r w:rsidR="00477AF2">
        <w:t xml:space="preserve">PFS = progression-free survival; </w:t>
      </w:r>
      <w:r>
        <w:t>PR = partial response, DOR = duration of response</w:t>
      </w:r>
      <w:r w:rsidR="00297BCC">
        <w:t>.</w:t>
      </w:r>
    </w:p>
    <w:p w14:paraId="13A43C9B" w14:textId="23838612" w:rsidR="00297BCC" w:rsidRDefault="00297BCC" w:rsidP="006920E4">
      <w:pPr>
        <w:pStyle w:val="TableDescription"/>
      </w:pPr>
      <w:r>
        <w:t xml:space="preserve">Criteria according to: </w:t>
      </w:r>
      <w:proofErr w:type="spellStart"/>
      <w:r w:rsidRPr="00297BCC">
        <w:t>Cheson</w:t>
      </w:r>
      <w:proofErr w:type="spellEnd"/>
      <w:r w:rsidRPr="00297BCC">
        <w:t xml:space="preserve"> B, </w:t>
      </w:r>
      <w:proofErr w:type="spellStart"/>
      <w:r w:rsidRPr="00297BCC">
        <w:t>Pfistner</w:t>
      </w:r>
      <w:proofErr w:type="spellEnd"/>
      <w:r w:rsidRPr="00297BCC">
        <w:t xml:space="preserve"> B, </w:t>
      </w:r>
      <w:proofErr w:type="spellStart"/>
      <w:r w:rsidRPr="00297BCC">
        <w:t>Juweid</w:t>
      </w:r>
      <w:proofErr w:type="spellEnd"/>
      <w:r w:rsidRPr="00297BCC">
        <w:t xml:space="preserve"> ME et al</w:t>
      </w:r>
      <w:r>
        <w:t>.</w:t>
      </w:r>
      <w:r w:rsidRPr="00297BCC">
        <w:t xml:space="preserve"> Revised Response Criteria for Malignant Lymphoma J Clin Oncol 2007;25(5):579-586</w:t>
      </w:r>
    </w:p>
    <w:p w14:paraId="77FF072B" w14:textId="504A0619" w:rsidR="00DD69AF" w:rsidRDefault="0062250F" w:rsidP="00DD69AF">
      <w:r w:rsidRPr="003B68D0">
        <w:fldChar w:fldCharType="begin"/>
      </w:r>
      <w:r w:rsidRPr="003B68D0">
        <w:instrText xml:space="preserve"> REF _Ref133567458 \h </w:instrText>
      </w:r>
      <w:r w:rsidR="003B68D0">
        <w:instrText xml:space="preserve"> \* MERGEFORMAT </w:instrText>
      </w:r>
      <w:r w:rsidRPr="003B68D0">
        <w:fldChar w:fldCharType="separate"/>
      </w:r>
      <w:r w:rsidR="00193461">
        <w:t xml:space="preserve">Figure </w:t>
      </w:r>
      <w:r w:rsidR="00193461">
        <w:rPr>
          <w:noProof/>
        </w:rPr>
        <w:t>3</w:t>
      </w:r>
      <w:r w:rsidRPr="003B68D0">
        <w:fldChar w:fldCharType="end"/>
      </w:r>
      <w:r w:rsidR="00DD69AF" w:rsidRPr="003B68D0">
        <w:t xml:space="preserve"> </w:t>
      </w:r>
      <w:r w:rsidRPr="003B68D0">
        <w:t xml:space="preserve">shows the </w:t>
      </w:r>
      <w:r w:rsidR="007D3D1C" w:rsidRPr="003B68D0">
        <w:t>Kaplan-M</w:t>
      </w:r>
      <w:r w:rsidR="006920E4">
        <w:t>ei</w:t>
      </w:r>
      <w:r w:rsidR="007D3D1C" w:rsidRPr="003B68D0">
        <w:t>er</w:t>
      </w:r>
      <w:r w:rsidR="00DD69AF" w:rsidRPr="003B68D0">
        <w:t xml:space="preserve"> curves</w:t>
      </w:r>
      <w:r w:rsidR="00DD69AF" w:rsidRPr="00DD69AF">
        <w:t xml:space="preserve"> for pembrolizumab and </w:t>
      </w:r>
      <w:r w:rsidR="00193461">
        <w:fldChar w:fldCharType="begin"/>
      </w:r>
      <w:r w:rsidR="00193461">
        <w:instrText xml:space="preserve"> REF _Ref133567467 \h </w:instrText>
      </w:r>
      <w:r w:rsidR="00193461">
        <w:fldChar w:fldCharType="separate"/>
      </w:r>
      <w:r w:rsidR="00193461">
        <w:t xml:space="preserve">Figure </w:t>
      </w:r>
      <w:r w:rsidR="00193461">
        <w:rPr>
          <w:noProof/>
        </w:rPr>
        <w:t>4</w:t>
      </w:r>
      <w:r w:rsidR="00193461">
        <w:fldChar w:fldCharType="end"/>
      </w:r>
      <w:r>
        <w:t xml:space="preserve"> is a </w:t>
      </w:r>
      <w:r w:rsidR="00DD69AF" w:rsidRPr="00DD69AF">
        <w:t xml:space="preserve">Forest plot depiction of </w:t>
      </w:r>
      <w:r>
        <w:t xml:space="preserve">progression-free survival </w:t>
      </w:r>
      <w:r w:rsidR="00DD69AF" w:rsidRPr="00DD69AF">
        <w:t>by subgroups.</w:t>
      </w:r>
    </w:p>
    <w:p w14:paraId="64F9FD3C" w14:textId="65B95542" w:rsidR="00235D0F" w:rsidRDefault="00235D0F" w:rsidP="003B68D0">
      <w:pPr>
        <w:pStyle w:val="TableTitle"/>
      </w:pPr>
      <w:bookmarkStart w:id="56" w:name="_Ref133567458"/>
      <w:r>
        <w:lastRenderedPageBreak/>
        <w:t xml:space="preserve">Figure </w:t>
      </w:r>
      <w:r>
        <w:fldChar w:fldCharType="begin"/>
      </w:r>
      <w:r>
        <w:instrText>SEQ Figure \* ARABIC</w:instrText>
      </w:r>
      <w:r>
        <w:fldChar w:fldCharType="separate"/>
      </w:r>
      <w:r w:rsidR="00DC1FDA">
        <w:rPr>
          <w:noProof/>
        </w:rPr>
        <w:t>3</w:t>
      </w:r>
      <w:r>
        <w:fldChar w:fldCharType="end"/>
      </w:r>
      <w:bookmarkEnd w:id="56"/>
      <w:r w:rsidR="00193461">
        <w:rPr>
          <w:noProof/>
        </w:rPr>
        <w:t>:</w:t>
      </w:r>
      <w:r>
        <w:t xml:space="preserve"> </w:t>
      </w:r>
      <w:r w:rsidR="00297BCC">
        <w:t xml:space="preserve">KEYNOTE 204 trial </w:t>
      </w:r>
      <w:r w:rsidR="007D3D1C">
        <w:t>Kaplan-Meier</w:t>
      </w:r>
      <w:r>
        <w:t xml:space="preserve"> </w:t>
      </w:r>
      <w:r w:rsidR="00193461">
        <w:t>e</w:t>
      </w:r>
      <w:r>
        <w:t xml:space="preserve">stimates of </w:t>
      </w:r>
      <w:r w:rsidR="00193461">
        <w:t>p</w:t>
      </w:r>
      <w:r>
        <w:t xml:space="preserve">rogression </w:t>
      </w:r>
      <w:r w:rsidR="00193461">
        <w:t>f</w:t>
      </w:r>
      <w:r>
        <w:t xml:space="preserve">ree </w:t>
      </w:r>
      <w:r w:rsidR="00297BCC">
        <w:t>survival</w:t>
      </w:r>
    </w:p>
    <w:p w14:paraId="5C6F802C" w14:textId="4E043D83" w:rsidR="00FB727F" w:rsidRDefault="00FB727F" w:rsidP="00FB727F">
      <w:r>
        <w:rPr>
          <w:noProof/>
          <w:lang w:val="en-GB" w:eastAsia="en-GB"/>
        </w:rPr>
        <w:drawing>
          <wp:inline distT="0" distB="0" distL="0" distR="0" wp14:anchorId="702180C4" wp14:editId="401A5F63">
            <wp:extent cx="4615891" cy="2657347"/>
            <wp:effectExtent l="0" t="0" r="0" b="0"/>
            <wp:docPr id="487" name="Picture 487" descr="This figure shows Kaplan-Meier estimates of progression free survival (BICR per IWG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This figure shows Kaplan-Meier estimates of progression free survival (BICR per IWG 2007)."/>
                    <pic:cNvPicPr/>
                  </pic:nvPicPr>
                  <pic:blipFill rotWithShape="1">
                    <a:blip r:embed="rId28"/>
                    <a:srcRect b="15276"/>
                    <a:stretch/>
                  </pic:blipFill>
                  <pic:spPr bwMode="auto">
                    <a:xfrm>
                      <a:off x="0" y="0"/>
                      <a:ext cx="4664980" cy="2685607"/>
                    </a:xfrm>
                    <a:prstGeom prst="rect">
                      <a:avLst/>
                    </a:prstGeom>
                    <a:ln>
                      <a:noFill/>
                    </a:ln>
                    <a:extLst>
                      <a:ext uri="{53640926-AAD7-44D8-BBD7-CCE9431645EC}">
                        <a14:shadowObscured xmlns:a14="http://schemas.microsoft.com/office/drawing/2010/main"/>
                      </a:ext>
                    </a:extLst>
                  </pic:spPr>
                </pic:pic>
              </a:graphicData>
            </a:graphic>
          </wp:inline>
        </w:drawing>
      </w:r>
    </w:p>
    <w:p w14:paraId="0D00E7C4" w14:textId="11B43315" w:rsidR="00297BCC" w:rsidRDefault="00297BCC" w:rsidP="00C13873">
      <w:pPr>
        <w:pStyle w:val="TableDescription"/>
      </w:pPr>
      <w:r>
        <w:t>Abbreviation: MK-3475 = pembrolizumab.</w:t>
      </w:r>
    </w:p>
    <w:p w14:paraId="13B8A45B" w14:textId="0BCE8A50" w:rsidR="00297BCC" w:rsidRDefault="00297BCC" w:rsidP="00C13873">
      <w:pPr>
        <w:pStyle w:val="TableDescription"/>
      </w:pPr>
      <w:r>
        <w:t xml:space="preserve">Blinded independent central review as per </w:t>
      </w:r>
      <w:proofErr w:type="spellStart"/>
      <w:r>
        <w:t>Cheson</w:t>
      </w:r>
      <w:proofErr w:type="spellEnd"/>
      <w:r>
        <w:t xml:space="preserve"> B, </w:t>
      </w:r>
      <w:proofErr w:type="spellStart"/>
      <w:r>
        <w:t>Pfistner</w:t>
      </w:r>
      <w:proofErr w:type="spellEnd"/>
      <w:r>
        <w:t xml:space="preserve"> B, </w:t>
      </w:r>
      <w:proofErr w:type="spellStart"/>
      <w:r>
        <w:t>Juweid</w:t>
      </w:r>
      <w:proofErr w:type="spellEnd"/>
      <w:r>
        <w:t xml:space="preserve"> ME et al Revised Response Criteria for Malignant Lymphoma </w:t>
      </w:r>
      <w:r>
        <w:rPr>
          <w:i/>
          <w:iCs/>
        </w:rPr>
        <w:t>J Clin Oncol</w:t>
      </w:r>
      <w:r>
        <w:t xml:space="preserve"> 2007;25(5):579-586.</w:t>
      </w:r>
    </w:p>
    <w:p w14:paraId="62CF6BA2" w14:textId="73C3BB6D" w:rsidR="00235D0F" w:rsidRDefault="00235D0F" w:rsidP="003B68D0">
      <w:pPr>
        <w:pStyle w:val="TableTitle"/>
      </w:pPr>
      <w:bookmarkStart w:id="57" w:name="_Ref133567467"/>
      <w:r>
        <w:t xml:space="preserve">Figure </w:t>
      </w:r>
      <w:r>
        <w:fldChar w:fldCharType="begin"/>
      </w:r>
      <w:r>
        <w:instrText>SEQ Figure \* ARABIC</w:instrText>
      </w:r>
      <w:r>
        <w:fldChar w:fldCharType="separate"/>
      </w:r>
      <w:r w:rsidR="00DC1FDA">
        <w:rPr>
          <w:noProof/>
        </w:rPr>
        <w:t>4</w:t>
      </w:r>
      <w:r>
        <w:fldChar w:fldCharType="end"/>
      </w:r>
      <w:bookmarkEnd w:id="57"/>
      <w:r w:rsidR="00193461">
        <w:rPr>
          <w:noProof/>
        </w:rPr>
        <w:t>:</w:t>
      </w:r>
      <w:r>
        <w:t xml:space="preserve"> </w:t>
      </w:r>
      <w:r w:rsidR="00297BCC">
        <w:t xml:space="preserve">KEYNOTE 204 trial </w:t>
      </w:r>
      <w:r>
        <w:t xml:space="preserve">Forest </w:t>
      </w:r>
      <w:r w:rsidR="00193461">
        <w:t>p</w:t>
      </w:r>
      <w:r>
        <w:t xml:space="preserve">lot of </w:t>
      </w:r>
      <w:r w:rsidR="00193461">
        <w:t>p</w:t>
      </w:r>
      <w:r>
        <w:t>rogression-</w:t>
      </w:r>
      <w:r w:rsidR="00193461">
        <w:t>f</w:t>
      </w:r>
      <w:r>
        <w:t xml:space="preserve">ree </w:t>
      </w:r>
      <w:r w:rsidR="00193461">
        <w:t>s</w:t>
      </w:r>
      <w:r>
        <w:t xml:space="preserve">urvival by </w:t>
      </w:r>
      <w:r w:rsidR="00193461">
        <w:t>s</w:t>
      </w:r>
      <w:r>
        <w:t>ubgroups factors</w:t>
      </w:r>
    </w:p>
    <w:p w14:paraId="408B2D74" w14:textId="68DFAAF6" w:rsidR="00FB727F" w:rsidRDefault="00FB727F" w:rsidP="003B68D0">
      <w:pPr>
        <w:pStyle w:val="TableTitle"/>
      </w:pPr>
      <w:r>
        <w:rPr>
          <w:noProof/>
          <w:lang w:val="en-GB" w:eastAsia="en-GB"/>
        </w:rPr>
        <w:drawing>
          <wp:inline distT="0" distB="0" distL="0" distR="0" wp14:anchorId="67AE7E86" wp14:editId="56718804">
            <wp:extent cx="4906222" cy="3471138"/>
            <wp:effectExtent l="0" t="0" r="8890" b="0"/>
            <wp:docPr id="488" name="Picture 488" descr="This figure shows a Forest plot of progression-free survival (BICR by IWG 2007) by subgroups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This figure shows a Forest plot of progression-free survival (BICR by IWG 2007) by subgroups factors."/>
                    <pic:cNvPicPr/>
                  </pic:nvPicPr>
                  <pic:blipFill>
                    <a:blip r:embed="rId29"/>
                    <a:stretch>
                      <a:fillRect/>
                    </a:stretch>
                  </pic:blipFill>
                  <pic:spPr>
                    <a:xfrm>
                      <a:off x="0" y="0"/>
                      <a:ext cx="4921668" cy="3482066"/>
                    </a:xfrm>
                    <a:prstGeom prst="rect">
                      <a:avLst/>
                    </a:prstGeom>
                  </pic:spPr>
                </pic:pic>
              </a:graphicData>
            </a:graphic>
          </wp:inline>
        </w:drawing>
      </w:r>
    </w:p>
    <w:p w14:paraId="6046B9F1" w14:textId="381A7638" w:rsidR="003B68D0" w:rsidRDefault="003B68D0" w:rsidP="003B68D0">
      <w:pPr>
        <w:pStyle w:val="TableDescription"/>
        <w:rPr>
          <w:rFonts w:ascii="Times New Roman" w:hAnsi="Times New Roman"/>
        </w:rPr>
      </w:pPr>
      <w:bookmarkStart w:id="58" w:name="_bookmark2"/>
      <w:bookmarkStart w:id="59" w:name="_bookmark1"/>
      <w:bookmarkStart w:id="60" w:name="_bookmark0"/>
      <w:bookmarkEnd w:id="58"/>
      <w:bookmarkEnd w:id="59"/>
      <w:bookmarkEnd w:id="60"/>
      <w:r>
        <w:rPr>
          <w:rFonts w:ascii="Times New Roman" w:hAnsi="Times New Roman"/>
        </w:rPr>
        <w:t xml:space="preserve">Abbreviations: </w:t>
      </w:r>
      <w:r w:rsidR="00297BCC">
        <w:rPr>
          <w:rFonts w:ascii="Times New Roman" w:hAnsi="Times New Roman"/>
        </w:rPr>
        <w:t xml:space="preserve">HR = hazard ratio; </w:t>
      </w:r>
      <w:r w:rsidR="00235D0F" w:rsidRPr="007104FB">
        <w:rPr>
          <w:rFonts w:ascii="Times New Roman" w:hAnsi="Times New Roman"/>
        </w:rPr>
        <w:t xml:space="preserve">NR = </w:t>
      </w:r>
      <w:r w:rsidR="00297BCC">
        <w:rPr>
          <w:rFonts w:ascii="Times New Roman" w:hAnsi="Times New Roman"/>
        </w:rPr>
        <w:t>n</w:t>
      </w:r>
      <w:r w:rsidR="00235D0F" w:rsidRPr="007104FB">
        <w:rPr>
          <w:rFonts w:ascii="Times New Roman" w:hAnsi="Times New Roman"/>
        </w:rPr>
        <w:t xml:space="preserve">ot </w:t>
      </w:r>
      <w:r w:rsidR="00297BCC">
        <w:rPr>
          <w:rFonts w:ascii="Times New Roman" w:hAnsi="Times New Roman"/>
        </w:rPr>
        <w:t>r</w:t>
      </w:r>
      <w:r w:rsidR="00235D0F" w:rsidRPr="007104FB">
        <w:rPr>
          <w:rFonts w:ascii="Times New Roman" w:hAnsi="Times New Roman"/>
        </w:rPr>
        <w:t>eached</w:t>
      </w:r>
      <w:r w:rsidR="00235D0F">
        <w:rPr>
          <w:rFonts w:ascii="Times New Roman" w:hAnsi="Times New Roman"/>
        </w:rPr>
        <w:t xml:space="preserve">. </w:t>
      </w:r>
    </w:p>
    <w:p w14:paraId="0BAA5C83" w14:textId="5206D43E" w:rsidR="00235D0F" w:rsidRDefault="003B68D0" w:rsidP="003B68D0">
      <w:pPr>
        <w:pStyle w:val="TableDescription"/>
      </w:pPr>
      <w:r>
        <w:rPr>
          <w:rFonts w:ascii="Times New Roman" w:hAnsi="Times New Roman"/>
        </w:rPr>
        <w:t xml:space="preserve">Notes: </w:t>
      </w:r>
      <w:r w:rsidR="00235D0F" w:rsidRPr="007104FB">
        <w:t>Hazard ratio</w:t>
      </w:r>
      <w:r w:rsidR="00235D0F" w:rsidRPr="007104FB">
        <w:rPr>
          <w:spacing w:val="-1"/>
        </w:rPr>
        <w:t xml:space="preserve"> </w:t>
      </w:r>
      <w:r w:rsidR="00235D0F" w:rsidRPr="007104FB">
        <w:t xml:space="preserve">and 95% CI are based on Cox regression model with </w:t>
      </w:r>
      <w:proofErr w:type="spellStart"/>
      <w:r w:rsidR="00235D0F" w:rsidRPr="007104FB">
        <w:t>Efron’s</w:t>
      </w:r>
      <w:proofErr w:type="spellEnd"/>
      <w:r w:rsidR="00235D0F" w:rsidRPr="007104FB">
        <w:t xml:space="preserve"> method of tie handling with treatment as a covariate stratified by prior auto-SCT (yes, no) and Hodgkin lymphoma status after frontline therapy (primary refractory versus relapsed less than 12 months after completion of frontline therapy versus relapse 12 months or more after completion of frontline therapy)</w:t>
      </w:r>
      <w:r w:rsidR="00235D0F">
        <w:t xml:space="preserve">. </w:t>
      </w:r>
      <w:r w:rsidR="00235D0F" w:rsidRPr="007104FB">
        <w:t>Database Cut</w:t>
      </w:r>
      <w:r w:rsidR="00826C50">
        <w:t>-</w:t>
      </w:r>
      <w:r w:rsidR="00235D0F" w:rsidRPr="007104FB">
        <w:t>off Date: 16</w:t>
      </w:r>
      <w:r>
        <w:t xml:space="preserve"> January </w:t>
      </w:r>
      <w:r w:rsidR="00235D0F" w:rsidRPr="007104FB">
        <w:t>2020</w:t>
      </w:r>
      <w:r w:rsidR="00235D0F">
        <w:t xml:space="preserve">. </w:t>
      </w:r>
    </w:p>
    <w:p w14:paraId="6B0941B0" w14:textId="56FA8FD1" w:rsidR="00297BCC" w:rsidRPr="007104FB" w:rsidRDefault="00C00401" w:rsidP="00297BCC">
      <w:pPr>
        <w:pStyle w:val="TableDescription"/>
      </w:pPr>
      <w:r>
        <w:t>Progression–free survival by b</w:t>
      </w:r>
      <w:r w:rsidR="00297BCC">
        <w:t xml:space="preserve">linded independent central review as per </w:t>
      </w:r>
      <w:proofErr w:type="spellStart"/>
      <w:r w:rsidR="00297BCC">
        <w:t>Cheson</w:t>
      </w:r>
      <w:proofErr w:type="spellEnd"/>
      <w:r w:rsidR="00297BCC">
        <w:t xml:space="preserve"> B, </w:t>
      </w:r>
      <w:proofErr w:type="spellStart"/>
      <w:r w:rsidR="00297BCC">
        <w:t>Pfistner</w:t>
      </w:r>
      <w:proofErr w:type="spellEnd"/>
      <w:r w:rsidR="00297BCC">
        <w:t xml:space="preserve"> B, </w:t>
      </w:r>
      <w:proofErr w:type="spellStart"/>
      <w:r w:rsidR="00297BCC">
        <w:t>Juweid</w:t>
      </w:r>
      <w:proofErr w:type="spellEnd"/>
      <w:r w:rsidR="00297BCC">
        <w:t xml:space="preserve"> ME et al Revised Response Criteria for Malignant Lymphoma </w:t>
      </w:r>
      <w:r w:rsidR="00297BCC">
        <w:rPr>
          <w:i/>
          <w:iCs/>
        </w:rPr>
        <w:t>J Clin Oncol</w:t>
      </w:r>
      <w:r w:rsidR="00297BCC">
        <w:t xml:space="preserve"> 2007;25(5):579-586</w:t>
      </w:r>
    </w:p>
    <w:p w14:paraId="0DC2F7E2" w14:textId="401F923F" w:rsidR="00DD69AF" w:rsidRPr="00DD69AF" w:rsidRDefault="14A79BE9" w:rsidP="00DD69AF">
      <w:r w:rsidRPr="00A20B42">
        <w:lastRenderedPageBreak/>
        <w:t>O</w:t>
      </w:r>
      <w:r w:rsidR="00062C68" w:rsidRPr="00A20B42">
        <w:t>verall survival</w:t>
      </w:r>
      <w:r w:rsidRPr="00A20B42">
        <w:t xml:space="preserve"> data are immature and </w:t>
      </w:r>
      <w:r w:rsidR="00062C68" w:rsidRPr="00A20B42">
        <w:t>overall survival</w:t>
      </w:r>
      <w:r w:rsidRPr="00A20B42">
        <w:t xml:space="preserve"> was not formally tested. The </w:t>
      </w:r>
      <w:r w:rsidR="00A20B42" w:rsidRPr="00CE690D">
        <w:t>first</w:t>
      </w:r>
      <w:r w:rsidR="00B80FB2" w:rsidRPr="00C13873">
        <w:t xml:space="preserve"> </w:t>
      </w:r>
      <w:r w:rsidR="00F671E7" w:rsidRPr="00C13873">
        <w:t>formal</w:t>
      </w:r>
      <w:r w:rsidR="00F671E7" w:rsidRPr="00A20B42">
        <w:t xml:space="preserve"> </w:t>
      </w:r>
      <w:r w:rsidRPr="00A20B42">
        <w:t>analysis is expected at 91</w:t>
      </w:r>
      <w:r>
        <w:t xml:space="preserve"> </w:t>
      </w:r>
      <w:r w:rsidRPr="00A20B42">
        <w:t>events.</w:t>
      </w:r>
    </w:p>
    <w:p w14:paraId="1F58E904" w14:textId="699569E3" w:rsidR="00B004E2" w:rsidRDefault="67395F38" w:rsidP="00DD69AF">
      <w:r>
        <w:t>T</w:t>
      </w:r>
      <w:r w:rsidR="14A79BE9">
        <w:t>he response rates by BICR by prior lines of therapy</w:t>
      </w:r>
      <w:r>
        <w:t xml:space="preserve"> were calculated</w:t>
      </w:r>
      <w:r w:rsidR="14A79BE9">
        <w:t xml:space="preserve">. Of the 27 patients with </w:t>
      </w:r>
      <w:r>
        <w:t>one</w:t>
      </w:r>
      <w:r w:rsidR="14A79BE9">
        <w:t xml:space="preserve"> prior line of therapy 15% achieved a </w:t>
      </w:r>
      <w:r>
        <w:t>complete response</w:t>
      </w:r>
      <w:r w:rsidR="14A79BE9">
        <w:t xml:space="preserve">, 52% </w:t>
      </w:r>
      <w:r>
        <w:t xml:space="preserve">achieved a partial response </w:t>
      </w:r>
      <w:r w:rsidR="14A79BE9">
        <w:t xml:space="preserve">and 22% had stable disease. Of the 124 patients who have </w:t>
      </w:r>
      <w:r>
        <w:t>two or more</w:t>
      </w:r>
      <w:r w:rsidR="14A79BE9">
        <w:t xml:space="preserve"> prior lines of therapy 27% achieved </w:t>
      </w:r>
      <w:r>
        <w:t>a complete response</w:t>
      </w:r>
      <w:r w:rsidR="14A79BE9">
        <w:t xml:space="preserve">, 39% a </w:t>
      </w:r>
      <w:r>
        <w:t>partial response</w:t>
      </w:r>
      <w:r w:rsidR="14A79BE9">
        <w:t>, and 19% had stable disease. The groups by lines of therapy 41% and 40%, respectively, comprised primary refractory disease.</w:t>
      </w:r>
    </w:p>
    <w:p w14:paraId="6ADD68A0" w14:textId="163A59F9" w:rsidR="00DD69AF" w:rsidRDefault="00DD69AF" w:rsidP="00DD69AF">
      <w:r w:rsidRPr="00DD69AF">
        <w:t xml:space="preserve">A sensitivity analysis of the impact of protocol amendments 2, 3 and 4 was requested, and is presented below. In </w:t>
      </w:r>
      <w:r w:rsidR="00297BCC">
        <w:t xml:space="preserve">the </w:t>
      </w:r>
      <w:r w:rsidR="002D22AB">
        <w:t>KEYNOTE 204 trial</w:t>
      </w:r>
      <w:r w:rsidRPr="00DD69AF">
        <w:t xml:space="preserve">, 160 patients were randomised before </w:t>
      </w:r>
      <w:r w:rsidR="0062250F">
        <w:t>a</w:t>
      </w:r>
      <w:r w:rsidRPr="00DD69AF">
        <w:t>mendment</w:t>
      </w:r>
      <w:r w:rsidR="00C00401">
        <w:t> </w:t>
      </w:r>
      <w:r w:rsidRPr="00DD69AF">
        <w:t xml:space="preserve">2, 101 were randomised under </w:t>
      </w:r>
      <w:r w:rsidR="0062250F">
        <w:t>a</w:t>
      </w:r>
      <w:r w:rsidRPr="00DD69AF">
        <w:t>mendment 2 and 43 patients randomised under amendment 3 and all were randomised prior to amendment 4. A total of 8, 36 and 11 patients received pembrolizumab as second line before amendment 2, under amendment 2 and under amendment 3, respectively.</w:t>
      </w:r>
      <w:r w:rsidR="00B004E2">
        <w:t xml:space="preserve"> </w:t>
      </w:r>
      <w:r w:rsidRPr="00DD69AF">
        <w:t>Of these 55 patients, the reasons for not receiving auto</w:t>
      </w:r>
      <w:r w:rsidR="0062250F">
        <w:t>logous stem cell transplant</w:t>
      </w:r>
      <w:r w:rsidRPr="00DD69AF">
        <w:t xml:space="preserve"> before enrolling in </w:t>
      </w:r>
      <w:r w:rsidR="00297BCC">
        <w:t xml:space="preserve">the </w:t>
      </w:r>
      <w:r w:rsidR="002D22AB">
        <w:t>KEYNOTE 204 trial</w:t>
      </w:r>
      <w:r w:rsidRPr="00DD69AF">
        <w:t xml:space="preserve"> were chemorefractory to primary therapy (38.2%), age (20%), comorbidity (3.6%) and other clinical decisions (38.3%). The </w:t>
      </w:r>
      <w:r w:rsidR="0062250F">
        <w:t>progression free survival</w:t>
      </w:r>
      <w:r w:rsidRPr="00DD69AF">
        <w:t xml:space="preserve"> results for each subgroup are presented separately, and cumulatively, below.</w:t>
      </w:r>
    </w:p>
    <w:p w14:paraId="171612C3" w14:textId="20AAF939" w:rsidR="00DD69AF" w:rsidRDefault="14A79BE9" w:rsidP="00DD69AF">
      <w:pPr>
        <w:pStyle w:val="TableTitle"/>
      </w:pPr>
      <w:r>
        <w:t xml:space="preserve">Table </w:t>
      </w:r>
      <w:r w:rsidR="00DD69AF">
        <w:fldChar w:fldCharType="begin"/>
      </w:r>
      <w:r w:rsidR="00DD69AF">
        <w:instrText>SEQ Table \* ARABIC</w:instrText>
      </w:r>
      <w:r w:rsidR="00DD69AF">
        <w:fldChar w:fldCharType="separate"/>
      </w:r>
      <w:r w:rsidR="00A463D1">
        <w:rPr>
          <w:noProof/>
        </w:rPr>
        <w:t>7</w:t>
      </w:r>
      <w:r w:rsidR="00DD69AF">
        <w:fldChar w:fldCharType="end"/>
      </w:r>
      <w:r>
        <w:t xml:space="preserve">: </w:t>
      </w:r>
      <w:r w:rsidR="00297BCC">
        <w:t xml:space="preserve">KEYNOTE 204 </w:t>
      </w:r>
      <w:r>
        <w:t xml:space="preserve">Progression </w:t>
      </w:r>
      <w:r w:rsidR="37C972A8">
        <w:t>f</w:t>
      </w:r>
      <w:r>
        <w:t xml:space="preserve">ree </w:t>
      </w:r>
      <w:r w:rsidR="37C972A8">
        <w:t>s</w:t>
      </w:r>
      <w:r>
        <w:t>urvival</w:t>
      </w:r>
      <w:r w:rsidR="00297BCC">
        <w:t xml:space="preserve"> </w:t>
      </w:r>
      <w:r>
        <w:t xml:space="preserve">by randomisation during operation of protocol amendment </w:t>
      </w:r>
      <w:r w:rsidR="00297BCC">
        <w:t>(</w:t>
      </w:r>
      <w:r w:rsidR="37C972A8">
        <w:t xml:space="preserve">intent to treat </w:t>
      </w:r>
      <w:r>
        <w:t>population</w:t>
      </w:r>
      <w:r w:rsidR="00297BCC">
        <w:t>)</w:t>
      </w:r>
    </w:p>
    <w:p w14:paraId="1873D3FC" w14:textId="6ED60FE1" w:rsidR="00DD69AF" w:rsidRDefault="00DD69AF" w:rsidP="00DD69AF">
      <w:pPr>
        <w:pStyle w:val="TableTitle"/>
      </w:pPr>
      <w:r w:rsidRPr="00423D6C">
        <w:rPr>
          <w:rStyle w:val="HeaderChar"/>
          <w:bCs/>
          <w:i/>
          <w:noProof/>
          <w:lang w:val="en-GB" w:eastAsia="en-GB"/>
        </w:rPr>
        <w:drawing>
          <wp:inline distT="0" distB="0" distL="0" distR="0" wp14:anchorId="3AD42A3F" wp14:editId="092079BE">
            <wp:extent cx="5698993" cy="2969971"/>
            <wp:effectExtent l="0" t="0" r="0" b="1905"/>
            <wp:docPr id="377" name="Picture 377" descr="This table shows progression free survival (BICR by IWG 2007) by randomisation during operation of protocol amendment of KEYNOTE 204 trial,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This table shows progression free survival (BICR by IWG 2007) by randomisation during operation of protocol amendment of KEYNOTE 204 trial, intent to treat population."/>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707101" cy="2974196"/>
                    </a:xfrm>
                    <a:prstGeom prst="rect">
                      <a:avLst/>
                    </a:prstGeom>
                    <a:noFill/>
                    <a:ln>
                      <a:noFill/>
                    </a:ln>
                  </pic:spPr>
                </pic:pic>
              </a:graphicData>
            </a:graphic>
          </wp:inline>
        </w:drawing>
      </w:r>
    </w:p>
    <w:p w14:paraId="6F0CA382" w14:textId="023AF8B7" w:rsidR="00297BCC" w:rsidRDefault="00297BCC" w:rsidP="00297BCC">
      <w:pPr>
        <w:pStyle w:val="TableDescription"/>
      </w:pPr>
      <w:r>
        <w:t xml:space="preserve">Abbreviation: </w:t>
      </w:r>
      <w:r w:rsidR="00C00401">
        <w:t>CI = confidence interval; HR = hazard ratio; PFS = progression-free survival.</w:t>
      </w:r>
    </w:p>
    <w:p w14:paraId="252C2ED7" w14:textId="6E809AA4" w:rsidR="00297BCC" w:rsidRDefault="00C00401" w:rsidP="00C13873">
      <w:pPr>
        <w:pStyle w:val="TableDescription"/>
      </w:pPr>
      <w:r>
        <w:t>Progression free survival by b</w:t>
      </w:r>
      <w:r w:rsidR="00297BCC">
        <w:t xml:space="preserve">linded independent central review as per </w:t>
      </w:r>
      <w:proofErr w:type="spellStart"/>
      <w:r w:rsidR="00297BCC">
        <w:t>Cheson</w:t>
      </w:r>
      <w:proofErr w:type="spellEnd"/>
      <w:r w:rsidR="00297BCC">
        <w:t xml:space="preserve"> B, </w:t>
      </w:r>
      <w:proofErr w:type="spellStart"/>
      <w:r w:rsidR="00297BCC">
        <w:t>Pfistner</w:t>
      </w:r>
      <w:proofErr w:type="spellEnd"/>
      <w:r w:rsidR="00297BCC">
        <w:t xml:space="preserve"> B, </w:t>
      </w:r>
      <w:proofErr w:type="spellStart"/>
      <w:r w:rsidR="00297BCC">
        <w:t>Juweid</w:t>
      </w:r>
      <w:proofErr w:type="spellEnd"/>
      <w:r w:rsidR="00297BCC">
        <w:t xml:space="preserve"> ME et al Revised Response Criteria for Malignant Lymphoma </w:t>
      </w:r>
      <w:r w:rsidR="00297BCC">
        <w:rPr>
          <w:i/>
          <w:iCs/>
        </w:rPr>
        <w:t>J Clin Oncol</w:t>
      </w:r>
      <w:r w:rsidR="00297BCC">
        <w:t xml:space="preserve"> 2007;25(5):579-586</w:t>
      </w:r>
    </w:p>
    <w:p w14:paraId="088C5315" w14:textId="539F3439" w:rsidR="00DD69AF" w:rsidRDefault="002D22AB" w:rsidP="00B361FD">
      <w:pPr>
        <w:pStyle w:val="Heading5"/>
      </w:pPr>
      <w:r>
        <w:t>KEYNOTE 087 trial</w:t>
      </w:r>
    </w:p>
    <w:p w14:paraId="599D46BE" w14:textId="558EE06F" w:rsidR="00DD69AF" w:rsidRDefault="00C00401" w:rsidP="00DD69AF">
      <w:r>
        <w:t xml:space="preserve">The </w:t>
      </w:r>
      <w:r w:rsidR="002D22AB">
        <w:t>KEYNOTE 087 trial</w:t>
      </w:r>
      <w:r w:rsidR="00DD69AF">
        <w:t xml:space="preserve"> is an ongoing </w:t>
      </w:r>
      <w:r w:rsidR="0062250F">
        <w:t>P</w:t>
      </w:r>
      <w:r w:rsidR="00DD69AF">
        <w:t xml:space="preserve">hase </w:t>
      </w:r>
      <w:r w:rsidR="0062250F">
        <w:t>II</w:t>
      </w:r>
      <w:r w:rsidR="00DD69AF">
        <w:t>, single arm, multi-cohort study of pembrolizumab 200</w:t>
      </w:r>
      <w:r w:rsidR="0062250F">
        <w:t> </w:t>
      </w:r>
      <w:r w:rsidR="00DD69AF">
        <w:t xml:space="preserve">mg </w:t>
      </w:r>
      <w:r w:rsidR="00D92581">
        <w:t>once every three weeks</w:t>
      </w:r>
      <w:r w:rsidR="00DD69AF">
        <w:t xml:space="preserve"> in </w:t>
      </w:r>
      <w:r w:rsidR="0062250F" w:rsidRPr="0062250F">
        <w:t xml:space="preserve">relapsed or refractory classical Hodgkin </w:t>
      </w:r>
      <w:r w:rsidR="007D3D1C">
        <w:t>lymphoma</w:t>
      </w:r>
      <w:r w:rsidR="0062250F" w:rsidRPr="0062250F">
        <w:t xml:space="preserve"> </w:t>
      </w:r>
      <w:r w:rsidR="00DD69AF">
        <w:t>patients who:</w:t>
      </w:r>
    </w:p>
    <w:p w14:paraId="01AFC570" w14:textId="446AC910" w:rsidR="00DD69AF" w:rsidRDefault="00DD69AF" w:rsidP="00DD69AF">
      <w:pPr>
        <w:pStyle w:val="ListBullet"/>
      </w:pPr>
      <w:r>
        <w:t>failed to achieve a response or progressed after auto</w:t>
      </w:r>
      <w:r w:rsidR="0062250F">
        <w:t xml:space="preserve">logous stem cell transplant </w:t>
      </w:r>
      <w:r>
        <w:t>and relapsed after treatment with, or failed to respond to treatment with brentuximab vedotin (</w:t>
      </w:r>
      <w:r w:rsidR="009A599D">
        <w:t>brentuximab vedotin</w:t>
      </w:r>
      <w:r>
        <w:t>) post-auto</w:t>
      </w:r>
      <w:r w:rsidR="0062250F">
        <w:t>logous stem cell transplant</w:t>
      </w:r>
      <w:r>
        <w:t xml:space="preserve"> (Cohort 1</w:t>
      </w:r>
      <w:proofErr w:type="gramStart"/>
      <w:r>
        <w:t>)</w:t>
      </w:r>
      <w:r w:rsidR="00CC693A">
        <w:t>;</w:t>
      </w:r>
      <w:proofErr w:type="gramEnd"/>
    </w:p>
    <w:p w14:paraId="0213C2B3" w14:textId="075F603F" w:rsidR="00B004E2" w:rsidRDefault="00DD69AF" w:rsidP="00DD69AF">
      <w:pPr>
        <w:pStyle w:val="ListBullet"/>
      </w:pPr>
      <w:r>
        <w:lastRenderedPageBreak/>
        <w:t xml:space="preserve">were unable to achieve a </w:t>
      </w:r>
      <w:r w:rsidR="0062250F">
        <w:t>complete response</w:t>
      </w:r>
      <w:r>
        <w:t xml:space="preserve"> or</w:t>
      </w:r>
      <w:r w:rsidR="0062250F">
        <w:t xml:space="preserve"> partial response</w:t>
      </w:r>
      <w:r>
        <w:t xml:space="preserve"> to salvage chemotherapy and did not receive auto</w:t>
      </w:r>
      <w:r w:rsidR="0062250F">
        <w:t>logous stem cell transplant</w:t>
      </w:r>
      <w:r>
        <w:t xml:space="preserve"> but relapsed after treatment with, or failed to respond to treatment with </w:t>
      </w:r>
      <w:r w:rsidR="009A599D">
        <w:t>brentuximab vedotin</w:t>
      </w:r>
      <w:r>
        <w:t xml:space="preserve"> (Cohort 2</w:t>
      </w:r>
      <w:proofErr w:type="gramStart"/>
      <w:r>
        <w:t>)</w:t>
      </w:r>
      <w:r w:rsidR="00CC693A">
        <w:t>;</w:t>
      </w:r>
      <w:proofErr w:type="gramEnd"/>
    </w:p>
    <w:p w14:paraId="66E05EB9" w14:textId="2C099DB9" w:rsidR="00DD69AF" w:rsidRDefault="00DD69AF" w:rsidP="00DD69AF">
      <w:pPr>
        <w:pStyle w:val="ListBullet"/>
      </w:pPr>
      <w:r>
        <w:t xml:space="preserve">failed to achieve a response to, or progressed after, </w:t>
      </w:r>
      <w:r w:rsidR="0062250F">
        <w:t>autologous stem cell transplant</w:t>
      </w:r>
      <w:r>
        <w:t xml:space="preserve">, and had not received </w:t>
      </w:r>
      <w:r w:rsidR="009A599D">
        <w:t>brentuximab vedotin</w:t>
      </w:r>
      <w:r>
        <w:t xml:space="preserve"> after auto</w:t>
      </w:r>
      <w:r w:rsidR="0062250F">
        <w:t xml:space="preserve">logous stem cell transplant </w:t>
      </w:r>
      <w:r>
        <w:t xml:space="preserve">and did or did not, receive </w:t>
      </w:r>
      <w:r w:rsidR="009A599D">
        <w:t>brentuximab vedotin</w:t>
      </w:r>
      <w:r>
        <w:t xml:space="preserve"> as part of primary treatment or salvage treatment (Cohort 3)</w:t>
      </w:r>
      <w:r w:rsidR="00CC693A">
        <w:t>.</w:t>
      </w:r>
    </w:p>
    <w:p w14:paraId="489EDB4A" w14:textId="33D05407" w:rsidR="00DD69AF" w:rsidRDefault="00DD69AF" w:rsidP="00DD69AF">
      <w:r>
        <w:t xml:space="preserve">Patients had received a median of </w:t>
      </w:r>
      <w:r w:rsidR="00797B7E">
        <w:t>four</w:t>
      </w:r>
      <w:r>
        <w:t xml:space="preserve"> prior lines of therapy, 61% had received an auto</w:t>
      </w:r>
      <w:r w:rsidR="000574D9">
        <w:t>logous stem cell transplant</w:t>
      </w:r>
      <w:r>
        <w:t xml:space="preserve">, 38% were transplant ineligible, 17% had no prior </w:t>
      </w:r>
      <w:r w:rsidR="009A599D">
        <w:t>brentuximab vedotin</w:t>
      </w:r>
      <w:r>
        <w:t xml:space="preserve"> use and 36% had prior radiation therapy.</w:t>
      </w:r>
    </w:p>
    <w:p w14:paraId="114F77EF" w14:textId="0E2BEEB7" w:rsidR="00DD69AF" w:rsidRDefault="00DD69AF" w:rsidP="00DD69AF">
      <w:r>
        <w:t xml:space="preserve">This study supported the initial registration of the indication for </w:t>
      </w:r>
      <w:r w:rsidR="009A599D" w:rsidRPr="009A599D">
        <w:t>relapsed</w:t>
      </w:r>
      <w:r w:rsidR="0097444F">
        <w:t xml:space="preserve"> or </w:t>
      </w:r>
      <w:r w:rsidR="009A599D" w:rsidRPr="009A599D">
        <w:t>refractory classical Hodgkin lymphoma</w:t>
      </w:r>
      <w:r>
        <w:t>, together with</w:t>
      </w:r>
      <w:r w:rsidR="000574D9">
        <w:t xml:space="preserve"> </w:t>
      </w:r>
      <w:r w:rsidR="00C00401">
        <w:t xml:space="preserve">the </w:t>
      </w:r>
      <w:r w:rsidR="000574D9">
        <w:t>KEYNOTE 013 trial</w:t>
      </w:r>
      <w:r>
        <w:t>.</w:t>
      </w:r>
      <w:bookmarkStart w:id="61" w:name="_Ref136938325"/>
      <w:r w:rsidR="00CC693A">
        <w:rPr>
          <w:rStyle w:val="FootnoteReference"/>
        </w:rPr>
        <w:footnoteReference w:id="14"/>
      </w:r>
      <w:bookmarkEnd w:id="61"/>
    </w:p>
    <w:p w14:paraId="0639F30F" w14:textId="4C9DBB2B" w:rsidR="00DD69AF" w:rsidRDefault="00C00401" w:rsidP="00DD69AF">
      <w:r>
        <w:t>U</w:t>
      </w:r>
      <w:r w:rsidR="00DD69AF">
        <w:t xml:space="preserve">pdated </w:t>
      </w:r>
      <w:r w:rsidR="00F11207" w:rsidRPr="00F11207">
        <w:t xml:space="preserve">KEYNOTE </w:t>
      </w:r>
      <w:r w:rsidR="005B22DE" w:rsidRPr="00F11207">
        <w:t>0</w:t>
      </w:r>
      <w:r w:rsidR="005B22DE">
        <w:t>87</w:t>
      </w:r>
      <w:r w:rsidR="005B22DE" w:rsidRPr="00F11207">
        <w:t xml:space="preserve"> </w:t>
      </w:r>
      <w:r w:rsidR="00F11207" w:rsidRPr="00F11207">
        <w:t xml:space="preserve">trial </w:t>
      </w:r>
      <w:r w:rsidR="00DD69AF">
        <w:t>efficacy results</w:t>
      </w:r>
      <w:r w:rsidR="005B22DE">
        <w:t xml:space="preserve"> (</w:t>
      </w:r>
      <w:r w:rsidR="00E048BA">
        <w:t>d</w:t>
      </w:r>
      <w:r w:rsidR="005B22DE" w:rsidRPr="005B22DE">
        <w:t xml:space="preserve">atabase </w:t>
      </w:r>
      <w:r w:rsidR="00E048BA">
        <w:t>c</w:t>
      </w:r>
      <w:r w:rsidR="005B22DE" w:rsidRPr="005B22DE">
        <w:t>ut</w:t>
      </w:r>
      <w:r w:rsidR="00E048BA">
        <w:t>-</w:t>
      </w:r>
      <w:r w:rsidR="005B22DE" w:rsidRPr="005B22DE">
        <w:t xml:space="preserve">off </w:t>
      </w:r>
      <w:r w:rsidR="00E048BA">
        <w:t>d</w:t>
      </w:r>
      <w:r w:rsidR="005B22DE" w:rsidRPr="005B22DE">
        <w:t>ate: 21</w:t>
      </w:r>
      <w:r w:rsidR="00E048BA">
        <w:t xml:space="preserve"> March </w:t>
      </w:r>
      <w:r w:rsidR="005B22DE" w:rsidRPr="005B22DE">
        <w:t>2019)</w:t>
      </w:r>
      <w:r w:rsidR="00DD69AF">
        <w:t xml:space="preserve"> </w:t>
      </w:r>
      <w:r w:rsidR="000574D9">
        <w:t>are</w:t>
      </w:r>
      <w:r>
        <w:t xml:space="preserve"> shown below</w:t>
      </w:r>
      <w:r w:rsidR="000574D9">
        <w:t xml:space="preserve"> in</w:t>
      </w:r>
      <w:r>
        <w:t xml:space="preserve"> Table 8</w:t>
      </w:r>
      <w:r w:rsidR="000574D9">
        <w:t>.</w:t>
      </w:r>
    </w:p>
    <w:p w14:paraId="1E35A57A" w14:textId="55B01D3D" w:rsidR="00CC693A" w:rsidRPr="00DD69AF" w:rsidRDefault="00CC693A" w:rsidP="00C13873">
      <w:pPr>
        <w:spacing w:before="0"/>
      </w:pPr>
      <w:r>
        <w:br w:type="page"/>
      </w:r>
    </w:p>
    <w:p w14:paraId="5EE2E5B6" w14:textId="6F20C76A" w:rsidR="00DD69AF" w:rsidRPr="001174B4" w:rsidRDefault="14A79BE9" w:rsidP="5E654C76">
      <w:pPr>
        <w:pStyle w:val="TableTitle"/>
        <w:rPr>
          <w:rStyle w:val="Heading6Char"/>
          <w:rFonts w:ascii="Calibri" w:eastAsia="MS Mincho" w:hAnsi="Calibri" w:cs="Calibri"/>
          <w:b/>
          <w:i w:val="0"/>
        </w:rPr>
      </w:pPr>
      <w:bookmarkStart w:id="62" w:name="_Ref133568709"/>
      <w:r>
        <w:lastRenderedPageBreak/>
        <w:t xml:space="preserve">Table </w:t>
      </w:r>
      <w:r w:rsidR="00DD69AF">
        <w:fldChar w:fldCharType="begin"/>
      </w:r>
      <w:r w:rsidR="00DD69AF">
        <w:instrText>SEQ Table \* ARABIC</w:instrText>
      </w:r>
      <w:r w:rsidR="00DD69AF">
        <w:fldChar w:fldCharType="separate"/>
      </w:r>
      <w:r w:rsidR="00A463D1">
        <w:rPr>
          <w:noProof/>
        </w:rPr>
        <w:t>8</w:t>
      </w:r>
      <w:r w:rsidR="00DD69AF">
        <w:fldChar w:fldCharType="end"/>
      </w:r>
      <w:bookmarkEnd w:id="62"/>
      <w:r w:rsidR="37C972A8" w:rsidRPr="5E654C76">
        <w:rPr>
          <w:noProof/>
        </w:rPr>
        <w:t>: KEYNOTE 0</w:t>
      </w:r>
      <w:r w:rsidR="005B22DE" w:rsidRPr="5E654C76">
        <w:rPr>
          <w:noProof/>
        </w:rPr>
        <w:t>87</w:t>
      </w:r>
      <w:r w:rsidR="1B568734" w:rsidRPr="5E654C76">
        <w:rPr>
          <w:noProof/>
        </w:rPr>
        <w:t xml:space="preserve"> trial</w:t>
      </w:r>
      <w:r w:rsidR="00CC693A">
        <w:rPr>
          <w:noProof/>
        </w:rPr>
        <w:t>;</w:t>
      </w:r>
      <w:r w:rsidR="37C972A8" w:rsidRPr="5E654C76">
        <w:rPr>
          <w:noProof/>
        </w:rPr>
        <w:t xml:space="preserve"> </w:t>
      </w:r>
      <w:r w:rsidR="00CC693A">
        <w:t>U</w:t>
      </w:r>
      <w:r>
        <w:t xml:space="preserve">pdated </w:t>
      </w:r>
      <w:r w:rsidR="1B568734">
        <w:t>e</w:t>
      </w:r>
      <w:r>
        <w:t xml:space="preserve">fficacy </w:t>
      </w:r>
      <w:r w:rsidR="1B568734">
        <w:t>r</w:t>
      </w:r>
      <w:r>
        <w:t>esults</w:t>
      </w:r>
    </w:p>
    <w:tbl>
      <w:tblPr>
        <w:tblStyle w:val="TGABlack2023"/>
        <w:tblW w:w="8995" w:type="dxa"/>
        <w:tblLayout w:type="fixed"/>
        <w:tblLook w:val="01E0" w:firstRow="1" w:lastRow="1" w:firstColumn="1" w:lastColumn="1" w:noHBand="0" w:noVBand="0"/>
      </w:tblPr>
      <w:tblGrid>
        <w:gridCol w:w="2122"/>
        <w:gridCol w:w="1842"/>
        <w:gridCol w:w="1843"/>
        <w:gridCol w:w="1843"/>
        <w:gridCol w:w="1345"/>
      </w:tblGrid>
      <w:tr w:rsidR="002E5D98" w:rsidRPr="008F6C08" w14:paraId="6ACD4FBD" w14:textId="77777777" w:rsidTr="002E5D98">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122" w:type="dxa"/>
            <w:shd w:val="clear" w:color="auto" w:fill="auto"/>
          </w:tcPr>
          <w:p w14:paraId="41C7870B" w14:textId="77777777" w:rsidR="00DD69AF" w:rsidRPr="000574D9" w:rsidRDefault="00DD69AF" w:rsidP="00C13873">
            <w:pPr>
              <w:pStyle w:val="TableText"/>
              <w:ind w:left="0"/>
            </w:pPr>
          </w:p>
        </w:tc>
        <w:tc>
          <w:tcPr>
            <w:tcW w:w="1842" w:type="dxa"/>
            <w:shd w:val="clear" w:color="auto" w:fill="auto"/>
          </w:tcPr>
          <w:p w14:paraId="1E948CEF" w14:textId="77777777" w:rsidR="00DD69AF" w:rsidRPr="000574D9" w:rsidRDefault="00DD69AF" w:rsidP="00C13873">
            <w:pPr>
              <w:pStyle w:val="TableText"/>
              <w:ind w:left="0"/>
              <w:cnfStyle w:val="100000000000" w:firstRow="1" w:lastRow="0" w:firstColumn="0" w:lastColumn="0" w:oddVBand="0" w:evenVBand="0" w:oddHBand="0" w:evenHBand="0" w:firstRowFirstColumn="0" w:firstRowLastColumn="0" w:lastRowFirstColumn="0" w:lastRowLastColumn="0"/>
            </w:pPr>
            <w:r w:rsidRPr="000574D9">
              <w:t>Cohort 1</w:t>
            </w:r>
          </w:p>
        </w:tc>
        <w:tc>
          <w:tcPr>
            <w:tcW w:w="1843" w:type="dxa"/>
            <w:shd w:val="clear" w:color="auto" w:fill="auto"/>
          </w:tcPr>
          <w:p w14:paraId="43EF81CB" w14:textId="77777777" w:rsidR="00DD69AF" w:rsidRPr="000574D9" w:rsidRDefault="00DD69AF" w:rsidP="00C13873">
            <w:pPr>
              <w:pStyle w:val="TableText"/>
              <w:ind w:left="0"/>
              <w:cnfStyle w:val="100000000000" w:firstRow="1" w:lastRow="0" w:firstColumn="0" w:lastColumn="0" w:oddVBand="0" w:evenVBand="0" w:oddHBand="0" w:evenHBand="0" w:firstRowFirstColumn="0" w:firstRowLastColumn="0" w:lastRowFirstColumn="0" w:lastRowLastColumn="0"/>
            </w:pPr>
            <w:r w:rsidRPr="000574D9">
              <w:t>Cohort 2</w:t>
            </w:r>
          </w:p>
        </w:tc>
        <w:tc>
          <w:tcPr>
            <w:tcW w:w="1843" w:type="dxa"/>
            <w:shd w:val="clear" w:color="auto" w:fill="auto"/>
          </w:tcPr>
          <w:p w14:paraId="565321D6" w14:textId="77777777" w:rsidR="00DD69AF" w:rsidRPr="000574D9" w:rsidRDefault="00DD69AF" w:rsidP="00C13873">
            <w:pPr>
              <w:pStyle w:val="TableText"/>
              <w:ind w:left="0"/>
              <w:cnfStyle w:val="100000000000" w:firstRow="1" w:lastRow="0" w:firstColumn="0" w:lastColumn="0" w:oddVBand="0" w:evenVBand="0" w:oddHBand="0" w:evenHBand="0" w:firstRowFirstColumn="0" w:firstRowLastColumn="0" w:lastRowFirstColumn="0" w:lastRowLastColumn="0"/>
            </w:pPr>
            <w:r w:rsidRPr="000574D9">
              <w:t>Cohort 3</w:t>
            </w:r>
          </w:p>
        </w:tc>
        <w:tc>
          <w:tcPr>
            <w:tcW w:w="1345" w:type="dxa"/>
            <w:shd w:val="clear" w:color="auto" w:fill="auto"/>
          </w:tcPr>
          <w:p w14:paraId="4E45E775" w14:textId="77777777" w:rsidR="00DD69AF" w:rsidRPr="000574D9" w:rsidRDefault="00DD69AF" w:rsidP="00C13873">
            <w:pPr>
              <w:pStyle w:val="TableText"/>
              <w:ind w:left="0"/>
              <w:cnfStyle w:val="100000000000" w:firstRow="1" w:lastRow="0" w:firstColumn="0" w:lastColumn="0" w:oddVBand="0" w:evenVBand="0" w:oddHBand="0" w:evenHBand="0" w:firstRowFirstColumn="0" w:firstRowLastColumn="0" w:lastRowFirstColumn="0" w:lastRowLastColumn="0"/>
            </w:pPr>
            <w:r w:rsidRPr="000574D9">
              <w:t>Total</w:t>
            </w:r>
          </w:p>
        </w:tc>
      </w:tr>
      <w:tr w:rsidR="002E5D98" w:rsidRPr="008F6C08" w14:paraId="35007175" w14:textId="77777777" w:rsidTr="002E5D98">
        <w:trPr>
          <w:trHeight w:val="755"/>
        </w:trPr>
        <w:tc>
          <w:tcPr>
            <w:cnfStyle w:val="001000000000" w:firstRow="0" w:lastRow="0" w:firstColumn="1" w:lastColumn="0" w:oddVBand="0" w:evenVBand="0" w:oddHBand="0" w:evenHBand="0" w:firstRowFirstColumn="0" w:firstRowLastColumn="0" w:lastRowFirstColumn="0" w:lastRowLastColumn="0"/>
            <w:tcW w:w="2122" w:type="dxa"/>
          </w:tcPr>
          <w:p w14:paraId="78957B9E" w14:textId="5C26F1B7" w:rsidR="00DD69AF" w:rsidRPr="00A12297" w:rsidRDefault="00DD69AF" w:rsidP="00C13873">
            <w:pPr>
              <w:pStyle w:val="Tabletext0"/>
              <w:spacing w:before="40"/>
              <w:ind w:left="0"/>
              <w:rPr>
                <w:lang w:val="en-US"/>
              </w:rPr>
            </w:pPr>
            <w:r w:rsidRPr="00A12297">
              <w:rPr>
                <w:w w:val="105"/>
                <w:lang w:val="en-US"/>
              </w:rPr>
              <w:t>ORR by</w:t>
            </w:r>
            <w:r w:rsidRPr="00A12297">
              <w:rPr>
                <w:spacing w:val="-11"/>
                <w:w w:val="105"/>
                <w:lang w:val="en-US"/>
              </w:rPr>
              <w:t xml:space="preserve"> </w:t>
            </w:r>
            <w:r w:rsidRPr="00A12297">
              <w:rPr>
                <w:w w:val="105"/>
                <w:lang w:val="en-US"/>
              </w:rPr>
              <w:t>BICR,</w:t>
            </w:r>
            <w:r w:rsidR="003B68D0" w:rsidRPr="00A12297">
              <w:rPr>
                <w:w w:val="105"/>
                <w:lang w:val="en-US"/>
              </w:rPr>
              <w:t xml:space="preserve"> </w:t>
            </w:r>
            <w:r w:rsidR="003B68D0" w:rsidRPr="00A12297">
              <w:rPr>
                <w:w w:val="105"/>
                <w:lang w:val="en-US"/>
              </w:rPr>
              <w:br/>
            </w:r>
            <w:r w:rsidRPr="00A12297">
              <w:rPr>
                <w:w w:val="105"/>
                <w:lang w:val="en-US"/>
              </w:rPr>
              <w:t>n (%, 95%</w:t>
            </w:r>
            <w:r w:rsidRPr="00A12297">
              <w:rPr>
                <w:spacing w:val="-17"/>
                <w:w w:val="105"/>
                <w:lang w:val="en-US"/>
              </w:rPr>
              <w:t xml:space="preserve"> </w:t>
            </w:r>
            <w:r w:rsidRPr="00A12297">
              <w:rPr>
                <w:w w:val="105"/>
                <w:lang w:val="en-US"/>
              </w:rPr>
              <w:t>CI)</w:t>
            </w:r>
          </w:p>
        </w:tc>
        <w:tc>
          <w:tcPr>
            <w:tcW w:w="1842" w:type="dxa"/>
          </w:tcPr>
          <w:p w14:paraId="19B4448D" w14:textId="5BD13BAB" w:rsidR="00DD69AF" w:rsidRPr="00A12297" w:rsidRDefault="003B68D0"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 xml:space="preserve">n </w:t>
            </w:r>
            <w:r w:rsidR="00DD69AF" w:rsidRPr="00A12297">
              <w:rPr>
                <w:w w:val="105"/>
                <w:lang w:val="en-US"/>
              </w:rPr>
              <w:t>=</w:t>
            </w:r>
            <w:r w:rsidRPr="00A12297">
              <w:rPr>
                <w:w w:val="105"/>
                <w:lang w:val="en-US"/>
              </w:rPr>
              <w:t xml:space="preserve"> </w:t>
            </w:r>
            <w:r w:rsidR="00DD69AF" w:rsidRPr="00A12297">
              <w:rPr>
                <w:w w:val="105"/>
                <w:lang w:val="en-US"/>
              </w:rPr>
              <w:t>69</w:t>
            </w:r>
          </w:p>
        </w:tc>
        <w:tc>
          <w:tcPr>
            <w:tcW w:w="1843" w:type="dxa"/>
          </w:tcPr>
          <w:p w14:paraId="33B69B48" w14:textId="715BA50D" w:rsidR="00DD69AF" w:rsidRPr="00A12297" w:rsidRDefault="003B68D0"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 xml:space="preserve">n </w:t>
            </w:r>
            <w:r w:rsidR="00DD69AF" w:rsidRPr="00A12297">
              <w:rPr>
                <w:w w:val="105"/>
                <w:lang w:val="en-US"/>
              </w:rPr>
              <w:t>=</w:t>
            </w:r>
            <w:r w:rsidRPr="00A12297">
              <w:rPr>
                <w:w w:val="105"/>
                <w:lang w:val="en-US"/>
              </w:rPr>
              <w:t xml:space="preserve"> </w:t>
            </w:r>
            <w:r w:rsidR="00DD69AF" w:rsidRPr="00A12297">
              <w:rPr>
                <w:w w:val="105"/>
                <w:lang w:val="en-US"/>
              </w:rPr>
              <w:t>81</w:t>
            </w:r>
          </w:p>
        </w:tc>
        <w:tc>
          <w:tcPr>
            <w:tcW w:w="1843" w:type="dxa"/>
          </w:tcPr>
          <w:p w14:paraId="7F6FEC9F" w14:textId="6CD2C3FF" w:rsidR="00DD69AF" w:rsidRPr="00A12297" w:rsidRDefault="003B68D0"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 xml:space="preserve">n </w:t>
            </w:r>
            <w:r w:rsidR="00DD69AF" w:rsidRPr="00A12297">
              <w:rPr>
                <w:w w:val="105"/>
                <w:lang w:val="en-US"/>
              </w:rPr>
              <w:t>=</w:t>
            </w:r>
            <w:r w:rsidRPr="00A12297">
              <w:rPr>
                <w:w w:val="105"/>
                <w:lang w:val="en-US"/>
              </w:rPr>
              <w:t xml:space="preserve"> </w:t>
            </w:r>
            <w:r w:rsidR="00DD69AF" w:rsidRPr="00A12297">
              <w:rPr>
                <w:w w:val="105"/>
                <w:lang w:val="en-US"/>
              </w:rPr>
              <w:t>60</w:t>
            </w:r>
          </w:p>
        </w:tc>
        <w:tc>
          <w:tcPr>
            <w:tcW w:w="1345" w:type="dxa"/>
          </w:tcPr>
          <w:p w14:paraId="03D59D4E" w14:textId="1D4F5919"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lang w:val="en-US"/>
              </w:rPr>
              <w:t>N</w:t>
            </w:r>
            <w:r w:rsidR="003B68D0" w:rsidRPr="00A12297">
              <w:rPr>
                <w:lang w:val="en-US"/>
              </w:rPr>
              <w:t xml:space="preserve"> </w:t>
            </w:r>
            <w:r w:rsidRPr="00A12297">
              <w:rPr>
                <w:lang w:val="en-US"/>
              </w:rPr>
              <w:t>=</w:t>
            </w:r>
            <w:r w:rsidR="003B68D0" w:rsidRPr="00A12297">
              <w:rPr>
                <w:lang w:val="en-US"/>
              </w:rPr>
              <w:t xml:space="preserve"> </w:t>
            </w:r>
            <w:r w:rsidRPr="00A12297">
              <w:rPr>
                <w:lang w:val="en-US"/>
              </w:rPr>
              <w:t>210</w:t>
            </w:r>
          </w:p>
        </w:tc>
      </w:tr>
      <w:tr w:rsidR="002E5D98" w:rsidRPr="008F6C08" w14:paraId="2D7DBDAC" w14:textId="77777777" w:rsidTr="002E5D98">
        <w:trPr>
          <w:trHeight w:val="756"/>
        </w:trPr>
        <w:tc>
          <w:tcPr>
            <w:cnfStyle w:val="001000000000" w:firstRow="0" w:lastRow="0" w:firstColumn="1" w:lastColumn="0" w:oddVBand="0" w:evenVBand="0" w:oddHBand="0" w:evenHBand="0" w:firstRowFirstColumn="0" w:firstRowLastColumn="0" w:lastRowFirstColumn="0" w:lastRowLastColumn="0"/>
            <w:tcW w:w="2122" w:type="dxa"/>
          </w:tcPr>
          <w:p w14:paraId="6D0D7137" w14:textId="77777777" w:rsidR="00DD69AF" w:rsidRPr="00A12297" w:rsidRDefault="00DD69AF" w:rsidP="00C13873">
            <w:pPr>
              <w:pStyle w:val="Tabletext0"/>
              <w:spacing w:before="40"/>
              <w:ind w:left="0"/>
              <w:rPr>
                <w:lang w:val="en-US"/>
              </w:rPr>
            </w:pPr>
            <w:r w:rsidRPr="00A12297">
              <w:rPr>
                <w:w w:val="105"/>
                <w:lang w:val="en-US"/>
              </w:rPr>
              <w:t>Based on IWG criteria</w:t>
            </w:r>
          </w:p>
        </w:tc>
        <w:tc>
          <w:tcPr>
            <w:tcW w:w="1842" w:type="dxa"/>
          </w:tcPr>
          <w:p w14:paraId="37BD3169" w14:textId="77777777"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54</w:t>
            </w:r>
          </w:p>
          <w:p w14:paraId="701D484E" w14:textId="578F241E"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(78.3, 66.7</w:t>
            </w:r>
            <w:r w:rsidR="00CC693A">
              <w:rPr>
                <w:w w:val="105"/>
                <w:lang w:val="en-US"/>
              </w:rPr>
              <w:t xml:space="preserve"> to </w:t>
            </w:r>
            <w:r w:rsidRPr="00A12297">
              <w:rPr>
                <w:w w:val="105"/>
                <w:lang w:val="en-US"/>
              </w:rPr>
              <w:t>87.3)</w:t>
            </w:r>
          </w:p>
        </w:tc>
        <w:tc>
          <w:tcPr>
            <w:tcW w:w="1843" w:type="dxa"/>
          </w:tcPr>
          <w:p w14:paraId="2E6BDD43" w14:textId="77777777"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52</w:t>
            </w:r>
          </w:p>
          <w:p w14:paraId="7B140FCE" w14:textId="2969816B"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(64.2, 52.8</w:t>
            </w:r>
            <w:r w:rsidR="00CC693A">
              <w:rPr>
                <w:w w:val="105"/>
                <w:lang w:val="en-US"/>
              </w:rPr>
              <w:t xml:space="preserve"> to </w:t>
            </w:r>
            <w:r w:rsidRPr="00A12297">
              <w:rPr>
                <w:w w:val="105"/>
                <w:lang w:val="en-US"/>
              </w:rPr>
              <w:t>74.6)</w:t>
            </w:r>
          </w:p>
        </w:tc>
        <w:tc>
          <w:tcPr>
            <w:tcW w:w="1843" w:type="dxa"/>
          </w:tcPr>
          <w:p w14:paraId="4BAF4214" w14:textId="77777777"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43</w:t>
            </w:r>
          </w:p>
          <w:p w14:paraId="1D86D701" w14:textId="77777777"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(71.7, 58.6-82.5)</w:t>
            </w:r>
          </w:p>
        </w:tc>
        <w:tc>
          <w:tcPr>
            <w:tcW w:w="1345" w:type="dxa"/>
          </w:tcPr>
          <w:p w14:paraId="58F2FDC1" w14:textId="77777777"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149</w:t>
            </w:r>
          </w:p>
          <w:p w14:paraId="7CFDBE62" w14:textId="4F96BCA3"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(71.0, 64.3</w:t>
            </w:r>
            <w:r w:rsidR="00CC693A">
              <w:rPr>
                <w:w w:val="105"/>
                <w:lang w:val="en-US"/>
              </w:rPr>
              <w:t xml:space="preserve"> to </w:t>
            </w:r>
            <w:r w:rsidRPr="00A12297">
              <w:rPr>
                <w:w w:val="105"/>
                <w:lang w:val="en-US"/>
              </w:rPr>
              <w:t>77.0)</w:t>
            </w:r>
          </w:p>
        </w:tc>
      </w:tr>
      <w:tr w:rsidR="002E5D98" w:rsidRPr="008F6C08" w14:paraId="19C0D700" w14:textId="77777777" w:rsidTr="002E5D98">
        <w:trPr>
          <w:trHeight w:val="755"/>
        </w:trPr>
        <w:tc>
          <w:tcPr>
            <w:cnfStyle w:val="001000000000" w:firstRow="0" w:lastRow="0" w:firstColumn="1" w:lastColumn="0" w:oddVBand="0" w:evenVBand="0" w:oddHBand="0" w:evenHBand="0" w:firstRowFirstColumn="0" w:firstRowLastColumn="0" w:lastRowFirstColumn="0" w:lastRowLastColumn="0"/>
            <w:tcW w:w="2122" w:type="dxa"/>
          </w:tcPr>
          <w:p w14:paraId="4BE243EE" w14:textId="77777777" w:rsidR="00DD69AF" w:rsidRPr="00A12297" w:rsidRDefault="00DD69AF" w:rsidP="00C13873">
            <w:pPr>
              <w:pStyle w:val="Tabletext0"/>
              <w:spacing w:before="40"/>
              <w:ind w:left="0"/>
              <w:rPr>
                <w:lang w:val="en-US"/>
              </w:rPr>
            </w:pPr>
            <w:r w:rsidRPr="00A12297">
              <w:rPr>
                <w:w w:val="105"/>
                <w:lang w:val="en-US"/>
              </w:rPr>
              <w:t>Based on Lugano criteria</w:t>
            </w:r>
          </w:p>
        </w:tc>
        <w:tc>
          <w:tcPr>
            <w:tcW w:w="1842" w:type="dxa"/>
          </w:tcPr>
          <w:p w14:paraId="4254D023" w14:textId="77777777"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58</w:t>
            </w:r>
          </w:p>
          <w:p w14:paraId="4AC19DEA" w14:textId="64CFA017"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(84.1, 73.3</w:t>
            </w:r>
            <w:r w:rsidR="00CC693A">
              <w:rPr>
                <w:w w:val="105"/>
                <w:lang w:val="en-US"/>
              </w:rPr>
              <w:t xml:space="preserve"> to </w:t>
            </w:r>
            <w:r w:rsidRPr="00A12297">
              <w:rPr>
                <w:w w:val="105"/>
                <w:lang w:val="en-US"/>
              </w:rPr>
              <w:t>91.8)</w:t>
            </w:r>
          </w:p>
        </w:tc>
        <w:tc>
          <w:tcPr>
            <w:tcW w:w="1843" w:type="dxa"/>
          </w:tcPr>
          <w:p w14:paraId="00D3F3A0" w14:textId="77777777"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55</w:t>
            </w:r>
          </w:p>
          <w:p w14:paraId="5E35FDE4" w14:textId="0C3D7B42"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(67.9, 56.6</w:t>
            </w:r>
            <w:r w:rsidR="00CC693A">
              <w:rPr>
                <w:w w:val="105"/>
                <w:lang w:val="en-US"/>
              </w:rPr>
              <w:t xml:space="preserve"> to </w:t>
            </w:r>
            <w:r w:rsidRPr="00A12297">
              <w:rPr>
                <w:w w:val="105"/>
                <w:lang w:val="en-US"/>
              </w:rPr>
              <w:t>77.8)</w:t>
            </w:r>
          </w:p>
        </w:tc>
        <w:tc>
          <w:tcPr>
            <w:tcW w:w="1843" w:type="dxa"/>
          </w:tcPr>
          <w:p w14:paraId="5859F995" w14:textId="77777777"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41</w:t>
            </w:r>
          </w:p>
          <w:p w14:paraId="0EC8A1B3" w14:textId="2DAE51D8"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(68.3, 55.0</w:t>
            </w:r>
            <w:r w:rsidR="00CC693A">
              <w:rPr>
                <w:w w:val="105"/>
                <w:lang w:val="en-US"/>
              </w:rPr>
              <w:t xml:space="preserve"> to </w:t>
            </w:r>
            <w:r w:rsidRPr="00A12297">
              <w:rPr>
                <w:w w:val="105"/>
                <w:lang w:val="en-US"/>
              </w:rPr>
              <w:t>79.7)</w:t>
            </w:r>
          </w:p>
        </w:tc>
        <w:tc>
          <w:tcPr>
            <w:tcW w:w="1345" w:type="dxa"/>
          </w:tcPr>
          <w:p w14:paraId="41EFF7F7" w14:textId="77777777"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154</w:t>
            </w:r>
          </w:p>
          <w:p w14:paraId="2E089174" w14:textId="13868E28" w:rsidR="00DD69AF" w:rsidRPr="00A12297" w:rsidRDefault="00DD69AF" w:rsidP="00C13873">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(73.3, 66.8</w:t>
            </w:r>
            <w:r w:rsidR="00CC693A">
              <w:rPr>
                <w:w w:val="105"/>
                <w:lang w:val="en-US"/>
              </w:rPr>
              <w:t xml:space="preserve"> to </w:t>
            </w:r>
            <w:r w:rsidRPr="00A12297">
              <w:rPr>
                <w:w w:val="105"/>
                <w:lang w:val="en-US"/>
              </w:rPr>
              <w:t>79.2)</w:t>
            </w:r>
          </w:p>
        </w:tc>
      </w:tr>
      <w:tr w:rsidR="002E5D98" w:rsidRPr="008F6C08" w14:paraId="17E893B1" w14:textId="77777777" w:rsidTr="002E5D98">
        <w:trPr>
          <w:trHeight w:val="376"/>
        </w:trPr>
        <w:tc>
          <w:tcPr>
            <w:cnfStyle w:val="001000000000" w:firstRow="0" w:lastRow="0" w:firstColumn="1" w:lastColumn="0" w:oddVBand="0" w:evenVBand="0" w:oddHBand="0" w:evenHBand="0" w:firstRowFirstColumn="0" w:firstRowLastColumn="0" w:lastRowFirstColumn="0" w:lastRowLastColumn="0"/>
            <w:tcW w:w="2122" w:type="dxa"/>
          </w:tcPr>
          <w:p w14:paraId="1604D5E6" w14:textId="0E51A86F" w:rsidR="00DD69AF" w:rsidRPr="00A12297" w:rsidRDefault="00DD69AF" w:rsidP="002E5D98">
            <w:pPr>
              <w:pStyle w:val="Tabletext0"/>
              <w:spacing w:before="40"/>
              <w:ind w:left="0"/>
              <w:rPr>
                <w:b/>
                <w:bCs/>
                <w:lang w:val="en-US"/>
              </w:rPr>
            </w:pPr>
            <w:r w:rsidRPr="00A12297">
              <w:rPr>
                <w:b/>
                <w:bCs/>
                <w:w w:val="105"/>
                <w:lang w:val="en-US"/>
              </w:rPr>
              <w:t xml:space="preserve">CRR by BICR, </w:t>
            </w:r>
            <w:r w:rsidR="00A12297">
              <w:rPr>
                <w:b/>
                <w:bCs/>
                <w:w w:val="105"/>
                <w:lang w:val="en-US"/>
              </w:rPr>
              <w:br/>
            </w:r>
            <w:r w:rsidRPr="00A12297">
              <w:rPr>
                <w:b/>
                <w:bCs/>
                <w:w w:val="105"/>
                <w:lang w:val="en-US"/>
              </w:rPr>
              <w:t xml:space="preserve">n </w:t>
            </w:r>
            <w:r w:rsidR="00193461">
              <w:rPr>
                <w:b/>
                <w:bCs/>
                <w:w w:val="105"/>
                <w:lang w:val="en-US"/>
              </w:rPr>
              <w:t>(</w:t>
            </w:r>
            <w:r w:rsidRPr="00A12297">
              <w:rPr>
                <w:b/>
                <w:bCs/>
                <w:w w:val="105"/>
                <w:lang w:val="en-US"/>
              </w:rPr>
              <w:t>%)</w:t>
            </w:r>
          </w:p>
        </w:tc>
        <w:tc>
          <w:tcPr>
            <w:tcW w:w="1842" w:type="dxa"/>
          </w:tcPr>
          <w:p w14:paraId="528E8330" w14:textId="1EE02460"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69</w:t>
            </w:r>
          </w:p>
        </w:tc>
        <w:tc>
          <w:tcPr>
            <w:tcW w:w="1843" w:type="dxa"/>
          </w:tcPr>
          <w:p w14:paraId="404BAFD7" w14:textId="48696481"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81</w:t>
            </w:r>
          </w:p>
        </w:tc>
        <w:tc>
          <w:tcPr>
            <w:tcW w:w="1843" w:type="dxa"/>
          </w:tcPr>
          <w:p w14:paraId="32A5980F" w14:textId="02FC9319"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60</w:t>
            </w:r>
          </w:p>
        </w:tc>
        <w:tc>
          <w:tcPr>
            <w:tcW w:w="1345" w:type="dxa"/>
          </w:tcPr>
          <w:p w14:paraId="15C73FD5"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lang w:val="en-US"/>
              </w:rPr>
            </w:pPr>
            <w:r w:rsidRPr="00A12297">
              <w:rPr>
                <w:b/>
                <w:bCs/>
                <w:lang w:val="en-US"/>
              </w:rPr>
              <w:t>N=210</w:t>
            </w:r>
          </w:p>
        </w:tc>
      </w:tr>
      <w:tr w:rsidR="002E5D98" w:rsidRPr="008F6C08" w14:paraId="2FA81F2D" w14:textId="77777777" w:rsidTr="002E5D98">
        <w:trPr>
          <w:trHeight w:val="372"/>
        </w:trPr>
        <w:tc>
          <w:tcPr>
            <w:cnfStyle w:val="001000000000" w:firstRow="0" w:lastRow="0" w:firstColumn="1" w:lastColumn="0" w:oddVBand="0" w:evenVBand="0" w:oddHBand="0" w:evenHBand="0" w:firstRowFirstColumn="0" w:firstRowLastColumn="0" w:lastRowFirstColumn="0" w:lastRowLastColumn="0"/>
            <w:tcW w:w="2122" w:type="dxa"/>
          </w:tcPr>
          <w:p w14:paraId="5076A173" w14:textId="77777777" w:rsidR="00DD69AF" w:rsidRPr="00A12297" w:rsidRDefault="00DD69AF" w:rsidP="002E5D98">
            <w:pPr>
              <w:pStyle w:val="Tabletext0"/>
              <w:spacing w:before="40"/>
              <w:ind w:left="0"/>
              <w:rPr>
                <w:lang w:val="en-US"/>
              </w:rPr>
            </w:pPr>
            <w:r w:rsidRPr="00A12297">
              <w:rPr>
                <w:w w:val="105"/>
                <w:lang w:val="en-US"/>
              </w:rPr>
              <w:t>Based on IWG criteria</w:t>
            </w:r>
          </w:p>
        </w:tc>
        <w:tc>
          <w:tcPr>
            <w:tcW w:w="1842" w:type="dxa"/>
          </w:tcPr>
          <w:p w14:paraId="721CA2CC"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18 (26.1)</w:t>
            </w:r>
          </w:p>
        </w:tc>
        <w:tc>
          <w:tcPr>
            <w:tcW w:w="1843" w:type="dxa"/>
          </w:tcPr>
          <w:p w14:paraId="4F9E6D23"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21 (25.9)</w:t>
            </w:r>
          </w:p>
        </w:tc>
        <w:tc>
          <w:tcPr>
            <w:tcW w:w="1843" w:type="dxa"/>
          </w:tcPr>
          <w:p w14:paraId="0BCDA977"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19 (31.7)</w:t>
            </w:r>
          </w:p>
        </w:tc>
        <w:tc>
          <w:tcPr>
            <w:tcW w:w="1345" w:type="dxa"/>
          </w:tcPr>
          <w:p w14:paraId="6BEAF439"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58 (27.6)</w:t>
            </w:r>
          </w:p>
        </w:tc>
      </w:tr>
      <w:tr w:rsidR="002E5D98" w:rsidRPr="008F6C08" w14:paraId="593FE7B6" w14:textId="77777777" w:rsidTr="002E5D98">
        <w:trPr>
          <w:trHeight w:val="376"/>
        </w:trPr>
        <w:tc>
          <w:tcPr>
            <w:cnfStyle w:val="001000000000" w:firstRow="0" w:lastRow="0" w:firstColumn="1" w:lastColumn="0" w:oddVBand="0" w:evenVBand="0" w:oddHBand="0" w:evenHBand="0" w:firstRowFirstColumn="0" w:firstRowLastColumn="0" w:lastRowFirstColumn="0" w:lastRowLastColumn="0"/>
            <w:tcW w:w="2122" w:type="dxa"/>
          </w:tcPr>
          <w:p w14:paraId="5FC0CD8C" w14:textId="77777777" w:rsidR="00DD69AF" w:rsidRPr="00A12297" w:rsidRDefault="00DD69AF" w:rsidP="002E5D98">
            <w:pPr>
              <w:pStyle w:val="Tabletext0"/>
              <w:spacing w:before="40"/>
              <w:ind w:left="0"/>
              <w:rPr>
                <w:lang w:val="en-US"/>
              </w:rPr>
            </w:pPr>
            <w:r w:rsidRPr="00A12297">
              <w:rPr>
                <w:w w:val="105"/>
                <w:lang w:val="en-US"/>
              </w:rPr>
              <w:t>Based on Lugano criteria</w:t>
            </w:r>
          </w:p>
        </w:tc>
        <w:tc>
          <w:tcPr>
            <w:tcW w:w="1842" w:type="dxa"/>
          </w:tcPr>
          <w:p w14:paraId="029A69A7"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25 (36.2)</w:t>
            </w:r>
          </w:p>
        </w:tc>
        <w:tc>
          <w:tcPr>
            <w:tcW w:w="1843" w:type="dxa"/>
          </w:tcPr>
          <w:p w14:paraId="78D3CD75"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23 (28.4)</w:t>
            </w:r>
          </w:p>
        </w:tc>
        <w:tc>
          <w:tcPr>
            <w:tcW w:w="1843" w:type="dxa"/>
          </w:tcPr>
          <w:p w14:paraId="707DFEA2"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21 (35.0)</w:t>
            </w:r>
          </w:p>
        </w:tc>
        <w:tc>
          <w:tcPr>
            <w:tcW w:w="1345" w:type="dxa"/>
          </w:tcPr>
          <w:p w14:paraId="2C9E8ACF"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69 (32.9)</w:t>
            </w:r>
          </w:p>
        </w:tc>
      </w:tr>
      <w:tr w:rsidR="002E5D98" w:rsidRPr="008F6C08" w14:paraId="64B78E04" w14:textId="77777777" w:rsidTr="002E5D98">
        <w:trPr>
          <w:trHeight w:val="373"/>
        </w:trPr>
        <w:tc>
          <w:tcPr>
            <w:cnfStyle w:val="001000000000" w:firstRow="0" w:lastRow="0" w:firstColumn="1" w:lastColumn="0" w:oddVBand="0" w:evenVBand="0" w:oddHBand="0" w:evenHBand="0" w:firstRowFirstColumn="0" w:firstRowLastColumn="0" w:lastRowFirstColumn="0" w:lastRowLastColumn="0"/>
            <w:tcW w:w="2122" w:type="dxa"/>
          </w:tcPr>
          <w:p w14:paraId="03A91A05" w14:textId="77777777" w:rsidR="00DD69AF" w:rsidRPr="00A12297" w:rsidRDefault="00DD69AF" w:rsidP="002E5D98">
            <w:pPr>
              <w:pStyle w:val="Tabletext0"/>
              <w:spacing w:before="40"/>
              <w:ind w:left="0"/>
              <w:rPr>
                <w:b/>
                <w:bCs/>
                <w:lang w:val="en-US"/>
              </w:rPr>
            </w:pPr>
            <w:r w:rsidRPr="00A12297">
              <w:rPr>
                <w:b/>
                <w:bCs/>
                <w:w w:val="105"/>
                <w:lang w:val="en-US"/>
              </w:rPr>
              <w:t>DOR, months</w:t>
            </w:r>
          </w:p>
        </w:tc>
        <w:tc>
          <w:tcPr>
            <w:tcW w:w="1842" w:type="dxa"/>
          </w:tcPr>
          <w:p w14:paraId="0957F0AF" w14:textId="2A8E4897"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54</w:t>
            </w:r>
          </w:p>
        </w:tc>
        <w:tc>
          <w:tcPr>
            <w:tcW w:w="1843" w:type="dxa"/>
          </w:tcPr>
          <w:p w14:paraId="0DB92C44" w14:textId="252A11CD"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52</w:t>
            </w:r>
          </w:p>
        </w:tc>
        <w:tc>
          <w:tcPr>
            <w:tcW w:w="1843" w:type="dxa"/>
          </w:tcPr>
          <w:p w14:paraId="13E3D325" w14:textId="66E3A964"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43</w:t>
            </w:r>
          </w:p>
        </w:tc>
        <w:tc>
          <w:tcPr>
            <w:tcW w:w="1345" w:type="dxa"/>
          </w:tcPr>
          <w:p w14:paraId="2627ECE3" w14:textId="0D89437B"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lang w:val="en-US"/>
              </w:rPr>
            </w:pPr>
            <w:r w:rsidRPr="00A12297">
              <w:rPr>
                <w:b/>
                <w:bCs/>
                <w:lang w:val="en-US"/>
              </w:rPr>
              <w:t>N</w:t>
            </w:r>
            <w:r w:rsidR="00A12297">
              <w:rPr>
                <w:b/>
                <w:bCs/>
                <w:lang w:val="en-US"/>
              </w:rPr>
              <w:t xml:space="preserve"> </w:t>
            </w:r>
            <w:r w:rsidRPr="00A12297">
              <w:rPr>
                <w:b/>
                <w:bCs/>
                <w:lang w:val="en-US"/>
              </w:rPr>
              <w:t>=</w:t>
            </w:r>
            <w:r w:rsidR="00A12297">
              <w:rPr>
                <w:b/>
                <w:bCs/>
                <w:lang w:val="en-US"/>
              </w:rPr>
              <w:t xml:space="preserve"> </w:t>
            </w:r>
            <w:r w:rsidRPr="00A12297">
              <w:rPr>
                <w:b/>
                <w:bCs/>
                <w:lang w:val="en-US"/>
              </w:rPr>
              <w:t>149</w:t>
            </w:r>
          </w:p>
        </w:tc>
      </w:tr>
      <w:tr w:rsidR="002E5D98" w:rsidRPr="008F6C08" w14:paraId="19F0FA80" w14:textId="77777777" w:rsidTr="002E5D98">
        <w:trPr>
          <w:trHeight w:val="373"/>
        </w:trPr>
        <w:tc>
          <w:tcPr>
            <w:cnfStyle w:val="001000000000" w:firstRow="0" w:lastRow="0" w:firstColumn="1" w:lastColumn="0" w:oddVBand="0" w:evenVBand="0" w:oddHBand="0" w:evenHBand="0" w:firstRowFirstColumn="0" w:firstRowLastColumn="0" w:lastRowFirstColumn="0" w:lastRowLastColumn="0"/>
            <w:tcW w:w="2122" w:type="dxa"/>
          </w:tcPr>
          <w:p w14:paraId="70D00937" w14:textId="6B8A4AD8" w:rsidR="00DD69AF" w:rsidRPr="00A12297" w:rsidRDefault="00DD69AF" w:rsidP="002E5D98">
            <w:pPr>
              <w:pStyle w:val="Tabletext0"/>
              <w:spacing w:before="40"/>
              <w:ind w:left="0"/>
              <w:rPr>
                <w:w w:val="105"/>
                <w:lang w:val="en-US"/>
              </w:rPr>
            </w:pPr>
            <w:r w:rsidRPr="00A12297">
              <w:rPr>
                <w:w w:val="105"/>
                <w:lang w:val="en-US"/>
              </w:rPr>
              <w:t>Median (range</w:t>
            </w:r>
            <w:proofErr w:type="gramStart"/>
            <w:r w:rsidRPr="00A12297">
              <w:rPr>
                <w:w w:val="105"/>
                <w:lang w:val="en-US"/>
              </w:rPr>
              <w:t>)</w:t>
            </w:r>
            <w:r w:rsidR="00CC693A">
              <w:rPr>
                <w:w w:val="105"/>
                <w:lang w:val="en-US"/>
              </w:rPr>
              <w:t>;</w:t>
            </w:r>
            <w:r w:rsidR="00CC693A">
              <w:rPr>
                <w:w w:val="105"/>
                <w:vertAlign w:val="superscript"/>
                <w:lang w:val="en-US"/>
              </w:rPr>
              <w:t>c</w:t>
            </w:r>
            <w:proofErr w:type="gramEnd"/>
          </w:p>
        </w:tc>
        <w:tc>
          <w:tcPr>
            <w:tcW w:w="1842" w:type="dxa"/>
          </w:tcPr>
          <w:p w14:paraId="77FE740B"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25.0 (0.0+, 36.1+)</w:t>
            </w:r>
          </w:p>
        </w:tc>
        <w:tc>
          <w:tcPr>
            <w:tcW w:w="1843" w:type="dxa"/>
          </w:tcPr>
          <w:p w14:paraId="77B6CDF1"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11.1 (0.0+, 35.9+)</w:t>
            </w:r>
          </w:p>
        </w:tc>
        <w:tc>
          <w:tcPr>
            <w:tcW w:w="1843" w:type="dxa"/>
          </w:tcPr>
          <w:p w14:paraId="3B0791CF"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16.8 (0.0+, 39.1+)</w:t>
            </w:r>
          </w:p>
        </w:tc>
        <w:tc>
          <w:tcPr>
            <w:tcW w:w="1345" w:type="dxa"/>
          </w:tcPr>
          <w:p w14:paraId="2C718466"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16.6 (0.0+, 39.1+)</w:t>
            </w:r>
          </w:p>
        </w:tc>
      </w:tr>
      <w:tr w:rsidR="002E5D98" w:rsidRPr="008F6C08" w14:paraId="2E7F43F6" w14:textId="77777777" w:rsidTr="002E5D98">
        <w:trPr>
          <w:trHeight w:val="373"/>
        </w:trPr>
        <w:tc>
          <w:tcPr>
            <w:cnfStyle w:val="001000000000" w:firstRow="0" w:lastRow="0" w:firstColumn="1" w:lastColumn="0" w:oddVBand="0" w:evenVBand="0" w:oddHBand="0" w:evenHBand="0" w:firstRowFirstColumn="0" w:firstRowLastColumn="0" w:lastRowFirstColumn="0" w:lastRowLastColumn="0"/>
            <w:tcW w:w="2122" w:type="dxa"/>
          </w:tcPr>
          <w:p w14:paraId="4CC6B1E1" w14:textId="77777777" w:rsidR="00DD69AF" w:rsidRPr="00A12297" w:rsidRDefault="00DD69AF" w:rsidP="002E5D98">
            <w:pPr>
              <w:pStyle w:val="Tabletext0"/>
              <w:spacing w:before="40"/>
              <w:ind w:left="0"/>
              <w:rPr>
                <w:b/>
                <w:bCs/>
                <w:w w:val="105"/>
                <w:lang w:val="en-US"/>
              </w:rPr>
            </w:pPr>
            <w:r w:rsidRPr="00A12297">
              <w:rPr>
                <w:b/>
                <w:bCs/>
                <w:w w:val="105"/>
                <w:lang w:val="en-US"/>
              </w:rPr>
              <w:t>PFS by BICR</w:t>
            </w:r>
          </w:p>
        </w:tc>
        <w:tc>
          <w:tcPr>
            <w:tcW w:w="1842" w:type="dxa"/>
          </w:tcPr>
          <w:p w14:paraId="7DA2D31C" w14:textId="53BFD319"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w w:val="105"/>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43</w:t>
            </w:r>
          </w:p>
        </w:tc>
        <w:tc>
          <w:tcPr>
            <w:tcW w:w="1843" w:type="dxa"/>
          </w:tcPr>
          <w:p w14:paraId="6A89D939" w14:textId="1718640F"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w w:val="105"/>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54</w:t>
            </w:r>
          </w:p>
        </w:tc>
        <w:tc>
          <w:tcPr>
            <w:tcW w:w="1843" w:type="dxa"/>
          </w:tcPr>
          <w:p w14:paraId="455F49E1" w14:textId="0B3B2CEB"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w w:val="105"/>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36</w:t>
            </w:r>
          </w:p>
        </w:tc>
        <w:tc>
          <w:tcPr>
            <w:tcW w:w="1345" w:type="dxa"/>
          </w:tcPr>
          <w:p w14:paraId="73A22556"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lang w:val="en-US"/>
              </w:rPr>
            </w:pPr>
            <w:r w:rsidRPr="00A12297">
              <w:rPr>
                <w:b/>
                <w:bCs/>
                <w:w w:val="105"/>
                <w:lang w:val="en-US"/>
              </w:rPr>
              <w:t>N=133</w:t>
            </w:r>
          </w:p>
        </w:tc>
      </w:tr>
      <w:tr w:rsidR="002E5D98" w:rsidRPr="008F6C08" w14:paraId="64AA084D" w14:textId="77777777" w:rsidTr="002E5D98">
        <w:trPr>
          <w:trHeight w:val="373"/>
        </w:trPr>
        <w:tc>
          <w:tcPr>
            <w:cnfStyle w:val="001000000000" w:firstRow="0" w:lastRow="0" w:firstColumn="1" w:lastColumn="0" w:oddVBand="0" w:evenVBand="0" w:oddHBand="0" w:evenHBand="0" w:firstRowFirstColumn="0" w:firstRowLastColumn="0" w:lastRowFirstColumn="0" w:lastRowLastColumn="0"/>
            <w:tcW w:w="2122" w:type="dxa"/>
          </w:tcPr>
          <w:p w14:paraId="635F079C" w14:textId="77777777" w:rsidR="00DD69AF" w:rsidRPr="00A12297" w:rsidRDefault="00DD69AF" w:rsidP="002E5D98">
            <w:pPr>
              <w:pStyle w:val="Tabletext0"/>
              <w:spacing w:before="40"/>
              <w:ind w:left="0"/>
              <w:rPr>
                <w:w w:val="105"/>
                <w:lang w:val="en-US"/>
              </w:rPr>
            </w:pPr>
            <w:r w:rsidRPr="00A12297">
              <w:rPr>
                <w:w w:val="105"/>
                <w:lang w:val="en-US"/>
              </w:rPr>
              <w:t>Median (95% CI), months</w:t>
            </w:r>
          </w:p>
        </w:tc>
        <w:tc>
          <w:tcPr>
            <w:tcW w:w="1842" w:type="dxa"/>
          </w:tcPr>
          <w:p w14:paraId="4FB3E44E"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16.4 (11.3, 27.6)</w:t>
            </w:r>
          </w:p>
        </w:tc>
        <w:tc>
          <w:tcPr>
            <w:tcW w:w="1843" w:type="dxa"/>
          </w:tcPr>
          <w:p w14:paraId="434A6F1C"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11.1 (7.3,13.5)</w:t>
            </w:r>
          </w:p>
        </w:tc>
        <w:tc>
          <w:tcPr>
            <w:tcW w:w="1843" w:type="dxa"/>
          </w:tcPr>
          <w:p w14:paraId="199558CB"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19.4 (8.4, 22.1)</w:t>
            </w:r>
          </w:p>
        </w:tc>
        <w:tc>
          <w:tcPr>
            <w:tcW w:w="1345" w:type="dxa"/>
          </w:tcPr>
          <w:p w14:paraId="117C3280"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13.6 (11.1, 16.7)</w:t>
            </w:r>
          </w:p>
        </w:tc>
      </w:tr>
      <w:tr w:rsidR="002E5D98" w:rsidRPr="008F6C08" w14:paraId="0C128C18" w14:textId="77777777" w:rsidTr="002E5D98">
        <w:trPr>
          <w:trHeight w:val="373"/>
        </w:trPr>
        <w:tc>
          <w:tcPr>
            <w:cnfStyle w:val="001000000000" w:firstRow="0" w:lastRow="0" w:firstColumn="1" w:lastColumn="0" w:oddVBand="0" w:evenVBand="0" w:oddHBand="0" w:evenHBand="0" w:firstRowFirstColumn="0" w:firstRowLastColumn="0" w:lastRowFirstColumn="0" w:lastRowLastColumn="0"/>
            <w:tcW w:w="2122" w:type="dxa"/>
          </w:tcPr>
          <w:p w14:paraId="6A0D6DD4" w14:textId="70DAE58C" w:rsidR="00DD69AF" w:rsidRPr="00A12297" w:rsidRDefault="00DD69AF" w:rsidP="002E5D98">
            <w:pPr>
              <w:pStyle w:val="Tabletext0"/>
              <w:spacing w:before="40"/>
              <w:ind w:left="0"/>
              <w:rPr>
                <w:w w:val="105"/>
                <w:lang w:val="en-US"/>
              </w:rPr>
            </w:pPr>
            <w:r w:rsidRPr="00A12297">
              <w:rPr>
                <w:w w:val="105"/>
                <w:lang w:val="en-US"/>
              </w:rPr>
              <w:t xml:space="preserve">Rate at 12 </w:t>
            </w:r>
            <w:proofErr w:type="spellStart"/>
            <w:proofErr w:type="gramStart"/>
            <w:r w:rsidRPr="00A12297">
              <w:rPr>
                <w:w w:val="105"/>
                <w:lang w:val="en-US"/>
              </w:rPr>
              <w:t>months</w:t>
            </w:r>
            <w:r w:rsidR="00CC693A">
              <w:rPr>
                <w:w w:val="105"/>
                <w:lang w:val="en-US"/>
              </w:rPr>
              <w:t>;</w:t>
            </w:r>
            <w:r w:rsidR="00CC693A">
              <w:rPr>
                <w:w w:val="105"/>
                <w:vertAlign w:val="superscript"/>
                <w:lang w:val="en-US"/>
              </w:rPr>
              <w:t>d</w:t>
            </w:r>
            <w:proofErr w:type="spellEnd"/>
            <w:proofErr w:type="gramEnd"/>
            <w:r w:rsidRPr="00A12297">
              <w:rPr>
                <w:w w:val="105"/>
                <w:lang w:val="en-US"/>
              </w:rPr>
              <w:t xml:space="preserve"> %</w:t>
            </w:r>
          </w:p>
        </w:tc>
        <w:tc>
          <w:tcPr>
            <w:tcW w:w="1842" w:type="dxa"/>
          </w:tcPr>
          <w:p w14:paraId="203B4186"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61.3</w:t>
            </w:r>
          </w:p>
        </w:tc>
        <w:tc>
          <w:tcPr>
            <w:tcW w:w="1843" w:type="dxa"/>
          </w:tcPr>
          <w:p w14:paraId="1C4D6D8D"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43.0</w:t>
            </w:r>
          </w:p>
        </w:tc>
        <w:tc>
          <w:tcPr>
            <w:tcW w:w="1843" w:type="dxa"/>
          </w:tcPr>
          <w:p w14:paraId="617072B8"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53.9</w:t>
            </w:r>
          </w:p>
        </w:tc>
        <w:tc>
          <w:tcPr>
            <w:tcW w:w="1345" w:type="dxa"/>
          </w:tcPr>
          <w:p w14:paraId="31EDD509"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52.3</w:t>
            </w:r>
          </w:p>
        </w:tc>
      </w:tr>
      <w:tr w:rsidR="002E5D98" w:rsidRPr="008F6C08" w14:paraId="31205858" w14:textId="77777777" w:rsidTr="002E5D98">
        <w:trPr>
          <w:trHeight w:val="373"/>
        </w:trPr>
        <w:tc>
          <w:tcPr>
            <w:cnfStyle w:val="001000000000" w:firstRow="0" w:lastRow="0" w:firstColumn="1" w:lastColumn="0" w:oddVBand="0" w:evenVBand="0" w:oddHBand="0" w:evenHBand="0" w:firstRowFirstColumn="0" w:firstRowLastColumn="0" w:lastRowFirstColumn="0" w:lastRowLastColumn="0"/>
            <w:tcW w:w="2122" w:type="dxa"/>
          </w:tcPr>
          <w:p w14:paraId="3E9535AF" w14:textId="11D4E7F1" w:rsidR="00DD69AF" w:rsidRPr="00A12297" w:rsidRDefault="00DD69AF" w:rsidP="002E5D98">
            <w:pPr>
              <w:pStyle w:val="Tabletext0"/>
              <w:spacing w:before="40"/>
              <w:ind w:left="0"/>
              <w:rPr>
                <w:w w:val="105"/>
                <w:lang w:val="en-US"/>
              </w:rPr>
            </w:pPr>
            <w:r w:rsidRPr="00A12297">
              <w:rPr>
                <w:w w:val="105"/>
                <w:lang w:val="en-US"/>
              </w:rPr>
              <w:t xml:space="preserve">Rate at 24 </w:t>
            </w:r>
            <w:proofErr w:type="spellStart"/>
            <w:proofErr w:type="gramStart"/>
            <w:r w:rsidRPr="00A12297">
              <w:rPr>
                <w:w w:val="105"/>
                <w:lang w:val="en-US"/>
              </w:rPr>
              <w:t>months</w:t>
            </w:r>
            <w:r w:rsidR="00CC693A">
              <w:rPr>
                <w:w w:val="105"/>
                <w:lang w:val="en-US"/>
              </w:rPr>
              <w:t>;</w:t>
            </w:r>
            <w:r w:rsidR="00CC693A">
              <w:rPr>
                <w:w w:val="105"/>
                <w:vertAlign w:val="superscript"/>
                <w:lang w:val="en-US"/>
              </w:rPr>
              <w:t>d</w:t>
            </w:r>
            <w:proofErr w:type="spellEnd"/>
            <w:proofErr w:type="gramEnd"/>
            <w:r w:rsidRPr="00A12297">
              <w:rPr>
                <w:w w:val="105"/>
                <w:lang w:val="en-US"/>
              </w:rPr>
              <w:t xml:space="preserve"> %</w:t>
            </w:r>
          </w:p>
        </w:tc>
        <w:tc>
          <w:tcPr>
            <w:tcW w:w="1842" w:type="dxa"/>
          </w:tcPr>
          <w:p w14:paraId="7D39408E"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41.6</w:t>
            </w:r>
          </w:p>
        </w:tc>
        <w:tc>
          <w:tcPr>
            <w:tcW w:w="1843" w:type="dxa"/>
          </w:tcPr>
          <w:p w14:paraId="186E7A74"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21.9</w:t>
            </w:r>
          </w:p>
        </w:tc>
        <w:tc>
          <w:tcPr>
            <w:tcW w:w="1843" w:type="dxa"/>
          </w:tcPr>
          <w:p w14:paraId="615C7926"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34.0</w:t>
            </w:r>
          </w:p>
        </w:tc>
        <w:tc>
          <w:tcPr>
            <w:tcW w:w="1345" w:type="dxa"/>
          </w:tcPr>
          <w:p w14:paraId="33A08BCF"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32.2</w:t>
            </w:r>
          </w:p>
        </w:tc>
      </w:tr>
      <w:tr w:rsidR="002E5D98" w:rsidRPr="008F6C08" w14:paraId="0D6D4B7D" w14:textId="77777777" w:rsidTr="002E5D98">
        <w:trPr>
          <w:trHeight w:val="373"/>
        </w:trPr>
        <w:tc>
          <w:tcPr>
            <w:cnfStyle w:val="001000000000" w:firstRow="0" w:lastRow="0" w:firstColumn="1" w:lastColumn="0" w:oddVBand="0" w:evenVBand="0" w:oddHBand="0" w:evenHBand="0" w:firstRowFirstColumn="0" w:firstRowLastColumn="0" w:lastRowFirstColumn="0" w:lastRowLastColumn="0"/>
            <w:tcW w:w="2122" w:type="dxa"/>
          </w:tcPr>
          <w:p w14:paraId="40EA0122" w14:textId="3A116B95" w:rsidR="00DD69AF" w:rsidRPr="00A12297" w:rsidRDefault="00DD69AF" w:rsidP="002E5D98">
            <w:pPr>
              <w:pStyle w:val="Tabletext0"/>
              <w:spacing w:before="40"/>
              <w:ind w:left="0"/>
              <w:rPr>
                <w:b/>
                <w:bCs/>
                <w:w w:val="105"/>
                <w:lang w:val="en-US"/>
              </w:rPr>
            </w:pPr>
            <w:r w:rsidRPr="00A12297">
              <w:rPr>
                <w:b/>
                <w:bCs/>
                <w:w w:val="105"/>
                <w:lang w:val="en-US"/>
              </w:rPr>
              <w:t>O</w:t>
            </w:r>
            <w:r w:rsidR="00FB727F">
              <w:rPr>
                <w:b/>
                <w:bCs/>
                <w:w w:val="105"/>
                <w:lang w:val="en-US"/>
              </w:rPr>
              <w:t>S</w:t>
            </w:r>
          </w:p>
        </w:tc>
        <w:tc>
          <w:tcPr>
            <w:tcW w:w="1842" w:type="dxa"/>
          </w:tcPr>
          <w:p w14:paraId="6C3A5508" w14:textId="75BA0B86"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w w:val="105"/>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69</w:t>
            </w:r>
          </w:p>
        </w:tc>
        <w:tc>
          <w:tcPr>
            <w:tcW w:w="1843" w:type="dxa"/>
          </w:tcPr>
          <w:p w14:paraId="14DD1263" w14:textId="798C94FC"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w w:val="105"/>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81</w:t>
            </w:r>
          </w:p>
        </w:tc>
        <w:tc>
          <w:tcPr>
            <w:tcW w:w="1843" w:type="dxa"/>
          </w:tcPr>
          <w:p w14:paraId="00172AD3" w14:textId="01488DDA" w:rsidR="00DD69AF" w:rsidRPr="00A12297" w:rsidRDefault="00A12297"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w w:val="105"/>
                <w:lang w:val="en-US"/>
              </w:rPr>
            </w:pPr>
            <w:r>
              <w:rPr>
                <w:b/>
                <w:bCs/>
                <w:w w:val="105"/>
                <w:lang w:val="en-US"/>
              </w:rPr>
              <w:t xml:space="preserve">n </w:t>
            </w:r>
            <w:r w:rsidR="00DD69AF" w:rsidRPr="00A12297">
              <w:rPr>
                <w:b/>
                <w:bCs/>
                <w:w w:val="105"/>
                <w:lang w:val="en-US"/>
              </w:rPr>
              <w:t>=</w:t>
            </w:r>
            <w:r>
              <w:rPr>
                <w:b/>
                <w:bCs/>
                <w:w w:val="105"/>
                <w:lang w:val="en-US"/>
              </w:rPr>
              <w:t xml:space="preserve"> </w:t>
            </w:r>
            <w:r w:rsidR="00DD69AF" w:rsidRPr="00A12297">
              <w:rPr>
                <w:b/>
                <w:bCs/>
                <w:w w:val="105"/>
                <w:lang w:val="en-US"/>
              </w:rPr>
              <w:t>60</w:t>
            </w:r>
          </w:p>
        </w:tc>
        <w:tc>
          <w:tcPr>
            <w:tcW w:w="1345" w:type="dxa"/>
          </w:tcPr>
          <w:p w14:paraId="13D27F60" w14:textId="786C7845"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b/>
                <w:bCs/>
                <w:lang w:val="en-US"/>
              </w:rPr>
            </w:pPr>
            <w:r w:rsidRPr="00A12297">
              <w:rPr>
                <w:b/>
                <w:bCs/>
                <w:w w:val="105"/>
                <w:lang w:val="en-US"/>
              </w:rPr>
              <w:t>N</w:t>
            </w:r>
            <w:r w:rsidR="00A12297">
              <w:rPr>
                <w:b/>
                <w:bCs/>
                <w:w w:val="105"/>
                <w:lang w:val="en-US"/>
              </w:rPr>
              <w:t xml:space="preserve"> </w:t>
            </w:r>
            <w:r w:rsidRPr="00A12297">
              <w:rPr>
                <w:b/>
                <w:bCs/>
                <w:w w:val="105"/>
                <w:lang w:val="en-US"/>
              </w:rPr>
              <w:t>=</w:t>
            </w:r>
            <w:r w:rsidR="00A12297">
              <w:rPr>
                <w:b/>
                <w:bCs/>
                <w:w w:val="105"/>
                <w:lang w:val="en-US"/>
              </w:rPr>
              <w:t xml:space="preserve"> </w:t>
            </w:r>
            <w:r w:rsidRPr="00A12297">
              <w:rPr>
                <w:b/>
                <w:bCs/>
                <w:w w:val="105"/>
                <w:lang w:val="en-US"/>
              </w:rPr>
              <w:t>210</w:t>
            </w:r>
          </w:p>
        </w:tc>
      </w:tr>
      <w:tr w:rsidR="002E5D98" w:rsidRPr="008F6C08" w14:paraId="41707510" w14:textId="77777777" w:rsidTr="002E5D98">
        <w:trPr>
          <w:trHeight w:val="373"/>
        </w:trPr>
        <w:tc>
          <w:tcPr>
            <w:cnfStyle w:val="001000000000" w:firstRow="0" w:lastRow="0" w:firstColumn="1" w:lastColumn="0" w:oddVBand="0" w:evenVBand="0" w:oddHBand="0" w:evenHBand="0" w:firstRowFirstColumn="0" w:firstRowLastColumn="0" w:lastRowFirstColumn="0" w:lastRowLastColumn="0"/>
            <w:tcW w:w="2122" w:type="dxa"/>
          </w:tcPr>
          <w:p w14:paraId="34F5B1BA" w14:textId="77777777" w:rsidR="00DD69AF" w:rsidRPr="00A12297" w:rsidRDefault="00DD69AF" w:rsidP="002E5D98">
            <w:pPr>
              <w:pStyle w:val="Tabletext0"/>
              <w:spacing w:before="40"/>
              <w:ind w:left="0"/>
              <w:rPr>
                <w:w w:val="105"/>
                <w:lang w:val="en-US"/>
              </w:rPr>
            </w:pPr>
            <w:r w:rsidRPr="00A12297">
              <w:rPr>
                <w:w w:val="105"/>
                <w:lang w:val="en-US"/>
              </w:rPr>
              <w:t>Median, months</w:t>
            </w:r>
          </w:p>
        </w:tc>
        <w:tc>
          <w:tcPr>
            <w:tcW w:w="1842" w:type="dxa"/>
          </w:tcPr>
          <w:p w14:paraId="50B00082"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Not reached</w:t>
            </w:r>
          </w:p>
        </w:tc>
        <w:tc>
          <w:tcPr>
            <w:tcW w:w="1843" w:type="dxa"/>
          </w:tcPr>
          <w:p w14:paraId="0B105DFC"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Not reached</w:t>
            </w:r>
          </w:p>
        </w:tc>
        <w:tc>
          <w:tcPr>
            <w:tcW w:w="1843" w:type="dxa"/>
          </w:tcPr>
          <w:p w14:paraId="0DF24F76"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w w:val="105"/>
                <w:lang w:val="en-US"/>
              </w:rPr>
            </w:pPr>
            <w:r w:rsidRPr="00A12297">
              <w:rPr>
                <w:w w:val="105"/>
                <w:lang w:val="en-US"/>
              </w:rPr>
              <w:t>Not reached</w:t>
            </w:r>
          </w:p>
        </w:tc>
        <w:tc>
          <w:tcPr>
            <w:tcW w:w="1345" w:type="dxa"/>
          </w:tcPr>
          <w:p w14:paraId="23DF1D36" w14:textId="77777777" w:rsidR="00DD69AF" w:rsidRPr="00A12297" w:rsidRDefault="00DD69AF" w:rsidP="002E5D98">
            <w:pPr>
              <w:pStyle w:val="Tabletext0"/>
              <w:spacing w:before="40"/>
              <w:ind w:left="0"/>
              <w:cnfStyle w:val="000000000000" w:firstRow="0" w:lastRow="0" w:firstColumn="0" w:lastColumn="0" w:oddVBand="0" w:evenVBand="0" w:oddHBand="0" w:evenHBand="0" w:firstRowFirstColumn="0" w:firstRowLastColumn="0" w:lastRowFirstColumn="0" w:lastRowLastColumn="0"/>
              <w:rPr>
                <w:lang w:val="en-US"/>
              </w:rPr>
            </w:pPr>
            <w:r w:rsidRPr="00A12297">
              <w:rPr>
                <w:w w:val="105"/>
                <w:lang w:val="en-US"/>
              </w:rPr>
              <w:t>Not reached</w:t>
            </w:r>
          </w:p>
        </w:tc>
      </w:tr>
    </w:tbl>
    <w:p w14:paraId="5949ADA2" w14:textId="5F9D3610" w:rsidR="003E3CF8" w:rsidRPr="002E5D98" w:rsidRDefault="003E3CF8" w:rsidP="000574D9">
      <w:pPr>
        <w:pStyle w:val="TableDescription"/>
      </w:pPr>
      <w:r>
        <w:t>Abbreviations: BICR = blinded independent central review; CI = confidence interval; PFS = progression free survival, ORR = objection response rate; CR = complete response; CRR = complete response rate; HR = hazard reduction; PFS = progression-free survival; PR = partial response, DOR = duration of response.</w:t>
      </w:r>
    </w:p>
    <w:p w14:paraId="17B2FA6D" w14:textId="3509F005" w:rsidR="00CC693A" w:rsidRDefault="003E3CF8" w:rsidP="000574D9">
      <w:pPr>
        <w:pStyle w:val="TableDescription"/>
      </w:pPr>
      <w:proofErr w:type="spellStart"/>
      <w:r>
        <w:rPr>
          <w:vertAlign w:val="superscript"/>
        </w:rPr>
        <w:t>a</w:t>
      </w:r>
      <w:proofErr w:type="spellEnd"/>
      <w:r>
        <w:rPr>
          <w:vertAlign w:val="superscript"/>
        </w:rPr>
        <w:t xml:space="preserve"> </w:t>
      </w:r>
      <w:r>
        <w:t xml:space="preserve">For Lugano criteria, see </w:t>
      </w:r>
      <w:r>
        <w:fldChar w:fldCharType="begin"/>
      </w:r>
      <w:r>
        <w:instrText xml:space="preserve"> REF _Ref136590359 \h </w:instrText>
      </w:r>
      <w:r>
        <w:fldChar w:fldCharType="separate"/>
      </w:r>
      <w:r>
        <w:t xml:space="preserve">Table </w:t>
      </w:r>
      <w:r>
        <w:rPr>
          <w:noProof/>
        </w:rPr>
        <w:t>1</w:t>
      </w:r>
      <w:r>
        <w:fldChar w:fldCharType="end"/>
      </w:r>
      <w:r>
        <w:t>, above.</w:t>
      </w:r>
    </w:p>
    <w:p w14:paraId="661AD784" w14:textId="31A24108" w:rsidR="003E3CF8" w:rsidRPr="002E5D98" w:rsidRDefault="003E3CF8">
      <w:pPr>
        <w:pStyle w:val="TableDescription"/>
      </w:pPr>
      <w:r w:rsidRPr="002E5D98">
        <w:rPr>
          <w:vertAlign w:val="superscript"/>
        </w:rPr>
        <w:t xml:space="preserve">b </w:t>
      </w:r>
      <w:r>
        <w:t>International Working Group (IWG) criteria as per</w:t>
      </w:r>
      <w:r w:rsidR="00CC16D0">
        <w:t xml:space="preserve">: </w:t>
      </w:r>
      <w:proofErr w:type="spellStart"/>
      <w:r w:rsidRPr="003E3CF8">
        <w:t>Cheson</w:t>
      </w:r>
      <w:proofErr w:type="spellEnd"/>
      <w:r w:rsidRPr="003E3CF8">
        <w:t xml:space="preserve"> B, </w:t>
      </w:r>
      <w:proofErr w:type="spellStart"/>
      <w:r w:rsidRPr="003E3CF8">
        <w:t>Pfistner</w:t>
      </w:r>
      <w:proofErr w:type="spellEnd"/>
      <w:r w:rsidRPr="003E3CF8">
        <w:t xml:space="preserve"> B, </w:t>
      </w:r>
      <w:proofErr w:type="spellStart"/>
      <w:r w:rsidRPr="003E3CF8">
        <w:t>Juweid</w:t>
      </w:r>
      <w:proofErr w:type="spellEnd"/>
      <w:r w:rsidRPr="003E3CF8">
        <w:t xml:space="preserve"> ME et al Revised Response Criteria for Malignant Lymphoma </w:t>
      </w:r>
      <w:r w:rsidRPr="002E5D98">
        <w:rPr>
          <w:i/>
        </w:rPr>
        <w:t>J Clin Oncol</w:t>
      </w:r>
      <w:r w:rsidRPr="003E3CF8">
        <w:t xml:space="preserve"> 2007;25(5):579-586</w:t>
      </w:r>
    </w:p>
    <w:p w14:paraId="12AFFA3D" w14:textId="2FD2C458" w:rsidR="000574D9" w:rsidRDefault="003E3CF8" w:rsidP="000574D9">
      <w:pPr>
        <w:pStyle w:val="TableDescription"/>
      </w:pPr>
      <w:r>
        <w:rPr>
          <w:vertAlign w:val="superscript"/>
        </w:rPr>
        <w:t>c</w:t>
      </w:r>
      <w:r w:rsidR="00A12297">
        <w:t xml:space="preserve"> </w:t>
      </w:r>
      <w:r w:rsidR="000574D9">
        <w:t>"+" indicates there was no progressive disease at the time of the last disease assessment.</w:t>
      </w:r>
    </w:p>
    <w:p w14:paraId="041FB208" w14:textId="43C33BDC" w:rsidR="000574D9" w:rsidRDefault="003E3CF8" w:rsidP="000574D9">
      <w:pPr>
        <w:pStyle w:val="TableDescription"/>
      </w:pPr>
      <w:r>
        <w:rPr>
          <w:vertAlign w:val="superscript"/>
        </w:rPr>
        <w:t>d</w:t>
      </w:r>
      <w:r w:rsidR="00A12297">
        <w:t xml:space="preserve"> </w:t>
      </w:r>
      <w:r w:rsidR="000574D9">
        <w:t xml:space="preserve">By </w:t>
      </w:r>
      <w:r w:rsidR="007D3D1C">
        <w:t>Kaplan-Meier</w:t>
      </w:r>
      <w:r w:rsidR="000574D9">
        <w:t xml:space="preserve"> estimation.</w:t>
      </w:r>
    </w:p>
    <w:p w14:paraId="7B7FE77F" w14:textId="1980A9BC" w:rsidR="00DD69AF" w:rsidRDefault="00DD69AF" w:rsidP="00DD69AF">
      <w:r w:rsidRPr="00DD69AF">
        <w:t xml:space="preserve">The </w:t>
      </w:r>
      <w:r w:rsidR="00913CDD" w:rsidRPr="00913CDD">
        <w:t>objective response rate</w:t>
      </w:r>
      <w:r w:rsidRPr="00DD69AF">
        <w:t xml:space="preserve"> is consistent with the initial study results (</w:t>
      </w:r>
      <w:r w:rsidR="00913CDD" w:rsidRPr="00913CDD">
        <w:t>objective response rate</w:t>
      </w:r>
      <w:r w:rsidRPr="00DD69AF">
        <w:t xml:space="preserve"> 69%). The median duration of response was 11.1 months in the initial data set. </w:t>
      </w:r>
      <w:r w:rsidR="000574D9">
        <w:t>Progression free survival a</w:t>
      </w:r>
      <w:r w:rsidRPr="00DD69AF">
        <w:t xml:space="preserve">nd </w:t>
      </w:r>
      <w:r w:rsidR="000574D9">
        <w:t>overall survival</w:t>
      </w:r>
      <w:r w:rsidRPr="00DD69AF">
        <w:t xml:space="preserve"> at 12 months</w:t>
      </w:r>
      <w:r w:rsidR="000574D9">
        <w:t xml:space="preserve"> or more</w:t>
      </w:r>
      <w:r w:rsidRPr="00DD69AF">
        <w:t xml:space="preserve"> was not available at the time of initial approval of the </w:t>
      </w:r>
      <w:r w:rsidR="008C5C40">
        <w:t xml:space="preserve">relapsed or refractory classical Hodgkin </w:t>
      </w:r>
      <w:r w:rsidR="007D3D1C">
        <w:t xml:space="preserve">lymphoma </w:t>
      </w:r>
      <w:r w:rsidR="00A12297">
        <w:t>i</w:t>
      </w:r>
      <w:r w:rsidRPr="00DD69AF">
        <w:t>ndication.</w:t>
      </w:r>
    </w:p>
    <w:p w14:paraId="138A7BB0" w14:textId="6F0CB873" w:rsidR="00DD69AF" w:rsidRDefault="002D22AB" w:rsidP="00B361FD">
      <w:pPr>
        <w:pStyle w:val="Heading5"/>
      </w:pPr>
      <w:r>
        <w:t xml:space="preserve">KEYNOTE 051 trial   </w:t>
      </w:r>
    </w:p>
    <w:p w14:paraId="4B41406E" w14:textId="77FC5661" w:rsidR="00B004E2" w:rsidRDefault="002D22AB" w:rsidP="00DD69AF">
      <w:r>
        <w:t>KEYNOTE 051 trial</w:t>
      </w:r>
      <w:r w:rsidR="00DD69AF">
        <w:t xml:space="preserve"> is an ongoing,</w:t>
      </w:r>
      <w:r w:rsidR="00B004E2">
        <w:t xml:space="preserve"> </w:t>
      </w:r>
      <w:proofErr w:type="gramStart"/>
      <w:r w:rsidR="00DD69AF">
        <w:t>two part</w:t>
      </w:r>
      <w:proofErr w:type="gramEnd"/>
      <w:r w:rsidR="00DD69AF">
        <w:t xml:space="preserve">, </w:t>
      </w:r>
      <w:r w:rsidR="008C5C40">
        <w:t>P</w:t>
      </w:r>
      <w:r w:rsidR="00DD69AF">
        <w:t>hase I/II, non-randomised, open-label, single-arm multi-centre, multi-national study pharmacology and safety study of pembrolizumab</w:t>
      </w:r>
      <w:r w:rsidR="00B004E2">
        <w:t xml:space="preserve"> </w:t>
      </w:r>
      <w:r w:rsidR="00DD69AF">
        <w:t xml:space="preserve">2 mg/kg </w:t>
      </w:r>
      <w:r w:rsidR="00D92581">
        <w:t>once every three weeks</w:t>
      </w:r>
      <w:r w:rsidR="00DD69AF">
        <w:t xml:space="preserve"> in paediatric patients with advanced melanoma, or a PD-1 positive advanced, relapsed or refractory solid tumour or lymphoma. Part I was dose confirming (pembrolizumab 2 mg/kg </w:t>
      </w:r>
      <w:r w:rsidR="008C5C40">
        <w:t>intravenously</w:t>
      </w:r>
      <w:r w:rsidR="00DD69AF">
        <w:t xml:space="preserve"> </w:t>
      </w:r>
      <w:r w:rsidR="00D92581">
        <w:t>once every three weeks</w:t>
      </w:r>
      <w:r w:rsidR="00DD69AF">
        <w:t xml:space="preserve">) </w:t>
      </w:r>
      <w:r w:rsidR="008C5C40">
        <w:t xml:space="preserve">and </w:t>
      </w:r>
      <w:r w:rsidR="00DD69AF">
        <w:t>is complete</w:t>
      </w:r>
      <w:r w:rsidR="008C5C40">
        <w:t>.  It</w:t>
      </w:r>
      <w:r w:rsidR="00DD69AF">
        <w:t xml:space="preserve"> established </w:t>
      </w:r>
      <w:r w:rsidR="00DD69AF">
        <w:lastRenderedPageBreak/>
        <w:t>2</w:t>
      </w:r>
      <w:r w:rsidR="008C5C40">
        <w:t xml:space="preserve"> </w:t>
      </w:r>
      <w:r w:rsidR="00DD69AF">
        <w:t xml:space="preserve">mg/kg </w:t>
      </w:r>
      <w:r w:rsidR="00D92581">
        <w:t>once every three weeks</w:t>
      </w:r>
      <w:r w:rsidR="00DD69AF">
        <w:t xml:space="preserve"> as the recommended </w:t>
      </w:r>
      <w:r w:rsidR="008C5C40">
        <w:t>P</w:t>
      </w:r>
      <w:r w:rsidR="00DD69AF">
        <w:t xml:space="preserve">hase </w:t>
      </w:r>
      <w:r w:rsidR="008C5C40">
        <w:t>II</w:t>
      </w:r>
      <w:r w:rsidR="00DD69AF">
        <w:t xml:space="preserve"> dose for pembrolizumab for paediatric patients. Part II is ongoing and is a tumour cohort expansion. It includes patients with advanced melanoma, PD-L1 advanced, </w:t>
      </w:r>
      <w:proofErr w:type="gramStart"/>
      <w:r w:rsidR="00DD69AF">
        <w:t>relapsed</w:t>
      </w:r>
      <w:proofErr w:type="gramEnd"/>
      <w:r w:rsidR="00DD69AF">
        <w:t xml:space="preserve"> or refractory solid tumours or other lymphoma, </w:t>
      </w:r>
      <w:r w:rsidR="008C5C40" w:rsidRPr="008C5C40">
        <w:t xml:space="preserve">relapsed or refractory classical Hodgkin </w:t>
      </w:r>
      <w:r w:rsidR="007D3D1C">
        <w:t>lymphoma</w:t>
      </w:r>
      <w:r w:rsidR="00DD69AF">
        <w:t xml:space="preserve">, or advanced, </w:t>
      </w:r>
      <w:r w:rsidR="008C5C40" w:rsidRPr="008C5C40">
        <w:t xml:space="preserve">relapsed or refractory </w:t>
      </w:r>
      <w:r w:rsidR="008C5C40">
        <w:t>h</w:t>
      </w:r>
      <w:r w:rsidR="008C5C40" w:rsidRPr="008C5C40">
        <w:t>igh microsatellite instability</w:t>
      </w:r>
      <w:r w:rsidR="00DD69AF">
        <w:t xml:space="preserve"> </w:t>
      </w:r>
      <w:r w:rsidR="008C5C40">
        <w:t>(</w:t>
      </w:r>
      <w:r w:rsidR="00DD69AF">
        <w:t>MSI-H</w:t>
      </w:r>
      <w:r w:rsidR="008C5C40">
        <w:t>)</w:t>
      </w:r>
      <w:r w:rsidR="00DD69AF">
        <w:t xml:space="preserve"> solid tumours.</w:t>
      </w:r>
    </w:p>
    <w:p w14:paraId="3B55D717" w14:textId="0F319DAC" w:rsidR="00DD69AF" w:rsidRDefault="00DD69AF" w:rsidP="00DD69AF">
      <w:r>
        <w:t xml:space="preserve">The study design of </w:t>
      </w:r>
      <w:r w:rsidR="002D22AB">
        <w:t>KEYNOTE 051 trial</w:t>
      </w:r>
      <w:r>
        <w:t xml:space="preserve"> is summarised in</w:t>
      </w:r>
      <w:r w:rsidR="008C5C40">
        <w:t xml:space="preserve"> </w:t>
      </w:r>
      <w:r w:rsidR="008C5C40">
        <w:fldChar w:fldCharType="begin"/>
      </w:r>
      <w:r w:rsidR="008C5C40">
        <w:instrText xml:space="preserve"> REF _Ref133569807 \h </w:instrText>
      </w:r>
      <w:r w:rsidR="008C5C40">
        <w:fldChar w:fldCharType="separate"/>
      </w:r>
      <w:r w:rsidR="0049023A" w:rsidRPr="00B27ED7">
        <w:t xml:space="preserve">Figure </w:t>
      </w:r>
      <w:r w:rsidR="0049023A">
        <w:rPr>
          <w:noProof/>
        </w:rPr>
        <w:t>4</w:t>
      </w:r>
      <w:r w:rsidR="008C5C40">
        <w:fldChar w:fldCharType="end"/>
      </w:r>
      <w:r>
        <w:t>.</w:t>
      </w:r>
    </w:p>
    <w:p w14:paraId="53AD16F8" w14:textId="6317BD27" w:rsidR="00B004E2" w:rsidRDefault="00DD69AF" w:rsidP="00DD69AF">
      <w:pPr>
        <w:pStyle w:val="TableTitle"/>
      </w:pPr>
      <w:bookmarkStart w:id="63" w:name="_Ref133569807"/>
      <w:r w:rsidRPr="00B27ED7">
        <w:t xml:space="preserve">Figure </w:t>
      </w:r>
      <w:r>
        <w:fldChar w:fldCharType="begin"/>
      </w:r>
      <w:r>
        <w:instrText>SEQ Figure \* ARABIC</w:instrText>
      </w:r>
      <w:r>
        <w:fldChar w:fldCharType="separate"/>
      </w:r>
      <w:r w:rsidR="00DC1FDA">
        <w:rPr>
          <w:noProof/>
        </w:rPr>
        <w:t>5</w:t>
      </w:r>
      <w:r>
        <w:fldChar w:fldCharType="end"/>
      </w:r>
      <w:bookmarkEnd w:id="63"/>
      <w:r w:rsidRPr="00B27ED7">
        <w:t xml:space="preserve"> </w:t>
      </w:r>
      <w:r w:rsidR="002D22AB">
        <w:t xml:space="preserve">KEYNOTE 051 trial </w:t>
      </w:r>
      <w:r w:rsidR="00A12297">
        <w:t>s</w:t>
      </w:r>
      <w:r w:rsidRPr="00B27ED7">
        <w:t>tudy schematic</w:t>
      </w:r>
    </w:p>
    <w:p w14:paraId="1649B02A" w14:textId="13EE8BBF" w:rsidR="007264B0" w:rsidRDefault="007264B0" w:rsidP="00DD69AF">
      <w:pPr>
        <w:pStyle w:val="TableTitle"/>
      </w:pPr>
      <w:r>
        <w:rPr>
          <w:noProof/>
          <w:lang w:val="en-GB" w:eastAsia="en-GB"/>
        </w:rPr>
        <w:drawing>
          <wp:inline distT="0" distB="0" distL="0" distR="0" wp14:anchorId="0540BB5B" wp14:editId="371E87EA">
            <wp:extent cx="5759450" cy="2544445"/>
            <wp:effectExtent l="0" t="0" r="0" b="8255"/>
            <wp:docPr id="485" name="Picture 485" descr="This figure shows KEYNOTE 051 trial study schema.  Part I/Phase I comprises of a Dose finding stage and dose confirmation stage.  Part II/Phase II comprises of Tumor cohort expans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This figure shows KEYNOTE 051 trial study schema.  Part I/Phase I comprises of a Dose finding stage and dose confirmation stage.  Part II/Phase II comprises of Tumor cohort expansion stag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759450" cy="2544445"/>
                    </a:xfrm>
                    <a:prstGeom prst="rect">
                      <a:avLst/>
                    </a:prstGeom>
                  </pic:spPr>
                </pic:pic>
              </a:graphicData>
            </a:graphic>
          </wp:inline>
        </w:drawing>
      </w:r>
    </w:p>
    <w:p w14:paraId="4173EC50" w14:textId="54A06A5B" w:rsidR="007264B0" w:rsidRPr="005B6BF9" w:rsidRDefault="007264B0" w:rsidP="005B6BF9">
      <w:pPr>
        <w:pStyle w:val="TableDescription"/>
      </w:pPr>
      <w:r w:rsidRPr="005B6BF9">
        <w:t xml:space="preserve">Abbreviations: </w:t>
      </w:r>
      <w:proofErr w:type="spellStart"/>
      <w:r w:rsidRPr="005B6BF9">
        <w:t>mTPI</w:t>
      </w:r>
      <w:proofErr w:type="spellEnd"/>
      <w:r w:rsidRPr="005B6BF9">
        <w:t xml:space="preserve"> = modified Toxicity Probability Interval; MTD = maximum tolerated dose; MAD = maximum administered dose; </w:t>
      </w:r>
      <w:r w:rsidR="005B6BF9" w:rsidRPr="005B6BF9">
        <w:t>RP2D = recommended Phase II dose; Q3W = once every three weeks; DLT = dose limiting toxicity</w:t>
      </w:r>
    </w:p>
    <w:p w14:paraId="291CF65C" w14:textId="25033B1A" w:rsidR="005B6BF9" w:rsidRPr="005B6BF9" w:rsidRDefault="005B6BF9" w:rsidP="005B6BF9">
      <w:pPr>
        <w:pStyle w:val="TableDescription"/>
      </w:pPr>
      <w:r w:rsidRPr="005B6BF9">
        <w:t>Note:</w:t>
      </w:r>
    </w:p>
    <w:p w14:paraId="07FF0F0B" w14:textId="68A24315" w:rsidR="005B6BF9" w:rsidRPr="005B6BF9" w:rsidRDefault="005B6BF9" w:rsidP="005B6BF9">
      <w:pPr>
        <w:pStyle w:val="TableDescription"/>
      </w:pPr>
      <w:r w:rsidRPr="005B6BF9">
        <w:rPr>
          <w:vertAlign w:val="superscript"/>
        </w:rPr>
        <w:t>a</w:t>
      </w:r>
      <w:r w:rsidRPr="005B6BF9">
        <w:t xml:space="preserve"> </w:t>
      </w:r>
      <w:proofErr w:type="gramStart"/>
      <w:r w:rsidRPr="005B6BF9">
        <w:t>Paediatric subjects</w:t>
      </w:r>
      <w:proofErr w:type="gramEnd"/>
      <w:r w:rsidRPr="005B6BF9">
        <w:t xml:space="preserve"> with melanoma or PD-L1 positive advanced relapsed or refractory solid tumo</w:t>
      </w:r>
      <w:r w:rsidR="003E3CF8">
        <w:t>u</w:t>
      </w:r>
      <w:r w:rsidRPr="005B6BF9">
        <w:t>r or l</w:t>
      </w:r>
      <w:r w:rsidR="003E3CF8">
        <w:t>y</w:t>
      </w:r>
      <w:r w:rsidRPr="005B6BF9">
        <w:t>mphoma between the ages of 6 months and less than 18 years</w:t>
      </w:r>
    </w:p>
    <w:p w14:paraId="28E4420A" w14:textId="24B0641D" w:rsidR="005B6BF9" w:rsidRPr="005B6BF9" w:rsidRDefault="005B6BF9" w:rsidP="005B6BF9">
      <w:pPr>
        <w:pStyle w:val="TableDescription"/>
      </w:pPr>
      <w:r w:rsidRPr="005B6BF9">
        <w:rPr>
          <w:vertAlign w:val="superscript"/>
        </w:rPr>
        <w:t>b</w:t>
      </w:r>
      <w:r w:rsidRPr="005B6BF9">
        <w:t xml:space="preserve"> </w:t>
      </w:r>
      <w:proofErr w:type="gramStart"/>
      <w:r w:rsidRPr="005B6BF9">
        <w:t>The</w:t>
      </w:r>
      <w:proofErr w:type="gramEnd"/>
      <w:r w:rsidRPr="005B6BF9">
        <w:t xml:space="preserve"> starting dose level will be 2 mg/kg Q3W (Dose level 1)</w:t>
      </w:r>
    </w:p>
    <w:p w14:paraId="1DFD6076" w14:textId="5A5B6A7A" w:rsidR="005B6BF9" w:rsidRPr="005B6BF9" w:rsidRDefault="005B6BF9" w:rsidP="005B6BF9">
      <w:pPr>
        <w:pStyle w:val="TableDescription"/>
      </w:pPr>
      <w:r w:rsidRPr="005B6BF9">
        <w:rPr>
          <w:vertAlign w:val="superscript"/>
        </w:rPr>
        <w:t>c</w:t>
      </w:r>
      <w:r w:rsidRPr="005B6BF9">
        <w:t xml:space="preserve"> De-escalation decisions will be informed by DLT according to modified 3+3 and </w:t>
      </w:r>
      <w:proofErr w:type="spellStart"/>
      <w:r w:rsidRPr="005B6BF9">
        <w:t>mTPI</w:t>
      </w:r>
      <w:proofErr w:type="spellEnd"/>
      <w:r w:rsidRPr="005B6BF9">
        <w:t xml:space="preserve"> approaches</w:t>
      </w:r>
    </w:p>
    <w:p w14:paraId="0010BE50" w14:textId="50489C50" w:rsidR="005B6BF9" w:rsidRPr="005B6BF9" w:rsidRDefault="005B6BF9" w:rsidP="005B6BF9">
      <w:pPr>
        <w:pStyle w:val="TableDescription"/>
      </w:pPr>
      <w:r w:rsidRPr="005B6BF9">
        <w:rPr>
          <w:vertAlign w:val="superscript"/>
        </w:rPr>
        <w:t>d</w:t>
      </w:r>
      <w:r w:rsidRPr="005B6BF9">
        <w:t xml:space="preserve"> Escalation decisions will be informed by assessment of </w:t>
      </w:r>
      <w:r w:rsidR="003E3CF8">
        <w:t>pharmacokinetics (</w:t>
      </w:r>
      <w:r w:rsidRPr="005B6BF9">
        <w:t>PK</w:t>
      </w:r>
      <w:r w:rsidR="003E3CF8">
        <w:t>)</w:t>
      </w:r>
      <w:r w:rsidRPr="005B6BF9">
        <w:t xml:space="preserve"> and/or </w:t>
      </w:r>
      <w:r w:rsidR="003E3CF8">
        <w:t>pharmacodynamics (</w:t>
      </w:r>
      <w:r w:rsidRPr="005B6BF9">
        <w:t>PD</w:t>
      </w:r>
      <w:r w:rsidR="003E3CF8">
        <w:t>)</w:t>
      </w:r>
    </w:p>
    <w:p w14:paraId="2AEB9A48" w14:textId="711784D7" w:rsidR="005B6BF9" w:rsidRPr="005B6BF9" w:rsidRDefault="005B6BF9" w:rsidP="005B6BF9">
      <w:pPr>
        <w:pStyle w:val="TableDescription"/>
      </w:pPr>
      <w:r w:rsidRPr="005B6BF9">
        <w:rPr>
          <w:vertAlign w:val="superscript"/>
        </w:rPr>
        <w:t>e</w:t>
      </w:r>
      <w:r w:rsidRPr="005B6BF9">
        <w:t xml:space="preserve"> Escalation to additional dose levels may occur based upon PK/PD modelling</w:t>
      </w:r>
    </w:p>
    <w:p w14:paraId="2E50306E" w14:textId="72FD1AE6" w:rsidR="005B6BF9" w:rsidRPr="005B6BF9" w:rsidRDefault="005B6BF9" w:rsidP="005B6BF9">
      <w:pPr>
        <w:pStyle w:val="TableDescription"/>
      </w:pPr>
      <w:r w:rsidRPr="005B6BF9">
        <w:rPr>
          <w:vertAlign w:val="superscript"/>
        </w:rPr>
        <w:t>f</w:t>
      </w:r>
      <w:r w:rsidRPr="005B6BF9">
        <w:t xml:space="preserve"> Interim analysis</w:t>
      </w:r>
      <w:r>
        <w:t xml:space="preserve"> as defined.</w:t>
      </w:r>
    </w:p>
    <w:p w14:paraId="3216A100" w14:textId="1D142B36" w:rsidR="005B6BF9" w:rsidRDefault="005B6BF9" w:rsidP="005B6BF9">
      <w:pPr>
        <w:pStyle w:val="TableDescription"/>
      </w:pPr>
      <w:r w:rsidRPr="005B6BF9">
        <w:rPr>
          <w:vertAlign w:val="superscript"/>
        </w:rPr>
        <w:t>g</w:t>
      </w:r>
      <w:r w:rsidRPr="005B6BF9">
        <w:t xml:space="preserve"> PD-L1 negative subjects may be enrolled following the first interim analysis. Enrolment will only remain open for the PD-L1 negative cohort while enrolment to the PD-L1 positive cohort is open</w:t>
      </w:r>
      <w:r>
        <w:t>.</w:t>
      </w:r>
    </w:p>
    <w:p w14:paraId="5045303C" w14:textId="2950DBA0" w:rsidR="00B004E2" w:rsidRDefault="00DD69AF" w:rsidP="00DD69AF">
      <w:r>
        <w:t xml:space="preserve">The dedicated </w:t>
      </w:r>
      <w:r w:rsidR="005900D0" w:rsidRPr="005900D0">
        <w:t xml:space="preserve">classical Hodgkin </w:t>
      </w:r>
      <w:r w:rsidR="007D3D1C">
        <w:t xml:space="preserve">lymphoma </w:t>
      </w:r>
      <w:r>
        <w:t>cohort is an expansion cohort of the study (n</w:t>
      </w:r>
      <w:r w:rsidR="005900D0">
        <w:t xml:space="preserve"> </w:t>
      </w:r>
      <w:r>
        <w:t>=</w:t>
      </w:r>
      <w:r w:rsidR="005900D0">
        <w:t xml:space="preserve"> </w:t>
      </w:r>
      <w:r>
        <w:t xml:space="preserve">7) for which accrual is ongoing. It is including paediatric patients aged 3 </w:t>
      </w:r>
      <w:r w:rsidR="005900D0">
        <w:t>to</w:t>
      </w:r>
      <w:r>
        <w:t xml:space="preserve"> 17 years, with</w:t>
      </w:r>
      <w:r w:rsidR="005900D0">
        <w:t xml:space="preserve"> </w:t>
      </w:r>
      <w:r w:rsidR="005900D0" w:rsidRPr="005900D0">
        <w:t xml:space="preserve">relapsed or refractory classical Hodgkin </w:t>
      </w:r>
      <w:r w:rsidR="007D3D1C">
        <w:t>lymphoma</w:t>
      </w:r>
      <w:r>
        <w:t xml:space="preserve">, defined as refractory to front-line therapy; high-risk and relapsed from front-line therapy; or relapsed or refractory to second line therapy (relapsed: disease progression after most recent therapy, refractory: failure to achieve </w:t>
      </w:r>
      <w:r w:rsidR="005900D0">
        <w:t>complete response</w:t>
      </w:r>
      <w:r>
        <w:t xml:space="preserve"> or </w:t>
      </w:r>
      <w:r w:rsidR="005900D0">
        <w:t>partial response</w:t>
      </w:r>
      <w:r>
        <w:t>). Other inclusion criteria included a requirement for lymph node biopsy tissue, measurable disease (&gt;</w:t>
      </w:r>
      <w:r w:rsidR="005900D0">
        <w:t xml:space="preserve"> </w:t>
      </w:r>
      <w:r>
        <w:t>15</w:t>
      </w:r>
      <w:r w:rsidR="005900D0">
        <w:t xml:space="preserve"> </w:t>
      </w:r>
      <w:r>
        <w:t>mm in long axis or &gt; 10 mm in short axis), a Lansky Play Scale</w:t>
      </w:r>
      <w:r w:rsidRPr="00E55E73">
        <w:t xml:space="preserve"> </w:t>
      </w:r>
      <w:r>
        <w:t xml:space="preserve">or </w:t>
      </w:r>
      <w:proofErr w:type="spellStart"/>
      <w:r>
        <w:t>Karnofsky</w:t>
      </w:r>
      <w:proofErr w:type="spellEnd"/>
      <w:r>
        <w:t xml:space="preserve"> score ≥ 50 score and demonstrated adequate organ function.</w:t>
      </w:r>
    </w:p>
    <w:p w14:paraId="60B70922" w14:textId="36BE65F9" w:rsidR="00DD69AF" w:rsidRDefault="00DD69AF" w:rsidP="00DD69AF">
      <w:r>
        <w:t xml:space="preserve">Patients were excluded if they had a diagnosed immunodeficiency or were receiving immunosuppressive therapy, recent treatment (within 2 weeks) with radiotherapy, and/or systemic anticancer agents, and had recovered from related toxicities of these treatments </w:t>
      </w:r>
      <w:r>
        <w:lastRenderedPageBreak/>
        <w:t>(Grade</w:t>
      </w:r>
      <w:r w:rsidR="00F11207">
        <w:t> </w:t>
      </w:r>
      <w:r>
        <w:t xml:space="preserve">1 </w:t>
      </w:r>
      <w:r w:rsidR="005900D0">
        <w:t xml:space="preserve">or less </w:t>
      </w:r>
      <w:r>
        <w:t>for systemic anticancer treatments). Patients with known active</w:t>
      </w:r>
      <w:r w:rsidR="0044571F" w:rsidRPr="0044571F">
        <w:t xml:space="preserve"> central nervous system </w:t>
      </w:r>
      <w:r>
        <w:t>metastases were excluded, as were patients who had undergone any solid organ transplant or allogeneic haematopoietic stem cell transplant within the past 5 years.</w:t>
      </w:r>
    </w:p>
    <w:p w14:paraId="1C8CF532" w14:textId="5EB7FD9A" w:rsidR="00B004E2" w:rsidRDefault="00DD69AF" w:rsidP="00DD69AF">
      <w:r>
        <w:t xml:space="preserve">In the data set, </w:t>
      </w:r>
      <w:r w:rsidR="005900D0">
        <w:t>three</w:t>
      </w:r>
      <w:r>
        <w:t xml:space="preserve"> patients, all aged</w:t>
      </w:r>
      <w:r w:rsidR="005900D0">
        <w:t xml:space="preserve"> </w:t>
      </w:r>
      <w:r>
        <w:t>11 years</w:t>
      </w:r>
      <w:r w:rsidR="005900D0">
        <w:t xml:space="preserve"> or older</w:t>
      </w:r>
      <w:r>
        <w:t xml:space="preserve">, received pembrolizumab as their second-line therapy, and 86% had received </w:t>
      </w:r>
      <w:r w:rsidR="005900D0">
        <w:t>two</w:t>
      </w:r>
      <w:r>
        <w:t xml:space="preserve"> or more lines of therapy.</w:t>
      </w:r>
    </w:p>
    <w:p w14:paraId="647B31FA" w14:textId="01240360" w:rsidR="00DD69AF" w:rsidRPr="00E971FD" w:rsidRDefault="00DD69AF" w:rsidP="00DD69AF">
      <w:r>
        <w:t xml:space="preserve">Of the 161 participants, 22 had </w:t>
      </w:r>
      <w:r w:rsidR="005900D0" w:rsidRPr="005900D0">
        <w:t xml:space="preserve">relapsed or refractory classical Hodgkin </w:t>
      </w:r>
      <w:r w:rsidR="007D3D1C">
        <w:t>lymphoma</w:t>
      </w:r>
      <w:r>
        <w:t>, of which 15 were enrolled in the PD-L1 positive solid tumours and other lymphoma cohort.</w:t>
      </w:r>
      <w:r w:rsidRPr="003E4596">
        <w:t xml:space="preserve"> </w:t>
      </w:r>
      <w:r>
        <w:t xml:space="preserve">All had at </w:t>
      </w:r>
      <w:r w:rsidR="003E3CF8">
        <w:t>least</w:t>
      </w:r>
      <w:r>
        <w:t xml:space="preserve"> </w:t>
      </w:r>
      <w:r w:rsidR="003E3CF8">
        <w:t>one </w:t>
      </w:r>
      <w:r>
        <w:t>post-baseline assessment of measurable tumour size in target lesions, and all had a reduction in tumour size post-baseline. Prior therapies included radiation therapy for 10 patients.</w:t>
      </w:r>
    </w:p>
    <w:p w14:paraId="653935B6" w14:textId="1D68D1BE" w:rsidR="00DD69AF" w:rsidRDefault="00DD69AF" w:rsidP="00DD69AF">
      <w:r>
        <w:t xml:space="preserve">For the </w:t>
      </w:r>
      <w:r w:rsidR="008C5C40">
        <w:t xml:space="preserve">relapsed or refractory classical Hodgkin </w:t>
      </w:r>
      <w:r w:rsidR="007D3D1C">
        <w:t xml:space="preserve">lymphoma </w:t>
      </w:r>
      <w:r>
        <w:t xml:space="preserve">cohort the study reported </w:t>
      </w:r>
      <w:r w:rsidR="00913CDD" w:rsidRPr="00913CDD">
        <w:t>objective response rate</w:t>
      </w:r>
      <w:r>
        <w:t xml:space="preserve"> per investigator. The results from the 10 Jan</w:t>
      </w:r>
      <w:r w:rsidR="005900D0">
        <w:t>uary</w:t>
      </w:r>
      <w:r>
        <w:t xml:space="preserve"> 2020 data cut</w:t>
      </w:r>
      <w:r w:rsidR="0087784D">
        <w:t xml:space="preserve">-off </w:t>
      </w:r>
      <w:r>
        <w:t xml:space="preserve">are summarised in </w:t>
      </w:r>
      <w:r w:rsidR="005900D0">
        <w:fldChar w:fldCharType="begin"/>
      </w:r>
      <w:r w:rsidR="005900D0">
        <w:instrText xml:space="preserve"> REF _Ref133570048 \h </w:instrText>
      </w:r>
      <w:r w:rsidR="005900D0">
        <w:fldChar w:fldCharType="separate"/>
      </w:r>
      <w:r w:rsidR="005605FC">
        <w:t xml:space="preserve">Table </w:t>
      </w:r>
      <w:r w:rsidR="005605FC">
        <w:rPr>
          <w:noProof/>
        </w:rPr>
        <w:t>9</w:t>
      </w:r>
      <w:r w:rsidR="005900D0">
        <w:fldChar w:fldCharType="end"/>
      </w:r>
      <w:r>
        <w:t>.</w:t>
      </w:r>
    </w:p>
    <w:p w14:paraId="0B6BB526" w14:textId="5DA22E19" w:rsidR="00DD69AF" w:rsidRPr="005112E3" w:rsidRDefault="14A79BE9" w:rsidP="00DD69AF">
      <w:pPr>
        <w:pStyle w:val="TableTitle"/>
      </w:pPr>
      <w:bookmarkStart w:id="64" w:name="_Ref133570048"/>
      <w:r>
        <w:t xml:space="preserve">Table </w:t>
      </w:r>
      <w:r w:rsidR="00DD69AF">
        <w:fldChar w:fldCharType="begin"/>
      </w:r>
      <w:r w:rsidR="00DD69AF">
        <w:instrText>SEQ Table \* ARABIC</w:instrText>
      </w:r>
      <w:r w:rsidR="00DD69AF">
        <w:fldChar w:fldCharType="separate"/>
      </w:r>
      <w:r w:rsidR="00A463D1">
        <w:rPr>
          <w:noProof/>
        </w:rPr>
        <w:t>9</w:t>
      </w:r>
      <w:r w:rsidR="00DD69AF">
        <w:fldChar w:fldCharType="end"/>
      </w:r>
      <w:bookmarkEnd w:id="64"/>
      <w:r w:rsidR="37C972A8" w:rsidRPr="5E654C76">
        <w:rPr>
          <w:noProof/>
        </w:rPr>
        <w:t>:</w:t>
      </w:r>
      <w:r>
        <w:t xml:space="preserve"> </w:t>
      </w:r>
      <w:r w:rsidR="6558416F">
        <w:t xml:space="preserve">KEYNOTE 051 trial </w:t>
      </w:r>
      <w:r w:rsidR="1B568734">
        <w:t>s</w:t>
      </w:r>
      <w:r>
        <w:t xml:space="preserve">ummary of </w:t>
      </w:r>
      <w:r w:rsidR="1B568734">
        <w:t>b</w:t>
      </w:r>
      <w:r>
        <w:t xml:space="preserve">aseline </w:t>
      </w:r>
      <w:r w:rsidR="1B568734">
        <w:t>c</w:t>
      </w:r>
      <w:r>
        <w:t xml:space="preserve">haracteristics and </w:t>
      </w:r>
      <w:r w:rsidR="1B568734">
        <w:t>e</w:t>
      </w:r>
      <w:r>
        <w:t xml:space="preserve">fficacy </w:t>
      </w:r>
      <w:r w:rsidR="00D46239">
        <w:t>r</w:t>
      </w:r>
      <w:r>
        <w:t>esults</w:t>
      </w:r>
    </w:p>
    <w:tbl>
      <w:tblPr>
        <w:tblStyle w:val="TGABlack2023"/>
        <w:tblW w:w="0" w:type="auto"/>
        <w:tblLook w:val="04A0" w:firstRow="1" w:lastRow="0" w:firstColumn="1" w:lastColumn="0" w:noHBand="0" w:noVBand="1"/>
      </w:tblPr>
      <w:tblGrid>
        <w:gridCol w:w="3141"/>
        <w:gridCol w:w="3351"/>
        <w:gridCol w:w="2246"/>
      </w:tblGrid>
      <w:tr w:rsidR="00DD69AF" w:rsidRPr="00205180" w14:paraId="6816CE6A" w14:textId="77777777" w:rsidTr="00F11207">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2AA31" w14:textId="77777777" w:rsidR="00DD69AF" w:rsidRPr="00F11207" w:rsidRDefault="00DD69AF" w:rsidP="00F11207">
            <w:pPr>
              <w:pStyle w:val="TableText"/>
            </w:pPr>
            <w:r w:rsidRPr="00F11207">
              <w:t>Parameter</w:t>
            </w:r>
          </w:p>
        </w:tc>
        <w:tc>
          <w:tcPr>
            <w:tcW w:w="0" w:type="auto"/>
            <w:shd w:val="clear" w:color="auto" w:fill="auto"/>
          </w:tcPr>
          <w:p w14:paraId="2CF7EA33" w14:textId="77777777" w:rsidR="00DD69AF" w:rsidRPr="00F11207" w:rsidRDefault="00DD69AF" w:rsidP="00F11207">
            <w:pPr>
              <w:pStyle w:val="TableText"/>
              <w:cnfStyle w:val="100000000000" w:firstRow="1" w:lastRow="0" w:firstColumn="0" w:lastColumn="0" w:oddVBand="0" w:evenVBand="0" w:oddHBand="0" w:evenHBand="0" w:firstRowFirstColumn="0" w:firstRowLastColumn="0" w:lastRowFirstColumn="0" w:lastRowLastColumn="0"/>
            </w:pPr>
          </w:p>
        </w:tc>
        <w:tc>
          <w:tcPr>
            <w:tcW w:w="0" w:type="auto"/>
            <w:shd w:val="clear" w:color="auto" w:fill="auto"/>
          </w:tcPr>
          <w:p w14:paraId="3DE07C8C" w14:textId="2BDA56DE" w:rsidR="00DD69AF" w:rsidRPr="00F11207" w:rsidRDefault="00DD69AF" w:rsidP="00F11207">
            <w:pPr>
              <w:pStyle w:val="TableText"/>
              <w:cnfStyle w:val="100000000000" w:firstRow="1" w:lastRow="0" w:firstColumn="0" w:lastColumn="0" w:oddVBand="0" w:evenVBand="0" w:oddHBand="0" w:evenHBand="0" w:firstRowFirstColumn="0" w:firstRowLastColumn="0" w:lastRowFirstColumn="0" w:lastRowLastColumn="0"/>
            </w:pPr>
            <w:r w:rsidRPr="00F11207">
              <w:t>n (N</w:t>
            </w:r>
            <w:r w:rsidR="00F11207" w:rsidRPr="00F11207">
              <w:t xml:space="preserve"> </w:t>
            </w:r>
            <w:r w:rsidRPr="00F11207">
              <w:t>=</w:t>
            </w:r>
            <w:r w:rsidR="00F11207" w:rsidRPr="00F11207">
              <w:t xml:space="preserve"> </w:t>
            </w:r>
            <w:r w:rsidRPr="00F11207">
              <w:t>22)</w:t>
            </w:r>
          </w:p>
        </w:tc>
      </w:tr>
      <w:tr w:rsidR="00DD69AF" w:rsidRPr="00205180" w14:paraId="7D1F3317"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gridSpan w:val="3"/>
          </w:tcPr>
          <w:p w14:paraId="4DF9A441" w14:textId="77777777" w:rsidR="00DD69AF" w:rsidRPr="00F11207" w:rsidRDefault="00DD69AF" w:rsidP="00F11207">
            <w:pPr>
              <w:pStyle w:val="TableText"/>
              <w:rPr>
                <w:b/>
                <w:bCs/>
              </w:rPr>
            </w:pPr>
            <w:r w:rsidRPr="00F11207">
              <w:rPr>
                <w:b/>
                <w:bCs/>
              </w:rPr>
              <w:t>Baseline Characteristics</w:t>
            </w:r>
          </w:p>
        </w:tc>
      </w:tr>
      <w:tr w:rsidR="00DD69AF" w:rsidRPr="0074352C" w14:paraId="7DD84409"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0F8059F" w14:textId="77777777" w:rsidR="00DD69AF" w:rsidRPr="00F11207" w:rsidRDefault="00DD69AF" w:rsidP="00F11207">
            <w:pPr>
              <w:pStyle w:val="TableText"/>
            </w:pPr>
            <w:r w:rsidRPr="00F11207">
              <w:t>Age</w:t>
            </w:r>
          </w:p>
        </w:tc>
        <w:tc>
          <w:tcPr>
            <w:tcW w:w="0" w:type="auto"/>
          </w:tcPr>
          <w:p w14:paraId="35FC7FCD"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Median (range)</w:t>
            </w:r>
          </w:p>
        </w:tc>
        <w:tc>
          <w:tcPr>
            <w:tcW w:w="0" w:type="auto"/>
          </w:tcPr>
          <w:p w14:paraId="32BFA98D" w14:textId="31CF6614"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15 (11</w:t>
            </w:r>
            <w:r w:rsidR="001058E3">
              <w:t xml:space="preserve"> to </w:t>
            </w:r>
            <w:r w:rsidRPr="00F11207">
              <w:t>17)</w:t>
            </w:r>
          </w:p>
        </w:tc>
      </w:tr>
      <w:tr w:rsidR="00DD69AF" w:rsidRPr="0074352C" w14:paraId="47A967A0"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6CB707DA" w14:textId="77777777" w:rsidR="00DD69AF" w:rsidRPr="00F11207" w:rsidRDefault="00DD69AF" w:rsidP="00F11207">
            <w:pPr>
              <w:pStyle w:val="TableText"/>
            </w:pPr>
          </w:p>
        </w:tc>
        <w:tc>
          <w:tcPr>
            <w:tcW w:w="0" w:type="auto"/>
          </w:tcPr>
          <w:p w14:paraId="44B51654"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14 – 17 years</w:t>
            </w:r>
          </w:p>
        </w:tc>
        <w:tc>
          <w:tcPr>
            <w:tcW w:w="0" w:type="auto"/>
          </w:tcPr>
          <w:p w14:paraId="72267026"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16 (82%)</w:t>
            </w:r>
          </w:p>
        </w:tc>
      </w:tr>
      <w:tr w:rsidR="00DD69AF" w:rsidRPr="0074352C" w14:paraId="3103D969"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48F94ED9" w14:textId="77777777" w:rsidR="00DD69AF" w:rsidRPr="00F11207" w:rsidRDefault="00DD69AF" w:rsidP="00F11207">
            <w:pPr>
              <w:pStyle w:val="TableText"/>
            </w:pPr>
          </w:p>
        </w:tc>
        <w:tc>
          <w:tcPr>
            <w:tcW w:w="0" w:type="auto"/>
          </w:tcPr>
          <w:p w14:paraId="1F52BFFD"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11-13 years</w:t>
            </w:r>
          </w:p>
        </w:tc>
        <w:tc>
          <w:tcPr>
            <w:tcW w:w="0" w:type="auto"/>
          </w:tcPr>
          <w:p w14:paraId="449C08A1"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4 (18%)</w:t>
            </w:r>
          </w:p>
        </w:tc>
      </w:tr>
      <w:tr w:rsidR="00DD69AF" w:rsidRPr="0074352C" w14:paraId="7451842E"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tcPr>
          <w:p w14:paraId="7BB87193" w14:textId="77777777" w:rsidR="00DD69AF" w:rsidRPr="00F11207" w:rsidRDefault="00DD69AF" w:rsidP="00F11207">
            <w:pPr>
              <w:pStyle w:val="TableText"/>
            </w:pPr>
            <w:r w:rsidRPr="00F11207">
              <w:t>Country</w:t>
            </w:r>
          </w:p>
        </w:tc>
        <w:tc>
          <w:tcPr>
            <w:tcW w:w="0" w:type="auto"/>
          </w:tcPr>
          <w:p w14:paraId="6DEA0BD6"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Australia</w:t>
            </w:r>
          </w:p>
        </w:tc>
        <w:tc>
          <w:tcPr>
            <w:tcW w:w="0" w:type="auto"/>
          </w:tcPr>
          <w:p w14:paraId="46D4FF43"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3 (14 %)</w:t>
            </w:r>
          </w:p>
        </w:tc>
      </w:tr>
      <w:tr w:rsidR="00DD69AF" w:rsidRPr="0074352C" w14:paraId="04753A26"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648C68E" w14:textId="77777777" w:rsidR="00DD69AF" w:rsidRPr="00F11207" w:rsidRDefault="00DD69AF" w:rsidP="00F11207">
            <w:pPr>
              <w:pStyle w:val="TableText"/>
            </w:pPr>
            <w:r w:rsidRPr="00F11207">
              <w:t>Race</w:t>
            </w:r>
          </w:p>
        </w:tc>
        <w:tc>
          <w:tcPr>
            <w:tcW w:w="0" w:type="auto"/>
          </w:tcPr>
          <w:p w14:paraId="60F61A83"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White</w:t>
            </w:r>
          </w:p>
        </w:tc>
        <w:tc>
          <w:tcPr>
            <w:tcW w:w="0" w:type="auto"/>
          </w:tcPr>
          <w:p w14:paraId="5C640734"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15 (68%)</w:t>
            </w:r>
          </w:p>
        </w:tc>
      </w:tr>
      <w:tr w:rsidR="00DD69AF" w:rsidRPr="0074352C" w14:paraId="606973BB"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204478A2" w14:textId="77777777" w:rsidR="00DD69AF" w:rsidRPr="00F11207" w:rsidRDefault="00DD69AF" w:rsidP="00F11207">
            <w:pPr>
              <w:pStyle w:val="TableText"/>
            </w:pPr>
          </w:p>
        </w:tc>
        <w:tc>
          <w:tcPr>
            <w:tcW w:w="0" w:type="auto"/>
          </w:tcPr>
          <w:p w14:paraId="7DD4947F" w14:textId="7C8BC8E8" w:rsidR="00DD69AF" w:rsidRPr="00F11207" w:rsidRDefault="003E3CF8" w:rsidP="00F11207">
            <w:pPr>
              <w:pStyle w:val="TableText"/>
              <w:cnfStyle w:val="000000000000" w:firstRow="0" w:lastRow="0" w:firstColumn="0" w:lastColumn="0" w:oddVBand="0" w:evenVBand="0" w:oddHBand="0" w:evenHBand="0" w:firstRowFirstColumn="0" w:firstRowLastColumn="0" w:lastRowFirstColumn="0" w:lastRowLastColumn="0"/>
            </w:pPr>
            <w:r>
              <w:t>Mixed race</w:t>
            </w:r>
          </w:p>
        </w:tc>
        <w:tc>
          <w:tcPr>
            <w:tcW w:w="0" w:type="auto"/>
          </w:tcPr>
          <w:p w14:paraId="5F51CE6F"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16 (27%)</w:t>
            </w:r>
          </w:p>
        </w:tc>
      </w:tr>
      <w:tr w:rsidR="00DD69AF" w:rsidRPr="0074352C" w14:paraId="1A182E4D"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4889ACFE" w14:textId="77777777" w:rsidR="00DD69AF" w:rsidRPr="00F11207" w:rsidRDefault="00DD69AF" w:rsidP="00F11207">
            <w:pPr>
              <w:pStyle w:val="TableText"/>
            </w:pPr>
          </w:p>
        </w:tc>
        <w:tc>
          <w:tcPr>
            <w:tcW w:w="0" w:type="auto"/>
          </w:tcPr>
          <w:p w14:paraId="64BE60DE"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Asian</w:t>
            </w:r>
          </w:p>
        </w:tc>
        <w:tc>
          <w:tcPr>
            <w:tcW w:w="0" w:type="auto"/>
          </w:tcPr>
          <w:p w14:paraId="76970142"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 (4.6%)</w:t>
            </w:r>
          </w:p>
        </w:tc>
      </w:tr>
      <w:tr w:rsidR="00DD69AF" w:rsidRPr="0074352C" w14:paraId="3A135678"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CB4F40D" w14:textId="77777777" w:rsidR="00DD69AF" w:rsidRPr="00F11207" w:rsidRDefault="00DD69AF" w:rsidP="00F11207">
            <w:pPr>
              <w:pStyle w:val="TableText"/>
            </w:pPr>
            <w:r w:rsidRPr="00F11207">
              <w:t>Tumour PD-L1 status</w:t>
            </w:r>
          </w:p>
        </w:tc>
        <w:tc>
          <w:tcPr>
            <w:tcW w:w="0" w:type="auto"/>
          </w:tcPr>
          <w:p w14:paraId="3503536A"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Positive</w:t>
            </w:r>
          </w:p>
        </w:tc>
        <w:tc>
          <w:tcPr>
            <w:tcW w:w="0" w:type="auto"/>
          </w:tcPr>
          <w:p w14:paraId="5BA3E84A"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19 (86%)</w:t>
            </w:r>
          </w:p>
        </w:tc>
      </w:tr>
      <w:tr w:rsidR="00DD69AF" w:rsidRPr="0074352C" w14:paraId="58E60A39"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12E90F8A" w14:textId="77777777" w:rsidR="00DD69AF" w:rsidRPr="00F11207" w:rsidRDefault="00DD69AF" w:rsidP="00F11207">
            <w:pPr>
              <w:pStyle w:val="TableText"/>
            </w:pPr>
          </w:p>
        </w:tc>
        <w:tc>
          <w:tcPr>
            <w:tcW w:w="0" w:type="auto"/>
          </w:tcPr>
          <w:p w14:paraId="1205E1B9"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Unknown</w:t>
            </w:r>
          </w:p>
        </w:tc>
        <w:tc>
          <w:tcPr>
            <w:tcW w:w="0" w:type="auto"/>
          </w:tcPr>
          <w:p w14:paraId="06B13FB7"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3 (14%)</w:t>
            </w:r>
          </w:p>
        </w:tc>
      </w:tr>
      <w:tr w:rsidR="00DD69AF" w:rsidRPr="0074352C" w14:paraId="135EE683"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C231622" w14:textId="77777777" w:rsidR="00DD69AF" w:rsidRPr="00F11207" w:rsidRDefault="00DD69AF" w:rsidP="00F11207">
            <w:pPr>
              <w:pStyle w:val="TableText"/>
            </w:pPr>
            <w:r w:rsidRPr="00F11207">
              <w:t>Prior lines of therapy</w:t>
            </w:r>
          </w:p>
        </w:tc>
        <w:tc>
          <w:tcPr>
            <w:tcW w:w="0" w:type="auto"/>
          </w:tcPr>
          <w:p w14:paraId="3914DFA2"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Median (range)</w:t>
            </w:r>
          </w:p>
        </w:tc>
        <w:tc>
          <w:tcPr>
            <w:tcW w:w="0" w:type="auto"/>
          </w:tcPr>
          <w:p w14:paraId="70D4160D" w14:textId="19A75C9A"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 xml:space="preserve">2 (1 </w:t>
            </w:r>
            <w:r w:rsidR="001058E3">
              <w:t>to</w:t>
            </w:r>
            <w:r w:rsidRPr="00F11207">
              <w:t xml:space="preserve"> 5)</w:t>
            </w:r>
          </w:p>
        </w:tc>
      </w:tr>
      <w:tr w:rsidR="00DD69AF" w:rsidRPr="0074352C" w14:paraId="56916AE5"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3ABDF7BF" w14:textId="77777777" w:rsidR="00DD69AF" w:rsidRPr="00F11207" w:rsidRDefault="00DD69AF" w:rsidP="00F11207">
            <w:pPr>
              <w:pStyle w:val="TableText"/>
            </w:pPr>
          </w:p>
        </w:tc>
        <w:tc>
          <w:tcPr>
            <w:tcW w:w="0" w:type="auto"/>
          </w:tcPr>
          <w:p w14:paraId="24D63128"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w:t>
            </w:r>
          </w:p>
        </w:tc>
        <w:tc>
          <w:tcPr>
            <w:tcW w:w="0" w:type="auto"/>
          </w:tcPr>
          <w:p w14:paraId="48288C0B"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3 (14%)</w:t>
            </w:r>
          </w:p>
        </w:tc>
      </w:tr>
      <w:tr w:rsidR="00DD69AF" w:rsidRPr="0074352C" w14:paraId="72FC7B93"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23BEB86C" w14:textId="77777777" w:rsidR="00DD69AF" w:rsidRPr="00F11207" w:rsidRDefault="00DD69AF" w:rsidP="00F11207">
            <w:pPr>
              <w:pStyle w:val="TableText"/>
            </w:pPr>
          </w:p>
        </w:tc>
        <w:tc>
          <w:tcPr>
            <w:tcW w:w="0" w:type="auto"/>
          </w:tcPr>
          <w:p w14:paraId="66B5C9EB"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2</w:t>
            </w:r>
          </w:p>
        </w:tc>
        <w:tc>
          <w:tcPr>
            <w:tcW w:w="0" w:type="auto"/>
          </w:tcPr>
          <w:p w14:paraId="67102F89"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10 (45%)</w:t>
            </w:r>
          </w:p>
        </w:tc>
      </w:tr>
      <w:tr w:rsidR="00DD69AF" w:rsidRPr="0074352C" w14:paraId="6B8EED43"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5B1DAA51" w14:textId="77777777" w:rsidR="00DD69AF" w:rsidRPr="00F11207" w:rsidRDefault="00DD69AF" w:rsidP="00F11207">
            <w:pPr>
              <w:pStyle w:val="TableText"/>
            </w:pPr>
          </w:p>
        </w:tc>
        <w:tc>
          <w:tcPr>
            <w:tcW w:w="0" w:type="auto"/>
          </w:tcPr>
          <w:p w14:paraId="1C1BBF44"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3</w:t>
            </w:r>
          </w:p>
        </w:tc>
        <w:tc>
          <w:tcPr>
            <w:tcW w:w="0" w:type="auto"/>
          </w:tcPr>
          <w:p w14:paraId="6F85655F"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2 (9%)</w:t>
            </w:r>
          </w:p>
        </w:tc>
      </w:tr>
      <w:tr w:rsidR="00DD69AF" w:rsidRPr="0074352C" w14:paraId="75D6AFFA"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65311800" w14:textId="77777777" w:rsidR="00DD69AF" w:rsidRPr="00F11207" w:rsidRDefault="00DD69AF" w:rsidP="00F11207">
            <w:pPr>
              <w:pStyle w:val="TableText"/>
            </w:pPr>
          </w:p>
        </w:tc>
        <w:tc>
          <w:tcPr>
            <w:tcW w:w="0" w:type="auto"/>
          </w:tcPr>
          <w:p w14:paraId="2772B129"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4 or 5</w:t>
            </w:r>
          </w:p>
        </w:tc>
        <w:tc>
          <w:tcPr>
            <w:tcW w:w="0" w:type="auto"/>
          </w:tcPr>
          <w:p w14:paraId="760340B7"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7 (32%)</w:t>
            </w:r>
          </w:p>
        </w:tc>
      </w:tr>
      <w:tr w:rsidR="00DD69AF" w:rsidRPr="0074352C" w14:paraId="0E8D686A"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gridSpan w:val="3"/>
          </w:tcPr>
          <w:p w14:paraId="482A01A1" w14:textId="77777777" w:rsidR="00DD69AF" w:rsidRPr="00F11207" w:rsidRDefault="00DD69AF" w:rsidP="00F11207">
            <w:pPr>
              <w:pStyle w:val="TableText"/>
              <w:rPr>
                <w:b/>
                <w:bCs/>
              </w:rPr>
            </w:pPr>
            <w:r w:rsidRPr="00F11207">
              <w:rPr>
                <w:b/>
                <w:bCs/>
              </w:rPr>
              <w:t>Efficacy Results</w:t>
            </w:r>
          </w:p>
        </w:tc>
      </w:tr>
      <w:tr w:rsidR="00DD69AF" w:rsidRPr="0074352C" w14:paraId="3B9B3668"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1EB65B3" w14:textId="77777777" w:rsidR="00DD69AF" w:rsidRPr="00F11207" w:rsidRDefault="00DD69AF" w:rsidP="00F11207">
            <w:pPr>
              <w:pStyle w:val="TableText"/>
            </w:pPr>
            <w:r w:rsidRPr="00F11207">
              <w:t>Treatment</w:t>
            </w:r>
          </w:p>
        </w:tc>
        <w:tc>
          <w:tcPr>
            <w:tcW w:w="0" w:type="auto"/>
          </w:tcPr>
          <w:p w14:paraId="1EA970E7"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Median duration (days)</w:t>
            </w:r>
          </w:p>
        </w:tc>
        <w:tc>
          <w:tcPr>
            <w:tcW w:w="0" w:type="auto"/>
          </w:tcPr>
          <w:p w14:paraId="655CFE78"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344</w:t>
            </w:r>
          </w:p>
        </w:tc>
      </w:tr>
      <w:tr w:rsidR="00DD69AF" w:rsidRPr="0074352C" w14:paraId="118E3A29"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4C831470" w14:textId="77777777" w:rsidR="00DD69AF" w:rsidRPr="00F11207" w:rsidRDefault="00DD69AF" w:rsidP="00F11207">
            <w:pPr>
              <w:pStyle w:val="TableText"/>
            </w:pPr>
          </w:p>
        </w:tc>
        <w:tc>
          <w:tcPr>
            <w:tcW w:w="0" w:type="auto"/>
          </w:tcPr>
          <w:p w14:paraId="5BB3F2AA"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Median number of doses</w:t>
            </w:r>
          </w:p>
        </w:tc>
        <w:tc>
          <w:tcPr>
            <w:tcW w:w="0" w:type="auto"/>
          </w:tcPr>
          <w:p w14:paraId="217145C4"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17</w:t>
            </w:r>
          </w:p>
        </w:tc>
      </w:tr>
      <w:tr w:rsidR="00DD69AF" w:rsidRPr="0074352C" w14:paraId="06F6D474"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859F516" w14:textId="77777777" w:rsidR="00DD69AF" w:rsidRPr="00F11207" w:rsidRDefault="00DD69AF" w:rsidP="00F11207">
            <w:pPr>
              <w:pStyle w:val="TableText"/>
            </w:pPr>
            <w:r w:rsidRPr="00F11207">
              <w:t xml:space="preserve">ORR per </w:t>
            </w:r>
            <w:proofErr w:type="spellStart"/>
            <w:r w:rsidRPr="00F11207">
              <w:t>INV</w:t>
            </w:r>
            <w:r w:rsidRPr="00F11207">
              <w:rPr>
                <w:vertAlign w:val="superscript"/>
              </w:rPr>
              <w:t>a</w:t>
            </w:r>
            <w:proofErr w:type="spellEnd"/>
          </w:p>
        </w:tc>
        <w:tc>
          <w:tcPr>
            <w:tcW w:w="0" w:type="auto"/>
          </w:tcPr>
          <w:p w14:paraId="4E1C1DB0"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ORR</w:t>
            </w:r>
          </w:p>
        </w:tc>
        <w:tc>
          <w:tcPr>
            <w:tcW w:w="0" w:type="auto"/>
          </w:tcPr>
          <w:p w14:paraId="27ABDAD5" w14:textId="1F977549" w:rsidR="00DD69AF" w:rsidRPr="00F11207" w:rsidRDefault="00DD69AF">
            <w:pPr>
              <w:pStyle w:val="TableText"/>
              <w:cnfStyle w:val="000000000000" w:firstRow="0" w:lastRow="0" w:firstColumn="0" w:lastColumn="0" w:oddVBand="0" w:evenVBand="0" w:oddHBand="0" w:evenHBand="0" w:firstRowFirstColumn="0" w:firstRowLastColumn="0" w:lastRowFirstColumn="0" w:lastRowLastColumn="0"/>
            </w:pPr>
            <w:r w:rsidRPr="00F11207">
              <w:t>13 (59%;</w:t>
            </w:r>
            <w:r w:rsidR="00BE65C4">
              <w:br/>
            </w:r>
            <w:r w:rsidRPr="00F11207">
              <w:t xml:space="preserve">95% CI, 36 </w:t>
            </w:r>
            <w:r w:rsidR="00BE65C4">
              <w:t>to</w:t>
            </w:r>
            <w:r w:rsidRPr="00F11207">
              <w:t xml:space="preserve"> 79)</w:t>
            </w:r>
          </w:p>
        </w:tc>
      </w:tr>
      <w:tr w:rsidR="00DD69AF" w:rsidRPr="0074352C" w14:paraId="3442AF43"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46412D06" w14:textId="77777777" w:rsidR="00DD69AF" w:rsidRPr="00F11207" w:rsidRDefault="00DD69AF" w:rsidP="00F11207">
            <w:pPr>
              <w:pStyle w:val="TableText"/>
            </w:pPr>
          </w:p>
        </w:tc>
        <w:tc>
          <w:tcPr>
            <w:tcW w:w="0" w:type="auto"/>
          </w:tcPr>
          <w:p w14:paraId="4D691293" w14:textId="3DC13D54" w:rsidR="00DD69AF" w:rsidRPr="00F11207" w:rsidRDefault="00B004E2" w:rsidP="00F11207">
            <w:pPr>
              <w:pStyle w:val="TableText"/>
              <w:cnfStyle w:val="000000000000" w:firstRow="0" w:lastRow="0" w:firstColumn="0" w:lastColumn="0" w:oddVBand="0" w:evenVBand="0" w:oddHBand="0" w:evenHBand="0" w:firstRowFirstColumn="0" w:firstRowLastColumn="0" w:lastRowFirstColumn="0" w:lastRowLastColumn="0"/>
            </w:pPr>
            <w:r w:rsidRPr="00F11207">
              <w:t xml:space="preserve"> </w:t>
            </w:r>
            <w:r w:rsidR="00DD69AF" w:rsidRPr="00F11207">
              <w:t>CR</w:t>
            </w:r>
          </w:p>
        </w:tc>
        <w:tc>
          <w:tcPr>
            <w:tcW w:w="0" w:type="auto"/>
          </w:tcPr>
          <w:p w14:paraId="52FA719C"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3</w:t>
            </w:r>
          </w:p>
          <w:p w14:paraId="6CE55033" w14:textId="107B38EE"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(RECIST 1.1/IWG)</w:t>
            </w:r>
          </w:p>
        </w:tc>
      </w:tr>
      <w:tr w:rsidR="00DD69AF" w:rsidRPr="0074352C" w14:paraId="41220E94"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7D4A6531" w14:textId="77777777" w:rsidR="00DD69AF" w:rsidRPr="00F11207" w:rsidRDefault="00DD69AF" w:rsidP="00F11207">
            <w:pPr>
              <w:pStyle w:val="TableText"/>
            </w:pPr>
          </w:p>
        </w:tc>
        <w:tc>
          <w:tcPr>
            <w:tcW w:w="0" w:type="auto"/>
          </w:tcPr>
          <w:p w14:paraId="2A19106C" w14:textId="62445A8B" w:rsidR="00DD69AF" w:rsidRPr="00F11207" w:rsidRDefault="00B004E2" w:rsidP="00F11207">
            <w:pPr>
              <w:pStyle w:val="TableText"/>
              <w:cnfStyle w:val="000000000000" w:firstRow="0" w:lastRow="0" w:firstColumn="0" w:lastColumn="0" w:oddVBand="0" w:evenVBand="0" w:oddHBand="0" w:evenHBand="0" w:firstRowFirstColumn="0" w:firstRowLastColumn="0" w:lastRowFirstColumn="0" w:lastRowLastColumn="0"/>
            </w:pPr>
            <w:r w:rsidRPr="00F11207">
              <w:t xml:space="preserve"> </w:t>
            </w:r>
            <w:r w:rsidR="00DD69AF" w:rsidRPr="00F11207">
              <w:t>PR</w:t>
            </w:r>
          </w:p>
        </w:tc>
        <w:tc>
          <w:tcPr>
            <w:tcW w:w="0" w:type="auto"/>
          </w:tcPr>
          <w:p w14:paraId="1E97D062" w14:textId="6243B9E8"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10</w:t>
            </w:r>
            <w:r w:rsidR="00BE65C4">
              <w:br/>
            </w:r>
            <w:r w:rsidRPr="00F11207">
              <w:t>(9 RECIST 1.1/1 IWG)</w:t>
            </w:r>
          </w:p>
        </w:tc>
      </w:tr>
      <w:tr w:rsidR="00DD69AF" w:rsidRPr="0074352C" w14:paraId="42ED8E73"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52960879" w14:textId="77777777" w:rsidR="00DD69AF" w:rsidRPr="00F11207" w:rsidRDefault="00DD69AF" w:rsidP="00F11207">
            <w:pPr>
              <w:pStyle w:val="TableText"/>
            </w:pPr>
          </w:p>
        </w:tc>
        <w:tc>
          <w:tcPr>
            <w:tcW w:w="0" w:type="auto"/>
          </w:tcPr>
          <w:p w14:paraId="60CFF973"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Stable Disease</w:t>
            </w:r>
          </w:p>
        </w:tc>
        <w:tc>
          <w:tcPr>
            <w:tcW w:w="0" w:type="auto"/>
          </w:tcPr>
          <w:p w14:paraId="25A19568" w14:textId="5B3FE301"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5</w:t>
            </w:r>
            <w:r w:rsidR="00BE65C4">
              <w:br/>
            </w:r>
            <w:r w:rsidRPr="00F11207">
              <w:t>(2 RECIST 1.1/ 3 IWG)</w:t>
            </w:r>
          </w:p>
        </w:tc>
      </w:tr>
      <w:tr w:rsidR="00DD69AF" w:rsidRPr="0074352C" w14:paraId="649EF3CE"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2E7E992F" w14:textId="77777777" w:rsidR="00DD69AF" w:rsidRPr="00F11207" w:rsidRDefault="00DD69AF" w:rsidP="00F11207">
            <w:pPr>
              <w:pStyle w:val="TableText"/>
            </w:pPr>
          </w:p>
        </w:tc>
        <w:tc>
          <w:tcPr>
            <w:tcW w:w="0" w:type="auto"/>
          </w:tcPr>
          <w:p w14:paraId="49C77DE2"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Progressive Disease</w:t>
            </w:r>
          </w:p>
        </w:tc>
        <w:tc>
          <w:tcPr>
            <w:tcW w:w="0" w:type="auto"/>
          </w:tcPr>
          <w:p w14:paraId="053530D4" w14:textId="3CF48284"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4</w:t>
            </w:r>
            <w:r w:rsidR="00BE65C4">
              <w:br/>
            </w:r>
            <w:r w:rsidRPr="00F11207">
              <w:t>(3 RECIST 1.1/1 IWG)</w:t>
            </w:r>
          </w:p>
        </w:tc>
      </w:tr>
      <w:tr w:rsidR="00DD69AF" w:rsidRPr="0074352C" w14:paraId="66F7339D"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tcPr>
          <w:p w14:paraId="40FC07EB" w14:textId="77777777" w:rsidR="00DD69AF" w:rsidRPr="00F11207" w:rsidRDefault="00DD69AF" w:rsidP="00F11207">
            <w:pPr>
              <w:pStyle w:val="TableText"/>
            </w:pPr>
            <w:r w:rsidRPr="00F11207">
              <w:t>ORR per INV according to Cohort</w:t>
            </w:r>
          </w:p>
        </w:tc>
        <w:tc>
          <w:tcPr>
            <w:tcW w:w="0" w:type="auto"/>
          </w:tcPr>
          <w:p w14:paraId="3BE91A3A" w14:textId="2D1BFE32" w:rsidR="00B004E2"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 xml:space="preserve">Initial </w:t>
            </w:r>
            <w:r w:rsidR="00BE65C4">
              <w:t>P</w:t>
            </w:r>
            <w:r w:rsidRPr="00F11207">
              <w:t xml:space="preserve">hase </w:t>
            </w:r>
            <w:r w:rsidR="00BE65C4">
              <w:t>I study period</w:t>
            </w:r>
            <w:r w:rsidRPr="00F11207">
              <w:t xml:space="preserve"> (n = 15)</w:t>
            </w:r>
          </w:p>
          <w:p w14:paraId="6CC784AD" w14:textId="66A7515C"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proofErr w:type="spellStart"/>
            <w:r w:rsidRPr="00F11207">
              <w:t>cHL</w:t>
            </w:r>
            <w:proofErr w:type="spellEnd"/>
            <w:r w:rsidRPr="00F11207">
              <w:t xml:space="preserve"> expansion cohort (n=7)</w:t>
            </w:r>
          </w:p>
        </w:tc>
        <w:tc>
          <w:tcPr>
            <w:tcW w:w="0" w:type="auto"/>
          </w:tcPr>
          <w:p w14:paraId="3D39D849"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67%</w:t>
            </w:r>
          </w:p>
          <w:p w14:paraId="6F2B30AC"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43%</w:t>
            </w:r>
          </w:p>
        </w:tc>
      </w:tr>
      <w:tr w:rsidR="00DD69AF" w:rsidRPr="0074352C" w14:paraId="0CE3CD85"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C65CBF0" w14:textId="77777777" w:rsidR="00B004E2" w:rsidRPr="00F11207" w:rsidRDefault="00DD69AF" w:rsidP="00F11207">
            <w:pPr>
              <w:pStyle w:val="TableText"/>
            </w:pPr>
            <w:r w:rsidRPr="00F11207">
              <w:t>DOR per INV</w:t>
            </w:r>
          </w:p>
          <w:p w14:paraId="455D3749" w14:textId="789FFACF" w:rsidR="00DD69AF" w:rsidRPr="00F11207" w:rsidRDefault="00DD69AF" w:rsidP="00F11207">
            <w:pPr>
              <w:pStyle w:val="TableText"/>
            </w:pPr>
          </w:p>
        </w:tc>
        <w:tc>
          <w:tcPr>
            <w:tcW w:w="0" w:type="auto"/>
          </w:tcPr>
          <w:p w14:paraId="241EC882"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DOR ≥ 6 months</w:t>
            </w:r>
          </w:p>
        </w:tc>
        <w:tc>
          <w:tcPr>
            <w:tcW w:w="0" w:type="auto"/>
          </w:tcPr>
          <w:p w14:paraId="4BFEE6A9"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10 (77%)</w:t>
            </w:r>
          </w:p>
        </w:tc>
      </w:tr>
      <w:tr w:rsidR="00DD69AF" w:rsidRPr="0074352C" w14:paraId="3D6294B8"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1A501EEA" w14:textId="77777777" w:rsidR="00DD69AF" w:rsidRPr="00F11207" w:rsidRDefault="00DD69AF" w:rsidP="00F11207">
            <w:pPr>
              <w:pStyle w:val="TableText"/>
            </w:pPr>
          </w:p>
        </w:tc>
        <w:tc>
          <w:tcPr>
            <w:tcW w:w="0" w:type="auto"/>
          </w:tcPr>
          <w:p w14:paraId="0EBEC84F"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DOR ≥ 12 months</w:t>
            </w:r>
          </w:p>
        </w:tc>
        <w:tc>
          <w:tcPr>
            <w:tcW w:w="0" w:type="auto"/>
          </w:tcPr>
          <w:p w14:paraId="4817353F"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6 (46%)</w:t>
            </w:r>
          </w:p>
        </w:tc>
      </w:tr>
      <w:tr w:rsidR="00DD69AF" w:rsidRPr="0074352C" w14:paraId="43A52BD4"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09F020BA" w14:textId="77777777" w:rsidR="00DD69AF" w:rsidRPr="00F11207" w:rsidRDefault="00DD69AF" w:rsidP="00F11207">
            <w:pPr>
              <w:pStyle w:val="TableText"/>
            </w:pPr>
          </w:p>
        </w:tc>
        <w:tc>
          <w:tcPr>
            <w:tcW w:w="0" w:type="auto"/>
          </w:tcPr>
          <w:p w14:paraId="5C2436CB"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Range of DOR</w:t>
            </w:r>
          </w:p>
        </w:tc>
        <w:tc>
          <w:tcPr>
            <w:tcW w:w="0" w:type="auto"/>
          </w:tcPr>
          <w:p w14:paraId="7456DE90"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0+ to 28.7 months</w:t>
            </w:r>
          </w:p>
        </w:tc>
      </w:tr>
      <w:tr w:rsidR="00DD69AF" w:rsidRPr="0074352C" w14:paraId="376B9C58" w14:textId="77777777" w:rsidTr="00F11207">
        <w:trPr>
          <w:trHeight w:val="227"/>
        </w:trPr>
        <w:tc>
          <w:tcPr>
            <w:cnfStyle w:val="001000000000" w:firstRow="0" w:lastRow="0" w:firstColumn="1" w:lastColumn="0" w:oddVBand="0" w:evenVBand="0" w:oddHBand="0" w:evenHBand="0" w:firstRowFirstColumn="0" w:firstRowLastColumn="0" w:lastRowFirstColumn="0" w:lastRowLastColumn="0"/>
            <w:tcW w:w="0" w:type="auto"/>
            <w:vMerge/>
          </w:tcPr>
          <w:p w14:paraId="328F450D" w14:textId="77777777" w:rsidR="00DD69AF" w:rsidRPr="00F11207" w:rsidRDefault="00DD69AF" w:rsidP="00F11207">
            <w:pPr>
              <w:pStyle w:val="TableText"/>
            </w:pPr>
          </w:p>
        </w:tc>
        <w:tc>
          <w:tcPr>
            <w:tcW w:w="0" w:type="auto"/>
          </w:tcPr>
          <w:p w14:paraId="3D58BFD1"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Number censored</w:t>
            </w:r>
          </w:p>
        </w:tc>
        <w:tc>
          <w:tcPr>
            <w:tcW w:w="0" w:type="auto"/>
          </w:tcPr>
          <w:p w14:paraId="10C38254" w14:textId="77777777" w:rsidR="00DD69AF" w:rsidRPr="00F11207" w:rsidRDefault="00DD69AF" w:rsidP="00F11207">
            <w:pPr>
              <w:pStyle w:val="TableText"/>
              <w:cnfStyle w:val="000000000000" w:firstRow="0" w:lastRow="0" w:firstColumn="0" w:lastColumn="0" w:oddVBand="0" w:evenVBand="0" w:oddHBand="0" w:evenHBand="0" w:firstRowFirstColumn="0" w:firstRowLastColumn="0" w:lastRowFirstColumn="0" w:lastRowLastColumn="0"/>
            </w:pPr>
            <w:r w:rsidRPr="00F11207">
              <w:t>6 (46%)</w:t>
            </w:r>
          </w:p>
        </w:tc>
      </w:tr>
    </w:tbl>
    <w:p w14:paraId="4978D018" w14:textId="374074AE" w:rsidR="003E3CF8" w:rsidRDefault="003E3CF8" w:rsidP="005900D0">
      <w:pPr>
        <w:pStyle w:val="TableDescription"/>
      </w:pPr>
      <w:r>
        <w:t xml:space="preserve">Abbreviations: </w:t>
      </w:r>
      <w:proofErr w:type="spellStart"/>
      <w:r w:rsidR="00BE65C4">
        <w:t>cHL</w:t>
      </w:r>
      <w:proofErr w:type="spellEnd"/>
      <w:r w:rsidR="00BE65C4">
        <w:t xml:space="preserve"> = chronic Hodgkin lymphoma; </w:t>
      </w:r>
      <w:r>
        <w:t>CI = confidence interval; PFS = progression free survival, ORR = objection response rate; CR = complete response; CRR = complete response rate; HR = hazard reduction; INV = investigator; PFS = progression-free survival; PR = partial response, DOR = duration of response.</w:t>
      </w:r>
    </w:p>
    <w:p w14:paraId="151AA278" w14:textId="59B4E8B8" w:rsidR="003E3CF8" w:rsidRDefault="003E3CF8">
      <w:pPr>
        <w:pStyle w:val="TableDescription"/>
      </w:pPr>
      <w:r>
        <w:t>International Working Grou</w:t>
      </w:r>
      <w:r w:rsidR="00BE65C4">
        <w:t xml:space="preserve">p (IWG) (2007) criteria as per: </w:t>
      </w:r>
      <w:proofErr w:type="spellStart"/>
      <w:r>
        <w:t>Cheson</w:t>
      </w:r>
      <w:proofErr w:type="spellEnd"/>
      <w:r>
        <w:t xml:space="preserve"> B, </w:t>
      </w:r>
      <w:proofErr w:type="spellStart"/>
      <w:r>
        <w:t>Pfistner</w:t>
      </w:r>
      <w:proofErr w:type="spellEnd"/>
      <w:r>
        <w:t xml:space="preserve"> B, </w:t>
      </w:r>
      <w:proofErr w:type="spellStart"/>
      <w:r>
        <w:t>Juweid</w:t>
      </w:r>
      <w:proofErr w:type="spellEnd"/>
      <w:r>
        <w:t xml:space="preserve"> ME et al Revised Response Criteria for Malignant Lymphoma </w:t>
      </w:r>
      <w:r>
        <w:rPr>
          <w:i/>
        </w:rPr>
        <w:t>J Clin Oncol</w:t>
      </w:r>
      <w:r>
        <w:t xml:space="preserve"> 2007;25(5):579-586</w:t>
      </w:r>
    </w:p>
    <w:p w14:paraId="42FBD5E4" w14:textId="2101647A" w:rsidR="00BE65C4" w:rsidRPr="002E5D98" w:rsidRDefault="00BE65C4">
      <w:pPr>
        <w:pStyle w:val="TableDescription"/>
      </w:pPr>
      <w:r>
        <w:t>RECIST version 1.1 criteria: Response evaluation criteria in solid tumours: Revised RECIST guideline (version 1.1).</w:t>
      </w:r>
    </w:p>
    <w:p w14:paraId="1CDF20CA" w14:textId="54A03E58" w:rsidR="00DD69AF" w:rsidRDefault="005900D0" w:rsidP="005900D0">
      <w:pPr>
        <w:pStyle w:val="TableDescription"/>
      </w:pPr>
      <w:r w:rsidRPr="005900D0">
        <w:rPr>
          <w:vertAlign w:val="superscript"/>
        </w:rPr>
        <w:t>a</w:t>
      </w:r>
      <w:r w:rsidR="00F11207">
        <w:rPr>
          <w:vertAlign w:val="superscript"/>
        </w:rPr>
        <w:t xml:space="preserve"> </w:t>
      </w:r>
      <w:r w:rsidRPr="005900D0">
        <w:t>confirmed RECIST 1.1 criteria (n=15) or 2007 IWG criteria (n=7)</w:t>
      </w:r>
    </w:p>
    <w:p w14:paraId="0D64D0B9" w14:textId="25F37E3C" w:rsidR="00DD69AF" w:rsidRPr="00DD69AF" w:rsidRDefault="14A79BE9" w:rsidP="00DD69AF">
      <w:r>
        <w:t xml:space="preserve">Of the 22 </w:t>
      </w:r>
      <w:r w:rsidR="1A7BE5A0">
        <w:t xml:space="preserve">relapsed or refractory classical Hodgkin </w:t>
      </w:r>
      <w:r w:rsidR="41C5E5D2">
        <w:t xml:space="preserve">lymphoma </w:t>
      </w:r>
      <w:r>
        <w:t>patients, 16 were treated fo</w:t>
      </w:r>
      <w:r w:rsidR="6E72F0DE">
        <w:t>r</w:t>
      </w:r>
      <w:r>
        <w:t xml:space="preserve"> </w:t>
      </w:r>
      <w:r w:rsidR="6E72F0DE">
        <w:t>six months or more</w:t>
      </w:r>
      <w:r>
        <w:t xml:space="preserve">, and </w:t>
      </w:r>
      <w:r w:rsidR="6E72F0DE">
        <w:t>nine</w:t>
      </w:r>
      <w:r>
        <w:t xml:space="preserve"> for</w:t>
      </w:r>
      <w:r w:rsidR="6E72F0DE">
        <w:t xml:space="preserve"> </w:t>
      </w:r>
      <w:r>
        <w:t xml:space="preserve">12 </w:t>
      </w:r>
      <w:r w:rsidR="6E72F0DE">
        <w:t>months or more.</w:t>
      </w:r>
      <w:r>
        <w:t xml:space="preserve"> Subsequent therapy was received by 14</w:t>
      </w:r>
      <w:r w:rsidR="00BE65C4">
        <w:t> </w:t>
      </w:r>
      <w:r w:rsidR="6E72F0DE">
        <w:t xml:space="preserve">out of </w:t>
      </w:r>
      <w:r>
        <w:t xml:space="preserve">22 patients. Seven patients received </w:t>
      </w:r>
      <w:r w:rsidR="7259D203">
        <w:t>haematopoietic stem cell transplantation</w:t>
      </w:r>
      <w:r>
        <w:t xml:space="preserve"> (allo</w:t>
      </w:r>
      <w:r w:rsidR="6E72F0DE">
        <w:t>genic or autologous</w:t>
      </w:r>
      <w:r>
        <w:t>) after discontinuing pembrolizumab.</w:t>
      </w:r>
    </w:p>
    <w:p w14:paraId="6FA807FF" w14:textId="08542CE4" w:rsidR="00DD69AF" w:rsidRPr="00DD69AF" w:rsidRDefault="00DD69AF" w:rsidP="00DD69AF">
      <w:r w:rsidRPr="00DD69AF">
        <w:t xml:space="preserve">The limitations of the </w:t>
      </w:r>
      <w:r w:rsidR="00913CDD" w:rsidRPr="00913CDD">
        <w:t>objective response rate</w:t>
      </w:r>
      <w:r w:rsidRPr="00DD69AF">
        <w:t xml:space="preserve"> data included small patient numbers, a paucity of patients with only </w:t>
      </w:r>
      <w:r w:rsidR="005900D0">
        <w:t>one</w:t>
      </w:r>
      <w:r w:rsidRPr="00DD69AF">
        <w:t xml:space="preserve"> prior line of therapy, the lack of </w:t>
      </w:r>
      <w:r w:rsidR="00FB727F">
        <w:t>Independent Review Committee</w:t>
      </w:r>
      <w:r w:rsidRPr="00DD69AF">
        <w:t xml:space="preserve"> assessment of the outcome measure, and the heterogenous response</w:t>
      </w:r>
      <w:r w:rsidR="005900D0">
        <w:t xml:space="preserve"> were noted</w:t>
      </w:r>
      <w:r w:rsidRPr="00DD69AF">
        <w:t>.</w:t>
      </w:r>
    </w:p>
    <w:p w14:paraId="0CF63C0A" w14:textId="1D230026" w:rsidR="00214CE7" w:rsidRDefault="00214CE7" w:rsidP="00B361FD">
      <w:pPr>
        <w:pStyle w:val="Heading4"/>
      </w:pPr>
      <w:bookmarkStart w:id="65" w:name="_Toc133584020"/>
      <w:r>
        <w:t>Safety</w:t>
      </w:r>
      <w:bookmarkEnd w:id="65"/>
    </w:p>
    <w:p w14:paraId="62C96787" w14:textId="49E383BC" w:rsidR="00BE65C4" w:rsidRPr="00C13873" w:rsidRDefault="00BE65C4" w:rsidP="002E5D98">
      <w:pPr>
        <w:pStyle w:val="Heading5"/>
      </w:pPr>
      <w:r>
        <w:t>Exposure</w:t>
      </w:r>
      <w:r w:rsidR="00171953">
        <w:t xml:space="preserve"> and data sets</w:t>
      </w:r>
    </w:p>
    <w:p w14:paraId="39494D7C" w14:textId="7F06000E" w:rsidR="00194A75" w:rsidRDefault="00DD69AF" w:rsidP="00DD69AF">
      <w:r>
        <w:t xml:space="preserve">The sponsor summarised safety data from </w:t>
      </w:r>
      <w:r w:rsidR="00BE65C4">
        <w:t xml:space="preserve">the </w:t>
      </w:r>
      <w:r w:rsidR="002D22AB">
        <w:t>KEYNOTE 204 trial</w:t>
      </w:r>
      <w:r>
        <w:t xml:space="preserve"> (n</w:t>
      </w:r>
      <w:r w:rsidR="005900D0">
        <w:t xml:space="preserve"> </w:t>
      </w:r>
      <w:r>
        <w:t>=</w:t>
      </w:r>
      <w:r w:rsidR="005900D0">
        <w:t xml:space="preserve"> </w:t>
      </w:r>
      <w:r>
        <w:t xml:space="preserve">148 patients exposed to pembrolizumab); pooled safety data from </w:t>
      </w:r>
      <w:r w:rsidR="00BE65C4">
        <w:t xml:space="preserve">the </w:t>
      </w:r>
      <w:r>
        <w:t>K</w:t>
      </w:r>
      <w:r w:rsidR="005900D0">
        <w:t xml:space="preserve">EYNOTE </w:t>
      </w:r>
      <w:r w:rsidR="004E337E">
        <w:t xml:space="preserve">204 </w:t>
      </w:r>
      <w:r w:rsidR="005900D0">
        <w:t>trial</w:t>
      </w:r>
      <w:r>
        <w:t xml:space="preserve">, </w:t>
      </w:r>
      <w:r w:rsidR="00BE65C4">
        <w:t xml:space="preserve">the </w:t>
      </w:r>
      <w:r w:rsidR="002D22AB">
        <w:t>KEYNOTE 087 trial</w:t>
      </w:r>
      <w:r>
        <w:t xml:space="preserve"> </w:t>
      </w:r>
      <w:r w:rsidR="00BE65C4">
        <w:t xml:space="preserve">(studies described under efficacy, above) </w:t>
      </w:r>
      <w:r>
        <w:t>and</w:t>
      </w:r>
      <w:r w:rsidR="00BE65C4">
        <w:t xml:space="preserve"> the</w:t>
      </w:r>
      <w:r>
        <w:t xml:space="preserve"> </w:t>
      </w:r>
      <w:r w:rsidR="005900D0">
        <w:t>KEYNOTE 0</w:t>
      </w:r>
      <w:r>
        <w:t>13</w:t>
      </w:r>
      <w:r w:rsidR="005900D0">
        <w:t xml:space="preserve"> trial</w:t>
      </w:r>
      <w:r>
        <w:t xml:space="preserve"> (n</w:t>
      </w:r>
      <w:r w:rsidR="005900D0">
        <w:t xml:space="preserve"> </w:t>
      </w:r>
      <w:r>
        <w:t>=</w:t>
      </w:r>
      <w:r w:rsidR="005900D0">
        <w:t xml:space="preserve"> </w:t>
      </w:r>
      <w:r>
        <w:t xml:space="preserve">389 patients with </w:t>
      </w:r>
      <w:r w:rsidR="005900D0" w:rsidRPr="005900D0">
        <w:t xml:space="preserve">classical Hodgkin </w:t>
      </w:r>
      <w:r w:rsidR="007D3D1C">
        <w:t>lymphoma</w:t>
      </w:r>
      <w:r>
        <w:t>)</w:t>
      </w:r>
      <w:r w:rsidR="00BE65C4">
        <w:t>;</w:t>
      </w:r>
      <w:r w:rsidR="00BE65C4" w:rsidRPr="002E5D98">
        <w:rPr>
          <w:vertAlign w:val="superscript"/>
        </w:rPr>
        <w:fldChar w:fldCharType="begin"/>
      </w:r>
      <w:r w:rsidR="00BE65C4" w:rsidRPr="002E5D98">
        <w:rPr>
          <w:vertAlign w:val="superscript"/>
        </w:rPr>
        <w:instrText xml:space="preserve"> NOTEREF _Ref136938325 \h </w:instrText>
      </w:r>
      <w:r w:rsidR="00BE65C4">
        <w:rPr>
          <w:vertAlign w:val="superscript"/>
        </w:rPr>
        <w:instrText xml:space="preserve"> \* MERGEFORMAT </w:instrText>
      </w:r>
      <w:r w:rsidR="00BE65C4" w:rsidRPr="002E5D98">
        <w:rPr>
          <w:vertAlign w:val="superscript"/>
        </w:rPr>
      </w:r>
      <w:r w:rsidR="00BE65C4" w:rsidRPr="002E5D98">
        <w:rPr>
          <w:vertAlign w:val="superscript"/>
        </w:rPr>
        <w:fldChar w:fldCharType="separate"/>
      </w:r>
      <w:r w:rsidR="00BE65C4" w:rsidRPr="002E5D98">
        <w:rPr>
          <w:vertAlign w:val="superscript"/>
        </w:rPr>
        <w:t>13</w:t>
      </w:r>
      <w:r w:rsidR="00BE65C4" w:rsidRPr="002E5D98">
        <w:rPr>
          <w:vertAlign w:val="superscript"/>
        </w:rPr>
        <w:fldChar w:fldCharType="end"/>
      </w:r>
      <w:r>
        <w:t xml:space="preserve"> and noted safety from the reference pembrolizumab data sets fo</w:t>
      </w:r>
      <w:r w:rsidR="00BE65C4">
        <w:t>r</w:t>
      </w:r>
      <w:r>
        <w:t xml:space="preserve"> monotherapy (n</w:t>
      </w:r>
      <w:r w:rsidR="005900D0">
        <w:t xml:space="preserve"> </w:t>
      </w:r>
      <w:r>
        <w:t>=</w:t>
      </w:r>
      <w:r w:rsidR="005900D0">
        <w:t xml:space="preserve"> </w:t>
      </w:r>
      <w:r>
        <w:t xml:space="preserve">2799). </w:t>
      </w:r>
      <w:r w:rsidR="00194A75">
        <w:t>The reference data set reflects exposure to Keytruda as a single agent in 2799 patients in three randomised, open-label, active-controlled trials (the KEYNOTE 002, KEYNOTE  006, and KEYNOTE 010 trials), which enrolled 912 patients with melanoma and 682 patients with non-small cell lung cancer (NSCLC), and one single-arm trial (the KEYNOTE 001 trial), which enrolled 655 patients with melanoma and 550 patients with NSCLC.</w:t>
      </w:r>
    </w:p>
    <w:p w14:paraId="329B2E37" w14:textId="797C86B9" w:rsidR="00B004E2" w:rsidRDefault="00DD69AF" w:rsidP="00DD69AF">
      <w:r>
        <w:t xml:space="preserve">Patients were predominantly </w:t>
      </w:r>
      <w:r w:rsidR="005900D0">
        <w:t>W</w:t>
      </w:r>
      <w:r>
        <w:t xml:space="preserve">hite, </w:t>
      </w:r>
      <w:r w:rsidR="005900D0">
        <w:t>less than</w:t>
      </w:r>
      <w:r>
        <w:t xml:space="preserve"> 65 years of age (younger than the reference data set), with the nodular sclerosing subtype of </w:t>
      </w:r>
      <w:r w:rsidR="005900D0" w:rsidRPr="005900D0">
        <w:t xml:space="preserve">classical Hodgkin </w:t>
      </w:r>
      <w:r w:rsidR="007D3D1C">
        <w:t>lymphoma</w:t>
      </w:r>
      <w:r>
        <w:t xml:space="preserve">, and were balanced for gender, race and ECOG performance </w:t>
      </w:r>
      <w:r w:rsidR="00BE65C4">
        <w:t xml:space="preserve">status </w:t>
      </w:r>
      <w:r>
        <w:t xml:space="preserve">across the data sets. In </w:t>
      </w:r>
      <w:r w:rsidR="00BE65C4">
        <w:t xml:space="preserve">the </w:t>
      </w:r>
      <w:r w:rsidR="002D22AB">
        <w:t>KEYNOTE 204 trial</w:t>
      </w:r>
      <w:r>
        <w:t xml:space="preserve"> the median duration of exposure was 10 months in the pembrolizumab arm and 4.8 months in the </w:t>
      </w:r>
      <w:r w:rsidR="009A599D">
        <w:t>brentuximab vedotin</w:t>
      </w:r>
      <w:r>
        <w:t xml:space="preserve"> arm.</w:t>
      </w:r>
    </w:p>
    <w:p w14:paraId="6C6FEB5A" w14:textId="4DE8D53F" w:rsidR="00BE65C4" w:rsidRDefault="00BE65C4" w:rsidP="002E5D98">
      <w:pPr>
        <w:pStyle w:val="Heading5"/>
      </w:pPr>
      <w:r>
        <w:lastRenderedPageBreak/>
        <w:t>Safety summary</w:t>
      </w:r>
    </w:p>
    <w:p w14:paraId="0CDE8FD3" w14:textId="40552DDA" w:rsidR="00DD69AF" w:rsidRDefault="00DD69AF" w:rsidP="00DD69AF">
      <w:pPr>
        <w:pStyle w:val="TableTitle"/>
      </w:pPr>
      <w:r w:rsidRPr="005112E3">
        <w:t xml:space="preserve">Table </w:t>
      </w:r>
      <w:r>
        <w:fldChar w:fldCharType="begin"/>
      </w:r>
      <w:r>
        <w:instrText>SEQ Table \* ARABIC</w:instrText>
      </w:r>
      <w:r>
        <w:fldChar w:fldCharType="separate"/>
      </w:r>
      <w:r w:rsidR="00A463D1">
        <w:rPr>
          <w:noProof/>
        </w:rPr>
        <w:t>10</w:t>
      </w:r>
      <w:r>
        <w:fldChar w:fldCharType="end"/>
      </w:r>
      <w:r w:rsidR="00F11207">
        <w:rPr>
          <w:noProof/>
        </w:rPr>
        <w:t>:</w:t>
      </w:r>
      <w:r w:rsidRPr="005112E3">
        <w:t xml:space="preserve"> Summary of </w:t>
      </w:r>
      <w:r w:rsidR="00F11207">
        <w:t>s</w:t>
      </w:r>
      <w:r w:rsidRPr="005112E3">
        <w:t xml:space="preserve">afety </w:t>
      </w:r>
      <w:r w:rsidR="00F11207">
        <w:t>f</w:t>
      </w:r>
      <w:r w:rsidRPr="005112E3">
        <w:t>indings</w:t>
      </w:r>
    </w:p>
    <w:tbl>
      <w:tblPr>
        <w:tblStyle w:val="TGABlack2023"/>
        <w:tblW w:w="8906" w:type="dxa"/>
        <w:tblLook w:val="04A0" w:firstRow="1" w:lastRow="0" w:firstColumn="1" w:lastColumn="0" w:noHBand="0" w:noVBand="1"/>
      </w:tblPr>
      <w:tblGrid>
        <w:gridCol w:w="2054"/>
        <w:gridCol w:w="1654"/>
        <w:gridCol w:w="1411"/>
        <w:gridCol w:w="1804"/>
        <w:gridCol w:w="1983"/>
      </w:tblGrid>
      <w:tr w:rsidR="00DD69AF" w:rsidRPr="00B21C5E" w14:paraId="702225FD" w14:textId="77777777" w:rsidTr="00F11207">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2215" w:type="dxa"/>
            <w:vMerge w:val="restart"/>
            <w:shd w:val="clear" w:color="auto" w:fill="auto"/>
          </w:tcPr>
          <w:p w14:paraId="2A0219D9" w14:textId="77777777" w:rsidR="00DD69AF" w:rsidRPr="00D1292C" w:rsidRDefault="00DD69AF" w:rsidP="00F11207">
            <w:pPr>
              <w:pStyle w:val="Tabletext0"/>
              <w:rPr>
                <w:bCs/>
                <w:color w:val="auto"/>
              </w:rPr>
            </w:pPr>
          </w:p>
        </w:tc>
        <w:tc>
          <w:tcPr>
            <w:tcW w:w="3086" w:type="dxa"/>
            <w:gridSpan w:val="2"/>
            <w:shd w:val="clear" w:color="auto" w:fill="auto"/>
          </w:tcPr>
          <w:p w14:paraId="2DA6680F" w14:textId="6FCBDA67" w:rsidR="00DD69AF" w:rsidRPr="00D1292C" w:rsidRDefault="002D22AB" w:rsidP="00F11207">
            <w:pPr>
              <w:pStyle w:val="TableText"/>
              <w:cnfStyle w:val="100000000000" w:firstRow="1" w:lastRow="0" w:firstColumn="0" w:lastColumn="0" w:oddVBand="0" w:evenVBand="0" w:oddHBand="0" w:evenHBand="0" w:firstRowFirstColumn="0" w:firstRowLastColumn="0" w:lastRowFirstColumn="0" w:lastRowLastColumn="0"/>
              <w:rPr>
                <w:color w:val="auto"/>
                <w:lang w:eastAsia="ja-JP"/>
              </w:rPr>
            </w:pPr>
            <w:r w:rsidRPr="00D1292C">
              <w:rPr>
                <w:color w:val="auto"/>
                <w:lang w:eastAsia="ja-JP"/>
              </w:rPr>
              <w:t>KEYNOTE 204 trial</w:t>
            </w:r>
          </w:p>
          <w:p w14:paraId="63F2D333" w14:textId="7FC46DA2" w:rsidR="00DD69AF" w:rsidRPr="00D1292C" w:rsidRDefault="00DD69AF" w:rsidP="00F11207">
            <w:pPr>
              <w:pStyle w:val="TableText"/>
              <w:cnfStyle w:val="100000000000" w:firstRow="1" w:lastRow="0" w:firstColumn="0" w:lastColumn="0" w:oddVBand="0" w:evenVBand="0" w:oddHBand="0" w:evenHBand="0" w:firstRowFirstColumn="0" w:firstRowLastColumn="0" w:lastRowFirstColumn="0" w:lastRowLastColumn="0"/>
              <w:rPr>
                <w:color w:val="auto"/>
              </w:rPr>
            </w:pPr>
            <w:r w:rsidRPr="00D1292C">
              <w:rPr>
                <w:color w:val="auto"/>
                <w:lang w:eastAsia="ja-JP"/>
              </w:rPr>
              <w:t>(n</w:t>
            </w:r>
            <w:r w:rsidR="00F11207" w:rsidRPr="00D1292C">
              <w:rPr>
                <w:color w:val="auto"/>
                <w:lang w:eastAsia="ja-JP"/>
              </w:rPr>
              <w:t xml:space="preserve"> </w:t>
            </w:r>
            <w:r w:rsidRPr="00D1292C">
              <w:rPr>
                <w:color w:val="auto"/>
                <w:lang w:eastAsia="ja-JP"/>
              </w:rPr>
              <w:t>=</w:t>
            </w:r>
            <w:r w:rsidR="00F11207" w:rsidRPr="00D1292C">
              <w:rPr>
                <w:color w:val="auto"/>
                <w:lang w:eastAsia="ja-JP"/>
              </w:rPr>
              <w:t xml:space="preserve"> </w:t>
            </w:r>
            <w:r w:rsidRPr="00D1292C">
              <w:rPr>
                <w:color w:val="auto"/>
                <w:lang w:eastAsia="ja-JP"/>
              </w:rPr>
              <w:t>310)</w:t>
            </w:r>
          </w:p>
        </w:tc>
        <w:tc>
          <w:tcPr>
            <w:tcW w:w="1804" w:type="dxa"/>
            <w:vMerge w:val="restart"/>
            <w:shd w:val="clear" w:color="auto" w:fill="auto"/>
          </w:tcPr>
          <w:p w14:paraId="759D3DDD" w14:textId="173FAFA0" w:rsidR="00DD69AF" w:rsidRPr="002E5D98" w:rsidRDefault="00DD69AF" w:rsidP="00F11207">
            <w:pPr>
              <w:pStyle w:val="TableText"/>
              <w:cnfStyle w:val="100000000000" w:firstRow="1" w:lastRow="0" w:firstColumn="0" w:lastColumn="0" w:oddVBand="0" w:evenVBand="0" w:oddHBand="0" w:evenHBand="0" w:firstRowFirstColumn="0" w:firstRowLastColumn="0" w:lastRowFirstColumn="0" w:lastRowLastColumn="0"/>
              <w:rPr>
                <w:color w:val="auto"/>
                <w:vertAlign w:val="superscript"/>
                <w:lang w:eastAsia="ja-JP"/>
              </w:rPr>
            </w:pPr>
            <w:r w:rsidRPr="00D1292C">
              <w:rPr>
                <w:color w:val="auto"/>
                <w:lang w:eastAsia="ja-JP"/>
              </w:rPr>
              <w:t>Pembrolizumab</w:t>
            </w:r>
            <w:r w:rsidR="00B004E2" w:rsidRPr="00D1292C">
              <w:rPr>
                <w:color w:val="auto"/>
                <w:lang w:eastAsia="ja-JP"/>
              </w:rPr>
              <w:t xml:space="preserve"> </w:t>
            </w:r>
            <w:r w:rsidRPr="00D1292C">
              <w:rPr>
                <w:color w:val="auto"/>
                <w:lang w:eastAsia="ja-JP"/>
              </w:rPr>
              <w:t xml:space="preserve">(classical Hodgkin </w:t>
            </w:r>
            <w:proofErr w:type="gramStart"/>
            <w:r w:rsidR="007D3D1C" w:rsidRPr="00D1292C">
              <w:rPr>
                <w:color w:val="auto"/>
                <w:lang w:eastAsia="ja-JP"/>
              </w:rPr>
              <w:t xml:space="preserve">lymphoma </w:t>
            </w:r>
            <w:r w:rsidRPr="00D1292C">
              <w:rPr>
                <w:color w:val="auto"/>
                <w:lang w:eastAsia="ja-JP"/>
              </w:rPr>
              <w:t xml:space="preserve"> pool</w:t>
            </w:r>
            <w:proofErr w:type="gramEnd"/>
            <w:r w:rsidRPr="00D1292C">
              <w:rPr>
                <w:color w:val="auto"/>
                <w:lang w:eastAsia="ja-JP"/>
              </w:rPr>
              <w:t>)</w:t>
            </w:r>
            <w:r w:rsidR="00BE65C4">
              <w:rPr>
                <w:color w:val="auto"/>
                <w:lang w:eastAsia="ja-JP"/>
              </w:rPr>
              <w:t>;</w:t>
            </w:r>
            <w:r w:rsidR="00BE65C4">
              <w:rPr>
                <w:color w:val="auto"/>
                <w:vertAlign w:val="superscript"/>
                <w:lang w:eastAsia="ja-JP"/>
              </w:rPr>
              <w:t>a</w:t>
            </w:r>
          </w:p>
          <w:p w14:paraId="2C5B4E88" w14:textId="353D37EF" w:rsidR="00DD69AF" w:rsidRPr="00D1292C" w:rsidRDefault="00DD69AF" w:rsidP="00F11207">
            <w:pPr>
              <w:pStyle w:val="TableText"/>
              <w:cnfStyle w:val="100000000000" w:firstRow="1" w:lastRow="0" w:firstColumn="0" w:lastColumn="0" w:oddVBand="0" w:evenVBand="0" w:oddHBand="0" w:evenHBand="0" w:firstRowFirstColumn="0" w:firstRowLastColumn="0" w:lastRowFirstColumn="0" w:lastRowLastColumn="0"/>
              <w:rPr>
                <w:color w:val="auto"/>
                <w:lang w:eastAsia="ja-JP"/>
              </w:rPr>
            </w:pPr>
            <w:r w:rsidRPr="00D1292C">
              <w:rPr>
                <w:color w:val="auto"/>
                <w:lang w:eastAsia="ja-JP"/>
              </w:rPr>
              <w:t>(N</w:t>
            </w:r>
            <w:r w:rsidR="00F11207" w:rsidRPr="00D1292C">
              <w:rPr>
                <w:color w:val="auto"/>
                <w:lang w:eastAsia="ja-JP"/>
              </w:rPr>
              <w:t xml:space="preserve"> </w:t>
            </w:r>
            <w:r w:rsidRPr="00D1292C">
              <w:rPr>
                <w:color w:val="auto"/>
                <w:lang w:eastAsia="ja-JP"/>
              </w:rPr>
              <w:t>=</w:t>
            </w:r>
            <w:r w:rsidR="00F11207" w:rsidRPr="00D1292C">
              <w:rPr>
                <w:color w:val="auto"/>
                <w:lang w:eastAsia="ja-JP"/>
              </w:rPr>
              <w:t xml:space="preserve"> </w:t>
            </w:r>
            <w:r w:rsidRPr="00D1292C">
              <w:rPr>
                <w:color w:val="auto"/>
                <w:lang w:eastAsia="ja-JP"/>
              </w:rPr>
              <w:t>389)</w:t>
            </w:r>
          </w:p>
        </w:tc>
        <w:tc>
          <w:tcPr>
            <w:tcW w:w="0" w:type="auto"/>
            <w:vMerge w:val="restart"/>
            <w:shd w:val="clear" w:color="auto" w:fill="auto"/>
          </w:tcPr>
          <w:p w14:paraId="45E08C00" w14:textId="3D18BACF" w:rsidR="00DD69AF" w:rsidRPr="002E5D98" w:rsidRDefault="00DD69AF" w:rsidP="00F11207">
            <w:pPr>
              <w:pStyle w:val="TableText"/>
              <w:cnfStyle w:val="100000000000" w:firstRow="1" w:lastRow="0" w:firstColumn="0" w:lastColumn="0" w:oddVBand="0" w:evenVBand="0" w:oddHBand="0" w:evenHBand="0" w:firstRowFirstColumn="0" w:firstRowLastColumn="0" w:lastRowFirstColumn="0" w:lastRowLastColumn="0"/>
              <w:rPr>
                <w:color w:val="auto"/>
                <w:vertAlign w:val="superscript"/>
                <w:lang w:eastAsia="ja-JP"/>
              </w:rPr>
            </w:pPr>
            <w:r w:rsidRPr="00D1292C">
              <w:rPr>
                <w:color w:val="auto"/>
                <w:lang w:eastAsia="ja-JP"/>
              </w:rPr>
              <w:t>Reference safety data set for pembrolizumab</w:t>
            </w:r>
            <w:r w:rsidR="00194A75">
              <w:rPr>
                <w:color w:val="auto"/>
                <w:lang w:eastAsia="ja-JP"/>
              </w:rPr>
              <w:t xml:space="preserve">; </w:t>
            </w:r>
            <w:r w:rsidR="00194A75">
              <w:rPr>
                <w:color w:val="auto"/>
                <w:vertAlign w:val="superscript"/>
                <w:lang w:eastAsia="ja-JP"/>
              </w:rPr>
              <w:t>b</w:t>
            </w:r>
          </w:p>
          <w:p w14:paraId="5267B89C" w14:textId="3A70D6D0" w:rsidR="00DD69AF" w:rsidRPr="00D1292C" w:rsidRDefault="00DD69AF" w:rsidP="00F11207">
            <w:pPr>
              <w:pStyle w:val="TableText"/>
              <w:cnfStyle w:val="100000000000" w:firstRow="1" w:lastRow="0" w:firstColumn="0" w:lastColumn="0" w:oddVBand="0" w:evenVBand="0" w:oddHBand="0" w:evenHBand="0" w:firstRowFirstColumn="0" w:firstRowLastColumn="0" w:lastRowFirstColumn="0" w:lastRowLastColumn="0"/>
              <w:rPr>
                <w:color w:val="auto"/>
                <w:lang w:eastAsia="ja-JP"/>
              </w:rPr>
            </w:pPr>
            <w:r w:rsidRPr="00D1292C">
              <w:rPr>
                <w:color w:val="auto"/>
                <w:lang w:eastAsia="ja-JP"/>
              </w:rPr>
              <w:t>(N</w:t>
            </w:r>
            <w:r w:rsidR="00F11207" w:rsidRPr="00D1292C">
              <w:rPr>
                <w:color w:val="auto"/>
                <w:lang w:eastAsia="ja-JP"/>
              </w:rPr>
              <w:t xml:space="preserve"> </w:t>
            </w:r>
            <w:r w:rsidRPr="00D1292C">
              <w:rPr>
                <w:color w:val="auto"/>
                <w:lang w:eastAsia="ja-JP"/>
              </w:rPr>
              <w:t>=</w:t>
            </w:r>
            <w:r w:rsidR="00F11207" w:rsidRPr="00D1292C">
              <w:rPr>
                <w:color w:val="auto"/>
                <w:lang w:eastAsia="ja-JP"/>
              </w:rPr>
              <w:t xml:space="preserve"> </w:t>
            </w:r>
            <w:r w:rsidRPr="00D1292C">
              <w:rPr>
                <w:color w:val="auto"/>
                <w:lang w:eastAsia="ja-JP"/>
              </w:rPr>
              <w:t>2799)</w:t>
            </w:r>
          </w:p>
        </w:tc>
      </w:tr>
      <w:tr w:rsidR="00DD69AF" w:rsidRPr="00B21C5E" w14:paraId="3424D48E"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vMerge/>
          </w:tcPr>
          <w:p w14:paraId="69185BA3" w14:textId="77777777" w:rsidR="00DD69AF" w:rsidRPr="00B21C5E" w:rsidRDefault="00DD69AF" w:rsidP="00F11207">
            <w:pPr>
              <w:pStyle w:val="Tabletext0"/>
              <w:rPr>
                <w:lang w:eastAsia="ja-JP"/>
              </w:rPr>
            </w:pPr>
          </w:p>
        </w:tc>
        <w:tc>
          <w:tcPr>
            <w:tcW w:w="1675" w:type="dxa"/>
          </w:tcPr>
          <w:p w14:paraId="66805873" w14:textId="77777777" w:rsidR="00DD69AF" w:rsidRPr="00F11207" w:rsidRDefault="00DD69AF" w:rsidP="00F11207">
            <w:pPr>
              <w:pStyle w:val="Tabletext0"/>
              <w:cnfStyle w:val="000000000000" w:firstRow="0" w:lastRow="0" w:firstColumn="0" w:lastColumn="0" w:oddVBand="0" w:evenVBand="0" w:oddHBand="0" w:evenHBand="0" w:firstRowFirstColumn="0" w:firstRowLastColumn="0" w:lastRowFirstColumn="0" w:lastRowLastColumn="0"/>
              <w:rPr>
                <w:rFonts w:cs="Calibri"/>
                <w:b/>
                <w:bCs/>
                <w:color w:val="auto"/>
                <w:sz w:val="18"/>
                <w:szCs w:val="18"/>
                <w:lang w:eastAsia="ja-JP"/>
              </w:rPr>
            </w:pPr>
            <w:r w:rsidRPr="00F11207">
              <w:rPr>
                <w:rFonts w:cs="Calibri"/>
                <w:b/>
                <w:bCs/>
                <w:color w:val="auto"/>
                <w:sz w:val="18"/>
                <w:szCs w:val="18"/>
                <w:lang w:eastAsia="ja-JP"/>
              </w:rPr>
              <w:t>pembrolizumab</w:t>
            </w:r>
          </w:p>
          <w:p w14:paraId="64CE249E" w14:textId="2B267031" w:rsidR="00DD69AF" w:rsidRPr="00F11207" w:rsidRDefault="00DD69AF" w:rsidP="00F11207">
            <w:pPr>
              <w:pStyle w:val="Tabletext0"/>
              <w:cnfStyle w:val="000000000000" w:firstRow="0" w:lastRow="0" w:firstColumn="0" w:lastColumn="0" w:oddVBand="0" w:evenVBand="0" w:oddHBand="0" w:evenHBand="0" w:firstRowFirstColumn="0" w:firstRowLastColumn="0" w:lastRowFirstColumn="0" w:lastRowLastColumn="0"/>
              <w:rPr>
                <w:b/>
                <w:bCs/>
                <w:color w:val="auto"/>
                <w:lang w:eastAsia="ja-JP"/>
              </w:rPr>
            </w:pPr>
            <w:r w:rsidRPr="00F11207">
              <w:rPr>
                <w:rFonts w:cs="Calibri"/>
                <w:b/>
                <w:bCs/>
                <w:color w:val="auto"/>
                <w:sz w:val="18"/>
                <w:szCs w:val="18"/>
                <w:lang w:eastAsia="ja-JP"/>
              </w:rPr>
              <w:t>(N</w:t>
            </w:r>
            <w:r w:rsidR="00F11207">
              <w:rPr>
                <w:rFonts w:cs="Calibri"/>
                <w:b/>
                <w:bCs/>
                <w:color w:val="auto"/>
                <w:sz w:val="18"/>
                <w:szCs w:val="18"/>
                <w:lang w:eastAsia="ja-JP"/>
              </w:rPr>
              <w:t xml:space="preserve"> </w:t>
            </w:r>
            <w:r w:rsidRPr="00F11207">
              <w:rPr>
                <w:rFonts w:cs="Calibri"/>
                <w:b/>
                <w:bCs/>
                <w:color w:val="auto"/>
                <w:sz w:val="18"/>
                <w:szCs w:val="18"/>
                <w:lang w:eastAsia="ja-JP"/>
              </w:rPr>
              <w:t>=</w:t>
            </w:r>
            <w:r w:rsidR="00F11207">
              <w:rPr>
                <w:rFonts w:cs="Calibri"/>
                <w:b/>
                <w:bCs/>
                <w:color w:val="auto"/>
                <w:sz w:val="18"/>
                <w:szCs w:val="18"/>
                <w:lang w:eastAsia="ja-JP"/>
              </w:rPr>
              <w:t xml:space="preserve"> </w:t>
            </w:r>
            <w:r w:rsidRPr="00F11207">
              <w:rPr>
                <w:rFonts w:cs="Calibri"/>
                <w:b/>
                <w:bCs/>
                <w:color w:val="auto"/>
                <w:sz w:val="18"/>
                <w:szCs w:val="18"/>
                <w:lang w:eastAsia="ja-JP"/>
              </w:rPr>
              <w:t>148)</w:t>
            </w:r>
          </w:p>
        </w:tc>
        <w:tc>
          <w:tcPr>
            <w:tcW w:w="1411" w:type="dxa"/>
          </w:tcPr>
          <w:p w14:paraId="535FB05E" w14:textId="2960CDCE" w:rsidR="00DD69AF" w:rsidRPr="00F11207" w:rsidRDefault="009A599D" w:rsidP="00F11207">
            <w:pPr>
              <w:pStyle w:val="Tabletext0"/>
              <w:cnfStyle w:val="000000000000" w:firstRow="0" w:lastRow="0" w:firstColumn="0" w:lastColumn="0" w:oddVBand="0" w:evenVBand="0" w:oddHBand="0" w:evenHBand="0" w:firstRowFirstColumn="0" w:firstRowLastColumn="0" w:lastRowFirstColumn="0" w:lastRowLastColumn="0"/>
              <w:rPr>
                <w:b/>
                <w:bCs/>
                <w:color w:val="auto"/>
                <w:sz w:val="18"/>
                <w:szCs w:val="18"/>
                <w:lang w:eastAsia="ja-JP"/>
              </w:rPr>
            </w:pPr>
            <w:r w:rsidRPr="00F11207">
              <w:rPr>
                <w:b/>
                <w:bCs/>
                <w:color w:val="auto"/>
                <w:sz w:val="18"/>
                <w:szCs w:val="18"/>
                <w:lang w:eastAsia="ja-JP"/>
              </w:rPr>
              <w:t>brentuximab vedotin</w:t>
            </w:r>
          </w:p>
          <w:p w14:paraId="18FDE05D" w14:textId="42DB7F89" w:rsidR="00DD69AF" w:rsidRPr="00F11207" w:rsidRDefault="00DD69AF" w:rsidP="00F11207">
            <w:pPr>
              <w:pStyle w:val="Tabletext0"/>
              <w:cnfStyle w:val="000000000000" w:firstRow="0" w:lastRow="0" w:firstColumn="0" w:lastColumn="0" w:oddVBand="0" w:evenVBand="0" w:oddHBand="0" w:evenHBand="0" w:firstRowFirstColumn="0" w:firstRowLastColumn="0" w:lastRowFirstColumn="0" w:lastRowLastColumn="0"/>
              <w:rPr>
                <w:b/>
                <w:bCs/>
                <w:color w:val="auto"/>
                <w:lang w:eastAsia="ja-JP"/>
              </w:rPr>
            </w:pPr>
            <w:r w:rsidRPr="00F11207">
              <w:rPr>
                <w:b/>
                <w:bCs/>
                <w:color w:val="auto"/>
                <w:sz w:val="18"/>
                <w:szCs w:val="18"/>
                <w:lang w:eastAsia="ja-JP"/>
              </w:rPr>
              <w:t>(N</w:t>
            </w:r>
            <w:r w:rsidR="00F11207">
              <w:rPr>
                <w:b/>
                <w:bCs/>
                <w:color w:val="auto"/>
                <w:sz w:val="18"/>
                <w:szCs w:val="18"/>
                <w:lang w:eastAsia="ja-JP"/>
              </w:rPr>
              <w:t xml:space="preserve"> </w:t>
            </w:r>
            <w:r w:rsidRPr="00F11207">
              <w:rPr>
                <w:b/>
                <w:bCs/>
                <w:color w:val="auto"/>
                <w:sz w:val="18"/>
                <w:szCs w:val="18"/>
                <w:lang w:eastAsia="ja-JP"/>
              </w:rPr>
              <w:t>=</w:t>
            </w:r>
            <w:r w:rsidR="00F11207">
              <w:rPr>
                <w:b/>
                <w:bCs/>
                <w:color w:val="auto"/>
                <w:sz w:val="18"/>
                <w:szCs w:val="18"/>
                <w:lang w:eastAsia="ja-JP"/>
              </w:rPr>
              <w:t xml:space="preserve"> </w:t>
            </w:r>
            <w:r w:rsidRPr="00F11207">
              <w:rPr>
                <w:b/>
                <w:bCs/>
                <w:color w:val="auto"/>
                <w:sz w:val="18"/>
                <w:szCs w:val="18"/>
                <w:lang w:eastAsia="ja-JP"/>
              </w:rPr>
              <w:t>152)</w:t>
            </w:r>
          </w:p>
        </w:tc>
        <w:tc>
          <w:tcPr>
            <w:tcW w:w="1804" w:type="dxa"/>
            <w:vMerge/>
          </w:tcPr>
          <w:p w14:paraId="5E951DEF" w14:textId="77777777" w:rsidR="00DD69AF" w:rsidRPr="00A5291E" w:rsidRDefault="00DD69AF" w:rsidP="00F11207">
            <w:pPr>
              <w:pStyle w:val="Tabletext0"/>
              <w:cnfStyle w:val="000000000000" w:firstRow="0" w:lastRow="0" w:firstColumn="0" w:lastColumn="0" w:oddVBand="0" w:evenVBand="0" w:oddHBand="0" w:evenHBand="0" w:firstRowFirstColumn="0" w:firstRowLastColumn="0" w:lastRowFirstColumn="0" w:lastRowLastColumn="0"/>
              <w:rPr>
                <w:i/>
                <w:color w:val="FFFFFF" w:themeColor="background1"/>
                <w:lang w:eastAsia="ja-JP"/>
              </w:rPr>
            </w:pPr>
          </w:p>
        </w:tc>
        <w:tc>
          <w:tcPr>
            <w:tcW w:w="0" w:type="auto"/>
            <w:vMerge/>
          </w:tcPr>
          <w:p w14:paraId="19AA44F9" w14:textId="77777777" w:rsidR="00DD69AF" w:rsidRPr="00A5291E" w:rsidRDefault="00DD69AF" w:rsidP="00F11207">
            <w:pPr>
              <w:pStyle w:val="Tabletext0"/>
              <w:cnfStyle w:val="000000000000" w:firstRow="0" w:lastRow="0" w:firstColumn="0" w:lastColumn="0" w:oddVBand="0" w:evenVBand="0" w:oddHBand="0" w:evenHBand="0" w:firstRowFirstColumn="0" w:firstRowLastColumn="0" w:lastRowFirstColumn="0" w:lastRowLastColumn="0"/>
              <w:rPr>
                <w:i/>
                <w:color w:val="FFFFFF" w:themeColor="background1"/>
                <w:lang w:eastAsia="ja-JP"/>
              </w:rPr>
            </w:pPr>
          </w:p>
        </w:tc>
      </w:tr>
      <w:tr w:rsidR="00DD69AF" w:rsidRPr="00B21C5E" w14:paraId="55D76CC2"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0" w:type="auto"/>
            <w:gridSpan w:val="5"/>
          </w:tcPr>
          <w:p w14:paraId="03FB2C19" w14:textId="5DE9DA13" w:rsidR="00DD69AF" w:rsidRPr="00F11207" w:rsidRDefault="00DD69AF" w:rsidP="00D1292C">
            <w:pPr>
              <w:pStyle w:val="Tabletext0"/>
              <w:spacing w:before="40"/>
              <w:rPr>
                <w:b/>
                <w:bCs/>
              </w:rPr>
            </w:pPr>
            <w:r w:rsidRPr="00F11207">
              <w:rPr>
                <w:b/>
                <w:bCs/>
              </w:rPr>
              <w:t>Treatment-emergent adverse events (TEAE)</w:t>
            </w:r>
          </w:p>
        </w:tc>
      </w:tr>
      <w:tr w:rsidR="00DD69AF" w:rsidRPr="00B21C5E" w14:paraId="720A0080" w14:textId="77777777" w:rsidTr="00F11207">
        <w:trPr>
          <w:trHeight w:val="107"/>
        </w:trPr>
        <w:tc>
          <w:tcPr>
            <w:cnfStyle w:val="001000000000" w:firstRow="0" w:lastRow="0" w:firstColumn="1" w:lastColumn="0" w:oddVBand="0" w:evenVBand="0" w:oddHBand="0" w:evenHBand="0" w:firstRowFirstColumn="0" w:firstRowLastColumn="0" w:lastRowFirstColumn="0" w:lastRowLastColumn="0"/>
            <w:tcW w:w="2215" w:type="dxa"/>
          </w:tcPr>
          <w:p w14:paraId="447438BA" w14:textId="3EC9943B" w:rsidR="00DD69AF" w:rsidRPr="00F11207" w:rsidRDefault="00DD69AF" w:rsidP="00D1292C">
            <w:pPr>
              <w:pStyle w:val="Tabletext0"/>
              <w:spacing w:before="40"/>
            </w:pPr>
            <w:r w:rsidRPr="00F11207">
              <w:t xml:space="preserve">Any </w:t>
            </w:r>
            <w:r w:rsidR="00BE65C4">
              <w:t>adverse event (</w:t>
            </w:r>
            <w:r w:rsidRPr="00F11207">
              <w:t>AE</w:t>
            </w:r>
            <w:r w:rsidR="00BE65C4">
              <w:t>)</w:t>
            </w:r>
          </w:p>
        </w:tc>
        <w:tc>
          <w:tcPr>
            <w:tcW w:w="1675" w:type="dxa"/>
          </w:tcPr>
          <w:p w14:paraId="39B100C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145 (98.0%)</w:t>
            </w:r>
          </w:p>
        </w:tc>
        <w:tc>
          <w:tcPr>
            <w:tcW w:w="1411" w:type="dxa"/>
          </w:tcPr>
          <w:p w14:paraId="5677978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143 (94.1%)</w:t>
            </w:r>
          </w:p>
        </w:tc>
        <w:tc>
          <w:tcPr>
            <w:tcW w:w="1804" w:type="dxa"/>
          </w:tcPr>
          <w:p w14:paraId="44FCE99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381 (97.9%)</w:t>
            </w:r>
          </w:p>
        </w:tc>
        <w:tc>
          <w:tcPr>
            <w:tcW w:w="0" w:type="auto"/>
          </w:tcPr>
          <w:p w14:paraId="359A0DA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2727 (97.4%)</w:t>
            </w:r>
          </w:p>
        </w:tc>
      </w:tr>
      <w:tr w:rsidR="00DD69AF" w:rsidRPr="00B21C5E" w14:paraId="27D16936"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0" w:type="auto"/>
            <w:gridSpan w:val="5"/>
          </w:tcPr>
          <w:p w14:paraId="04C229FC" w14:textId="6025D97F" w:rsidR="00DD69AF" w:rsidRPr="00F11207" w:rsidRDefault="00DD69AF" w:rsidP="00D1292C">
            <w:pPr>
              <w:pStyle w:val="Tabletext0"/>
              <w:spacing w:before="40"/>
              <w:rPr>
                <w:b/>
                <w:bCs/>
              </w:rPr>
            </w:pPr>
            <w:r w:rsidRPr="00F11207">
              <w:rPr>
                <w:b/>
                <w:bCs/>
              </w:rPr>
              <w:t xml:space="preserve">Most common </w:t>
            </w:r>
            <w:r w:rsidR="00F11207">
              <w:rPr>
                <w:b/>
                <w:bCs/>
              </w:rPr>
              <w:t>adverse events</w:t>
            </w:r>
            <w:r w:rsidRPr="00F11207">
              <w:rPr>
                <w:b/>
                <w:bCs/>
              </w:rPr>
              <w:t xml:space="preserve"> &gt;15% in either arm of </w:t>
            </w:r>
            <w:r w:rsidR="002D22AB" w:rsidRPr="00F11207">
              <w:rPr>
                <w:b/>
                <w:bCs/>
              </w:rPr>
              <w:t>KEYNOTE 204 trial</w:t>
            </w:r>
          </w:p>
        </w:tc>
      </w:tr>
      <w:tr w:rsidR="00DD69AF" w:rsidRPr="00B21C5E" w14:paraId="5F6C0004"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27BE0D18" w14:textId="6F549066" w:rsidR="00DD69AF" w:rsidRPr="00F11207" w:rsidRDefault="00D1292C" w:rsidP="00D1292C">
            <w:pPr>
              <w:pStyle w:val="Tabletext0"/>
              <w:spacing w:before="40"/>
            </w:pPr>
            <w:r>
              <w:t>U</w:t>
            </w:r>
            <w:r w:rsidRPr="00D1292C">
              <w:t>pper respiratory tract infections</w:t>
            </w:r>
          </w:p>
        </w:tc>
        <w:tc>
          <w:tcPr>
            <w:tcW w:w="1675" w:type="dxa"/>
          </w:tcPr>
          <w:p w14:paraId="4109085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41%</w:t>
            </w:r>
          </w:p>
        </w:tc>
        <w:tc>
          <w:tcPr>
            <w:tcW w:w="1411" w:type="dxa"/>
          </w:tcPr>
          <w:p w14:paraId="1291DB68"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24%</w:t>
            </w:r>
          </w:p>
        </w:tc>
        <w:tc>
          <w:tcPr>
            <w:tcW w:w="1804" w:type="dxa"/>
          </w:tcPr>
          <w:p w14:paraId="009AEA8B"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52248E18"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207F794A"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4D4981D4" w14:textId="77777777" w:rsidR="00DD69AF" w:rsidRPr="00F11207" w:rsidRDefault="00DD69AF" w:rsidP="00D1292C">
            <w:pPr>
              <w:pStyle w:val="Tabletext0"/>
              <w:spacing w:before="40"/>
            </w:pPr>
            <w:r w:rsidRPr="00F11207">
              <w:t>Musculoskeletal pain</w:t>
            </w:r>
          </w:p>
        </w:tc>
        <w:tc>
          <w:tcPr>
            <w:tcW w:w="1675" w:type="dxa"/>
          </w:tcPr>
          <w:p w14:paraId="18067CD5"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32%</w:t>
            </w:r>
          </w:p>
        </w:tc>
        <w:tc>
          <w:tcPr>
            <w:tcW w:w="1411" w:type="dxa"/>
          </w:tcPr>
          <w:p w14:paraId="4BEFB08C"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29%</w:t>
            </w:r>
          </w:p>
        </w:tc>
        <w:tc>
          <w:tcPr>
            <w:tcW w:w="1804" w:type="dxa"/>
          </w:tcPr>
          <w:p w14:paraId="4554DB6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6371D18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73807DBD"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555CD889" w14:textId="52B28AAB" w:rsidR="00DD69AF" w:rsidRPr="00F11207" w:rsidRDefault="00F301D8" w:rsidP="00D1292C">
            <w:pPr>
              <w:pStyle w:val="Tabletext0"/>
              <w:spacing w:before="40"/>
            </w:pPr>
            <w:r w:rsidRPr="00F11207">
              <w:t>D</w:t>
            </w:r>
            <w:r w:rsidR="00DD69AF" w:rsidRPr="00F11207">
              <w:t>iarrhoea</w:t>
            </w:r>
          </w:p>
        </w:tc>
        <w:tc>
          <w:tcPr>
            <w:tcW w:w="1675" w:type="dxa"/>
          </w:tcPr>
          <w:p w14:paraId="65EBD2A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22%</w:t>
            </w:r>
          </w:p>
        </w:tc>
        <w:tc>
          <w:tcPr>
            <w:tcW w:w="1411" w:type="dxa"/>
          </w:tcPr>
          <w:p w14:paraId="22FCB360"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17%</w:t>
            </w:r>
          </w:p>
        </w:tc>
        <w:tc>
          <w:tcPr>
            <w:tcW w:w="1804" w:type="dxa"/>
          </w:tcPr>
          <w:p w14:paraId="537A1C8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0EA538CB"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0B88219F"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2364AC21" w14:textId="6434925A" w:rsidR="00DD69AF" w:rsidRPr="00F11207" w:rsidRDefault="00F301D8" w:rsidP="00D1292C">
            <w:pPr>
              <w:pStyle w:val="Tabletext0"/>
              <w:spacing w:before="40"/>
            </w:pPr>
            <w:r w:rsidRPr="00F11207">
              <w:t>P</w:t>
            </w:r>
            <w:r w:rsidR="00DD69AF" w:rsidRPr="00F11207">
              <w:t>yrexia</w:t>
            </w:r>
          </w:p>
        </w:tc>
        <w:tc>
          <w:tcPr>
            <w:tcW w:w="1675" w:type="dxa"/>
          </w:tcPr>
          <w:p w14:paraId="682C3A30"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20%</w:t>
            </w:r>
          </w:p>
        </w:tc>
        <w:tc>
          <w:tcPr>
            <w:tcW w:w="1411" w:type="dxa"/>
          </w:tcPr>
          <w:p w14:paraId="03C1393B"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13%</w:t>
            </w:r>
          </w:p>
        </w:tc>
        <w:tc>
          <w:tcPr>
            <w:tcW w:w="1804" w:type="dxa"/>
          </w:tcPr>
          <w:p w14:paraId="26BD2E3A"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42A33DD6"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119233E4"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007E934D" w14:textId="4AB1D4F9" w:rsidR="00DD69AF" w:rsidRPr="00F11207" w:rsidRDefault="00F301D8" w:rsidP="00D1292C">
            <w:pPr>
              <w:pStyle w:val="Tabletext0"/>
              <w:spacing w:before="40"/>
            </w:pPr>
            <w:r w:rsidRPr="00F11207">
              <w:t>F</w:t>
            </w:r>
            <w:r w:rsidR="00DD69AF" w:rsidRPr="00F11207">
              <w:t>atigue</w:t>
            </w:r>
          </w:p>
        </w:tc>
        <w:tc>
          <w:tcPr>
            <w:tcW w:w="1675" w:type="dxa"/>
          </w:tcPr>
          <w:p w14:paraId="12E5AFD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20%</w:t>
            </w:r>
          </w:p>
        </w:tc>
        <w:tc>
          <w:tcPr>
            <w:tcW w:w="1411" w:type="dxa"/>
          </w:tcPr>
          <w:p w14:paraId="10978DCC"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22%</w:t>
            </w:r>
          </w:p>
        </w:tc>
        <w:tc>
          <w:tcPr>
            <w:tcW w:w="1804" w:type="dxa"/>
          </w:tcPr>
          <w:p w14:paraId="21277D0D"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02F524D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7D6B0521"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30DD7860" w14:textId="07F07F76" w:rsidR="00DD69AF" w:rsidRPr="00F11207" w:rsidRDefault="00F301D8" w:rsidP="00D1292C">
            <w:pPr>
              <w:pStyle w:val="Tabletext0"/>
              <w:spacing w:before="40"/>
            </w:pPr>
            <w:r w:rsidRPr="00F11207">
              <w:t>C</w:t>
            </w:r>
            <w:r w:rsidR="00DD69AF" w:rsidRPr="00F11207">
              <w:t>ough</w:t>
            </w:r>
          </w:p>
        </w:tc>
        <w:tc>
          <w:tcPr>
            <w:tcW w:w="1675" w:type="dxa"/>
          </w:tcPr>
          <w:p w14:paraId="3B5FD919"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20%</w:t>
            </w:r>
          </w:p>
        </w:tc>
        <w:tc>
          <w:tcPr>
            <w:tcW w:w="1411" w:type="dxa"/>
          </w:tcPr>
          <w:p w14:paraId="67186A96"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14%</w:t>
            </w:r>
          </w:p>
        </w:tc>
        <w:tc>
          <w:tcPr>
            <w:tcW w:w="1804" w:type="dxa"/>
          </w:tcPr>
          <w:p w14:paraId="2EBDDE3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45021EF9"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538E6B8F"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0DB0B88E" w14:textId="00D0A375" w:rsidR="00DD69AF" w:rsidRPr="00F11207" w:rsidRDefault="00F301D8" w:rsidP="00D1292C">
            <w:pPr>
              <w:pStyle w:val="Tabletext0"/>
              <w:spacing w:before="40"/>
            </w:pPr>
            <w:r w:rsidRPr="00F11207">
              <w:t>R</w:t>
            </w:r>
            <w:r w:rsidR="00DD69AF" w:rsidRPr="00F11207">
              <w:t>ash</w:t>
            </w:r>
          </w:p>
        </w:tc>
        <w:tc>
          <w:tcPr>
            <w:tcW w:w="1675" w:type="dxa"/>
          </w:tcPr>
          <w:p w14:paraId="4FA4D2E9"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20%</w:t>
            </w:r>
          </w:p>
        </w:tc>
        <w:tc>
          <w:tcPr>
            <w:tcW w:w="1411" w:type="dxa"/>
          </w:tcPr>
          <w:p w14:paraId="013C1EBF"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19%</w:t>
            </w:r>
          </w:p>
        </w:tc>
        <w:tc>
          <w:tcPr>
            <w:tcW w:w="1804" w:type="dxa"/>
          </w:tcPr>
          <w:p w14:paraId="7A7440A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58E13A8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792AF22C"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19C14117" w14:textId="76948682" w:rsidR="00DD69AF" w:rsidRPr="00F11207" w:rsidRDefault="00FB727F" w:rsidP="00D1292C">
            <w:pPr>
              <w:pStyle w:val="Tabletext0"/>
              <w:spacing w:before="40"/>
            </w:pPr>
            <w:r>
              <w:t>Hy</w:t>
            </w:r>
            <w:r w:rsidR="00DD69AF" w:rsidRPr="00F11207">
              <w:t>pothyroidism</w:t>
            </w:r>
          </w:p>
        </w:tc>
        <w:tc>
          <w:tcPr>
            <w:tcW w:w="1675" w:type="dxa"/>
          </w:tcPr>
          <w:p w14:paraId="25EAD7AA"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19%</w:t>
            </w:r>
          </w:p>
        </w:tc>
        <w:tc>
          <w:tcPr>
            <w:tcW w:w="1411" w:type="dxa"/>
          </w:tcPr>
          <w:p w14:paraId="3D605319"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3%</w:t>
            </w:r>
          </w:p>
        </w:tc>
        <w:tc>
          <w:tcPr>
            <w:tcW w:w="1804" w:type="dxa"/>
          </w:tcPr>
          <w:p w14:paraId="3360C4B8"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22678A2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476A1ADA"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7F99682F" w14:textId="3AD1DBF6" w:rsidR="00DD69AF" w:rsidRPr="00F11207" w:rsidRDefault="00F301D8" w:rsidP="00D1292C">
            <w:pPr>
              <w:pStyle w:val="Tabletext0"/>
              <w:spacing w:before="40"/>
            </w:pPr>
            <w:r w:rsidRPr="00F11207">
              <w:t>P</w:t>
            </w:r>
            <w:r w:rsidR="00DD69AF" w:rsidRPr="00F11207">
              <w:t>ruritis</w:t>
            </w:r>
          </w:p>
        </w:tc>
        <w:tc>
          <w:tcPr>
            <w:tcW w:w="1675" w:type="dxa"/>
          </w:tcPr>
          <w:p w14:paraId="3B3EC9FC"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18%</w:t>
            </w:r>
          </w:p>
        </w:tc>
        <w:tc>
          <w:tcPr>
            <w:tcW w:w="1411" w:type="dxa"/>
          </w:tcPr>
          <w:p w14:paraId="72D7AC9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12%</w:t>
            </w:r>
          </w:p>
        </w:tc>
        <w:tc>
          <w:tcPr>
            <w:tcW w:w="1804" w:type="dxa"/>
          </w:tcPr>
          <w:p w14:paraId="5704700C"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604B64E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3C386185"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4C94F47D" w14:textId="5EFBD9D9" w:rsidR="00DD69AF" w:rsidRPr="00F11207" w:rsidRDefault="00F301D8" w:rsidP="00D1292C">
            <w:pPr>
              <w:pStyle w:val="Tabletext0"/>
              <w:spacing w:before="40"/>
            </w:pPr>
            <w:r w:rsidRPr="00F11207">
              <w:t>N</w:t>
            </w:r>
            <w:r w:rsidR="00DD69AF" w:rsidRPr="00F11207">
              <w:t>ausea</w:t>
            </w:r>
          </w:p>
        </w:tc>
        <w:tc>
          <w:tcPr>
            <w:tcW w:w="1675" w:type="dxa"/>
          </w:tcPr>
          <w:p w14:paraId="09742A58"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14%</w:t>
            </w:r>
          </w:p>
        </w:tc>
        <w:tc>
          <w:tcPr>
            <w:tcW w:w="1411" w:type="dxa"/>
          </w:tcPr>
          <w:p w14:paraId="488917A8"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24%</w:t>
            </w:r>
          </w:p>
        </w:tc>
        <w:tc>
          <w:tcPr>
            <w:tcW w:w="1804" w:type="dxa"/>
          </w:tcPr>
          <w:p w14:paraId="4E5D6FE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719A017F"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54BC55DD"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5A01F2DF" w14:textId="22D564A6" w:rsidR="00DD69AF" w:rsidRPr="00F11207" w:rsidRDefault="00F301D8" w:rsidP="00D1292C">
            <w:pPr>
              <w:pStyle w:val="Tabletext0"/>
              <w:spacing w:before="40"/>
            </w:pPr>
            <w:r w:rsidRPr="00F11207">
              <w:t>V</w:t>
            </w:r>
            <w:r w:rsidR="00DD69AF" w:rsidRPr="00F11207">
              <w:t>omiting</w:t>
            </w:r>
          </w:p>
        </w:tc>
        <w:tc>
          <w:tcPr>
            <w:tcW w:w="1675" w:type="dxa"/>
          </w:tcPr>
          <w:p w14:paraId="17CF40C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14%</w:t>
            </w:r>
          </w:p>
        </w:tc>
        <w:tc>
          <w:tcPr>
            <w:tcW w:w="1411" w:type="dxa"/>
          </w:tcPr>
          <w:p w14:paraId="04F433F6"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20%</w:t>
            </w:r>
          </w:p>
        </w:tc>
        <w:tc>
          <w:tcPr>
            <w:tcW w:w="1804" w:type="dxa"/>
          </w:tcPr>
          <w:p w14:paraId="277A23E9"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13C0565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0A7688B9"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5836E377" w14:textId="62E6AE72" w:rsidR="00DD69AF" w:rsidRPr="00F11207" w:rsidRDefault="00D1292C" w:rsidP="00D1292C">
            <w:pPr>
              <w:pStyle w:val="Tabletext0"/>
              <w:spacing w:before="40"/>
            </w:pPr>
            <w:r>
              <w:t>P</w:t>
            </w:r>
            <w:r w:rsidR="00DD69AF" w:rsidRPr="00F11207">
              <w:t>eripheral neuropathy</w:t>
            </w:r>
          </w:p>
        </w:tc>
        <w:tc>
          <w:tcPr>
            <w:tcW w:w="1675" w:type="dxa"/>
          </w:tcPr>
          <w:p w14:paraId="4CC1207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11%</w:t>
            </w:r>
          </w:p>
        </w:tc>
        <w:tc>
          <w:tcPr>
            <w:tcW w:w="1411" w:type="dxa"/>
          </w:tcPr>
          <w:p w14:paraId="2806BBEA"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43%</w:t>
            </w:r>
          </w:p>
        </w:tc>
        <w:tc>
          <w:tcPr>
            <w:tcW w:w="1804" w:type="dxa"/>
          </w:tcPr>
          <w:p w14:paraId="2563B535"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7D2B8ABE"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607355D7"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0067D1B1" w14:textId="59250501" w:rsidR="00DD69AF" w:rsidRPr="00F11207" w:rsidRDefault="00DD69AF" w:rsidP="00D1292C">
            <w:pPr>
              <w:pStyle w:val="Tabletext0"/>
              <w:spacing w:before="40"/>
            </w:pPr>
            <w:r w:rsidRPr="00F11207">
              <w:t xml:space="preserve">Any </w:t>
            </w:r>
            <w:r w:rsidR="00BE65C4">
              <w:t xml:space="preserve">AE of </w:t>
            </w:r>
            <w:r w:rsidRPr="00F11207">
              <w:t>CTCAE</w:t>
            </w:r>
            <w:r w:rsidR="00BE65C4">
              <w:t xml:space="preserve"> </w:t>
            </w:r>
            <w:r w:rsidR="00BE65C4">
              <w:br/>
            </w:r>
            <w:r w:rsidRPr="00F11207">
              <w:t xml:space="preserve">Grade 3 </w:t>
            </w:r>
            <w:r w:rsidR="00BE65C4">
              <w:t>to</w:t>
            </w:r>
            <w:r w:rsidRPr="00F11207">
              <w:t xml:space="preserve"> 5 </w:t>
            </w:r>
          </w:p>
        </w:tc>
        <w:tc>
          <w:tcPr>
            <w:tcW w:w="1675" w:type="dxa"/>
          </w:tcPr>
          <w:p w14:paraId="29E4146C"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65 (43.9%)</w:t>
            </w:r>
          </w:p>
        </w:tc>
        <w:tc>
          <w:tcPr>
            <w:tcW w:w="1411" w:type="dxa"/>
          </w:tcPr>
          <w:p w14:paraId="2DF031A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66 (43.4%)</w:t>
            </w:r>
          </w:p>
        </w:tc>
        <w:tc>
          <w:tcPr>
            <w:tcW w:w="1804" w:type="dxa"/>
          </w:tcPr>
          <w:p w14:paraId="72ADA14A"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147 (37.8%)</w:t>
            </w:r>
          </w:p>
        </w:tc>
        <w:tc>
          <w:tcPr>
            <w:tcW w:w="0" w:type="auto"/>
          </w:tcPr>
          <w:p w14:paraId="0A119AFB"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1273 (45.5%)</w:t>
            </w:r>
          </w:p>
        </w:tc>
      </w:tr>
      <w:tr w:rsidR="00DD69AF" w:rsidRPr="00B21C5E" w14:paraId="780B8C92"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0" w:type="auto"/>
            <w:gridSpan w:val="5"/>
          </w:tcPr>
          <w:p w14:paraId="43B0FDF6" w14:textId="2F1DAAF2" w:rsidR="00DD69AF" w:rsidRPr="00F11207" w:rsidRDefault="00DD69AF" w:rsidP="00D1292C">
            <w:pPr>
              <w:pStyle w:val="Tabletext0"/>
              <w:spacing w:before="40"/>
              <w:rPr>
                <w:b/>
                <w:bCs/>
              </w:rPr>
            </w:pPr>
            <w:r w:rsidRPr="00F11207">
              <w:rPr>
                <w:b/>
                <w:bCs/>
              </w:rPr>
              <w:t>Most common ≥</w:t>
            </w:r>
            <w:r w:rsidR="00F11207">
              <w:rPr>
                <w:b/>
                <w:bCs/>
              </w:rPr>
              <w:t xml:space="preserve"> </w:t>
            </w:r>
            <w:r w:rsidRPr="00F11207">
              <w:rPr>
                <w:b/>
                <w:bCs/>
              </w:rPr>
              <w:t xml:space="preserve">Grade 3 </w:t>
            </w:r>
            <w:r w:rsidR="00F11207">
              <w:rPr>
                <w:b/>
                <w:bCs/>
              </w:rPr>
              <w:t>adverse events</w:t>
            </w:r>
            <w:r w:rsidRPr="00F11207">
              <w:rPr>
                <w:b/>
                <w:bCs/>
              </w:rPr>
              <w:t xml:space="preserve"> </w:t>
            </w:r>
            <w:r w:rsidR="002D22AB" w:rsidRPr="00F11207">
              <w:rPr>
                <w:b/>
                <w:bCs/>
              </w:rPr>
              <w:t>KEYNOTE 204 trial</w:t>
            </w:r>
            <w:r w:rsidRPr="00F11207">
              <w:rPr>
                <w:b/>
                <w:bCs/>
              </w:rPr>
              <w:t xml:space="preserve"> (</w:t>
            </w:r>
            <w:r w:rsidR="00F11207" w:rsidRPr="00F11207">
              <w:rPr>
                <w:b/>
                <w:bCs/>
              </w:rPr>
              <w:t xml:space="preserve">≥ </w:t>
            </w:r>
            <w:r w:rsidRPr="00F11207">
              <w:rPr>
                <w:b/>
                <w:bCs/>
              </w:rPr>
              <w:t>2% either treatment arm)</w:t>
            </w:r>
          </w:p>
        </w:tc>
      </w:tr>
      <w:tr w:rsidR="00DD69AF" w:rsidRPr="00B21C5E" w14:paraId="5ABF24E5"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6E1CC4CE" w14:textId="77777777" w:rsidR="00DD69AF" w:rsidRPr="00F11207" w:rsidRDefault="00DD69AF" w:rsidP="00D1292C">
            <w:pPr>
              <w:pStyle w:val="Tabletext0"/>
              <w:spacing w:before="40"/>
            </w:pPr>
            <w:r w:rsidRPr="00F11207">
              <w:t>Peripheral neuropathy</w:t>
            </w:r>
          </w:p>
        </w:tc>
        <w:tc>
          <w:tcPr>
            <w:tcW w:w="1675" w:type="dxa"/>
          </w:tcPr>
          <w:p w14:paraId="60B7182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0.7%</w:t>
            </w:r>
          </w:p>
        </w:tc>
        <w:tc>
          <w:tcPr>
            <w:tcW w:w="1411" w:type="dxa"/>
          </w:tcPr>
          <w:p w14:paraId="6B25AF95"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7%</w:t>
            </w:r>
          </w:p>
        </w:tc>
        <w:tc>
          <w:tcPr>
            <w:tcW w:w="1804" w:type="dxa"/>
          </w:tcPr>
          <w:p w14:paraId="1FCDE22A"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386A22A0"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665B62AD"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71F75E0C" w14:textId="0BD4B767" w:rsidR="00DD69AF" w:rsidRPr="00F11207" w:rsidRDefault="00F301D8" w:rsidP="00D1292C">
            <w:pPr>
              <w:pStyle w:val="Tabletext0"/>
              <w:spacing w:before="40"/>
            </w:pPr>
            <w:r w:rsidRPr="00F11207">
              <w:t>P</w:t>
            </w:r>
            <w:r w:rsidR="00DD69AF" w:rsidRPr="00F11207">
              <w:t>neumonitis</w:t>
            </w:r>
          </w:p>
        </w:tc>
        <w:tc>
          <w:tcPr>
            <w:tcW w:w="1675" w:type="dxa"/>
          </w:tcPr>
          <w:p w14:paraId="39DFF20A"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5%</w:t>
            </w:r>
          </w:p>
        </w:tc>
        <w:tc>
          <w:tcPr>
            <w:tcW w:w="1411" w:type="dxa"/>
          </w:tcPr>
          <w:p w14:paraId="5F5530E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3%</w:t>
            </w:r>
          </w:p>
        </w:tc>
        <w:tc>
          <w:tcPr>
            <w:tcW w:w="1804" w:type="dxa"/>
          </w:tcPr>
          <w:p w14:paraId="62416AB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02A746FF"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02B76625"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5AE56FF9" w14:textId="7DE8BF00" w:rsidR="00DD69AF" w:rsidRPr="00F11207" w:rsidRDefault="00F301D8" w:rsidP="00D1292C">
            <w:pPr>
              <w:pStyle w:val="Tabletext0"/>
              <w:spacing w:before="40"/>
            </w:pPr>
            <w:r w:rsidRPr="00F11207">
              <w:t>D</w:t>
            </w:r>
            <w:r w:rsidR="00DD69AF" w:rsidRPr="00F11207">
              <w:t>iarrhoea</w:t>
            </w:r>
          </w:p>
        </w:tc>
        <w:tc>
          <w:tcPr>
            <w:tcW w:w="1675" w:type="dxa"/>
          </w:tcPr>
          <w:p w14:paraId="2F058E3B"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2.7%</w:t>
            </w:r>
          </w:p>
        </w:tc>
        <w:tc>
          <w:tcPr>
            <w:tcW w:w="1411" w:type="dxa"/>
          </w:tcPr>
          <w:p w14:paraId="032E410F"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1.3%</w:t>
            </w:r>
          </w:p>
        </w:tc>
        <w:tc>
          <w:tcPr>
            <w:tcW w:w="1804" w:type="dxa"/>
          </w:tcPr>
          <w:p w14:paraId="208284D6"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4A2EDBE9"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3EB0E3EF"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50D64D84" w14:textId="77777777" w:rsidR="00DD69AF" w:rsidRPr="00F11207" w:rsidRDefault="00DD69AF" w:rsidP="00D1292C">
            <w:pPr>
              <w:pStyle w:val="Tabletext0"/>
              <w:spacing w:before="40"/>
            </w:pPr>
            <w:r w:rsidRPr="00F11207">
              <w:t>Any ADR</w:t>
            </w:r>
          </w:p>
        </w:tc>
        <w:tc>
          <w:tcPr>
            <w:tcW w:w="1675" w:type="dxa"/>
          </w:tcPr>
          <w:p w14:paraId="4868A40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74.3%</w:t>
            </w:r>
          </w:p>
        </w:tc>
        <w:tc>
          <w:tcPr>
            <w:tcW w:w="1411" w:type="dxa"/>
          </w:tcPr>
          <w:p w14:paraId="7168D68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77.0%</w:t>
            </w:r>
          </w:p>
        </w:tc>
        <w:tc>
          <w:tcPr>
            <w:tcW w:w="1804" w:type="dxa"/>
          </w:tcPr>
          <w:p w14:paraId="5DFA4E1C"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73.3%</w:t>
            </w:r>
          </w:p>
        </w:tc>
        <w:tc>
          <w:tcPr>
            <w:tcW w:w="0" w:type="auto"/>
          </w:tcPr>
          <w:p w14:paraId="66935F0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73.7%</w:t>
            </w:r>
          </w:p>
        </w:tc>
      </w:tr>
      <w:tr w:rsidR="00DD69AF" w:rsidRPr="00B21C5E" w14:paraId="01531FBB"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23252C9B" w14:textId="11CC8828" w:rsidR="00DD69AF" w:rsidRPr="00F11207" w:rsidRDefault="00DD69AF" w:rsidP="00D1292C">
            <w:pPr>
              <w:pStyle w:val="Tabletext0"/>
              <w:spacing w:before="40"/>
            </w:pPr>
            <w:r w:rsidRPr="00F11207">
              <w:t>Any CTCAE Grade 3 -5</w:t>
            </w:r>
            <w:r w:rsidR="00B004E2" w:rsidRPr="00F11207">
              <w:t xml:space="preserve"> </w:t>
            </w:r>
            <w:r w:rsidRPr="00F11207">
              <w:t>ADR</w:t>
            </w:r>
          </w:p>
        </w:tc>
        <w:tc>
          <w:tcPr>
            <w:tcW w:w="1675" w:type="dxa"/>
          </w:tcPr>
          <w:p w14:paraId="642CF58C"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19.6%</w:t>
            </w:r>
          </w:p>
        </w:tc>
        <w:tc>
          <w:tcPr>
            <w:tcW w:w="1411" w:type="dxa"/>
          </w:tcPr>
          <w:p w14:paraId="2BD4E164"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25.0%</w:t>
            </w:r>
          </w:p>
        </w:tc>
        <w:tc>
          <w:tcPr>
            <w:tcW w:w="1804" w:type="dxa"/>
          </w:tcPr>
          <w:p w14:paraId="20D7718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15.9%</w:t>
            </w:r>
          </w:p>
        </w:tc>
        <w:tc>
          <w:tcPr>
            <w:tcW w:w="0" w:type="auto"/>
          </w:tcPr>
          <w:p w14:paraId="042B045D"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13.8%</w:t>
            </w:r>
          </w:p>
        </w:tc>
      </w:tr>
      <w:tr w:rsidR="00DD69AF" w:rsidRPr="00B21C5E" w14:paraId="0F500521"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0" w:type="auto"/>
            <w:gridSpan w:val="5"/>
          </w:tcPr>
          <w:p w14:paraId="6CF50865" w14:textId="123B5997" w:rsidR="00DD69AF" w:rsidRPr="00F11207" w:rsidRDefault="00DD69AF" w:rsidP="00D1292C">
            <w:pPr>
              <w:pStyle w:val="Tabletext0"/>
              <w:spacing w:before="40"/>
              <w:rPr>
                <w:b/>
                <w:bCs/>
              </w:rPr>
            </w:pPr>
            <w:r w:rsidRPr="00F11207">
              <w:rPr>
                <w:b/>
                <w:bCs/>
              </w:rPr>
              <w:t xml:space="preserve">Serious </w:t>
            </w:r>
            <w:r w:rsidR="00D1292C">
              <w:rPr>
                <w:b/>
                <w:bCs/>
              </w:rPr>
              <w:t>a</w:t>
            </w:r>
            <w:r w:rsidRPr="00F11207">
              <w:rPr>
                <w:b/>
                <w:bCs/>
              </w:rPr>
              <w:t xml:space="preserve">dverse </w:t>
            </w:r>
            <w:r w:rsidR="00D1292C">
              <w:rPr>
                <w:b/>
                <w:bCs/>
              </w:rPr>
              <w:t>ev</w:t>
            </w:r>
            <w:r w:rsidRPr="00F11207">
              <w:rPr>
                <w:b/>
                <w:bCs/>
              </w:rPr>
              <w:t>ents (SAE)</w:t>
            </w:r>
          </w:p>
        </w:tc>
      </w:tr>
      <w:tr w:rsidR="00DD69AF" w:rsidRPr="00B21C5E" w14:paraId="60BD9C4E" w14:textId="77777777" w:rsidTr="00D1292C">
        <w:trPr>
          <w:trHeight w:val="293"/>
        </w:trPr>
        <w:tc>
          <w:tcPr>
            <w:cnfStyle w:val="001000000000" w:firstRow="0" w:lastRow="0" w:firstColumn="1" w:lastColumn="0" w:oddVBand="0" w:evenVBand="0" w:oddHBand="0" w:evenHBand="0" w:firstRowFirstColumn="0" w:firstRowLastColumn="0" w:lastRowFirstColumn="0" w:lastRowLastColumn="0"/>
            <w:tcW w:w="2215" w:type="dxa"/>
          </w:tcPr>
          <w:p w14:paraId="0BE17A5D" w14:textId="77777777" w:rsidR="00DD69AF" w:rsidRPr="00F11207" w:rsidRDefault="00DD69AF" w:rsidP="00D1292C">
            <w:pPr>
              <w:pStyle w:val="Tabletext0"/>
              <w:spacing w:before="40"/>
            </w:pPr>
            <w:r w:rsidRPr="00F11207">
              <w:t>Any SAE</w:t>
            </w:r>
          </w:p>
        </w:tc>
        <w:tc>
          <w:tcPr>
            <w:tcW w:w="1675" w:type="dxa"/>
          </w:tcPr>
          <w:p w14:paraId="641FFE2D"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44 (29.7%)</w:t>
            </w:r>
          </w:p>
        </w:tc>
        <w:tc>
          <w:tcPr>
            <w:tcW w:w="1411" w:type="dxa"/>
          </w:tcPr>
          <w:p w14:paraId="3A66ED9F"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32 (21.1%)</w:t>
            </w:r>
          </w:p>
        </w:tc>
        <w:tc>
          <w:tcPr>
            <w:tcW w:w="1804" w:type="dxa"/>
          </w:tcPr>
          <w:p w14:paraId="19B6CE79"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104 (26.7%)</w:t>
            </w:r>
          </w:p>
        </w:tc>
        <w:tc>
          <w:tcPr>
            <w:tcW w:w="0" w:type="auto"/>
          </w:tcPr>
          <w:p w14:paraId="151BA60A"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1042 (37.2%)</w:t>
            </w:r>
          </w:p>
        </w:tc>
      </w:tr>
      <w:tr w:rsidR="00D1292C" w:rsidRPr="00B21C5E" w14:paraId="118E5D95" w14:textId="77777777" w:rsidTr="00051FDB">
        <w:trPr>
          <w:trHeight w:val="269"/>
        </w:trPr>
        <w:tc>
          <w:tcPr>
            <w:cnfStyle w:val="001000000000" w:firstRow="0" w:lastRow="0" w:firstColumn="1" w:lastColumn="0" w:oddVBand="0" w:evenVBand="0" w:oddHBand="0" w:evenHBand="0" w:firstRowFirstColumn="0" w:firstRowLastColumn="0" w:lastRowFirstColumn="0" w:lastRowLastColumn="0"/>
            <w:tcW w:w="8906" w:type="dxa"/>
            <w:gridSpan w:val="5"/>
          </w:tcPr>
          <w:p w14:paraId="2E085AC1" w14:textId="3E137D3C" w:rsidR="00D1292C" w:rsidRPr="00F11207" w:rsidRDefault="00D1292C" w:rsidP="00D1292C">
            <w:pPr>
              <w:pStyle w:val="Tabletext0"/>
              <w:spacing w:before="40"/>
            </w:pPr>
            <w:r w:rsidRPr="00F11207">
              <w:rPr>
                <w:b/>
                <w:bCs/>
              </w:rPr>
              <w:t xml:space="preserve">Most common </w:t>
            </w:r>
            <w:r>
              <w:rPr>
                <w:b/>
                <w:bCs/>
              </w:rPr>
              <w:t>serious adverse events</w:t>
            </w:r>
            <w:r w:rsidRPr="00F11207">
              <w:rPr>
                <w:b/>
                <w:bCs/>
              </w:rPr>
              <w:t xml:space="preserve"> by </w:t>
            </w:r>
            <w:r>
              <w:rPr>
                <w:b/>
                <w:bCs/>
              </w:rPr>
              <w:t>System Organ Class</w:t>
            </w:r>
          </w:p>
        </w:tc>
      </w:tr>
      <w:tr w:rsidR="00DD69AF" w:rsidRPr="00B21C5E" w14:paraId="296EC8B5"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1DA8CAD6" w14:textId="0DED9AE2" w:rsidR="00DD69AF" w:rsidRPr="00F11207" w:rsidRDefault="00F301D8" w:rsidP="00D1292C">
            <w:pPr>
              <w:pStyle w:val="Tabletext0"/>
              <w:spacing w:before="40"/>
            </w:pPr>
            <w:r w:rsidRPr="00F11207">
              <w:t>I</w:t>
            </w:r>
            <w:r w:rsidR="00DD69AF" w:rsidRPr="00F11207">
              <w:t>nfections</w:t>
            </w:r>
          </w:p>
        </w:tc>
        <w:tc>
          <w:tcPr>
            <w:tcW w:w="1675" w:type="dxa"/>
          </w:tcPr>
          <w:p w14:paraId="6F7A45F0"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12%</w:t>
            </w:r>
          </w:p>
        </w:tc>
        <w:tc>
          <w:tcPr>
            <w:tcW w:w="1411" w:type="dxa"/>
          </w:tcPr>
          <w:p w14:paraId="40D9EBFE"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8%</w:t>
            </w:r>
          </w:p>
        </w:tc>
        <w:tc>
          <w:tcPr>
            <w:tcW w:w="1804" w:type="dxa"/>
          </w:tcPr>
          <w:p w14:paraId="033F4705"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2D9432D4"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635CBB7D"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1A16A27F" w14:textId="77777777" w:rsidR="00DD69AF" w:rsidRPr="00F11207" w:rsidRDefault="00DD69AF" w:rsidP="00D1292C">
            <w:pPr>
              <w:pStyle w:val="Tabletext0"/>
              <w:spacing w:before="40"/>
            </w:pPr>
            <w:r w:rsidRPr="00F11207">
              <w:t>Respiratory/thoracic</w:t>
            </w:r>
          </w:p>
        </w:tc>
        <w:tc>
          <w:tcPr>
            <w:tcW w:w="1675" w:type="dxa"/>
          </w:tcPr>
          <w:p w14:paraId="71649456"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7%</w:t>
            </w:r>
          </w:p>
        </w:tc>
        <w:tc>
          <w:tcPr>
            <w:tcW w:w="1411" w:type="dxa"/>
          </w:tcPr>
          <w:p w14:paraId="3A9B9BE8"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4%</w:t>
            </w:r>
          </w:p>
        </w:tc>
        <w:tc>
          <w:tcPr>
            <w:tcW w:w="1804" w:type="dxa"/>
          </w:tcPr>
          <w:p w14:paraId="7EB8E61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165F5C18"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29064953"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0" w:type="auto"/>
            <w:gridSpan w:val="5"/>
          </w:tcPr>
          <w:p w14:paraId="7791A224" w14:textId="4C287407" w:rsidR="00DD69AF" w:rsidRPr="00F11207" w:rsidRDefault="00DD69AF" w:rsidP="00D1292C">
            <w:pPr>
              <w:pStyle w:val="Tabletext0"/>
              <w:spacing w:before="40"/>
              <w:rPr>
                <w:b/>
                <w:bCs/>
              </w:rPr>
            </w:pPr>
            <w:r w:rsidRPr="00F11207">
              <w:rPr>
                <w:b/>
                <w:bCs/>
              </w:rPr>
              <w:t xml:space="preserve">Serious </w:t>
            </w:r>
            <w:r w:rsidR="00D1292C">
              <w:rPr>
                <w:b/>
                <w:bCs/>
              </w:rPr>
              <w:t>d</w:t>
            </w:r>
            <w:r w:rsidRPr="00F11207">
              <w:rPr>
                <w:b/>
                <w:bCs/>
              </w:rPr>
              <w:t xml:space="preserve">rug-related </w:t>
            </w:r>
            <w:r w:rsidR="00D1292C">
              <w:rPr>
                <w:b/>
                <w:bCs/>
              </w:rPr>
              <w:t>adverse events</w:t>
            </w:r>
          </w:p>
        </w:tc>
      </w:tr>
      <w:tr w:rsidR="00DD69AF" w:rsidRPr="00B21C5E" w14:paraId="388FB658"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7137AD92" w14:textId="77777777" w:rsidR="00DD69AF" w:rsidRPr="00F11207" w:rsidRDefault="00DD69AF" w:rsidP="00D1292C">
            <w:pPr>
              <w:pStyle w:val="Tabletext0"/>
              <w:spacing w:before="40"/>
            </w:pPr>
            <w:r w:rsidRPr="00F11207">
              <w:t xml:space="preserve">Any drug-related SAE </w:t>
            </w:r>
          </w:p>
        </w:tc>
        <w:tc>
          <w:tcPr>
            <w:tcW w:w="1675" w:type="dxa"/>
          </w:tcPr>
          <w:p w14:paraId="000AB1A1"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16.2%</w:t>
            </w:r>
          </w:p>
        </w:tc>
        <w:tc>
          <w:tcPr>
            <w:tcW w:w="1411" w:type="dxa"/>
          </w:tcPr>
          <w:p w14:paraId="354D1D1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10.5%</w:t>
            </w:r>
          </w:p>
        </w:tc>
        <w:tc>
          <w:tcPr>
            <w:tcW w:w="1804" w:type="dxa"/>
          </w:tcPr>
          <w:p w14:paraId="6A60FC20"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11.8%</w:t>
            </w:r>
          </w:p>
        </w:tc>
        <w:tc>
          <w:tcPr>
            <w:tcW w:w="0" w:type="auto"/>
          </w:tcPr>
          <w:p w14:paraId="25B5552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10.1%</w:t>
            </w:r>
          </w:p>
        </w:tc>
      </w:tr>
      <w:tr w:rsidR="00DD69AF" w:rsidRPr="00B21C5E" w14:paraId="12035614"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0" w:type="auto"/>
            <w:gridSpan w:val="5"/>
          </w:tcPr>
          <w:p w14:paraId="6ED59007" w14:textId="77777777" w:rsidR="00DD69AF" w:rsidRPr="00F11207" w:rsidRDefault="00DD69AF" w:rsidP="00D1292C">
            <w:pPr>
              <w:pStyle w:val="Tabletext0"/>
              <w:spacing w:before="40"/>
              <w:rPr>
                <w:b/>
                <w:bCs/>
              </w:rPr>
            </w:pPr>
            <w:r w:rsidRPr="00F11207">
              <w:rPr>
                <w:b/>
                <w:bCs/>
              </w:rPr>
              <w:lastRenderedPageBreak/>
              <w:t>Deaths</w:t>
            </w:r>
          </w:p>
        </w:tc>
      </w:tr>
      <w:tr w:rsidR="00DD69AF" w:rsidRPr="00B21C5E" w14:paraId="5352FEF7"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250A08B8" w14:textId="77777777" w:rsidR="00DD69AF" w:rsidRPr="00F11207" w:rsidRDefault="00DD69AF" w:rsidP="00D1292C">
            <w:pPr>
              <w:pStyle w:val="Tabletext0"/>
              <w:spacing w:before="40"/>
            </w:pPr>
            <w:r w:rsidRPr="00F11207">
              <w:t>Fatal ADRs</w:t>
            </w:r>
          </w:p>
        </w:tc>
        <w:tc>
          <w:tcPr>
            <w:tcW w:w="1675" w:type="dxa"/>
          </w:tcPr>
          <w:p w14:paraId="0CFD5150"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0.7%</w:t>
            </w:r>
          </w:p>
        </w:tc>
        <w:tc>
          <w:tcPr>
            <w:tcW w:w="1411" w:type="dxa"/>
          </w:tcPr>
          <w:p w14:paraId="6D253510"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0%</w:t>
            </w:r>
          </w:p>
        </w:tc>
        <w:tc>
          <w:tcPr>
            <w:tcW w:w="1804" w:type="dxa"/>
          </w:tcPr>
          <w:p w14:paraId="4771A03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0.3%</w:t>
            </w:r>
          </w:p>
        </w:tc>
        <w:tc>
          <w:tcPr>
            <w:tcW w:w="0" w:type="auto"/>
          </w:tcPr>
          <w:p w14:paraId="6D1B81E4"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0.4%</w:t>
            </w:r>
          </w:p>
        </w:tc>
      </w:tr>
      <w:tr w:rsidR="00DD69AF" w:rsidRPr="00B21C5E" w14:paraId="15A97621"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0" w:type="auto"/>
            <w:gridSpan w:val="5"/>
          </w:tcPr>
          <w:p w14:paraId="320C1C61" w14:textId="77777777" w:rsidR="00DD69AF" w:rsidRPr="00F11207" w:rsidRDefault="00DD69AF" w:rsidP="00D1292C">
            <w:pPr>
              <w:pStyle w:val="Tabletext0"/>
              <w:spacing w:before="40"/>
              <w:rPr>
                <w:b/>
                <w:bCs/>
              </w:rPr>
            </w:pPr>
            <w:r w:rsidRPr="00F11207">
              <w:rPr>
                <w:b/>
                <w:bCs/>
              </w:rPr>
              <w:t>Discontinuations</w:t>
            </w:r>
          </w:p>
        </w:tc>
      </w:tr>
      <w:tr w:rsidR="00DD69AF" w:rsidRPr="00B21C5E" w14:paraId="39084DC4" w14:textId="77777777" w:rsidTr="00F11207">
        <w:trPr>
          <w:trHeight w:val="201"/>
        </w:trPr>
        <w:tc>
          <w:tcPr>
            <w:cnfStyle w:val="001000000000" w:firstRow="0" w:lastRow="0" w:firstColumn="1" w:lastColumn="0" w:oddVBand="0" w:evenVBand="0" w:oddHBand="0" w:evenHBand="0" w:firstRowFirstColumn="0" w:firstRowLastColumn="0" w:lastRowFirstColumn="0" w:lastRowLastColumn="0"/>
            <w:tcW w:w="2215" w:type="dxa"/>
          </w:tcPr>
          <w:p w14:paraId="21258F01" w14:textId="77777777" w:rsidR="00DD69AF" w:rsidRPr="00F11207" w:rsidRDefault="00DD69AF" w:rsidP="00D1292C">
            <w:pPr>
              <w:pStyle w:val="Tabletext0"/>
              <w:spacing w:before="40"/>
            </w:pPr>
            <w:r w:rsidRPr="00F11207">
              <w:t>Due to AE</w:t>
            </w:r>
          </w:p>
        </w:tc>
        <w:tc>
          <w:tcPr>
            <w:tcW w:w="1675" w:type="dxa"/>
          </w:tcPr>
          <w:p w14:paraId="38EBE9FD"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13.5%</w:t>
            </w:r>
          </w:p>
        </w:tc>
        <w:tc>
          <w:tcPr>
            <w:tcW w:w="1411" w:type="dxa"/>
          </w:tcPr>
          <w:p w14:paraId="4D7C5378"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17.8%</w:t>
            </w:r>
          </w:p>
        </w:tc>
        <w:tc>
          <w:tcPr>
            <w:tcW w:w="1804" w:type="dxa"/>
          </w:tcPr>
          <w:p w14:paraId="359B042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10.5%</w:t>
            </w:r>
          </w:p>
        </w:tc>
        <w:tc>
          <w:tcPr>
            <w:tcW w:w="0" w:type="auto"/>
          </w:tcPr>
          <w:p w14:paraId="16FB12AE"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11.9%</w:t>
            </w:r>
          </w:p>
        </w:tc>
      </w:tr>
      <w:tr w:rsidR="00DD69AF" w:rsidRPr="00B21C5E" w14:paraId="6A78A37B"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0E9C26A8" w14:textId="77777777" w:rsidR="00DD69AF" w:rsidRPr="00F11207" w:rsidRDefault="00DD69AF" w:rsidP="00D1292C">
            <w:pPr>
              <w:pStyle w:val="Tabletext0"/>
              <w:spacing w:before="40"/>
            </w:pPr>
            <w:r w:rsidRPr="00F11207">
              <w:t>Due to ADR</w:t>
            </w:r>
          </w:p>
        </w:tc>
        <w:tc>
          <w:tcPr>
            <w:tcW w:w="1675" w:type="dxa"/>
          </w:tcPr>
          <w:p w14:paraId="1783B554"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12.8%</w:t>
            </w:r>
          </w:p>
        </w:tc>
        <w:tc>
          <w:tcPr>
            <w:tcW w:w="1411" w:type="dxa"/>
          </w:tcPr>
          <w:p w14:paraId="32D0172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16.4%</w:t>
            </w:r>
          </w:p>
        </w:tc>
        <w:tc>
          <w:tcPr>
            <w:tcW w:w="1804" w:type="dxa"/>
          </w:tcPr>
          <w:p w14:paraId="74142EFE"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9.3%</w:t>
            </w:r>
          </w:p>
        </w:tc>
        <w:tc>
          <w:tcPr>
            <w:tcW w:w="0" w:type="auto"/>
          </w:tcPr>
          <w:p w14:paraId="455BB69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5.2%</w:t>
            </w:r>
          </w:p>
        </w:tc>
      </w:tr>
      <w:tr w:rsidR="00DD69AF" w:rsidRPr="00B21C5E" w14:paraId="75D0A804"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3124A3B7" w14:textId="77777777" w:rsidR="00DD69AF" w:rsidRPr="00F11207" w:rsidRDefault="00DD69AF" w:rsidP="00D1292C">
            <w:pPr>
              <w:pStyle w:val="Tabletext0"/>
              <w:spacing w:before="40"/>
            </w:pPr>
            <w:r w:rsidRPr="00F11207">
              <w:t xml:space="preserve">Due to SAE </w:t>
            </w:r>
          </w:p>
        </w:tc>
        <w:tc>
          <w:tcPr>
            <w:tcW w:w="1675" w:type="dxa"/>
          </w:tcPr>
          <w:p w14:paraId="65A96AE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9.5%</w:t>
            </w:r>
          </w:p>
        </w:tc>
        <w:tc>
          <w:tcPr>
            <w:tcW w:w="1411" w:type="dxa"/>
          </w:tcPr>
          <w:p w14:paraId="2F76644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5.3%</w:t>
            </w:r>
          </w:p>
        </w:tc>
        <w:tc>
          <w:tcPr>
            <w:tcW w:w="1804" w:type="dxa"/>
          </w:tcPr>
          <w:p w14:paraId="6BF1BB2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6.2%</w:t>
            </w:r>
          </w:p>
        </w:tc>
        <w:tc>
          <w:tcPr>
            <w:tcW w:w="0" w:type="auto"/>
          </w:tcPr>
          <w:p w14:paraId="33A5AC5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9.0%</w:t>
            </w:r>
          </w:p>
        </w:tc>
      </w:tr>
      <w:tr w:rsidR="00DD69AF" w:rsidRPr="00B21C5E" w14:paraId="4FE02F01"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60CAA6AD" w14:textId="77777777" w:rsidR="00DD69AF" w:rsidRPr="00F11207" w:rsidRDefault="00DD69AF" w:rsidP="00D1292C">
            <w:pPr>
              <w:pStyle w:val="Tabletext0"/>
              <w:spacing w:before="40"/>
            </w:pPr>
            <w:r w:rsidRPr="00F11207">
              <w:t>Due to drug-related SAE</w:t>
            </w:r>
          </w:p>
        </w:tc>
        <w:tc>
          <w:tcPr>
            <w:tcW w:w="1675" w:type="dxa"/>
          </w:tcPr>
          <w:p w14:paraId="59691330"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8.8%</w:t>
            </w:r>
          </w:p>
        </w:tc>
        <w:tc>
          <w:tcPr>
            <w:tcW w:w="1411" w:type="dxa"/>
          </w:tcPr>
          <w:p w14:paraId="2F11F832"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3.9%</w:t>
            </w:r>
          </w:p>
        </w:tc>
        <w:tc>
          <w:tcPr>
            <w:tcW w:w="1804" w:type="dxa"/>
          </w:tcPr>
          <w:p w14:paraId="5F6B753F"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5.1%</w:t>
            </w:r>
          </w:p>
        </w:tc>
        <w:tc>
          <w:tcPr>
            <w:tcW w:w="0" w:type="auto"/>
          </w:tcPr>
          <w:p w14:paraId="387DDEFC"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3.6%</w:t>
            </w:r>
          </w:p>
        </w:tc>
      </w:tr>
      <w:tr w:rsidR="00DD69AF" w:rsidRPr="00B21C5E" w14:paraId="29B60A58"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0" w:type="auto"/>
            <w:gridSpan w:val="5"/>
          </w:tcPr>
          <w:p w14:paraId="667821D0" w14:textId="77777777" w:rsidR="00DD69AF" w:rsidRPr="00F11207" w:rsidRDefault="00DD69AF" w:rsidP="00D1292C">
            <w:pPr>
              <w:pStyle w:val="Tabletext0"/>
              <w:spacing w:before="40"/>
              <w:rPr>
                <w:b/>
                <w:bCs/>
              </w:rPr>
            </w:pPr>
            <w:r w:rsidRPr="00F11207">
              <w:rPr>
                <w:b/>
                <w:bCs/>
              </w:rPr>
              <w:t>Drug dosing interruption</w:t>
            </w:r>
          </w:p>
        </w:tc>
      </w:tr>
      <w:tr w:rsidR="00DD69AF" w:rsidRPr="00B21C5E" w14:paraId="47345875"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47B7AD62" w14:textId="77777777" w:rsidR="00DD69AF" w:rsidRPr="00F11207" w:rsidRDefault="00DD69AF" w:rsidP="00D1292C">
            <w:pPr>
              <w:pStyle w:val="Tabletext0"/>
              <w:spacing w:before="40"/>
            </w:pPr>
            <w:r w:rsidRPr="00F11207">
              <w:t>Due to AE</w:t>
            </w:r>
          </w:p>
        </w:tc>
        <w:tc>
          <w:tcPr>
            <w:tcW w:w="1675" w:type="dxa"/>
          </w:tcPr>
          <w:p w14:paraId="6C835327"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29.7%</w:t>
            </w:r>
          </w:p>
        </w:tc>
        <w:tc>
          <w:tcPr>
            <w:tcW w:w="1411" w:type="dxa"/>
          </w:tcPr>
          <w:p w14:paraId="0519F51C"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33.6%</w:t>
            </w:r>
          </w:p>
        </w:tc>
        <w:tc>
          <w:tcPr>
            <w:tcW w:w="1804" w:type="dxa"/>
          </w:tcPr>
          <w:p w14:paraId="4FDCE30D"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67FF462F"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r w:rsidR="00DD69AF" w:rsidRPr="00B21C5E" w14:paraId="42DECC87" w14:textId="77777777" w:rsidTr="00F11207">
        <w:trPr>
          <w:trHeight w:val="269"/>
        </w:trPr>
        <w:tc>
          <w:tcPr>
            <w:cnfStyle w:val="001000000000" w:firstRow="0" w:lastRow="0" w:firstColumn="1" w:lastColumn="0" w:oddVBand="0" w:evenVBand="0" w:oddHBand="0" w:evenHBand="0" w:firstRowFirstColumn="0" w:firstRowLastColumn="0" w:lastRowFirstColumn="0" w:lastRowLastColumn="0"/>
            <w:tcW w:w="2215" w:type="dxa"/>
          </w:tcPr>
          <w:p w14:paraId="3E32631C" w14:textId="77777777" w:rsidR="00DD69AF" w:rsidRPr="00F11207" w:rsidRDefault="00DD69AF" w:rsidP="00D1292C">
            <w:pPr>
              <w:pStyle w:val="Tabletext0"/>
              <w:spacing w:before="40"/>
            </w:pPr>
            <w:r w:rsidRPr="00F11207">
              <w:t xml:space="preserve">Due to ADR </w:t>
            </w:r>
          </w:p>
        </w:tc>
        <w:tc>
          <w:tcPr>
            <w:tcW w:w="1675" w:type="dxa"/>
          </w:tcPr>
          <w:p w14:paraId="2E110483"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18.9%</w:t>
            </w:r>
          </w:p>
        </w:tc>
        <w:tc>
          <w:tcPr>
            <w:tcW w:w="1411" w:type="dxa"/>
          </w:tcPr>
          <w:p w14:paraId="5DE6D92C"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r w:rsidRPr="00F11207">
              <w:t>28.9%</w:t>
            </w:r>
          </w:p>
        </w:tc>
        <w:tc>
          <w:tcPr>
            <w:tcW w:w="1804" w:type="dxa"/>
          </w:tcPr>
          <w:p w14:paraId="7C26670A"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c>
          <w:tcPr>
            <w:tcW w:w="0" w:type="auto"/>
          </w:tcPr>
          <w:p w14:paraId="684BE6B6" w14:textId="77777777" w:rsidR="00DD69AF" w:rsidRPr="00F11207" w:rsidRDefault="00DD69AF" w:rsidP="00D1292C">
            <w:pPr>
              <w:pStyle w:val="Tabletext0"/>
              <w:spacing w:before="40"/>
              <w:cnfStyle w:val="000000000000" w:firstRow="0" w:lastRow="0" w:firstColumn="0" w:lastColumn="0" w:oddVBand="0" w:evenVBand="0" w:oddHBand="0" w:evenHBand="0" w:firstRowFirstColumn="0" w:firstRowLastColumn="0" w:lastRowFirstColumn="0" w:lastRowLastColumn="0"/>
            </w:pPr>
          </w:p>
        </w:tc>
      </w:tr>
    </w:tbl>
    <w:p w14:paraId="1A01C5D4" w14:textId="14D6035D" w:rsidR="00BE65C4" w:rsidRPr="002E5D98" w:rsidRDefault="00BE65C4" w:rsidP="002E5D98">
      <w:pPr>
        <w:pStyle w:val="TableDescription"/>
      </w:pPr>
      <w:r w:rsidRPr="002E5D98">
        <w:t xml:space="preserve">Abbreviations: </w:t>
      </w:r>
      <w:r>
        <w:t xml:space="preserve">ADR = adverse drug reaction; AE = adverse event; </w:t>
      </w:r>
      <w:r w:rsidR="00194A75">
        <w:t xml:space="preserve">CTCAE = </w:t>
      </w:r>
      <w:r w:rsidR="00194A75" w:rsidRPr="00194A75">
        <w:t>Common Terminology Criteria for Adverse Events</w:t>
      </w:r>
      <w:r w:rsidR="00194A75">
        <w:t xml:space="preserve">; </w:t>
      </w:r>
      <w:r>
        <w:t>SAE = serious adverse event; TEAE = treatment emergent adverse event</w:t>
      </w:r>
      <w:r w:rsidR="00194A75">
        <w:t>.</w:t>
      </w:r>
    </w:p>
    <w:p w14:paraId="646937CF" w14:textId="56050FDD" w:rsidR="00BE65C4" w:rsidRDefault="00BE65C4" w:rsidP="002E5D98">
      <w:pPr>
        <w:pStyle w:val="TableDescription"/>
      </w:pPr>
      <w:r w:rsidRPr="002E5D98">
        <w:rPr>
          <w:vertAlign w:val="superscript"/>
        </w:rPr>
        <w:t>a</w:t>
      </w:r>
      <w:r>
        <w:t xml:space="preserve"> Pooled safety data from the KEYNOTE 204 trial, the KEYNOTE 087 trial and the KEYNOTE 013 trial (total n = 389 patients with </w:t>
      </w:r>
      <w:r w:rsidRPr="005900D0">
        <w:t xml:space="preserve">classical Hodgkin </w:t>
      </w:r>
      <w:r>
        <w:t>lymphoma).</w:t>
      </w:r>
    </w:p>
    <w:p w14:paraId="1B3E801B" w14:textId="4BC8977C" w:rsidR="00194A75" w:rsidRDefault="00194A75" w:rsidP="002E5D98">
      <w:pPr>
        <w:pStyle w:val="TableDescription"/>
      </w:pPr>
      <w:r w:rsidRPr="002E5D98">
        <w:rPr>
          <w:vertAlign w:val="superscript"/>
        </w:rPr>
        <w:t>b</w:t>
      </w:r>
      <w:r>
        <w:t xml:space="preserve"> </w:t>
      </w:r>
      <w:proofErr w:type="gramStart"/>
      <w:r w:rsidRPr="00194A75">
        <w:t>The</w:t>
      </w:r>
      <w:proofErr w:type="gramEnd"/>
      <w:r w:rsidRPr="00194A75">
        <w:t xml:space="preserve"> reference data set reflects exposure to Keytruda as a single agent in 2799 patients in three randomised, open-label, active-controlled trials (the KEYNOTE 002, KEYNOTE  006, and KEYNOTE 010 trials), which enrolled 912 patients with melanoma and 682 patients with non-small cell lung cancer (NSCLC), and one single-arm trial (the KEYNOTE 001 trial), which enrolled 655 patients with melanoma and 550 patients with NSCLC.</w:t>
      </w:r>
    </w:p>
    <w:p w14:paraId="31FB83BD" w14:textId="1CF7AB09" w:rsidR="00B004E2" w:rsidRPr="005900D0" w:rsidRDefault="00DD69AF" w:rsidP="005900D0">
      <w:r w:rsidRPr="005900D0">
        <w:t xml:space="preserve">The most frequently reported </w:t>
      </w:r>
      <w:r w:rsidR="005900D0" w:rsidRPr="005900D0">
        <w:t>adverse events</w:t>
      </w:r>
      <w:r w:rsidRPr="005900D0">
        <w:t xml:space="preserve"> that led to interruption of study drug were pneumonia (3.4%) and upper respiratory tract infection (3.4%) in the pembrolizumab arm and neuropathy peripheral (5.9%) and infusion-related reactions (4.6%) in the </w:t>
      </w:r>
      <w:r w:rsidR="009A599D" w:rsidRPr="005900D0">
        <w:t>brentuximab vedotin</w:t>
      </w:r>
      <w:r w:rsidRPr="005900D0">
        <w:t xml:space="preserve"> arm.</w:t>
      </w:r>
    </w:p>
    <w:p w14:paraId="40F66B51" w14:textId="24E8C3B6" w:rsidR="00DD69AF" w:rsidRPr="005900D0" w:rsidRDefault="00DD69AF" w:rsidP="005900D0">
      <w:r w:rsidRPr="005900D0">
        <w:t>In the reference</w:t>
      </w:r>
      <w:r w:rsidR="000E51F3">
        <w:t xml:space="preserve"> population data set</w:t>
      </w:r>
      <w:r w:rsidRPr="005900D0">
        <w:t xml:space="preserve"> </w:t>
      </w:r>
      <w:r w:rsidR="005900D0" w:rsidRPr="005900D0">
        <w:t xml:space="preserve">classical Hodgkin </w:t>
      </w:r>
      <w:r w:rsidR="007D3D1C">
        <w:t xml:space="preserve">lymphoma </w:t>
      </w:r>
      <w:r w:rsidRPr="005900D0">
        <w:t>safety data set there were numerically higher incidences of pneumonitis and thyroid events compared with solid tumour data set. It is noted the duration of exposure may differ between indications.</w:t>
      </w:r>
    </w:p>
    <w:p w14:paraId="3EB16F7C" w14:textId="699B348E" w:rsidR="00B004E2" w:rsidRPr="005900D0" w:rsidRDefault="00DD69AF" w:rsidP="005900D0">
      <w:r w:rsidRPr="005900D0">
        <w:t xml:space="preserve">Based on the </w:t>
      </w:r>
      <w:r w:rsidR="000E51F3">
        <w:t>TGA’s clinical</w:t>
      </w:r>
      <w:r w:rsidRPr="005900D0">
        <w:t xml:space="preserve"> assessment the most frequent </w:t>
      </w:r>
      <w:r w:rsidR="00EA3699">
        <w:t>serious adverse events</w:t>
      </w:r>
      <w:r w:rsidRPr="005900D0">
        <w:t xml:space="preserve"> in the pembrolizumab arm were pneumonitis (7%), pneumonia (5%), and pyrexia (2.7%), respiratory tract infection, site unspecified (2%), myocarditis (1.4%), febrile neutropenia (1.4%), sepsis (1.4%) and acute kidney injury (1.4%). In the </w:t>
      </w:r>
      <w:r w:rsidR="009A599D" w:rsidRPr="005900D0">
        <w:t>brentuximab vedotin</w:t>
      </w:r>
      <w:r w:rsidRPr="005900D0">
        <w:t xml:space="preserve"> arm the most frequent </w:t>
      </w:r>
      <w:r w:rsidR="00EA3699">
        <w:t>serious adverse events</w:t>
      </w:r>
      <w:r w:rsidRPr="005900D0">
        <w:t xml:space="preserve"> were pneumonia (3.9%), infusion-related reactions (2.0%), peripheral neuropathy (2.0%), pneumonitis (1.3%) and thrombosis.</w:t>
      </w:r>
    </w:p>
    <w:p w14:paraId="6DDB5B3B" w14:textId="4ED10724" w:rsidR="00DD69AF" w:rsidRDefault="00DD69AF" w:rsidP="00DD69AF">
      <w:r>
        <w:t xml:space="preserve">No new immune-related </w:t>
      </w:r>
      <w:r w:rsidR="00EA3699">
        <w:t>adverse drug reactions</w:t>
      </w:r>
      <w:r>
        <w:t xml:space="preserve"> were identified in </w:t>
      </w:r>
      <w:r w:rsidR="00194A75">
        <w:t xml:space="preserve">the </w:t>
      </w:r>
      <w:r w:rsidR="002D22AB">
        <w:t>KEYNOTE 204 trial</w:t>
      </w:r>
      <w:r>
        <w:t>. Higher frequencies of hypothyroidism and pneumonitis were observed than were expected from the reference safety data set. The sponsor noted the study included a more heavily pre-treated population who had been exposed to radiation and chemotherapy such as bleomycin.</w:t>
      </w:r>
    </w:p>
    <w:p w14:paraId="1347EA16" w14:textId="77777777" w:rsidR="00DD69AF" w:rsidRDefault="00DD69AF" w:rsidP="00DD69AF">
      <w:r>
        <w:t>Laboratory abnormalities were consistent with those previously found for pembrolizumab.</w:t>
      </w:r>
    </w:p>
    <w:p w14:paraId="762C3353" w14:textId="023C0A13" w:rsidR="00DD69AF" w:rsidRPr="00031F9D" w:rsidRDefault="002D22AB" w:rsidP="00B361FD">
      <w:pPr>
        <w:pStyle w:val="Heading5"/>
      </w:pPr>
      <w:r>
        <w:lastRenderedPageBreak/>
        <w:t>KEYNOTE 087 trial</w:t>
      </w:r>
    </w:p>
    <w:p w14:paraId="2A3F26FB" w14:textId="545B3040" w:rsidR="00B004E2" w:rsidRDefault="00DD69AF" w:rsidP="00DD69AF">
      <w:r>
        <w:t xml:space="preserve">The sponsor provided summary safety information from 210 patients who received pembrolizumab in the </w:t>
      </w:r>
      <w:r w:rsidR="002D22AB">
        <w:t>KEYNOTE 087 trial</w:t>
      </w:r>
      <w:r>
        <w:t xml:space="preserve">. This study formed the basis of registration of pembrolizumab for </w:t>
      </w:r>
      <w:r w:rsidR="00EA3699">
        <w:t xml:space="preserve">relapsed or refractory classical Hodgkin </w:t>
      </w:r>
      <w:r w:rsidR="007D3D1C">
        <w:t>lymphoma</w:t>
      </w:r>
      <w:r>
        <w:t>.</w:t>
      </w:r>
    </w:p>
    <w:p w14:paraId="1E0ED019" w14:textId="4A05EE8A" w:rsidR="00B004E2" w:rsidRDefault="00DD69AF" w:rsidP="00DD69AF">
      <w:r>
        <w:t>Around 65% of patients experienced Grade 1 or 2 events, 26.2%</w:t>
      </w:r>
      <w:r w:rsidR="00EA3699">
        <w:t xml:space="preserve"> experience </w:t>
      </w:r>
      <w:r>
        <w:t xml:space="preserve">Grade 3 events, 5.2% </w:t>
      </w:r>
      <w:r w:rsidR="00EA3699">
        <w:t xml:space="preserve">experienced </w:t>
      </w:r>
      <w:r>
        <w:t xml:space="preserve">Grade 4 events and 12.4% </w:t>
      </w:r>
      <w:r w:rsidR="00EA3699">
        <w:t xml:space="preserve">experience </w:t>
      </w:r>
      <w:r>
        <w:t xml:space="preserve">Grade 5 events. The most common events were pyrexia (30%), cough (26.2%), fatigue (22.9%), and diarrhoea and upper respiratory tract infection (20.5% each). The most common Grade 3 or 4 treatment-related </w:t>
      </w:r>
      <w:r w:rsidR="00EA3699">
        <w:t>adverse events</w:t>
      </w:r>
      <w:r>
        <w:t xml:space="preserve"> were neutropenia (</w:t>
      </w:r>
      <w:r w:rsidR="00EA3699">
        <w:t>five</w:t>
      </w:r>
      <w:r>
        <w:t xml:space="preserve"> patients), and diarrhoea and pericarditis (</w:t>
      </w:r>
      <w:r w:rsidR="00EA3699">
        <w:t>two</w:t>
      </w:r>
      <w:r>
        <w:t xml:space="preserve"> patients each). Deaths from </w:t>
      </w:r>
      <w:r w:rsidR="00EA3699">
        <w:t>adverse events</w:t>
      </w:r>
      <w:r>
        <w:t xml:space="preserve"> included acute </w:t>
      </w:r>
      <w:r w:rsidR="0087784D">
        <w:t>graft-versus-host disease (</w:t>
      </w:r>
      <w:r>
        <w:t>GvHD</w:t>
      </w:r>
      <w:r w:rsidR="0087784D">
        <w:t>)</w:t>
      </w:r>
      <w:r>
        <w:t>, post-procedural infection, and septic shock (</w:t>
      </w:r>
      <w:r w:rsidR="0087784D">
        <w:t>one</w:t>
      </w:r>
      <w:r>
        <w:t xml:space="preserve"> patient each). None of the events was considered related to study drug.</w:t>
      </w:r>
    </w:p>
    <w:p w14:paraId="6730D5B5" w14:textId="02468A89" w:rsidR="00DD69AF" w:rsidRDefault="00EA3699" w:rsidP="00DD69AF">
      <w:r>
        <w:t>Serious adverse event</w:t>
      </w:r>
      <w:r w:rsidR="00DD69AF">
        <w:t xml:space="preserve">s (up to 90 days post last dose of pembrolizumab) were reported in 22.9%: most commonly pneumonia (2.9%), pneumonitis and pyrexia (1.9% each), and acute GvHD (1.4%). Four cases of pneumonitis and </w:t>
      </w:r>
      <w:r>
        <w:t>two</w:t>
      </w:r>
      <w:r w:rsidR="00DD69AF">
        <w:t xml:space="preserve"> cases of pericarditis were considered drug-related.</w:t>
      </w:r>
    </w:p>
    <w:p w14:paraId="57837172" w14:textId="6B164FF2" w:rsidR="00DD69AF" w:rsidRDefault="00DD69AF" w:rsidP="00DD69AF">
      <w:r>
        <w:t xml:space="preserve">Adverse events of special interest (33.8%) included hypothyroidism (15.7%), infusion-related reactions (5.2%), pneumonitis (4.8%). Events included </w:t>
      </w:r>
      <w:r w:rsidR="00EA3699">
        <w:t>one</w:t>
      </w:r>
      <w:r>
        <w:t xml:space="preserve"> participant with Grade 3 necrotising myocarditis and Grade 4 myocarditis.</w:t>
      </w:r>
    </w:p>
    <w:p w14:paraId="68A40372" w14:textId="1F86DCF5" w:rsidR="00DD69AF" w:rsidRDefault="00DD69AF" w:rsidP="00DD69AF">
      <w:r>
        <w:t>Of the 32 patients (15.2%) underwent allo</w:t>
      </w:r>
      <w:r w:rsidR="00EA3699">
        <w:t>genic stem cell transplant</w:t>
      </w:r>
      <w:r>
        <w:t xml:space="preserve"> after stopping pembrolizumab. Of these 23 experienced a post-allo</w:t>
      </w:r>
      <w:r w:rsidR="00EA3699">
        <w:t>gen</w:t>
      </w:r>
      <w:r w:rsidR="00194A75">
        <w:t>e</w:t>
      </w:r>
      <w:r w:rsidR="00EA3699">
        <w:t>ic stem cell transplant</w:t>
      </w:r>
      <w:r>
        <w:t xml:space="preserve"> </w:t>
      </w:r>
      <w:r w:rsidR="00EA3699">
        <w:t>adverse event</w:t>
      </w:r>
      <w:r>
        <w:t>: most commonly ac</w:t>
      </w:r>
      <w:r w:rsidRPr="00826C50">
        <w:t>ute GvHD</w:t>
      </w:r>
      <w:r>
        <w:t xml:space="preserve"> (n</w:t>
      </w:r>
      <w:r w:rsidR="00EA3699">
        <w:t xml:space="preserve"> </w:t>
      </w:r>
      <w:r>
        <w:t>=</w:t>
      </w:r>
      <w:r w:rsidR="00EA3699">
        <w:t xml:space="preserve"> </w:t>
      </w:r>
      <w:r>
        <w:t xml:space="preserve">11, including </w:t>
      </w:r>
      <w:r w:rsidR="00EA3699">
        <w:t>one</w:t>
      </w:r>
      <w:r>
        <w:t xml:space="preserve"> hyperacute), chronic GvHD (n</w:t>
      </w:r>
      <w:r w:rsidR="00EA3699">
        <w:t xml:space="preserve"> </w:t>
      </w:r>
      <w:r>
        <w:t>=</w:t>
      </w:r>
      <w:r w:rsidR="00EA3699">
        <w:t xml:space="preserve"> </w:t>
      </w:r>
      <w:r>
        <w:t>2) or both (n</w:t>
      </w:r>
      <w:r w:rsidR="00EA3699">
        <w:t> </w:t>
      </w:r>
      <w:r>
        <w:t>=</w:t>
      </w:r>
      <w:r w:rsidR="00EA3699">
        <w:t xml:space="preserve"> </w:t>
      </w:r>
      <w:r>
        <w:t xml:space="preserve">5). Eight patients had more than on GvHD event. There were </w:t>
      </w:r>
      <w:r w:rsidR="00EA3699">
        <w:t>four</w:t>
      </w:r>
      <w:r>
        <w:t xml:space="preserve"> deaths post allo</w:t>
      </w:r>
      <w:r w:rsidR="00EA3699">
        <w:t>genic stem cell transplant</w:t>
      </w:r>
      <w:r>
        <w:t xml:space="preserve">, </w:t>
      </w:r>
      <w:r w:rsidR="00EA3699">
        <w:t>one</w:t>
      </w:r>
      <w:r>
        <w:t xml:space="preserve"> each from acute GvHD, hyperacute GvHD, pneumonia and sepsis.</w:t>
      </w:r>
    </w:p>
    <w:p w14:paraId="3573F034" w14:textId="4956EDAE" w:rsidR="00DD69AF" w:rsidRPr="00D6588C" w:rsidRDefault="002D22AB" w:rsidP="00193461">
      <w:pPr>
        <w:pStyle w:val="Heading5"/>
      </w:pPr>
      <w:r>
        <w:t>KEYNOTE 051 trial</w:t>
      </w:r>
    </w:p>
    <w:p w14:paraId="3BD2CA17" w14:textId="2FF45BA4" w:rsidR="00DD69AF" w:rsidRDefault="00DD69AF" w:rsidP="00DD69AF">
      <w:r>
        <w:t xml:space="preserve">Pembrolizumab safety in the paediatric </w:t>
      </w:r>
      <w:r w:rsidR="008C5C40">
        <w:t xml:space="preserve">relapsed or refractory classical Hodgkin </w:t>
      </w:r>
      <w:r w:rsidR="007D3D1C">
        <w:t>lymphoma</w:t>
      </w:r>
      <w:r w:rsidR="0087784D">
        <w:t xml:space="preserve"> </w:t>
      </w:r>
      <w:r>
        <w:t xml:space="preserve">was in part described from the 22 patients with </w:t>
      </w:r>
      <w:r w:rsidR="0087784D">
        <w:t>c</w:t>
      </w:r>
      <w:r w:rsidR="0087784D" w:rsidRPr="0087784D">
        <w:t>lassical Hodgkin lymphoma</w:t>
      </w:r>
      <w:r>
        <w:t xml:space="preserve"> and from patients with other tumours (n</w:t>
      </w:r>
      <w:r w:rsidR="0087784D">
        <w:t xml:space="preserve"> </w:t>
      </w:r>
      <w:r>
        <w:t>=</w:t>
      </w:r>
      <w:r w:rsidR="0087784D">
        <w:t xml:space="preserve"> </w:t>
      </w:r>
      <w:r>
        <w:t xml:space="preserve">139) from </w:t>
      </w:r>
      <w:r w:rsidR="00194A75">
        <w:t xml:space="preserve">the </w:t>
      </w:r>
      <w:r w:rsidR="002D22AB">
        <w:t>KEYNOTE 051 trial</w:t>
      </w:r>
      <w:r>
        <w:t>. Grade 3</w:t>
      </w:r>
      <w:r w:rsidR="0087784D">
        <w:t xml:space="preserve"> or higher</w:t>
      </w:r>
      <w:r>
        <w:t xml:space="preserve"> </w:t>
      </w:r>
      <w:r w:rsidR="00EA3699">
        <w:t>adverse event</w:t>
      </w:r>
      <w:r>
        <w:t>s</w:t>
      </w:r>
      <w:r w:rsidR="0087784D">
        <w:t xml:space="preserve"> occurred in </w:t>
      </w:r>
      <w:r w:rsidR="0087784D" w:rsidRPr="0087784D">
        <w:t>47% of patients</w:t>
      </w:r>
      <w:r>
        <w:t xml:space="preserve">, </w:t>
      </w:r>
      <w:r w:rsidR="00EA3699">
        <w:t>serious adverse event</w:t>
      </w:r>
      <w:r>
        <w:t xml:space="preserve">s occurred in 39%, and 6.2% had </w:t>
      </w:r>
      <w:r w:rsidR="00EA3699">
        <w:t>adverse event</w:t>
      </w:r>
      <w:r>
        <w:t>-related treatment discontinuation.</w:t>
      </w:r>
    </w:p>
    <w:p w14:paraId="1F30B0FA" w14:textId="6FEE9FAD" w:rsidR="00DD69AF" w:rsidRPr="005112E3" w:rsidRDefault="00DD69AF" w:rsidP="0087784D">
      <w:r>
        <w:t xml:space="preserve">In the total paediatric cohort of 161 patients, 96.3% had </w:t>
      </w:r>
      <w:r w:rsidR="0087784D">
        <w:t>one or more</w:t>
      </w:r>
      <w:r>
        <w:t xml:space="preserve"> </w:t>
      </w:r>
      <w:r w:rsidR="00EA3699">
        <w:t>adverse event</w:t>
      </w:r>
      <w:r>
        <w:t>, with the most common pyrexia (32.9%), vomiting (29.8%), headache (25.5%), abdominal pain (22.4%), anaemia (21.1%), cough (20.5%), constipation (19.9%), fatigue (19.3%), nausea (19.3%), and diarrhoea (18.3%).</w:t>
      </w:r>
    </w:p>
    <w:p w14:paraId="40F82BE4" w14:textId="7B17AAA5" w:rsidR="00DD69AF" w:rsidRDefault="00DD69AF" w:rsidP="00DD69AF">
      <w:r>
        <w:t xml:space="preserve">Thirty patients (18.6%) from the total paediatric cohort had </w:t>
      </w:r>
      <w:r w:rsidR="0087784D">
        <w:t>one or more</w:t>
      </w:r>
      <w:r>
        <w:t xml:space="preserve"> adverse event of special interest. Grade 3 </w:t>
      </w:r>
      <w:r w:rsidR="0087784D">
        <w:t>to</w:t>
      </w:r>
      <w:r>
        <w:t xml:space="preserve"> 5 events (n</w:t>
      </w:r>
      <w:r w:rsidR="0087784D">
        <w:t xml:space="preserve"> </w:t>
      </w:r>
      <w:r>
        <w:t>=</w:t>
      </w:r>
      <w:r w:rsidR="0087784D">
        <w:t xml:space="preserve"> </w:t>
      </w:r>
      <w:r>
        <w:t>4) included colitis, myositis, pruritus (all Grade 3) and pneumonitis (Grade 5). At the data cut</w:t>
      </w:r>
      <w:r w:rsidR="0087784D">
        <w:t>-off</w:t>
      </w:r>
      <w:r>
        <w:t>, 17 had not resolved and 12 involved endocrinopathies requiring long-term hormone replacement therapy.</w:t>
      </w:r>
    </w:p>
    <w:p w14:paraId="1A3EB95D" w14:textId="26E9024E" w:rsidR="00B004E2" w:rsidRDefault="00DD69AF" w:rsidP="00DD69AF">
      <w:pPr>
        <w:spacing w:before="240"/>
      </w:pPr>
      <w:r>
        <w:t xml:space="preserve">The most frequent laboratory abnormalities in the total paediatric cohort were elevations of </w:t>
      </w:r>
      <w:r w:rsidR="0087784D">
        <w:t>alkaline phosphatase</w:t>
      </w:r>
      <w:r>
        <w:t xml:space="preserve"> ≥ 1.5 x </w:t>
      </w:r>
      <w:r w:rsidR="00194A75">
        <w:t>the upper limit of normal (</w:t>
      </w:r>
      <w:r>
        <w:t>ULN</w:t>
      </w:r>
      <w:r w:rsidR="00194A75">
        <w:t xml:space="preserve">; </w:t>
      </w:r>
      <w:r>
        <w:t xml:space="preserve">14.4%), </w:t>
      </w:r>
      <w:r w:rsidR="0087784D">
        <w:t>alanine transferase</w:t>
      </w:r>
      <w:r>
        <w:t xml:space="preserve"> or </w:t>
      </w:r>
      <w:r w:rsidR="0087784D">
        <w:t>aspartate aminotran</w:t>
      </w:r>
      <w:r w:rsidR="007D3D1C">
        <w:t>s</w:t>
      </w:r>
      <w:r w:rsidR="0087784D">
        <w:t>ferase</w:t>
      </w:r>
      <w:r>
        <w:t xml:space="preserve"> ≥</w:t>
      </w:r>
      <w:r w:rsidR="007D3D1C">
        <w:t> </w:t>
      </w:r>
      <w:r>
        <w:t>3</w:t>
      </w:r>
      <w:r w:rsidR="007D3D1C">
        <w:t> </w:t>
      </w:r>
      <w:r>
        <w:t>x ULN (12.5%).</w:t>
      </w:r>
    </w:p>
    <w:p w14:paraId="44E48EDF" w14:textId="245A5036" w:rsidR="00DD69AF" w:rsidRDefault="00DD69AF" w:rsidP="00DD69AF">
      <w:r>
        <w:t xml:space="preserve">Two </w:t>
      </w:r>
      <w:r w:rsidR="007D3D1C">
        <w:t>c</w:t>
      </w:r>
      <w:r w:rsidR="007D3D1C" w:rsidRPr="007D3D1C">
        <w:t>lassical Hodgkin lymphoma</w:t>
      </w:r>
      <w:r>
        <w:t xml:space="preserve"> patients underwent allo</w:t>
      </w:r>
      <w:r w:rsidR="007D3D1C">
        <w:t>gen</w:t>
      </w:r>
      <w:r w:rsidR="00171953">
        <w:t>e</w:t>
      </w:r>
      <w:r w:rsidR="007D3D1C">
        <w:t>ic stem cell transplant</w:t>
      </w:r>
      <w:r>
        <w:t xml:space="preserve"> after discontinuing pembrolizumab. One developed Grade 2 chronic GvHD and the other acute GvHD.</w:t>
      </w:r>
    </w:p>
    <w:p w14:paraId="2858B006" w14:textId="77777777" w:rsidR="00C22214" w:rsidRDefault="00C22214" w:rsidP="00C22214">
      <w:pPr>
        <w:pStyle w:val="Heading3"/>
        <w:rPr>
          <w:lang w:eastAsia="en-AU"/>
        </w:rPr>
      </w:pPr>
      <w:bookmarkStart w:id="66" w:name="_Toc314842514"/>
      <w:bookmarkStart w:id="67" w:name="_Toc103679298"/>
      <w:bookmarkStart w:id="68" w:name="_Toc133584021"/>
      <w:r>
        <w:rPr>
          <w:lang w:eastAsia="en-AU"/>
        </w:rPr>
        <w:lastRenderedPageBreak/>
        <w:t>Risk management plan</w:t>
      </w:r>
      <w:bookmarkEnd w:id="66"/>
      <w:bookmarkEnd w:id="67"/>
      <w:bookmarkEnd w:id="68"/>
    </w:p>
    <w:p w14:paraId="66BA8714" w14:textId="4432A7CB" w:rsidR="00DD69AF" w:rsidRPr="00086D6C" w:rsidRDefault="00DD69AF" w:rsidP="00DD69AF">
      <w:bookmarkStart w:id="69" w:name="_Toc247691531"/>
      <w:bookmarkStart w:id="70" w:name="_Toc314842515"/>
      <w:r>
        <w:t xml:space="preserve">The Risk Management Section did not require a </w:t>
      </w:r>
      <w:r w:rsidR="00171953">
        <w:t>revised r</w:t>
      </w:r>
      <w:r>
        <w:t xml:space="preserve">isk </w:t>
      </w:r>
      <w:r w:rsidR="00171953">
        <w:t>m</w:t>
      </w:r>
      <w:r>
        <w:t xml:space="preserve">anagement </w:t>
      </w:r>
      <w:r w:rsidR="00171953">
        <w:t>p</w:t>
      </w:r>
      <w:r>
        <w:t xml:space="preserve">lan for this submission because pembrolizumab already has </w:t>
      </w:r>
      <w:r w:rsidR="00171953">
        <w:t>been approved by the TGA for other indications related to the current indication including</w:t>
      </w:r>
      <w:r>
        <w:t xml:space="preserve"> </w:t>
      </w:r>
      <w:r w:rsidR="008C5C40">
        <w:t xml:space="preserve">relapsed or refractory classical Hodgkin </w:t>
      </w:r>
      <w:r w:rsidR="007D3D1C">
        <w:t xml:space="preserve">lymphoma </w:t>
      </w:r>
      <w:r>
        <w:t xml:space="preserve">in adults, and in paediatric patients has approval in </w:t>
      </w:r>
      <w:r w:rsidR="00171953">
        <w:t>p</w:t>
      </w:r>
      <w:r w:rsidR="00171953" w:rsidRPr="00171953">
        <w:t xml:space="preserve">rimary mediastinal large B-cell lymphoma </w:t>
      </w:r>
      <w:r w:rsidR="00171953">
        <w:t>(</w:t>
      </w:r>
      <w:r>
        <w:t>PMBCL</w:t>
      </w:r>
      <w:r w:rsidR="00171953">
        <w:t>)</w:t>
      </w:r>
      <w:r>
        <w:t xml:space="preserve"> and </w:t>
      </w:r>
      <w:r w:rsidR="00171953" w:rsidRPr="00171953">
        <w:t xml:space="preserve">high microsatellite instability </w:t>
      </w:r>
      <w:r w:rsidR="00171953">
        <w:t>(</w:t>
      </w:r>
      <w:r>
        <w:t>MSI-H</w:t>
      </w:r>
      <w:r w:rsidR="00171953">
        <w:t>)</w:t>
      </w:r>
      <w:r>
        <w:t xml:space="preserve"> cancer.</w:t>
      </w:r>
      <w:r w:rsidR="00171953">
        <w:t xml:space="preserve"> The agreed risk management activities in place for these indications are sufficient for the current indication.</w:t>
      </w:r>
    </w:p>
    <w:p w14:paraId="0908AE06" w14:textId="77777777" w:rsidR="00FA1BC9" w:rsidRPr="00BD5DBD" w:rsidRDefault="00FA1BC9" w:rsidP="00FA1BC9">
      <w:pPr>
        <w:rPr>
          <w:szCs w:val="22"/>
        </w:rPr>
      </w:pPr>
      <w:bookmarkStart w:id="71" w:name="_Toc103679299"/>
      <w:r w:rsidRPr="00BD5DBD">
        <w:rPr>
          <w:szCs w:val="22"/>
        </w:rPr>
        <w:t>The sponsor is required to comply with product vigilance and risk minimisation requirements.</w:t>
      </w:r>
    </w:p>
    <w:p w14:paraId="456C7934" w14:textId="3D8704AB" w:rsidR="00FA1BC9" w:rsidRPr="00BD5DBD" w:rsidRDefault="00FA1BC9" w:rsidP="00FA1BC9">
      <w:pPr>
        <w:rPr>
          <w:szCs w:val="22"/>
        </w:rPr>
      </w:pPr>
      <w:r w:rsidRPr="00BD5DBD">
        <w:rPr>
          <w:szCs w:val="22"/>
        </w:rPr>
        <w:t xml:space="preserve">The TGA may request an updated RMP at any stage of a product's life-cycle, during both the pre-approval and post-approval phases. Further information regarding the TGA’s risk management approach can be found in </w:t>
      </w:r>
      <w:hyperlink r:id="rId33" w:history="1">
        <w:r w:rsidRPr="00BD5DBD">
          <w:rPr>
            <w:rStyle w:val="Hyperlink"/>
            <w:szCs w:val="22"/>
          </w:rPr>
          <w:t>risk management plans for medicines and biologicals</w:t>
        </w:r>
      </w:hyperlink>
      <w:r w:rsidRPr="00BD5DBD">
        <w:rPr>
          <w:szCs w:val="22"/>
        </w:rPr>
        <w:t xml:space="preserve"> and </w:t>
      </w:r>
      <w:hyperlink r:id="rId34" w:history="1">
        <w:r w:rsidRPr="00BD5DBD">
          <w:rPr>
            <w:rStyle w:val="Hyperlink"/>
            <w:szCs w:val="22"/>
          </w:rPr>
          <w:t>the TGA's risk management approach</w:t>
        </w:r>
      </w:hyperlink>
      <w:r w:rsidRPr="00BD5DBD">
        <w:rPr>
          <w:szCs w:val="22"/>
        </w:rPr>
        <w:t xml:space="preserve">. Information on the </w:t>
      </w:r>
      <w:hyperlink r:id="rId35" w:history="1">
        <w:r w:rsidRPr="00BD5DBD">
          <w:rPr>
            <w:rStyle w:val="Hyperlink"/>
            <w:szCs w:val="22"/>
          </w:rPr>
          <w:t>Australia specific annex</w:t>
        </w:r>
      </w:hyperlink>
      <w:r w:rsidRPr="00BD5DBD">
        <w:rPr>
          <w:szCs w:val="22"/>
        </w:rPr>
        <w:t xml:space="preserve"> (</w:t>
      </w:r>
      <w:hyperlink r:id="rId36"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72" w:name="_Toc133584022"/>
      <w:r>
        <w:t>Risk-benefit analysis</w:t>
      </w:r>
      <w:bookmarkEnd w:id="69"/>
      <w:bookmarkEnd w:id="70"/>
      <w:bookmarkEnd w:id="71"/>
      <w:bookmarkEnd w:id="72"/>
    </w:p>
    <w:p w14:paraId="77DE2655" w14:textId="6AF5B5C2" w:rsidR="00C22214" w:rsidRDefault="00C22214" w:rsidP="00C22214">
      <w:pPr>
        <w:pStyle w:val="Heading4"/>
      </w:pPr>
      <w:bookmarkStart w:id="73" w:name="_Toc98931932"/>
      <w:bookmarkStart w:id="74" w:name="_Toc133584023"/>
      <w:r>
        <w:t>Delegate’s considerations</w:t>
      </w:r>
      <w:bookmarkEnd w:id="73"/>
      <w:bookmarkEnd w:id="74"/>
    </w:p>
    <w:p w14:paraId="232679A7" w14:textId="665BE951" w:rsidR="00DD69AF" w:rsidRPr="00DD69AF" w:rsidRDefault="00DD69AF" w:rsidP="00DD69AF">
      <w:pPr>
        <w:pStyle w:val="Heading5"/>
      </w:pPr>
      <w:r w:rsidRPr="00DD69AF">
        <w:t>Adult</w:t>
      </w:r>
      <w:r w:rsidR="00CC16D0">
        <w:t xml:space="preserve"> population</w:t>
      </w:r>
    </w:p>
    <w:p w14:paraId="5D3CA0CC" w14:textId="0920C690" w:rsidR="00B004E2" w:rsidRDefault="00DD69AF" w:rsidP="00DD69AF">
      <w:r w:rsidRPr="00DD69AF">
        <w:t xml:space="preserve">The original indication for </w:t>
      </w:r>
      <w:r w:rsidR="008C5C40">
        <w:t xml:space="preserve">relapsed or refractory classical Hodgkin </w:t>
      </w:r>
      <w:r w:rsidR="007D3D1C">
        <w:t>l</w:t>
      </w:r>
      <w:r w:rsidR="008C5C40">
        <w:t>ymphoma</w:t>
      </w:r>
      <w:r w:rsidR="007D3D1C">
        <w:t xml:space="preserve"> </w:t>
      </w:r>
      <w:r w:rsidRPr="00DD69AF">
        <w:t xml:space="preserve">was based on the findings of </w:t>
      </w:r>
      <w:r w:rsidR="00171953">
        <w:t xml:space="preserve">the </w:t>
      </w:r>
      <w:r w:rsidR="002D22AB">
        <w:t>KEYNOTE 087 trial</w:t>
      </w:r>
      <w:r w:rsidRPr="00DD69AF">
        <w:t xml:space="preserve">. The </w:t>
      </w:r>
      <w:r w:rsidR="00913CDD" w:rsidRPr="00913CDD">
        <w:t>objective response rate</w:t>
      </w:r>
      <w:r w:rsidRPr="00DD69AF">
        <w:t xml:space="preserve"> at the time of initial approval of this indication was 69% with 22% CR and 27% partial remissions in a heavily pre-treated population.</w:t>
      </w:r>
    </w:p>
    <w:p w14:paraId="5CC12403" w14:textId="6F12A8B5" w:rsidR="00DD69AF" w:rsidRPr="00DD69AF" w:rsidRDefault="00DD69AF" w:rsidP="00DD69AF">
      <w:r w:rsidRPr="00DD69AF">
        <w:t>In this submission</w:t>
      </w:r>
      <w:r w:rsidR="00171953">
        <w:t xml:space="preserve">, in the </w:t>
      </w:r>
      <w:r w:rsidR="002D22AB">
        <w:t>KEYNOTE 204 trial</w:t>
      </w:r>
      <w:r w:rsidR="007D3D1C">
        <w:t>,</w:t>
      </w:r>
      <w:r w:rsidRPr="00DD69AF">
        <w:t xml:space="preserve"> the comparator for pembrolizumab is brentuximab</w:t>
      </w:r>
      <w:r w:rsidR="00171953">
        <w:t xml:space="preserve"> vedotin</w:t>
      </w:r>
      <w:r w:rsidRPr="00DD69AF">
        <w:t xml:space="preserve">. This monoclonal antibody is a targeted therapy option in the treatment algorithm for relapsed or refractory </w:t>
      </w:r>
      <w:r w:rsidR="007D3D1C">
        <w:t>c</w:t>
      </w:r>
      <w:r w:rsidR="007D3D1C" w:rsidRPr="007D3D1C">
        <w:t>lassical Hodgkin lymphoma</w:t>
      </w:r>
      <w:r w:rsidRPr="00DD69AF">
        <w:t xml:space="preserve"> that was broadly available for use at the time the study commenced. It is registered has a similar indication to the current pembrolizumab indication, following on from autologous stem cell transplantation and was an available therapy in the countries in which the study was conducted.</w:t>
      </w:r>
    </w:p>
    <w:p w14:paraId="788F6EA3" w14:textId="3DA5BADD" w:rsidR="00DD69AF" w:rsidRPr="00DD69AF" w:rsidRDefault="00171953" w:rsidP="00DD69AF">
      <w:r>
        <w:t xml:space="preserve">The </w:t>
      </w:r>
      <w:r w:rsidR="002D22AB">
        <w:t>KEYNOTE 204 trial</w:t>
      </w:r>
      <w:r w:rsidR="00DD69AF" w:rsidRPr="00DD69AF">
        <w:t xml:space="preserve"> builds on the body of evidence supporting pembrolizumab in </w:t>
      </w:r>
      <w:r w:rsidR="00EA3699">
        <w:t xml:space="preserve">relapsed or refractory classical Hodgkin </w:t>
      </w:r>
      <w:r w:rsidR="007D3D1C">
        <w:t>l</w:t>
      </w:r>
      <w:r w:rsidR="00EA3699">
        <w:t>ymphoma</w:t>
      </w:r>
      <w:r w:rsidR="00DD69AF" w:rsidRPr="00DD69AF">
        <w:t xml:space="preserve">. In this study pembrolizumab provided benefits for progression free survival over brentuximab vedotin with a </w:t>
      </w:r>
      <w:r>
        <w:t>hazard ratio</w:t>
      </w:r>
      <w:r w:rsidRPr="00DD69AF">
        <w:t xml:space="preserve"> </w:t>
      </w:r>
      <w:r w:rsidR="00DD69AF" w:rsidRPr="00DD69AF">
        <w:t xml:space="preserve">of 0.65 (95% </w:t>
      </w:r>
      <w:r>
        <w:t>confidence intervals (</w:t>
      </w:r>
      <w:r w:rsidR="00DD69AF" w:rsidRPr="00DD69AF">
        <w:t>CI</w:t>
      </w:r>
      <w:r>
        <w:t>)</w:t>
      </w:r>
      <w:r w:rsidR="00DD69AF" w:rsidRPr="00DD69AF">
        <w:t xml:space="preserve">: 0.48, 0.88) in favour of pembrolizumab. Similar results were seen with censoring for </w:t>
      </w:r>
      <w:r w:rsidR="009E2B6D" w:rsidRPr="00DD69AF">
        <w:t xml:space="preserve">stem cell transplantation </w:t>
      </w:r>
      <w:r w:rsidR="00DD69AF" w:rsidRPr="00DD69AF">
        <w:t xml:space="preserve">following pembrolizumab treatment. Demonstrable alteration of the slopes of the </w:t>
      </w:r>
      <w:r w:rsidR="007D3D1C">
        <w:t>Kaplan-Meier</w:t>
      </w:r>
      <w:r w:rsidR="00DD69AF" w:rsidRPr="00DD69AF">
        <w:t xml:space="preserve"> curves for brentuximab vedotin and pembrolizumab occur at about 6 months. Around 7 months greater duration of response was seen with pembrolizumab, although it is recognised that this is an exploratory endpoint.</w:t>
      </w:r>
    </w:p>
    <w:p w14:paraId="31946478" w14:textId="32DE82E3" w:rsidR="00DD69AF" w:rsidRPr="00DD69AF" w:rsidRDefault="00DD69AF" w:rsidP="00DD69AF">
      <w:r w:rsidRPr="00DD69AF">
        <w:t xml:space="preserve">Although </w:t>
      </w:r>
      <w:r w:rsidR="009E2B6D">
        <w:t xml:space="preserve">the </w:t>
      </w:r>
      <w:r w:rsidR="00913CDD" w:rsidRPr="00913CDD">
        <w:t>objective response rate</w:t>
      </w:r>
      <w:r w:rsidRPr="00DD69AF">
        <w:t xml:space="preserve"> was 11.3% greater in the pembrolizumab arm, because of the al</w:t>
      </w:r>
      <w:r w:rsidR="007D3D1C">
        <w:t>ph</w:t>
      </w:r>
      <w:r w:rsidRPr="00DD69AF">
        <w:t>a spending rules, statistical significance was not reached in this interim analysis.</w:t>
      </w:r>
    </w:p>
    <w:p w14:paraId="24DF0FCF" w14:textId="73CE905E" w:rsidR="00DD69AF" w:rsidRPr="00DD69AF" w:rsidRDefault="14A79BE9" w:rsidP="00DD69AF">
      <w:r>
        <w:t xml:space="preserve">The data for overall survival are immature and the analysis exploratory </w:t>
      </w:r>
      <w:proofErr w:type="gramStart"/>
      <w:r>
        <w:t>at this time</w:t>
      </w:r>
      <w:proofErr w:type="gramEnd"/>
      <w:r>
        <w:t xml:space="preserve">. </w:t>
      </w:r>
    </w:p>
    <w:p w14:paraId="452D9CF2" w14:textId="530A48B0" w:rsidR="00B004E2" w:rsidRDefault="00DD69AF" w:rsidP="00DD69AF">
      <w:r w:rsidRPr="00DD69AF">
        <w:t xml:space="preserve">The </w:t>
      </w:r>
      <w:r w:rsidR="007D3D1C">
        <w:t xml:space="preserve">progression free survival hazard ratio </w:t>
      </w:r>
      <w:r w:rsidRPr="00DD69AF">
        <w:t xml:space="preserve">point estimates all favour pembrolizumab over brentuximab, although for </w:t>
      </w:r>
      <w:r w:rsidR="009E2B6D">
        <w:t>patients based in the USA</w:t>
      </w:r>
      <w:r w:rsidRPr="00DD69AF">
        <w:t xml:space="preserve"> or </w:t>
      </w:r>
      <w:r w:rsidR="009E2B6D">
        <w:t>EU</w:t>
      </w:r>
      <w:r w:rsidRPr="00DD69AF">
        <w:t xml:space="preserve">, and those </w:t>
      </w:r>
      <w:r w:rsidR="009E2B6D">
        <w:t xml:space="preserve">patients </w:t>
      </w:r>
      <w:r w:rsidRPr="00DD69AF">
        <w:t>with early relapse</w:t>
      </w:r>
      <w:r w:rsidR="009E2B6D">
        <w:t>,</w:t>
      </w:r>
      <w:r w:rsidRPr="00DD69AF">
        <w:t xml:space="preserve"> the outcomes were less compelling.</w:t>
      </w:r>
    </w:p>
    <w:p w14:paraId="4D62916B" w14:textId="4D967B67" w:rsidR="00DD69AF" w:rsidRPr="00DD69AF" w:rsidRDefault="00DD69AF" w:rsidP="00DD69AF">
      <w:r w:rsidRPr="00DD69AF">
        <w:lastRenderedPageBreak/>
        <w:t xml:space="preserve">Classical Hodgkin lymphoma is typically highly expressive of </w:t>
      </w:r>
      <w:r w:rsidR="009E2B6D">
        <w:t>programmed death-ligand 1 (</w:t>
      </w:r>
      <w:r w:rsidRPr="00DD69AF">
        <w:t>PD</w:t>
      </w:r>
      <w:r w:rsidR="009E2B6D">
        <w:noBreakHyphen/>
      </w:r>
      <w:r w:rsidRPr="00DD69AF">
        <w:t>L1</w:t>
      </w:r>
      <w:r w:rsidR="009E2B6D">
        <w:t>)</w:t>
      </w:r>
      <w:r w:rsidRPr="00DD69AF">
        <w:t xml:space="preserve"> and in </w:t>
      </w:r>
      <w:r w:rsidR="009E2B6D">
        <w:t>the K</w:t>
      </w:r>
      <w:r w:rsidR="002D22AB">
        <w:t>EYNOTE 204 trial</w:t>
      </w:r>
      <w:r w:rsidRPr="00DD69AF">
        <w:t xml:space="preserve"> 94% of the pembrolizumab group, and 90.5% of the overall trial population expressed were PD</w:t>
      </w:r>
      <w:r w:rsidR="007D3D1C">
        <w:noBreakHyphen/>
      </w:r>
      <w:r w:rsidRPr="00DD69AF">
        <w:t>L1 positive at 1%</w:t>
      </w:r>
      <w:r w:rsidR="00CC16D0">
        <w:t xml:space="preserve"> expression</w:t>
      </w:r>
      <w:r w:rsidR="007D3D1C">
        <w:t xml:space="preserve"> or more</w:t>
      </w:r>
      <w:r w:rsidRPr="00DD69AF">
        <w:t xml:space="preserve">. Too few patients expressed PD-L1 </w:t>
      </w:r>
      <w:r w:rsidR="007D3D1C">
        <w:t>less than</w:t>
      </w:r>
      <w:r w:rsidRPr="00DD69AF">
        <w:t xml:space="preserve"> 1% to allow meaningful conclusions.</w:t>
      </w:r>
    </w:p>
    <w:p w14:paraId="27B23E22" w14:textId="2109066C" w:rsidR="00B004E2" w:rsidRDefault="00DD69AF" w:rsidP="00DD69AF">
      <w:r w:rsidRPr="00DD69AF">
        <w:t xml:space="preserve">There are limited data in the use of pembrolizumab in adults who have had only one prior line of therapy (18% of the </w:t>
      </w:r>
      <w:r w:rsidR="007D3D1C">
        <w:t>intent to treat</w:t>
      </w:r>
      <w:r w:rsidRPr="00DD69AF">
        <w:t xml:space="preserve"> population). The </w:t>
      </w:r>
      <w:r w:rsidR="00CC16D0">
        <w:t>TGA’s clinical</w:t>
      </w:r>
      <w:r w:rsidRPr="00DD69AF">
        <w:t xml:space="preserve"> analysis of outcomes for this population show for </w:t>
      </w:r>
      <w:r w:rsidR="007D3D1C">
        <w:t>complete response and partial response</w:t>
      </w:r>
      <w:r w:rsidRPr="00DD69AF">
        <w:t xml:space="preserve"> for those with one and two or more prior lines of therapy were comparable.</w:t>
      </w:r>
    </w:p>
    <w:p w14:paraId="76B1131F" w14:textId="230ADB5D" w:rsidR="00DD69AF" w:rsidRDefault="00DD69AF" w:rsidP="00DD69AF">
      <w:r w:rsidRPr="00DD69AF">
        <w:t xml:space="preserve">Supportive findings are provided from updated efficacy results from the single-arm </w:t>
      </w:r>
      <w:r w:rsidR="002D22AB">
        <w:t>KEYNOTE</w:t>
      </w:r>
      <w:r w:rsidR="00CC16D0">
        <w:t> </w:t>
      </w:r>
      <w:r w:rsidR="002D22AB">
        <w:t>087 trial</w:t>
      </w:r>
      <w:r w:rsidRPr="00DD69AF">
        <w:t xml:space="preserve">, from a more heavily pre-treated population with </w:t>
      </w:r>
      <w:r w:rsidR="00EA3699">
        <w:t xml:space="preserve">relapsed or refractory classical Hodgkin </w:t>
      </w:r>
      <w:r w:rsidR="007D3D1C">
        <w:t>lymphoma</w:t>
      </w:r>
      <w:r w:rsidRPr="00DD69AF">
        <w:t xml:space="preserve">. In this setting the </w:t>
      </w:r>
      <w:r w:rsidR="00913CDD" w:rsidRPr="00913CDD">
        <w:t>objective response rate</w:t>
      </w:r>
      <w:r w:rsidRPr="00DD69AF">
        <w:t xml:space="preserve"> was 71% and the median </w:t>
      </w:r>
      <w:r w:rsidR="007D3D1C">
        <w:t>duration of response</w:t>
      </w:r>
      <w:r w:rsidRPr="00DD69AF">
        <w:t xml:space="preserve"> was 16.6 months. </w:t>
      </w:r>
      <w:r w:rsidR="00CC16D0">
        <w:t>progression-free survival</w:t>
      </w:r>
      <w:r w:rsidR="00CC16D0" w:rsidRPr="00DD69AF">
        <w:t xml:space="preserve"> </w:t>
      </w:r>
      <w:r w:rsidRPr="00DD69AF">
        <w:t>was 52.3% at 12 months, and 32.2% at 24 months.</w:t>
      </w:r>
    </w:p>
    <w:p w14:paraId="1A3052AD" w14:textId="24C9C2BB" w:rsidR="00B004E2" w:rsidRDefault="00DD69AF" w:rsidP="00DD69AF">
      <w:r w:rsidRPr="00DD69AF">
        <w:t xml:space="preserve">The safety data set in adults is adequate for a safety assessment for this population. Around 30% of patients experienced a </w:t>
      </w:r>
      <w:r w:rsidR="00EA3699">
        <w:t>serious adverse event</w:t>
      </w:r>
      <w:r w:rsidRPr="00DD69AF">
        <w:t xml:space="preserve">. Pneumonitis was a </w:t>
      </w:r>
      <w:r w:rsidR="00EA3699">
        <w:t>serious adverse event</w:t>
      </w:r>
      <w:r w:rsidRPr="00DD69AF">
        <w:t xml:space="preserve"> and a cause of treatment related discontinuation. Of the adverse events of special interest, which comprise immune-mediated or presumed immune-mediated events, hypothyroidism, </w:t>
      </w:r>
      <w:proofErr w:type="gramStart"/>
      <w:r w:rsidRPr="00DD69AF">
        <w:t>pneumonitis</w:t>
      </w:r>
      <w:proofErr w:type="gramEnd"/>
      <w:r w:rsidRPr="00DD69AF">
        <w:t xml:space="preserve"> and infusion reactions were the most commonly seen. The safety profile of pembrolizumab bears similarities to the safety profile elucidated previously in this indication and across the spectrum of conditions for which pembrolizumab has registered indications in Australia.</w:t>
      </w:r>
    </w:p>
    <w:p w14:paraId="6D6FE56D" w14:textId="28644F27" w:rsidR="00DD69AF" w:rsidRPr="00DD69AF" w:rsidRDefault="00DD69AF" w:rsidP="00DD69AF">
      <w:r w:rsidRPr="00DD69AF">
        <w:t xml:space="preserve">In </w:t>
      </w:r>
      <w:r w:rsidR="00CC16D0">
        <w:t xml:space="preserve">the </w:t>
      </w:r>
      <w:r w:rsidR="002D22AB">
        <w:t>KEYNOTE 204 trial</w:t>
      </w:r>
      <w:r w:rsidRPr="00DD69AF">
        <w:t xml:space="preserve">, 14% of the pembrolizumab arm and 12% of the </w:t>
      </w:r>
      <w:r w:rsidR="009A599D">
        <w:t>brentuximab vedotin</w:t>
      </w:r>
      <w:r w:rsidRPr="00DD69AF">
        <w:t xml:space="preserve"> arm underwent stem cell transplant as their most immediate next treatment, and 28% and 29% of each arm subsequently underwent </w:t>
      </w:r>
      <w:r w:rsidR="007D3D1C">
        <w:t>stem cell transplant</w:t>
      </w:r>
      <w:r w:rsidRPr="00DD69AF">
        <w:t xml:space="preserve"> at any point.</w:t>
      </w:r>
    </w:p>
    <w:p w14:paraId="1EE5BD9E" w14:textId="48D0038B" w:rsidR="00B004E2" w:rsidRDefault="00DD69AF" w:rsidP="00DD69AF">
      <w:r w:rsidRPr="00DD69AF">
        <w:t xml:space="preserve">There is a recognised risk of </w:t>
      </w:r>
      <w:r w:rsidR="00CC16D0">
        <w:t>graft versus host disease (</w:t>
      </w:r>
      <w:r w:rsidRPr="00DD69AF">
        <w:t>GvHD</w:t>
      </w:r>
      <w:r w:rsidR="00CC16D0">
        <w:t>)</w:t>
      </w:r>
      <w:r w:rsidRPr="00DD69AF">
        <w:t xml:space="preserve"> in patients who undergo allogeneic stem cell transplant after PD-L1 immunotherapy. Although prescribers need to consider this risk in planning therapeutic strategies for their patients this risk is not of itself considered sufficient to preclude pembrolizumab use in </w:t>
      </w:r>
      <w:r w:rsidR="00EA3699">
        <w:t xml:space="preserve">relapsed or refractory classical Hodgkin </w:t>
      </w:r>
      <w:r w:rsidR="007D3D1C">
        <w:t>lymphoma</w:t>
      </w:r>
      <w:r w:rsidRPr="00DD69AF">
        <w:t>.</w:t>
      </w:r>
    </w:p>
    <w:p w14:paraId="320A077B" w14:textId="2F8951D3" w:rsidR="00DD69AF" w:rsidRDefault="00DD69AF" w:rsidP="00DD69AF">
      <w:r w:rsidRPr="00DD69AF">
        <w:t xml:space="preserve">The safety data overall reflect the known risks of </w:t>
      </w:r>
      <w:r w:rsidR="007D3D1C" w:rsidRPr="00DD69AF">
        <w:t>pembrolizumab,</w:t>
      </w:r>
      <w:r w:rsidRPr="00DD69AF">
        <w:t xml:space="preserve"> and the risks are considered acceptable in the context of the proposed use.</w:t>
      </w:r>
    </w:p>
    <w:p w14:paraId="134E340F" w14:textId="728E4B0F" w:rsidR="00DD69AF" w:rsidRPr="00DD69AF" w:rsidRDefault="00DD69AF" w:rsidP="00DD69AF">
      <w:pPr>
        <w:pStyle w:val="Heading5"/>
      </w:pPr>
      <w:r w:rsidRPr="00DD69AF">
        <w:t>Paediatric</w:t>
      </w:r>
      <w:r w:rsidR="00CC16D0">
        <w:t xml:space="preserve"> population</w:t>
      </w:r>
    </w:p>
    <w:p w14:paraId="445830F4" w14:textId="4B0F660F" w:rsidR="00B004E2" w:rsidRDefault="00DD69AF" w:rsidP="00DD69AF">
      <w:r w:rsidRPr="00DD69AF">
        <w:t xml:space="preserve">Data from </w:t>
      </w:r>
      <w:r w:rsidR="00CC16D0">
        <w:t xml:space="preserve">the </w:t>
      </w:r>
      <w:r w:rsidR="002D22AB">
        <w:t>KEYNOTE 051 trial</w:t>
      </w:r>
      <w:r w:rsidRPr="00DD69AF">
        <w:t xml:space="preserve"> and an updated population </w:t>
      </w:r>
      <w:r w:rsidR="007D3D1C">
        <w:t>pharmacokinetic</w:t>
      </w:r>
      <w:r w:rsidRPr="00DD69AF">
        <w:t xml:space="preserve"> model supported the weight-based pembrolizumab dosing of 2 mg/kg </w:t>
      </w:r>
      <w:r w:rsidR="00D92581">
        <w:t>once every three weeks</w:t>
      </w:r>
      <w:r w:rsidRPr="00DD69AF">
        <w:t xml:space="preserve"> in children.</w:t>
      </w:r>
    </w:p>
    <w:p w14:paraId="67C9E35A" w14:textId="57E27B34" w:rsidR="00B004E2" w:rsidRDefault="14A79BE9" w:rsidP="00DD69AF">
      <w:r>
        <w:t xml:space="preserve">The use of pembrolizumab in the paediatric </w:t>
      </w:r>
      <w:r w:rsidR="1A7BE5A0">
        <w:t xml:space="preserve">relapsed or refractory classical Hodgkin </w:t>
      </w:r>
      <w:r w:rsidR="41C5E5D2">
        <w:t xml:space="preserve">lymphoma </w:t>
      </w:r>
      <w:r>
        <w:t xml:space="preserve">group is supported by the findings of the </w:t>
      </w:r>
      <w:r w:rsidR="41C5E5D2">
        <w:t>classical Hodgkin lymphoma</w:t>
      </w:r>
      <w:r>
        <w:t xml:space="preserve"> patients from </w:t>
      </w:r>
      <w:r w:rsidR="00CC16D0">
        <w:t xml:space="preserve">the </w:t>
      </w:r>
      <w:r w:rsidR="6558416F">
        <w:t>KEYNOTE</w:t>
      </w:r>
      <w:r w:rsidR="41C5E5D2">
        <w:t> </w:t>
      </w:r>
      <w:r w:rsidR="6558416F">
        <w:t>051 trial</w:t>
      </w:r>
      <w:r>
        <w:t>.</w:t>
      </w:r>
      <w:r w:rsidR="68302FFF">
        <w:t xml:space="preserve"> </w:t>
      </w:r>
      <w:r>
        <w:t xml:space="preserve">Only a small number of </w:t>
      </w:r>
      <w:r w:rsidR="1A7BE5A0">
        <w:t xml:space="preserve">relapsed or refractory classical Hodgkin </w:t>
      </w:r>
      <w:r w:rsidR="41C5E5D2">
        <w:t xml:space="preserve">lymphoma </w:t>
      </w:r>
      <w:r>
        <w:t xml:space="preserve">patients were included in the study, consistent with the relative rarity of </w:t>
      </w:r>
      <w:r w:rsidR="1A7BE5A0">
        <w:t>relapsed or refractory classical Hodgkin</w:t>
      </w:r>
      <w:r w:rsidR="41C5E5D2">
        <w:t xml:space="preserve"> lymphoma </w:t>
      </w:r>
      <w:r>
        <w:t xml:space="preserve">in the paediatric age group. In this single-arm data set the </w:t>
      </w:r>
      <w:r w:rsidR="60DA9AC5">
        <w:t>objective response rate</w:t>
      </w:r>
      <w:r>
        <w:t xml:space="preserve"> was 59%, and the </w:t>
      </w:r>
      <w:r w:rsidR="41C5E5D2">
        <w:t>duration of response</w:t>
      </w:r>
      <w:r>
        <w:t xml:space="preserve"> was 77% at 6 months </w:t>
      </w:r>
      <w:r w:rsidR="41C5E5D2">
        <w:t xml:space="preserve">or longer </w:t>
      </w:r>
      <w:r>
        <w:t xml:space="preserve">and 46% at </w:t>
      </w:r>
      <w:r w:rsidR="19D32C09">
        <w:t>12 months</w:t>
      </w:r>
      <w:r>
        <w:t xml:space="preserve"> and ranged from 0 </w:t>
      </w:r>
      <w:r w:rsidR="41C5E5D2">
        <w:t>to</w:t>
      </w:r>
      <w:r>
        <w:t xml:space="preserve"> 28.7 months. Extrapolation of the findings of adult studies to support the paediatric data is necessary to support the indication and is reasonable based on this similarity of c</w:t>
      </w:r>
      <w:r w:rsidR="2E9C8F1B">
        <w:t>lassical Hodgkin lymphoma</w:t>
      </w:r>
      <w:r>
        <w:t xml:space="preserve"> in young adults and </w:t>
      </w:r>
      <w:proofErr w:type="gramStart"/>
      <w:r>
        <w:t>adolescents in particular</w:t>
      </w:r>
      <w:proofErr w:type="gramEnd"/>
      <w:r>
        <w:t>.</w:t>
      </w:r>
    </w:p>
    <w:p w14:paraId="4698EF86" w14:textId="0EC12D6E" w:rsidR="00B004E2" w:rsidRDefault="00DD69AF" w:rsidP="00DD69AF">
      <w:r w:rsidRPr="00DD69AF">
        <w:t xml:space="preserve">There is limited safety information in children with </w:t>
      </w:r>
      <w:r w:rsidR="00EA3699">
        <w:t xml:space="preserve">relapsed or refractory classical Hodgkin </w:t>
      </w:r>
      <w:r w:rsidR="007D3D1C">
        <w:t>lymphoma</w:t>
      </w:r>
      <w:r w:rsidRPr="00DD69AF">
        <w:t xml:space="preserve">. Additional safety data in children is extrapolated from the solid tumour cohorts in </w:t>
      </w:r>
      <w:r w:rsidR="00CC16D0">
        <w:lastRenderedPageBreak/>
        <w:t>the</w:t>
      </w:r>
      <w:r w:rsidR="00CC16D0" w:rsidRPr="00DD69AF">
        <w:t xml:space="preserve"> </w:t>
      </w:r>
      <w:r w:rsidR="002D22AB">
        <w:t>KEYNOTE 051 trial</w:t>
      </w:r>
      <w:r w:rsidRPr="00DD69AF">
        <w:t xml:space="preserve">. While over 160 patients received pembrolizumab this still represents small numbers. Safety data may be further extrapolated from the </w:t>
      </w:r>
      <w:r w:rsidR="00CC16D0" w:rsidRPr="00DD69AF">
        <w:t xml:space="preserve">primary mediastinal </w:t>
      </w:r>
      <w:r w:rsidRPr="00DD69AF">
        <w:t>B-</w:t>
      </w:r>
      <w:r w:rsidR="00CC16D0">
        <w:t>c</w:t>
      </w:r>
      <w:r w:rsidRPr="00DD69AF">
        <w:t xml:space="preserve">ell </w:t>
      </w:r>
      <w:r w:rsidR="007D3D1C">
        <w:t>lymphoma</w:t>
      </w:r>
      <w:r w:rsidRPr="00DD69AF">
        <w:t xml:space="preserve"> (PMBCL). The </w:t>
      </w:r>
      <w:proofErr w:type="gramStart"/>
      <w:r w:rsidRPr="00DD69AF">
        <w:t>long term</w:t>
      </w:r>
      <w:proofErr w:type="gramEnd"/>
      <w:r w:rsidRPr="00DD69AF">
        <w:t xml:space="preserve"> sequelae of pembrolizumab exposure is not well characterised, in particular for patients who develop immune</w:t>
      </w:r>
      <w:r w:rsidR="00CC16D0">
        <w:t>-</w:t>
      </w:r>
      <w:r w:rsidRPr="00DD69AF">
        <w:t>mediated adverse effects.</w:t>
      </w:r>
    </w:p>
    <w:p w14:paraId="00DADE07" w14:textId="0FD38B28" w:rsidR="00B004E2" w:rsidRDefault="00DD69AF" w:rsidP="00DD69AF">
      <w:r w:rsidRPr="00DD69AF">
        <w:t xml:space="preserve">For paediatric </w:t>
      </w:r>
      <w:r w:rsidR="00CC16D0">
        <w:t xml:space="preserve">patients with </w:t>
      </w:r>
      <w:r w:rsidR="008C5C40">
        <w:t xml:space="preserve">relapsed or refractory classical Hodgkin </w:t>
      </w:r>
      <w:r w:rsidR="007D3D1C">
        <w:t xml:space="preserve">lymphoma </w:t>
      </w:r>
      <w:r w:rsidRPr="00DD69AF">
        <w:t xml:space="preserve">the sponsor is seeking approval for use </w:t>
      </w:r>
      <w:r w:rsidR="00CC16D0">
        <w:t xml:space="preserve">as </w:t>
      </w:r>
      <w:r w:rsidRPr="00DD69AF">
        <w:t>second line</w:t>
      </w:r>
      <w:r w:rsidR="00CC16D0">
        <w:t xml:space="preserve"> therapy</w:t>
      </w:r>
      <w:r w:rsidRPr="00DD69AF">
        <w:t xml:space="preserve">. The data in paediatric patients are limited and only </w:t>
      </w:r>
      <w:r w:rsidR="00CF4188">
        <w:t>three</w:t>
      </w:r>
      <w:r w:rsidRPr="00DD69AF">
        <w:t xml:space="preserve"> patients received pembrolizumab </w:t>
      </w:r>
      <w:r w:rsidR="00F301D8">
        <w:t>as first line</w:t>
      </w:r>
      <w:r w:rsidRPr="00DD69AF">
        <w:t xml:space="preserve">. These data alone are considered insufficient clinical trial evidence to support a </w:t>
      </w:r>
      <w:r w:rsidR="00CC16D0">
        <w:t>first line therapeutic</w:t>
      </w:r>
      <w:r w:rsidRPr="00DD69AF">
        <w:t xml:space="preserve"> indication. Given the limited data and the established efficacy of second</w:t>
      </w:r>
      <w:r w:rsidR="00CC16D0">
        <w:t xml:space="preserve"> </w:t>
      </w:r>
      <w:r w:rsidRPr="00DD69AF">
        <w:t xml:space="preserve">line chemotherapy regimens, the proposal is to limit the indication to patients with primary refractory disease, and those with relapsed disease after at least </w:t>
      </w:r>
      <w:r w:rsidR="00CF4188">
        <w:t>two</w:t>
      </w:r>
      <w:r w:rsidRPr="00DD69AF">
        <w:t xml:space="preserve"> prior lines of therapy.</w:t>
      </w:r>
      <w:r w:rsidR="00B004E2">
        <w:t xml:space="preserve"> </w:t>
      </w:r>
      <w:r w:rsidR="00CC16D0">
        <w:t xml:space="preserve">The </w:t>
      </w:r>
      <w:r w:rsidR="002D22AB">
        <w:t xml:space="preserve">KEYNOTE 051 trial </w:t>
      </w:r>
      <w:r w:rsidRPr="00DD69AF">
        <w:t>is ongoing and accrual of patients with relapsed disease may inform future refinements to the population.</w:t>
      </w:r>
    </w:p>
    <w:p w14:paraId="7A389257" w14:textId="7429C0EB" w:rsidR="00DD69AF" w:rsidRDefault="00DD69AF" w:rsidP="00826C50">
      <w:pPr>
        <w:pStyle w:val="Heading5"/>
      </w:pPr>
      <w:bookmarkStart w:id="75" w:name="_Toc133584024"/>
      <w:r w:rsidRPr="0012189B">
        <w:t>Indications</w:t>
      </w:r>
      <w:bookmarkEnd w:id="75"/>
    </w:p>
    <w:p w14:paraId="5C702951" w14:textId="08AA1801" w:rsidR="00B004E2" w:rsidRDefault="00DD69AF" w:rsidP="00DD69AF">
      <w:r w:rsidRPr="0012189B">
        <w:t xml:space="preserve">The sponsor proposes </w:t>
      </w:r>
      <w:r>
        <w:t xml:space="preserve">to amend the wording of the </w:t>
      </w:r>
      <w:r w:rsidR="00CC16D0">
        <w:t xml:space="preserve">indication of </w:t>
      </w:r>
      <w:r w:rsidR="008C5C40">
        <w:t xml:space="preserve">relapsed or refractory classical Hodgkin </w:t>
      </w:r>
      <w:r w:rsidR="007D3D1C">
        <w:t xml:space="preserve">lymphoma </w:t>
      </w:r>
      <w:r w:rsidR="00CC16D0">
        <w:t xml:space="preserve">in adults </w:t>
      </w:r>
      <w:r>
        <w:t xml:space="preserve">to </w:t>
      </w:r>
      <w:r w:rsidR="00CC16D0">
        <w:t xml:space="preserve">incorporate </w:t>
      </w:r>
      <w:r>
        <w:t xml:space="preserve">the requirement for prior </w:t>
      </w:r>
      <w:r w:rsidR="00CF4188">
        <w:t xml:space="preserve">autologous stem cell transplant </w:t>
      </w:r>
      <w:r>
        <w:t>and established ineligibility for auto</w:t>
      </w:r>
      <w:r w:rsidR="00CF4188">
        <w:t>logous stem cell transplant</w:t>
      </w:r>
      <w:r>
        <w:t>.</w:t>
      </w:r>
    </w:p>
    <w:p w14:paraId="24A61E81" w14:textId="659D888B" w:rsidR="00B004E2" w:rsidRDefault="00DD69AF" w:rsidP="00DD69AF">
      <w:r>
        <w:t>Protocol changes altered the eligibility criteria through the study in relation to prior auto</w:t>
      </w:r>
      <w:r w:rsidR="00CF4188">
        <w:t>logous stem cell transplant</w:t>
      </w:r>
      <w:r>
        <w:t>. Patients randomised through the period of these protocol changes had similar outcomes to those for the overall study.</w:t>
      </w:r>
      <w:r w:rsidR="00B004E2">
        <w:t xml:space="preserve"> </w:t>
      </w:r>
      <w:r>
        <w:t xml:space="preserve">Outcomes by subgroup did not demonstrate </w:t>
      </w:r>
      <w:r w:rsidR="00CC16D0">
        <w:t xml:space="preserve">a </w:t>
      </w:r>
      <w:r>
        <w:t>clear benefit of prior auto</w:t>
      </w:r>
      <w:r w:rsidR="00CF4188">
        <w:t>logous stem cell transplant</w:t>
      </w:r>
      <w:r>
        <w:t xml:space="preserve"> over the remainder of the patient population.</w:t>
      </w:r>
    </w:p>
    <w:p w14:paraId="0DA1FAD0" w14:textId="0EA050AF" w:rsidR="00DD69AF" w:rsidRDefault="00DD69AF" w:rsidP="00DD69AF">
      <w:r>
        <w:t>The proposed indication is less restrictive than its predecessor</w:t>
      </w:r>
      <w:r w:rsidR="00CC16D0">
        <w:t xml:space="preserve"> indication;</w:t>
      </w:r>
      <w:r>
        <w:t xml:space="preserve"> </w:t>
      </w:r>
      <w:r w:rsidR="00CC16D0">
        <w:t>p</w:t>
      </w:r>
      <w:r>
        <w:t xml:space="preserve">reviously patients were required to have </w:t>
      </w:r>
      <w:r w:rsidR="008C5C40">
        <w:t xml:space="preserve">relapsed or refractory classical Hodgkin </w:t>
      </w:r>
      <w:r w:rsidR="007D3D1C">
        <w:t xml:space="preserve">lymphoma </w:t>
      </w:r>
      <w:r>
        <w:t xml:space="preserve">following </w:t>
      </w:r>
      <w:r w:rsidR="00CF4188" w:rsidRPr="00CF4188">
        <w:t>autologous stem cell transplant</w:t>
      </w:r>
      <w:r>
        <w:t xml:space="preserve"> or for pembrolizumab to be</w:t>
      </w:r>
      <w:r w:rsidR="00F301D8">
        <w:t xml:space="preserve"> third line</w:t>
      </w:r>
      <w:r>
        <w:t xml:space="preserve"> </w:t>
      </w:r>
      <w:r w:rsidR="00E366F5">
        <w:t xml:space="preserve">therapy </w:t>
      </w:r>
      <w:r>
        <w:t xml:space="preserve">only when </w:t>
      </w:r>
      <w:r w:rsidR="00CF4188" w:rsidRPr="00CF4188">
        <w:t>autologous stem cell transplant</w:t>
      </w:r>
      <w:r>
        <w:t xml:space="preserve"> or multi</w:t>
      </w:r>
      <w:r w:rsidR="00E366F5">
        <w:t>-</w:t>
      </w:r>
      <w:r>
        <w:t xml:space="preserve">agent chemotherapy were not options. The proposed indication is line agnostic but does not preclude the option of </w:t>
      </w:r>
      <w:r w:rsidR="00E366F5">
        <w:t>autologous stem cell transplant</w:t>
      </w:r>
      <w:r w:rsidR="00E366F5" w:rsidDel="00E366F5">
        <w:t xml:space="preserve"> </w:t>
      </w:r>
      <w:r>
        <w:t>or other lines of therapy, and this approach may offer an option for patients with chemo-insensitive disease.</w:t>
      </w:r>
    </w:p>
    <w:p w14:paraId="048025C5" w14:textId="37440E36" w:rsidR="00B004E2" w:rsidRDefault="00DD69AF" w:rsidP="00DD69AF">
      <w:r>
        <w:t>The approach to the paediatric indication appears reasonable given the very limited data from the first</w:t>
      </w:r>
      <w:r w:rsidR="00E366F5">
        <w:t xml:space="preserve"> </w:t>
      </w:r>
      <w:r>
        <w:t>line setting. The indication is not proposed to require a failed autologous stem cell transplant although that remains an option.</w:t>
      </w:r>
    </w:p>
    <w:p w14:paraId="4DBD93F5" w14:textId="48E1EFC7" w:rsidR="00DD69AF" w:rsidRDefault="00DD69AF" w:rsidP="00DD69AF">
      <w:r>
        <w:t xml:space="preserve">The comment of the </w:t>
      </w:r>
      <w:r w:rsidR="00E366F5">
        <w:t>Advisory Committee on Medicines (A</w:t>
      </w:r>
      <w:r>
        <w:t>CM</w:t>
      </w:r>
      <w:r w:rsidR="00E366F5">
        <w:t>)</w:t>
      </w:r>
      <w:r>
        <w:t xml:space="preserve"> is sought on the wording of the indications for adults and children.</w:t>
      </w:r>
    </w:p>
    <w:p w14:paraId="3916F296" w14:textId="77777777" w:rsidR="00C22214" w:rsidRDefault="00C22214" w:rsidP="00C22214">
      <w:pPr>
        <w:pStyle w:val="Heading4"/>
      </w:pPr>
      <w:bookmarkStart w:id="76" w:name="_Toc98931933"/>
      <w:bookmarkStart w:id="77" w:name="_Toc133584025"/>
      <w:r w:rsidRPr="00D23139">
        <w:t>Proposed action</w:t>
      </w:r>
      <w:bookmarkEnd w:id="76"/>
      <w:bookmarkEnd w:id="77"/>
    </w:p>
    <w:p w14:paraId="7F3EBD58" w14:textId="292E134A" w:rsidR="00B004E2" w:rsidRDefault="00DD69AF" w:rsidP="00DD69AF">
      <w:bookmarkStart w:id="78" w:name="_Toc98931934"/>
      <w:r>
        <w:t xml:space="preserve">While a decision </w:t>
      </w:r>
      <w:r w:rsidR="00E366F5">
        <w:t>wa</w:t>
      </w:r>
      <w:r>
        <w:t xml:space="preserve">s yet to be made, at this stage the Delegate </w:t>
      </w:r>
      <w:r w:rsidR="00E366F5">
        <w:t xml:space="preserve">was </w:t>
      </w:r>
      <w:r>
        <w:t>inclined to approve the registration of the product.</w:t>
      </w:r>
    </w:p>
    <w:p w14:paraId="4C419649" w14:textId="4335BA74" w:rsidR="00DD69AF" w:rsidRDefault="00DD69AF" w:rsidP="00DD69AF">
      <w:r>
        <w:t>Advice is sought from the ACM on the wording of the indication.</w:t>
      </w:r>
    </w:p>
    <w:p w14:paraId="301481CD" w14:textId="50371378" w:rsidR="00DD69AF" w:rsidRDefault="00DD69AF" w:rsidP="00DD69AF">
      <w:r>
        <w:t>If registration was approved the Delegate would propose the following additional conditions of registration:</w:t>
      </w:r>
    </w:p>
    <w:p w14:paraId="1DC46C04" w14:textId="54CF4B85" w:rsidR="00DD69AF" w:rsidRDefault="00DD69AF" w:rsidP="00DD69AF">
      <w:pPr>
        <w:pStyle w:val="ListParagraph"/>
        <w:numPr>
          <w:ilvl w:val="0"/>
          <w:numId w:val="11"/>
        </w:numPr>
      </w:pPr>
      <w:r>
        <w:t xml:space="preserve">Submit the </w:t>
      </w:r>
      <w:proofErr w:type="gramStart"/>
      <w:r>
        <w:t>final results</w:t>
      </w:r>
      <w:proofErr w:type="gramEnd"/>
      <w:r>
        <w:t xml:space="preserve"> characterising the risk of immune-mediated or potentially immune-mediated toxicities, serious adverse events and long-term safety in paediatric patients with lymphoma enrolled in </w:t>
      </w:r>
      <w:r w:rsidR="00E366F5">
        <w:t xml:space="preserve">the </w:t>
      </w:r>
      <w:r w:rsidR="00CF4188">
        <w:t>KEYNOTE 051 trial</w:t>
      </w:r>
      <w:r>
        <w:t>. All patients with Hodgkin lymphoma should be followed for safety for a minimum of 6 months on pembrolizumab.</w:t>
      </w:r>
    </w:p>
    <w:p w14:paraId="1370A76D" w14:textId="28A385E7" w:rsidR="00DD69AF" w:rsidRPr="008135DA" w:rsidRDefault="00DD69AF" w:rsidP="00DD69AF">
      <w:pPr>
        <w:pStyle w:val="ListParagraph"/>
        <w:numPr>
          <w:ilvl w:val="0"/>
          <w:numId w:val="11"/>
        </w:numPr>
      </w:pPr>
      <w:r>
        <w:lastRenderedPageBreak/>
        <w:t xml:space="preserve">Submit the final clinical study report for all paediatric patients who received pembrolizumab for Hodgkin </w:t>
      </w:r>
      <w:r w:rsidR="007D3D1C">
        <w:t>lymphoma</w:t>
      </w:r>
      <w:r>
        <w:t xml:space="preserve"> in </w:t>
      </w:r>
      <w:r w:rsidR="00E366F5">
        <w:t xml:space="preserve">the </w:t>
      </w:r>
      <w:r w:rsidR="002D22AB">
        <w:t>KEYNOTE</w:t>
      </w:r>
      <w:r>
        <w:t>-051</w:t>
      </w:r>
      <w:r w:rsidR="00CF4188">
        <w:t xml:space="preserve"> trial</w:t>
      </w:r>
      <w:r>
        <w:t>.</w:t>
      </w:r>
    </w:p>
    <w:p w14:paraId="318CFABC" w14:textId="77777777" w:rsidR="00C22214" w:rsidRPr="00F73346" w:rsidRDefault="00C22214" w:rsidP="00C22214">
      <w:pPr>
        <w:pStyle w:val="Heading4"/>
      </w:pPr>
      <w:bookmarkStart w:id="79" w:name="_Toc98931936"/>
      <w:bookmarkStart w:id="80" w:name="_Toc133584026"/>
      <w:bookmarkStart w:id="81" w:name="_Toc247691532"/>
      <w:bookmarkStart w:id="82" w:name="_Toc314842516"/>
      <w:bookmarkEnd w:id="78"/>
      <w:r w:rsidRPr="00F73346">
        <w:t>Advisory Committee considerations</w:t>
      </w:r>
      <w:bookmarkEnd w:id="79"/>
      <w:bookmarkEnd w:id="80"/>
    </w:p>
    <w:p w14:paraId="087BB9CB" w14:textId="7FCAD741" w:rsidR="00C22214" w:rsidRPr="00BD5DBD" w:rsidRDefault="00C22214" w:rsidP="00C22214">
      <w:pPr>
        <w:rPr>
          <w:bCs/>
          <w:szCs w:val="22"/>
        </w:rPr>
      </w:pPr>
      <w:r w:rsidRPr="00BD5DBD">
        <w:rPr>
          <w:bCs/>
          <w:szCs w:val="22"/>
        </w:rPr>
        <w:t xml:space="preserve">The </w:t>
      </w:r>
      <w:hyperlink r:id="rId37" w:history="1">
        <w:r w:rsidRPr="00BD5DBD">
          <w:rPr>
            <w:rStyle w:val="Hyperlink"/>
            <w:szCs w:val="22"/>
          </w:rPr>
          <w:t>Advisory Committee on Medicines (ACM)</w:t>
        </w:r>
      </w:hyperlink>
      <w:r w:rsidRPr="00BD5DBD">
        <w:rPr>
          <w:color w:val="007099"/>
          <w:szCs w:val="22"/>
        </w:rPr>
        <w:t xml:space="preserve"> </w:t>
      </w:r>
      <w:r w:rsidRPr="00BD5DBD">
        <w:rPr>
          <w:bCs/>
          <w:szCs w:val="22"/>
        </w:rPr>
        <w:t>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139F50A8" w14:textId="1E20A1DE" w:rsidR="00E366F5" w:rsidRDefault="00DD69AF" w:rsidP="00E366F5">
      <w:pPr>
        <w:pStyle w:val="Numberbullet0"/>
        <w:numPr>
          <w:ilvl w:val="0"/>
          <w:numId w:val="12"/>
        </w:numPr>
        <w:spacing w:after="120"/>
        <w:rPr>
          <w:b/>
          <w:bCs/>
          <w:i/>
          <w:iCs/>
        </w:rPr>
      </w:pPr>
      <w:r w:rsidRPr="00E366F5">
        <w:rPr>
          <w:b/>
          <w:bCs/>
          <w:i/>
          <w:iCs/>
        </w:rPr>
        <w:t xml:space="preserve">Based on the findings of </w:t>
      </w:r>
      <w:r w:rsidR="00E366F5" w:rsidRPr="00E366F5">
        <w:rPr>
          <w:b/>
          <w:bCs/>
          <w:i/>
          <w:iCs/>
        </w:rPr>
        <w:t xml:space="preserve">the </w:t>
      </w:r>
      <w:r w:rsidR="002D22AB" w:rsidRPr="00E366F5">
        <w:rPr>
          <w:b/>
          <w:bCs/>
          <w:i/>
          <w:iCs/>
        </w:rPr>
        <w:t>KEYNOTE 087 trial</w:t>
      </w:r>
      <w:r w:rsidR="00E366F5" w:rsidRPr="00E366F5">
        <w:rPr>
          <w:b/>
          <w:bCs/>
          <w:i/>
          <w:iCs/>
        </w:rPr>
        <w:t>,</w:t>
      </w:r>
      <w:r w:rsidRPr="00E366F5">
        <w:rPr>
          <w:b/>
          <w:bCs/>
          <w:i/>
          <w:iCs/>
        </w:rPr>
        <w:t xml:space="preserve"> pembrolizumab was indicated after </w:t>
      </w:r>
      <w:r w:rsidR="00E366F5" w:rsidRPr="00E366F5">
        <w:rPr>
          <w:b/>
          <w:bCs/>
          <w:i/>
          <w:iCs/>
        </w:rPr>
        <w:t>autologous stem cell transplant</w:t>
      </w:r>
      <w:r w:rsidR="00E366F5" w:rsidRPr="00E366F5" w:rsidDel="00E366F5">
        <w:rPr>
          <w:b/>
          <w:bCs/>
          <w:i/>
          <w:iCs/>
        </w:rPr>
        <w:t xml:space="preserve"> </w:t>
      </w:r>
      <w:r w:rsidRPr="00E366F5">
        <w:rPr>
          <w:b/>
          <w:bCs/>
          <w:i/>
          <w:iCs/>
        </w:rPr>
        <w:t xml:space="preserve">or as third line therapy for </w:t>
      </w:r>
      <w:proofErr w:type="gramStart"/>
      <w:r w:rsidRPr="00E366F5">
        <w:rPr>
          <w:b/>
          <w:bCs/>
          <w:i/>
          <w:iCs/>
        </w:rPr>
        <w:t>patients</w:t>
      </w:r>
      <w:proofErr w:type="gramEnd"/>
      <w:r w:rsidRPr="00E366F5">
        <w:rPr>
          <w:b/>
          <w:bCs/>
          <w:i/>
          <w:iCs/>
        </w:rPr>
        <w:t xml:space="preserve"> </w:t>
      </w:r>
      <w:r w:rsidR="00E366F5" w:rsidRPr="00E366F5">
        <w:rPr>
          <w:b/>
          <w:bCs/>
          <w:i/>
          <w:iCs/>
        </w:rPr>
        <w:t>ineligible</w:t>
      </w:r>
      <w:r w:rsidRPr="00E366F5">
        <w:rPr>
          <w:b/>
          <w:bCs/>
          <w:i/>
          <w:iCs/>
        </w:rPr>
        <w:t xml:space="preserve"> for </w:t>
      </w:r>
      <w:r w:rsidR="00E366F5" w:rsidRPr="00E366F5">
        <w:rPr>
          <w:b/>
          <w:bCs/>
          <w:i/>
          <w:iCs/>
        </w:rPr>
        <w:t>autologous stem cell transplant</w:t>
      </w:r>
      <w:r w:rsidR="00E366F5" w:rsidRPr="00E366F5" w:rsidDel="00E366F5">
        <w:rPr>
          <w:b/>
          <w:bCs/>
          <w:i/>
          <w:iCs/>
        </w:rPr>
        <w:t xml:space="preserve"> </w:t>
      </w:r>
      <w:r w:rsidRPr="00E366F5">
        <w:rPr>
          <w:b/>
          <w:bCs/>
          <w:i/>
          <w:iCs/>
        </w:rPr>
        <w:t>or multi</w:t>
      </w:r>
      <w:r w:rsidR="00E366F5">
        <w:rPr>
          <w:b/>
          <w:bCs/>
          <w:i/>
          <w:iCs/>
        </w:rPr>
        <w:t>-</w:t>
      </w:r>
      <w:r w:rsidRPr="00E366F5">
        <w:rPr>
          <w:b/>
          <w:bCs/>
          <w:i/>
          <w:iCs/>
        </w:rPr>
        <w:t>agent chemotherapy.</w:t>
      </w:r>
    </w:p>
    <w:p w14:paraId="6934BF89" w14:textId="64EE714D" w:rsidR="00DD69AF" w:rsidRPr="00E366F5" w:rsidRDefault="00DD69AF" w:rsidP="002E5D98">
      <w:pPr>
        <w:pStyle w:val="Numberbullet0"/>
        <w:numPr>
          <w:ilvl w:val="0"/>
          <w:numId w:val="0"/>
        </w:numPr>
        <w:spacing w:after="120"/>
        <w:ind w:left="360"/>
        <w:rPr>
          <w:b/>
          <w:bCs/>
          <w:i/>
          <w:iCs/>
        </w:rPr>
      </w:pPr>
      <w:r w:rsidRPr="00E366F5">
        <w:rPr>
          <w:b/>
          <w:bCs/>
          <w:i/>
          <w:iCs/>
        </w:rPr>
        <w:t>Does the evidence support the proposed broader indication in adults?</w:t>
      </w:r>
    </w:p>
    <w:p w14:paraId="06976D03" w14:textId="77777777" w:rsidR="00E366F5" w:rsidRDefault="00DD69AF" w:rsidP="00DD69AF">
      <w:r>
        <w:t xml:space="preserve">The ACM were of the view that the adult indication should align with the study population within </w:t>
      </w:r>
      <w:r w:rsidR="00E366F5">
        <w:t xml:space="preserve">the </w:t>
      </w:r>
      <w:r w:rsidR="002D22AB">
        <w:t>KEYNOTE 087 trial</w:t>
      </w:r>
      <w:r>
        <w:t xml:space="preserve"> and </w:t>
      </w:r>
      <w:proofErr w:type="gramStart"/>
      <w:r>
        <w:t>the majority of</w:t>
      </w:r>
      <w:proofErr w:type="gramEnd"/>
      <w:r>
        <w:t xml:space="preserve"> </w:t>
      </w:r>
      <w:r w:rsidR="00E366F5">
        <w:t xml:space="preserve">the </w:t>
      </w:r>
      <w:r w:rsidR="002D22AB">
        <w:t>KEYNOTE 204 trial</w:t>
      </w:r>
      <w:r>
        <w:t>, as the evidence demonstrates efficacy within this population. Based on this, the ACM were supportive of using the</w:t>
      </w:r>
      <w:r w:rsidR="00E366F5">
        <w:t xml:space="preserve"> wording used in the</w:t>
      </w:r>
      <w:r>
        <w:t xml:space="preserve"> </w:t>
      </w:r>
      <w:r w:rsidR="00E366F5">
        <w:t>European Medicines Agency’s (</w:t>
      </w:r>
      <w:r>
        <w:t>EMA</w:t>
      </w:r>
      <w:r w:rsidR="00E366F5">
        <w:t>)</w:t>
      </w:r>
      <w:r>
        <w:t xml:space="preserve"> indication</w:t>
      </w:r>
      <w:r w:rsidR="00E366F5">
        <w:t xml:space="preserve"> as follows:</w:t>
      </w:r>
    </w:p>
    <w:p w14:paraId="27A4CEF3" w14:textId="2A7D84E5" w:rsidR="00DD69AF" w:rsidRDefault="00DD69AF" w:rsidP="002E5D98">
      <w:pPr>
        <w:ind w:left="425"/>
      </w:pPr>
      <w:r>
        <w:t>‘</w:t>
      </w:r>
      <w:r w:rsidR="00E366F5">
        <w:t xml:space="preserve">[pembrolizumab is indicated for use in patients] </w:t>
      </w:r>
      <w:r w:rsidRPr="00020B22">
        <w:rPr>
          <w:i/>
          <w:iCs/>
        </w:rPr>
        <w:t>with relapsed or refractory classical Hodgkin lymphoma who have failed autologous stem cell transplant (ASCT) or following at least two prior therapies when ASCT is not a treatment option</w:t>
      </w:r>
      <w:r>
        <w:rPr>
          <w:i/>
          <w:iCs/>
        </w:rPr>
        <w:t>’.</w:t>
      </w:r>
      <w:r w:rsidR="00652100">
        <w:rPr>
          <w:rStyle w:val="FootnoteReference"/>
          <w:i/>
          <w:iCs/>
        </w:rPr>
        <w:footnoteReference w:id="15"/>
      </w:r>
    </w:p>
    <w:p w14:paraId="50F39D1D" w14:textId="2C600A94" w:rsidR="00E366F5" w:rsidRPr="00B27EB7" w:rsidRDefault="00DD69AF" w:rsidP="00B27EB7">
      <w:pPr>
        <w:pStyle w:val="Numberbullet0"/>
        <w:numPr>
          <w:ilvl w:val="0"/>
          <w:numId w:val="12"/>
        </w:numPr>
        <w:rPr>
          <w:b/>
          <w:bCs/>
          <w:i/>
          <w:iCs/>
        </w:rPr>
      </w:pPr>
      <w:r w:rsidRPr="00B27EB7">
        <w:rPr>
          <w:b/>
          <w:bCs/>
          <w:i/>
          <w:iCs/>
        </w:rPr>
        <w:t xml:space="preserve">The sponsor proposes to limit the use of pembrolizumab to second line treatment for refractory and relapsed </w:t>
      </w:r>
      <w:r w:rsidR="00E366F5" w:rsidRPr="00B27EB7">
        <w:rPr>
          <w:b/>
          <w:bCs/>
          <w:i/>
          <w:iCs/>
        </w:rPr>
        <w:t xml:space="preserve">chronic Hodgkin lymphoma in </w:t>
      </w:r>
      <w:r w:rsidRPr="00B27EB7">
        <w:rPr>
          <w:b/>
          <w:bCs/>
          <w:i/>
          <w:iCs/>
        </w:rPr>
        <w:t>paediatric patients.</w:t>
      </w:r>
    </w:p>
    <w:p w14:paraId="78A4147E" w14:textId="7B828AE1" w:rsidR="00DD69AF" w:rsidRPr="00F97D49" w:rsidRDefault="00DD69AF" w:rsidP="002E5D98">
      <w:pPr>
        <w:pStyle w:val="Numberbullet0"/>
        <w:numPr>
          <w:ilvl w:val="0"/>
          <w:numId w:val="0"/>
        </w:numPr>
        <w:spacing w:after="120"/>
        <w:ind w:left="425"/>
        <w:rPr>
          <w:b/>
          <w:bCs/>
          <w:i/>
          <w:iCs/>
        </w:rPr>
      </w:pPr>
      <w:r w:rsidRPr="00F97D49">
        <w:rPr>
          <w:b/>
          <w:bCs/>
          <w:i/>
          <w:iCs/>
        </w:rPr>
        <w:t>Does the ACM agree with this approach?</w:t>
      </w:r>
    </w:p>
    <w:p w14:paraId="49B32C45" w14:textId="4D5C052F" w:rsidR="00DD69AF" w:rsidRDefault="00DD69AF" w:rsidP="00DD69AF">
      <w:r>
        <w:t xml:space="preserve">The ACM were of the view that adequate data has not been provided to support an indication for </w:t>
      </w:r>
      <w:r w:rsidR="00CF4188" w:rsidRPr="00CF4188">
        <w:t xml:space="preserve">relapsed or refractory classical Hodgkin lymphoma </w:t>
      </w:r>
      <w:r w:rsidR="00E366F5">
        <w:t xml:space="preserve">in </w:t>
      </w:r>
      <w:r>
        <w:t>paediatric patients.</w:t>
      </w:r>
    </w:p>
    <w:p w14:paraId="79B62EB3" w14:textId="0BCE811C" w:rsidR="00DD69AF" w:rsidRDefault="00DD69AF" w:rsidP="00DD69AF">
      <w:r>
        <w:t xml:space="preserve">The ACM expressed concern regarding the immaturity of the data provided in support of this proposed paediatric indication and agreed that neither safety nor efficacy have been appropriately demonstrated for this population. The ACM agreed that there is a high level of uncertainly from </w:t>
      </w:r>
      <w:r w:rsidR="00E366F5">
        <w:t xml:space="preserve">the </w:t>
      </w:r>
      <w:r>
        <w:t>limited preliminary data arising from the non-controlled study.</w:t>
      </w:r>
    </w:p>
    <w:p w14:paraId="5D2A8ED9" w14:textId="27182E55" w:rsidR="00DD69AF" w:rsidRPr="00660B75" w:rsidRDefault="14A79BE9" w:rsidP="00DD69AF">
      <w:r>
        <w:t xml:space="preserve">The ACM agreed that the safety data is premature regarding the long-term safety of </w:t>
      </w:r>
      <w:r w:rsidR="68302FFF">
        <w:t xml:space="preserve">Keytruda </w:t>
      </w:r>
      <w:r>
        <w:t xml:space="preserve">in paediatric patients. Paediatric safety data was provided within </w:t>
      </w:r>
      <w:r w:rsidR="00E366F5">
        <w:t xml:space="preserve">the </w:t>
      </w:r>
      <w:r w:rsidR="6558416F">
        <w:t>KEYNOTE 051 trial</w:t>
      </w:r>
      <w:r>
        <w:t xml:space="preserve"> for multiple tumours (n = 161), and the ACM noted that 12 paediatric patients (7.5%) had endocrinopathies requiring long</w:t>
      </w:r>
      <w:r w:rsidR="00E366F5">
        <w:t>-</w:t>
      </w:r>
      <w:r>
        <w:t>term hormone replacement (predominantly hypothyroidism).</w:t>
      </w:r>
      <w:r w:rsidR="2E9C8F1B">
        <w:t xml:space="preserve"> </w:t>
      </w:r>
      <w:r>
        <w:t>The ACM were of the view that additional safety data would be required to better understand the long-term safety profile within this population.</w:t>
      </w:r>
    </w:p>
    <w:p w14:paraId="44B7048E" w14:textId="11DA2797" w:rsidR="00DD69AF" w:rsidRDefault="14A79BE9" w:rsidP="00DD69AF">
      <w:r>
        <w:t>The ACM agreed that while some efficacy within the trial had been demonstrated, with 13</w:t>
      </w:r>
      <w:r w:rsidR="2E9C8F1B">
        <w:t xml:space="preserve"> out of </w:t>
      </w:r>
      <w:r>
        <w:t>22 patients experiencing complete or partial remission, this data was very early and included limited follow up. The ACM were of the view that it is too early to understand how this translates outside of the clinical trial setting.</w:t>
      </w:r>
    </w:p>
    <w:p w14:paraId="3C36A0BD" w14:textId="77777777" w:rsidR="00DD69AF" w:rsidRDefault="00DD69AF" w:rsidP="00DD69AF">
      <w:r>
        <w:lastRenderedPageBreak/>
        <w:t>The ACM noted that the paediatric data provided is derived from an ongoing trial that continues to recruit participants in Canada, the USA, and Australia.</w:t>
      </w:r>
    </w:p>
    <w:p w14:paraId="16C154BE" w14:textId="77777777" w:rsidR="00DD69AF" w:rsidRDefault="00DD69AF" w:rsidP="00DD69AF">
      <w:r>
        <w:t>The ACM were of the view that this early data set may be better suited to the provisional registration process.</w:t>
      </w:r>
    </w:p>
    <w:p w14:paraId="11DCCDF3" w14:textId="77777777" w:rsidR="00DD69AF" w:rsidRPr="00F97D49" w:rsidRDefault="00DD69AF" w:rsidP="002E5D98">
      <w:pPr>
        <w:pStyle w:val="Numberbullet0"/>
        <w:keepNext/>
        <w:numPr>
          <w:ilvl w:val="0"/>
          <w:numId w:val="12"/>
        </w:numPr>
        <w:spacing w:after="120"/>
        <w:ind w:left="425" w:hanging="425"/>
        <w:rPr>
          <w:b/>
          <w:bCs/>
          <w:i/>
          <w:iCs/>
        </w:rPr>
      </w:pPr>
      <w:r w:rsidRPr="00F97D49">
        <w:rPr>
          <w:b/>
          <w:bCs/>
          <w:i/>
          <w:iCs/>
        </w:rPr>
        <w:t>If the ACM disagrees with the sponsor’s approach for the adult or the paediatric indication, is there alternative wording that it recommends?</w:t>
      </w:r>
    </w:p>
    <w:p w14:paraId="5ED59D58" w14:textId="53CC1C56" w:rsidR="00DD69AF" w:rsidRDefault="00DD69AF" w:rsidP="00DD69AF">
      <w:r>
        <w:t xml:space="preserve">The ACM is of the view that the paediatric population should not be included within the indication and as such </w:t>
      </w:r>
      <w:r w:rsidR="00E366F5">
        <w:t xml:space="preserve">the ACM </w:t>
      </w:r>
      <w:r>
        <w:t>recommend</w:t>
      </w:r>
      <w:r w:rsidR="00E366F5">
        <w:t>s</w:t>
      </w:r>
      <w:r>
        <w:t xml:space="preserve"> the following amendment to the currently approved indication for pembrolizumab for classical Hodgkin lymphoma:</w:t>
      </w:r>
    </w:p>
    <w:p w14:paraId="44023068" w14:textId="479472B9" w:rsidR="00DD69AF" w:rsidRPr="00145DD5" w:rsidRDefault="00B004E2" w:rsidP="00DD69AF">
      <w:pPr>
        <w:ind w:left="720"/>
        <w:rPr>
          <w:i/>
          <w:iCs/>
        </w:rPr>
      </w:pPr>
      <w:r>
        <w:rPr>
          <w:i/>
          <w:iCs/>
        </w:rPr>
        <w:t xml:space="preserve">Keytruda </w:t>
      </w:r>
      <w:r w:rsidR="00DD69AF" w:rsidRPr="00020B22">
        <w:rPr>
          <w:i/>
          <w:iCs/>
        </w:rPr>
        <w:t>as monotherapy is indicated for the treatment of adult patients with relapsed or refractory classical Hodgkin lymphoma who have failed autologous stem cell transplant (ASCT) or following at least two prior therapies when ASCT is not a treatment option</w:t>
      </w:r>
      <w:r w:rsidR="00DD69AF">
        <w:rPr>
          <w:i/>
          <w:iCs/>
        </w:rPr>
        <w:t>.</w:t>
      </w:r>
    </w:p>
    <w:p w14:paraId="5291EA2A" w14:textId="77777777" w:rsidR="00C22214" w:rsidRPr="00F73346" w:rsidRDefault="00C22214" w:rsidP="00C22214">
      <w:pPr>
        <w:pStyle w:val="Heading5"/>
      </w:pPr>
      <w:r w:rsidRPr="00F73346">
        <w:t>Conclusion</w:t>
      </w:r>
    </w:p>
    <w:p w14:paraId="75F4288D" w14:textId="77777777" w:rsidR="00B004E2" w:rsidRDefault="00B004E2" w:rsidP="00B004E2">
      <w:bookmarkStart w:id="83" w:name="_Toc103679300"/>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32C48E14" w14:textId="59A01828" w:rsidR="00B004E2" w:rsidRDefault="00B004E2" w:rsidP="00B004E2">
      <w:pPr>
        <w:ind w:left="720"/>
        <w:rPr>
          <w:i/>
          <w:iCs/>
        </w:rPr>
      </w:pPr>
      <w:r>
        <w:rPr>
          <w:i/>
          <w:iCs/>
        </w:rPr>
        <w:t xml:space="preserve">Keytruda </w:t>
      </w:r>
      <w:r w:rsidRPr="00020B22">
        <w:rPr>
          <w:i/>
          <w:iCs/>
        </w:rPr>
        <w:t>as monotherapy is indicated for the treatment of adult patients with relapsed or refractory classical Hodgkin lymphoma who have failed autologous stem cell transplant (ASCT) or following at least two prior therapies when ASCT is not a treatment option</w:t>
      </w:r>
      <w:r>
        <w:rPr>
          <w:i/>
          <w:iCs/>
        </w:rPr>
        <w:t>.</w:t>
      </w:r>
    </w:p>
    <w:p w14:paraId="3246D21B" w14:textId="597EBE81" w:rsidR="00B004E2" w:rsidRDefault="00B004E2" w:rsidP="00B004E2">
      <w:pPr>
        <w:spacing w:line="240" w:lineRule="auto"/>
      </w:pPr>
      <w:r w:rsidRPr="003B7154">
        <w:t xml:space="preserve">The ACM agreed that </w:t>
      </w:r>
      <w:r w:rsidR="00E043E0">
        <w:t>Keytruda</w:t>
      </w:r>
      <w:r w:rsidRPr="002848AD">
        <w:rPr>
          <w:i/>
        </w:rPr>
        <w:t xml:space="preserve"> </w:t>
      </w:r>
      <w:r w:rsidRPr="002848AD">
        <w:t xml:space="preserve">had an </w:t>
      </w:r>
      <w:r w:rsidRPr="003B7154">
        <w:t>overall negative benefit-risk profile for</w:t>
      </w:r>
      <w:r>
        <w:t xml:space="preserve"> full registration</w:t>
      </w:r>
      <w:r w:rsidRPr="003B7154">
        <w:t xml:space="preserve"> </w:t>
      </w:r>
      <w:r>
        <w:t xml:space="preserve">of the indication for </w:t>
      </w:r>
      <w:r w:rsidRPr="003B7154">
        <w:t xml:space="preserve">the </w:t>
      </w:r>
      <w:r>
        <w:t>paediatric population</w:t>
      </w:r>
      <w:r w:rsidRPr="003B7154">
        <w:t xml:space="preserve"> as the evidence submitted did not satisfactorily establish the </w:t>
      </w:r>
      <w:r>
        <w:t>efficacy</w:t>
      </w:r>
      <w:r w:rsidRPr="003B7154">
        <w:t xml:space="preserve"> and safety of the product.</w:t>
      </w:r>
    </w:p>
    <w:p w14:paraId="2357D6EB" w14:textId="7BB3B9B9" w:rsidR="00F823AF" w:rsidRDefault="00F823AF" w:rsidP="00F823AF">
      <w:pPr>
        <w:pStyle w:val="Heading3"/>
      </w:pPr>
      <w:r>
        <w:t>Post-ACM considerations</w:t>
      </w:r>
    </w:p>
    <w:p w14:paraId="201F3915" w14:textId="6E5F3167" w:rsidR="00F823AF" w:rsidRDefault="00F823AF" w:rsidP="00F823AF">
      <w:pPr>
        <w:spacing w:line="240" w:lineRule="auto"/>
      </w:pPr>
      <w:r>
        <w:t xml:space="preserve">The Delegate considered that </w:t>
      </w:r>
      <w:r w:rsidR="00CF570F">
        <w:t xml:space="preserve">in order </w:t>
      </w:r>
      <w:r>
        <w:t>to follow th</w:t>
      </w:r>
      <w:r w:rsidR="00D46239">
        <w:t>e ACM advice</w:t>
      </w:r>
      <w:r w:rsidR="00CF570F">
        <w:t>,</w:t>
      </w:r>
      <w:r>
        <w:t xml:space="preserve"> the </w:t>
      </w:r>
      <w:r w:rsidR="00D46239">
        <w:t>s</w:t>
      </w:r>
      <w:r>
        <w:t>ponsor would need to agree to withdraw the submission and submit a</w:t>
      </w:r>
      <w:r w:rsidR="00CF570F">
        <w:t xml:space="preserve"> request for</w:t>
      </w:r>
      <w:r>
        <w:t xml:space="preserve"> </w:t>
      </w:r>
      <w:hyperlink r:id="rId38" w:history="1">
        <w:r w:rsidRPr="00CF570F">
          <w:rPr>
            <w:rStyle w:val="Hyperlink"/>
          </w:rPr>
          <w:t>provisional determination</w:t>
        </w:r>
      </w:hyperlink>
      <w:r>
        <w:t>.</w:t>
      </w:r>
      <w:r w:rsidR="00CF570F">
        <w:rPr>
          <w:rStyle w:val="FootnoteReference"/>
        </w:rPr>
        <w:footnoteReference w:id="16"/>
      </w:r>
      <w:r>
        <w:t xml:space="preserve"> If eligible</w:t>
      </w:r>
      <w:r w:rsidR="00D46239">
        <w:t>, it</w:t>
      </w:r>
      <w:r>
        <w:t xml:space="preserve"> would need reassessment of the submission and a reconsideration of the decision. As this was an unexpected outcome of the request for advice</w:t>
      </w:r>
      <w:r w:rsidR="00652100">
        <w:t>,</w:t>
      </w:r>
      <w:r>
        <w:t xml:space="preserve"> the Delegate offered the </w:t>
      </w:r>
      <w:r w:rsidR="00652100">
        <w:t>s</w:t>
      </w:r>
      <w:r>
        <w:t>ponsor an opportunity to respon</w:t>
      </w:r>
      <w:r w:rsidR="00D46239">
        <w:t xml:space="preserve">d </w:t>
      </w:r>
      <w:r>
        <w:t xml:space="preserve">to the ACM minutes. </w:t>
      </w:r>
    </w:p>
    <w:p w14:paraId="68DDA508" w14:textId="2E8DC249" w:rsidR="00F823AF" w:rsidRDefault="00F823AF" w:rsidP="00F823AF">
      <w:pPr>
        <w:spacing w:line="240" w:lineRule="auto"/>
      </w:pPr>
      <w:r>
        <w:t xml:space="preserve">The </w:t>
      </w:r>
      <w:r w:rsidR="00D46239">
        <w:t>s</w:t>
      </w:r>
      <w:r>
        <w:t>ponsor indicated it has no intention of withdrawing the submission, and pointed out several aspects of its submission:</w:t>
      </w:r>
    </w:p>
    <w:p w14:paraId="1A110BE9" w14:textId="54F734C0" w:rsidR="00F823AF" w:rsidRDefault="00F823AF" w:rsidP="00F823AF">
      <w:pPr>
        <w:pStyle w:val="ListBullet"/>
      </w:pPr>
      <w:r>
        <w:lastRenderedPageBreak/>
        <w:t>in accordance with the protocol in which a minimum of 20 patients and a maximum of 25</w:t>
      </w:r>
      <w:r w:rsidR="001A73FD">
        <w:t> </w:t>
      </w:r>
      <w:r>
        <w:t>patients were proposed for the cohort of paediatric patients with relapsed or refractory classical Hodgkin lymphoma.</w:t>
      </w:r>
    </w:p>
    <w:p w14:paraId="1B02A19E" w14:textId="2E79D9F0" w:rsidR="00F823AF" w:rsidRDefault="00F823AF" w:rsidP="00F823AF">
      <w:pPr>
        <w:pStyle w:val="ListBullet"/>
      </w:pPr>
      <w:r>
        <w:t>the extrapolation from adult studies was conducted in accordance with the TGA</w:t>
      </w:r>
      <w:r w:rsidR="001A73FD">
        <w:t>-</w:t>
      </w:r>
      <w:r>
        <w:t>adopted EU guidelines.</w:t>
      </w:r>
      <w:r w:rsidR="001A73FD">
        <w:rPr>
          <w:rStyle w:val="FootnoteReference"/>
        </w:rPr>
        <w:footnoteReference w:id="17"/>
      </w:r>
      <w:r w:rsidR="001A73FD">
        <w:rPr>
          <w:vertAlign w:val="superscript"/>
        </w:rPr>
        <w:t>,</w:t>
      </w:r>
      <w:r w:rsidR="001A73FD">
        <w:rPr>
          <w:rStyle w:val="FootnoteReference"/>
        </w:rPr>
        <w:footnoteReference w:id="18"/>
      </w:r>
    </w:p>
    <w:p w14:paraId="26839EA8" w14:textId="793B9395" w:rsidR="00F823AF" w:rsidRDefault="00F823AF" w:rsidP="00F823AF">
      <w:pPr>
        <w:spacing w:line="240" w:lineRule="auto"/>
      </w:pPr>
      <w:r>
        <w:t xml:space="preserve">The Delegate has recognised there are merits to </w:t>
      </w:r>
      <w:r w:rsidR="004E5745">
        <w:t>the</w:t>
      </w:r>
      <w:r>
        <w:t xml:space="preserve"> </w:t>
      </w:r>
      <w:r w:rsidR="00D46239">
        <w:t>s</w:t>
      </w:r>
      <w:r>
        <w:t>ponsor</w:t>
      </w:r>
      <w:r w:rsidR="004E5745">
        <w:t xml:space="preserve">’s </w:t>
      </w:r>
      <w:proofErr w:type="gramStart"/>
      <w:r w:rsidR="004E5745">
        <w:t>objections,</w:t>
      </w:r>
      <w:r>
        <w:t xml:space="preserve"> and</w:t>
      </w:r>
      <w:proofErr w:type="gramEnd"/>
      <w:r>
        <w:t xml:space="preserve"> has considered that while there are limitations to the evidence based on small patients numbers and that the submission does rely on extrapolation of adult data based on the similarity of the disease process of </w:t>
      </w:r>
      <w:r w:rsidR="00D46239" w:rsidRPr="00D46239">
        <w:t xml:space="preserve">relapsed or refractory classical Hodgkin lymphoma </w:t>
      </w:r>
      <w:r>
        <w:t xml:space="preserve">in young adults and paediatric aged patients. </w:t>
      </w:r>
    </w:p>
    <w:p w14:paraId="48C70D16" w14:textId="684FA5A9" w:rsidR="00F823AF" w:rsidRDefault="00F823AF" w:rsidP="00F823AF">
      <w:pPr>
        <w:spacing w:line="240" w:lineRule="auto"/>
      </w:pPr>
      <w:r>
        <w:t xml:space="preserve">Taking the </w:t>
      </w:r>
      <w:r w:rsidR="00D46239">
        <w:t>s</w:t>
      </w:r>
      <w:r>
        <w:t>ponsor’s response into consideration and the intent of the ACM advice</w:t>
      </w:r>
      <w:r w:rsidR="004E5745">
        <w:t>,</w:t>
      </w:r>
      <w:r>
        <w:t xml:space="preserve"> the Delegate has proposed to the sponsor </w:t>
      </w:r>
      <w:r w:rsidR="004E5745">
        <w:t>that including a description of the</w:t>
      </w:r>
      <w:r>
        <w:t xml:space="preserve"> limitation</w:t>
      </w:r>
      <w:r w:rsidR="004E5745">
        <w:t>s</w:t>
      </w:r>
      <w:r>
        <w:t xml:space="preserve"> of </w:t>
      </w:r>
      <w:r w:rsidR="004E5745">
        <w:t xml:space="preserve">the current </w:t>
      </w:r>
      <w:r>
        <w:t xml:space="preserve">evidence into the wording of the indication, </w:t>
      </w:r>
      <w:r w:rsidR="004E5745">
        <w:t>in a way that</w:t>
      </w:r>
      <w:r>
        <w:t xml:space="preserve"> would deliver a similar message about the limitation</w:t>
      </w:r>
      <w:r w:rsidR="004E5745">
        <w:t>s</w:t>
      </w:r>
      <w:r>
        <w:t xml:space="preserve"> of the data to prescribers</w:t>
      </w:r>
      <w:r w:rsidR="004E5745">
        <w:t xml:space="preserve">. Such a limitation could </w:t>
      </w:r>
      <w:r>
        <w:t xml:space="preserve">potentially be removed if more data were provided </w:t>
      </w:r>
      <w:proofErr w:type="gramStart"/>
      <w:r>
        <w:t>at a later time</w:t>
      </w:r>
      <w:proofErr w:type="gramEnd"/>
      <w:r>
        <w:t>. The Delegate proposed the following indication that has been accepted by the sponsor:</w:t>
      </w:r>
    </w:p>
    <w:p w14:paraId="6C33DD17" w14:textId="529330AA" w:rsidR="00F823AF" w:rsidRPr="002E5D98" w:rsidRDefault="004E5745" w:rsidP="002E5D98">
      <w:pPr>
        <w:ind w:left="720"/>
        <w:rPr>
          <w:i/>
        </w:rPr>
      </w:pPr>
      <w:r w:rsidRPr="004E5745">
        <w:rPr>
          <w:i/>
        </w:rPr>
        <w:t xml:space="preserve">Keytruda </w:t>
      </w:r>
      <w:r w:rsidR="00F823AF" w:rsidRPr="002E5D98">
        <w:rPr>
          <w:i/>
        </w:rPr>
        <w:t>(pembrolizumab) is indicated as monotherapy for the treatment of adult and paediatric patients with relapsed or refractory classical Hodgkin Lymphoma (</w:t>
      </w:r>
      <w:proofErr w:type="spellStart"/>
      <w:r w:rsidR="00F823AF" w:rsidRPr="002E5D98">
        <w:rPr>
          <w:i/>
        </w:rPr>
        <w:t>cHL</w:t>
      </w:r>
      <w:proofErr w:type="spellEnd"/>
      <w:r w:rsidR="00F823AF" w:rsidRPr="002E5D98">
        <w:rPr>
          <w:i/>
        </w:rPr>
        <w:t xml:space="preserve">): </w:t>
      </w:r>
    </w:p>
    <w:p w14:paraId="077FDF0D" w14:textId="1E48E324" w:rsidR="00F823AF" w:rsidRPr="002E5D98" w:rsidRDefault="00F823AF" w:rsidP="002E5D98">
      <w:pPr>
        <w:pStyle w:val="ListParagraph"/>
        <w:numPr>
          <w:ilvl w:val="0"/>
          <w:numId w:val="18"/>
        </w:numPr>
        <w:rPr>
          <w:i/>
        </w:rPr>
      </w:pPr>
      <w:r w:rsidRPr="002E5D98">
        <w:rPr>
          <w:i/>
        </w:rPr>
        <w:t xml:space="preserve">following autologous stem cell transplant (ASCT) </w:t>
      </w:r>
      <w:r w:rsidR="004E5745">
        <w:rPr>
          <w:i/>
        </w:rPr>
        <w:br/>
      </w:r>
    </w:p>
    <w:p w14:paraId="2199263F" w14:textId="411405E7" w:rsidR="00F823AF" w:rsidRPr="002E5D98" w:rsidRDefault="00F823AF" w:rsidP="002E5D98">
      <w:pPr>
        <w:pStyle w:val="ListParagraph"/>
        <w:numPr>
          <w:ilvl w:val="0"/>
          <w:numId w:val="18"/>
        </w:numPr>
        <w:rPr>
          <w:i/>
        </w:rPr>
      </w:pPr>
      <w:r w:rsidRPr="002E5D98">
        <w:rPr>
          <w:i/>
        </w:rPr>
        <w:t xml:space="preserve">following at least two prior therapies when ASCT or multi-agent chemotherapy is not a treatment option. </w:t>
      </w:r>
    </w:p>
    <w:p w14:paraId="35D178A9" w14:textId="77777777" w:rsidR="00F823AF" w:rsidRPr="002E5D98" w:rsidRDefault="00F823AF" w:rsidP="00794437">
      <w:pPr>
        <w:ind w:left="720"/>
        <w:rPr>
          <w:i/>
        </w:rPr>
      </w:pPr>
      <w:r w:rsidRPr="002E5D98">
        <w:rPr>
          <w:i/>
        </w:rPr>
        <w:t xml:space="preserve">The approval of this indication in paediatric patients is </w:t>
      </w:r>
      <w:proofErr w:type="gramStart"/>
      <w:r w:rsidRPr="002E5D98">
        <w:rPr>
          <w:i/>
        </w:rPr>
        <w:t>on the basis of</w:t>
      </w:r>
      <w:proofErr w:type="gramEnd"/>
      <w:r w:rsidRPr="002E5D98">
        <w:rPr>
          <w:i/>
        </w:rPr>
        <w:t xml:space="preserve"> objective response rate from patients aged 11 years and older from single arm trial data, and extrapolation from adult data (see Section 5.1 Pharmacodynamic Properties, Clinical Trials). </w:t>
      </w:r>
    </w:p>
    <w:p w14:paraId="400ECB3A" w14:textId="23DC190D" w:rsidR="00F823AF" w:rsidRDefault="00F823AF" w:rsidP="00F823AF">
      <w:pPr>
        <w:spacing w:line="240" w:lineRule="auto"/>
      </w:pPr>
      <w:proofErr w:type="gramStart"/>
      <w:r>
        <w:t>A number of</w:t>
      </w:r>
      <w:proofErr w:type="gramEnd"/>
      <w:r>
        <w:t xml:space="preserve"> changes were requested of the presentation of the information in the </w:t>
      </w:r>
      <w:r w:rsidR="000E51F3">
        <w:t>Product Information (PI)</w:t>
      </w:r>
      <w:r>
        <w:t xml:space="preserve"> that </w:t>
      </w:r>
      <w:r w:rsidR="004E5745">
        <w:t>aligns</w:t>
      </w:r>
      <w:r>
        <w:t xml:space="preserve"> the presentation of the data for the adult population more closely with the US</w:t>
      </w:r>
      <w:r w:rsidR="004E5745">
        <w:t>A</w:t>
      </w:r>
      <w:r w:rsidR="009A1A9E">
        <w:t xml:space="preserve"> and </w:t>
      </w:r>
      <w:r w:rsidR="005F3903">
        <w:t>EU</w:t>
      </w:r>
      <w:r>
        <w:t xml:space="preserve"> prescribing information for Keytruda, and also includes a statement about the paediatric data including the results for the clinical trials section.</w:t>
      </w:r>
    </w:p>
    <w:p w14:paraId="38E8DAEE" w14:textId="68697F5C" w:rsidR="00F823AF" w:rsidRDefault="00F823AF" w:rsidP="00F823AF">
      <w:pPr>
        <w:spacing w:line="240" w:lineRule="auto"/>
      </w:pPr>
      <w:r>
        <w:t>An acceptable PI has been negotiated.</w:t>
      </w:r>
    </w:p>
    <w:p w14:paraId="3EE8A99F" w14:textId="0CD853F6" w:rsidR="000E51F3" w:rsidRPr="003B7154" w:rsidRDefault="000E51F3" w:rsidP="00794437">
      <w:pPr>
        <w:spacing w:before="0"/>
      </w:pPr>
      <w:r>
        <w:br w:type="page"/>
      </w:r>
    </w:p>
    <w:p w14:paraId="307F236C" w14:textId="77777777" w:rsidR="00C22214" w:rsidRPr="002E238E" w:rsidRDefault="00C22214" w:rsidP="00C22214">
      <w:pPr>
        <w:pStyle w:val="Heading2"/>
      </w:pPr>
      <w:bookmarkStart w:id="84" w:name="_Toc133584027"/>
      <w:r>
        <w:lastRenderedPageBreak/>
        <w:t>Outcome</w:t>
      </w:r>
      <w:bookmarkEnd w:id="81"/>
      <w:bookmarkEnd w:id="82"/>
      <w:bookmarkEnd w:id="83"/>
      <w:bookmarkEnd w:id="84"/>
    </w:p>
    <w:p w14:paraId="3FB1D73D" w14:textId="77777777" w:rsidR="00B004E2" w:rsidRPr="00B004E2" w:rsidRDefault="00C22214" w:rsidP="00B004E2">
      <w:r w:rsidRPr="00B004E2">
        <w:t xml:space="preserve">Based on a review of quality, safety, and efficacy, the TGA approved the registration of </w:t>
      </w:r>
      <w:r w:rsidR="00B004E2" w:rsidRPr="00B004E2">
        <w:t xml:space="preserve">Keytruda </w:t>
      </w:r>
      <w:r w:rsidRPr="00B004E2">
        <w:t>(</w:t>
      </w:r>
      <w:r w:rsidR="00B004E2" w:rsidRPr="00B004E2">
        <w:t>pembrolizumab</w:t>
      </w:r>
      <w:r w:rsidRPr="00B004E2">
        <w:t xml:space="preserve">) </w:t>
      </w:r>
      <w:r w:rsidR="00B004E2" w:rsidRPr="00B004E2">
        <w:t xml:space="preserve">50 mg powder for injection vial and 100 mg/4 mL concentrated solution for injection vial </w:t>
      </w:r>
      <w:r w:rsidRPr="00B004E2">
        <w:t>indicated for the following extension of indications:</w:t>
      </w:r>
    </w:p>
    <w:p w14:paraId="2F004B14" w14:textId="2FB7F800" w:rsidR="00B004E2" w:rsidRPr="00B004E2" w:rsidRDefault="00B004E2" w:rsidP="00B004E2">
      <w:pPr>
        <w:ind w:left="720"/>
        <w:rPr>
          <w:b/>
          <w:bCs/>
          <w:i/>
          <w:iCs/>
        </w:rPr>
      </w:pPr>
      <w:r w:rsidRPr="00B004E2">
        <w:rPr>
          <w:b/>
          <w:bCs/>
          <w:i/>
          <w:iCs/>
        </w:rPr>
        <w:t>Classical Hodgkin Lymphoma (</w:t>
      </w:r>
      <w:proofErr w:type="spellStart"/>
      <w:r w:rsidRPr="00B004E2">
        <w:rPr>
          <w:b/>
          <w:bCs/>
          <w:i/>
          <w:iCs/>
        </w:rPr>
        <w:t>cHL</w:t>
      </w:r>
      <w:proofErr w:type="spellEnd"/>
      <w:r w:rsidRPr="00B004E2">
        <w:rPr>
          <w:b/>
          <w:bCs/>
          <w:i/>
          <w:iCs/>
        </w:rPr>
        <w:t>)</w:t>
      </w:r>
    </w:p>
    <w:p w14:paraId="5D7A574A" w14:textId="39149427" w:rsidR="00B004E2" w:rsidRPr="00B004E2" w:rsidRDefault="00B004E2" w:rsidP="00B004E2">
      <w:pPr>
        <w:ind w:left="720"/>
        <w:rPr>
          <w:i/>
          <w:iCs/>
        </w:rPr>
      </w:pPr>
      <w:r>
        <w:rPr>
          <w:i/>
          <w:iCs/>
        </w:rPr>
        <w:t xml:space="preserve">Keytruda </w:t>
      </w:r>
      <w:r w:rsidRPr="00B004E2">
        <w:rPr>
          <w:i/>
          <w:iCs/>
        </w:rPr>
        <w:t>(pembrolizumab) is indicated as monotherapy for the treatment of adult and paediatric patients with relapsed or refractory classical Hodgkin Lymphoma (</w:t>
      </w:r>
      <w:proofErr w:type="spellStart"/>
      <w:r w:rsidRPr="00B004E2">
        <w:rPr>
          <w:i/>
          <w:iCs/>
        </w:rPr>
        <w:t>cHL</w:t>
      </w:r>
      <w:proofErr w:type="spellEnd"/>
      <w:r w:rsidRPr="00B004E2">
        <w:rPr>
          <w:i/>
          <w:iCs/>
        </w:rPr>
        <w:t>):</w:t>
      </w:r>
    </w:p>
    <w:p w14:paraId="39739E9B" w14:textId="3A1034B1" w:rsidR="00B004E2" w:rsidRPr="00794437" w:rsidRDefault="00B004E2" w:rsidP="00794437">
      <w:pPr>
        <w:pStyle w:val="ListParagraph"/>
        <w:numPr>
          <w:ilvl w:val="0"/>
          <w:numId w:val="19"/>
        </w:numPr>
        <w:rPr>
          <w:i/>
        </w:rPr>
      </w:pPr>
      <w:r w:rsidRPr="00794437">
        <w:rPr>
          <w:i/>
        </w:rPr>
        <w:t>following autologous stem cell transplant (ASCT) or</w:t>
      </w:r>
    </w:p>
    <w:p w14:paraId="290C1294" w14:textId="692D721A" w:rsidR="00B004E2" w:rsidRPr="00C13873" w:rsidRDefault="00B004E2" w:rsidP="00794437">
      <w:pPr>
        <w:pStyle w:val="ListParagraph"/>
        <w:numPr>
          <w:ilvl w:val="0"/>
          <w:numId w:val="19"/>
        </w:numPr>
        <w:rPr>
          <w:i/>
        </w:rPr>
      </w:pPr>
      <w:r w:rsidRPr="00C13873">
        <w:rPr>
          <w:i/>
        </w:rPr>
        <w:t>following at least two prior therapies when ASCT or multi-agent chemotherapy is not a treatment option.</w:t>
      </w:r>
    </w:p>
    <w:p w14:paraId="5F660D33" w14:textId="43255CC8" w:rsidR="00B004E2" w:rsidRPr="00B004E2" w:rsidRDefault="00B004E2" w:rsidP="00B004E2">
      <w:pPr>
        <w:ind w:left="720"/>
        <w:rPr>
          <w:i/>
          <w:iCs/>
        </w:rPr>
      </w:pPr>
      <w:r w:rsidRPr="00B004E2">
        <w:rPr>
          <w:i/>
          <w:iCs/>
        </w:rPr>
        <w:t xml:space="preserve">The approval of this indication in paediatric patients is </w:t>
      </w:r>
      <w:proofErr w:type="gramStart"/>
      <w:r w:rsidRPr="00B004E2">
        <w:rPr>
          <w:i/>
          <w:iCs/>
        </w:rPr>
        <w:t>on the basis of</w:t>
      </w:r>
      <w:proofErr w:type="gramEnd"/>
      <w:r w:rsidRPr="00B004E2">
        <w:rPr>
          <w:i/>
          <w:iCs/>
        </w:rPr>
        <w:t xml:space="preserve"> objective response rate from patients aged 11 years and older from single arm trial data and extrapolation from adult data (see Section 5.1 Pharmacodynamic properties, Clinical Trials).</w:t>
      </w:r>
    </w:p>
    <w:p w14:paraId="500F60C2" w14:textId="035CF0D4" w:rsidR="00C22214" w:rsidRDefault="00C22214" w:rsidP="00C22214">
      <w:pPr>
        <w:rPr>
          <w:szCs w:val="22"/>
        </w:rPr>
      </w:pPr>
      <w:r w:rsidRPr="00BD5DBD">
        <w:rPr>
          <w:szCs w:val="22"/>
        </w:rPr>
        <w:t xml:space="preserve">As such, the full indications </w:t>
      </w:r>
      <w:proofErr w:type="gramStart"/>
      <w:r w:rsidRPr="00BD5DBD">
        <w:rPr>
          <w:szCs w:val="22"/>
        </w:rPr>
        <w:t>at this time</w:t>
      </w:r>
      <w:proofErr w:type="gramEnd"/>
      <w:r w:rsidRPr="00BD5DBD">
        <w:rPr>
          <w:szCs w:val="22"/>
        </w:rPr>
        <w:t xml:space="preserve"> were:</w:t>
      </w:r>
    </w:p>
    <w:p w14:paraId="22A1701C" w14:textId="77777777" w:rsidR="00B004E2" w:rsidRPr="00B004E2" w:rsidRDefault="00B004E2" w:rsidP="00B004E2">
      <w:pPr>
        <w:ind w:left="720"/>
        <w:rPr>
          <w:b/>
          <w:bCs/>
          <w:i/>
          <w:iCs/>
        </w:rPr>
      </w:pPr>
      <w:r w:rsidRPr="00B004E2">
        <w:rPr>
          <w:b/>
          <w:bCs/>
          <w:i/>
          <w:iCs/>
        </w:rPr>
        <w:t>Melanoma</w:t>
      </w:r>
    </w:p>
    <w:p w14:paraId="64921DA3" w14:textId="2622F73A" w:rsidR="00B004E2" w:rsidRPr="00B004E2" w:rsidRDefault="00B004E2" w:rsidP="00B004E2">
      <w:pPr>
        <w:ind w:left="720"/>
        <w:rPr>
          <w:i/>
          <w:iCs/>
        </w:rPr>
      </w:pPr>
      <w:r>
        <w:rPr>
          <w:i/>
          <w:iCs/>
        </w:rPr>
        <w:t xml:space="preserve">Keytruda </w:t>
      </w:r>
      <w:r w:rsidRPr="00B004E2">
        <w:rPr>
          <w:i/>
          <w:iCs/>
        </w:rPr>
        <w:t>(pembrolizumab) is indicated as monotherapy for the treatment of unresectable or metastatic melanoma in adults.</w:t>
      </w:r>
    </w:p>
    <w:p w14:paraId="7AC9894C" w14:textId="2D87A1C0" w:rsidR="00B004E2" w:rsidRPr="00B004E2" w:rsidRDefault="00B004E2" w:rsidP="00B004E2">
      <w:pPr>
        <w:ind w:left="720"/>
        <w:rPr>
          <w:i/>
          <w:iCs/>
        </w:rPr>
      </w:pPr>
      <w:r>
        <w:rPr>
          <w:i/>
          <w:iCs/>
        </w:rPr>
        <w:t xml:space="preserve">Keytruda </w:t>
      </w:r>
      <w:r w:rsidRPr="00B004E2">
        <w:rPr>
          <w:i/>
          <w:iCs/>
        </w:rPr>
        <w:t>(pembrolizumab) is indicated as monotherapy for the adjuvant treatment of patients with melanoma with lymph node involvement who have undergone complete resection.</w:t>
      </w:r>
    </w:p>
    <w:p w14:paraId="20A5151C" w14:textId="77777777" w:rsidR="00B004E2" w:rsidRPr="00B004E2" w:rsidRDefault="00B004E2" w:rsidP="00B004E2">
      <w:pPr>
        <w:ind w:left="720"/>
        <w:rPr>
          <w:b/>
          <w:bCs/>
          <w:i/>
          <w:iCs/>
        </w:rPr>
      </w:pPr>
      <w:r w:rsidRPr="00B004E2">
        <w:rPr>
          <w:b/>
          <w:bCs/>
          <w:i/>
          <w:iCs/>
        </w:rPr>
        <w:t>Non-small cell lung cancer (NSCLC)</w:t>
      </w:r>
    </w:p>
    <w:p w14:paraId="1F8FADD0" w14:textId="26FD211E" w:rsidR="00B004E2" w:rsidRPr="00B004E2" w:rsidRDefault="00B004E2" w:rsidP="00B004E2">
      <w:pPr>
        <w:ind w:left="720"/>
        <w:rPr>
          <w:i/>
          <w:iCs/>
        </w:rPr>
      </w:pPr>
      <w:r>
        <w:rPr>
          <w:i/>
          <w:iCs/>
        </w:rPr>
        <w:t xml:space="preserve">Keytruda </w:t>
      </w:r>
      <w:r w:rsidRPr="00B004E2">
        <w:rPr>
          <w:i/>
          <w:iCs/>
        </w:rPr>
        <w:t>(pembrolizumab), in combination with pemetrexed and platinum chemotherapy, is indicated for the first-line treatment of patients with metastatic non-squamous NSCLC, with no EGFR or ALK genomic tumour aberrations.</w:t>
      </w:r>
    </w:p>
    <w:p w14:paraId="294AB476" w14:textId="1BAB7E7F" w:rsidR="00B004E2" w:rsidRPr="00B004E2" w:rsidRDefault="00B004E2" w:rsidP="00B004E2">
      <w:pPr>
        <w:ind w:left="720"/>
        <w:rPr>
          <w:i/>
          <w:iCs/>
        </w:rPr>
      </w:pPr>
      <w:r>
        <w:rPr>
          <w:i/>
          <w:iCs/>
        </w:rPr>
        <w:t xml:space="preserve">Keytruda </w:t>
      </w:r>
      <w:r w:rsidRPr="00B004E2">
        <w:rPr>
          <w:i/>
          <w:iCs/>
        </w:rPr>
        <w:t>(pembrolizumab), in combination with carboplatin and either paclitaxel or nab-paclitaxel, is indicated for the first-line treatment of patients with metastatic squamous NSCLC.</w:t>
      </w:r>
    </w:p>
    <w:p w14:paraId="41A8BA24" w14:textId="05CB16AC" w:rsidR="00B004E2" w:rsidRPr="00B004E2" w:rsidRDefault="00B004E2" w:rsidP="00B004E2">
      <w:pPr>
        <w:ind w:left="720"/>
        <w:rPr>
          <w:i/>
          <w:iCs/>
        </w:rPr>
      </w:pPr>
      <w:r>
        <w:rPr>
          <w:i/>
          <w:iCs/>
        </w:rPr>
        <w:t xml:space="preserve">Keytruda </w:t>
      </w:r>
      <w:r w:rsidRPr="00B004E2">
        <w:rPr>
          <w:i/>
          <w:iCs/>
        </w:rPr>
        <w:t>(pembrolizumab) is indicated as monotherapy for the first-line treatment of patients with NSCLC expressing PD-L1 [tumour proportion score (TPS) ≥1%] as determined by a validated test, with no EGFR or ALK genomic tumour aberrations, and is</w:t>
      </w:r>
    </w:p>
    <w:p w14:paraId="3287536A" w14:textId="38D8F97C" w:rsidR="00B004E2" w:rsidRPr="00B004E2" w:rsidRDefault="00B004E2" w:rsidP="00B004E2">
      <w:pPr>
        <w:pStyle w:val="ListBullet"/>
        <w:ind w:left="1080"/>
        <w:rPr>
          <w:i/>
          <w:iCs/>
        </w:rPr>
      </w:pPr>
      <w:r w:rsidRPr="00B004E2">
        <w:rPr>
          <w:i/>
          <w:iCs/>
        </w:rPr>
        <w:t>stage III where patients are not candidates for surgical resection or definitive chemoradiation, or</w:t>
      </w:r>
    </w:p>
    <w:p w14:paraId="1D0C5A34" w14:textId="37FCD5E5" w:rsidR="00B004E2" w:rsidRPr="00B004E2" w:rsidRDefault="00B004E2" w:rsidP="00B004E2">
      <w:pPr>
        <w:pStyle w:val="ListBullet"/>
        <w:ind w:left="1080"/>
        <w:rPr>
          <w:i/>
          <w:iCs/>
        </w:rPr>
      </w:pPr>
      <w:r w:rsidRPr="00B004E2">
        <w:rPr>
          <w:i/>
          <w:iCs/>
        </w:rPr>
        <w:t>metastatic.</w:t>
      </w:r>
    </w:p>
    <w:p w14:paraId="1A7B1A20" w14:textId="15049C55" w:rsidR="00B004E2" w:rsidRPr="00B004E2" w:rsidRDefault="00B004E2" w:rsidP="00B004E2">
      <w:pPr>
        <w:ind w:left="720"/>
        <w:rPr>
          <w:i/>
          <w:iCs/>
        </w:rPr>
      </w:pPr>
      <w:r>
        <w:rPr>
          <w:i/>
          <w:iCs/>
        </w:rPr>
        <w:t xml:space="preserve">Keytruda </w:t>
      </w:r>
      <w:r w:rsidRPr="00B004E2">
        <w:rPr>
          <w:i/>
          <w:iCs/>
        </w:rPr>
        <w:t xml:space="preserve">(pembrolizumab)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w:t>
      </w:r>
      <w:proofErr w:type="gramStart"/>
      <w:r>
        <w:rPr>
          <w:i/>
          <w:iCs/>
        </w:rPr>
        <w:t xml:space="preserve">Keytruda </w:t>
      </w:r>
      <w:r w:rsidRPr="00B004E2">
        <w:rPr>
          <w:i/>
          <w:iCs/>
        </w:rPr>
        <w:t>.</w:t>
      </w:r>
      <w:proofErr w:type="gramEnd"/>
    </w:p>
    <w:p w14:paraId="7FA5FA9D" w14:textId="77777777" w:rsidR="00B004E2" w:rsidRPr="00B004E2" w:rsidRDefault="00B004E2" w:rsidP="00B004E2">
      <w:pPr>
        <w:ind w:left="720"/>
        <w:rPr>
          <w:b/>
          <w:bCs/>
          <w:i/>
          <w:iCs/>
        </w:rPr>
      </w:pPr>
      <w:r w:rsidRPr="00B004E2">
        <w:rPr>
          <w:b/>
          <w:bCs/>
          <w:i/>
          <w:iCs/>
        </w:rPr>
        <w:t>Head and Neck Squamous Cell Cancer (HNSCC)</w:t>
      </w:r>
    </w:p>
    <w:p w14:paraId="7320DCAD" w14:textId="0937F8E7" w:rsidR="00B004E2" w:rsidRPr="00B004E2" w:rsidRDefault="00B004E2" w:rsidP="00B004E2">
      <w:pPr>
        <w:ind w:left="720"/>
        <w:rPr>
          <w:i/>
          <w:iCs/>
        </w:rPr>
      </w:pPr>
      <w:r>
        <w:rPr>
          <w:i/>
          <w:iCs/>
        </w:rPr>
        <w:t xml:space="preserve">Keytruda </w:t>
      </w:r>
      <w:r w:rsidRPr="00B004E2">
        <w:rPr>
          <w:i/>
          <w:iCs/>
        </w:rPr>
        <w:t xml:space="preserve">(pembrolizumab), as monotherapy or in combination with platinum and 5- fluorouracil (5-FU) chemotherapy, is indicated for the first-line treatment of patients with </w:t>
      </w:r>
      <w:r w:rsidRPr="00B004E2">
        <w:rPr>
          <w:i/>
          <w:iCs/>
        </w:rPr>
        <w:lastRenderedPageBreak/>
        <w:t>metastatic or unresectable recurrent HNSCC, and whose tumours express PD-L1 [Combined Positive Score (CPS) ≥1] as determined by a validated test.</w:t>
      </w:r>
    </w:p>
    <w:p w14:paraId="1E96EA0A" w14:textId="17D21F93" w:rsidR="00B004E2" w:rsidRPr="00B004E2" w:rsidRDefault="00B004E2" w:rsidP="00B004E2">
      <w:pPr>
        <w:ind w:left="720"/>
        <w:rPr>
          <w:i/>
          <w:iCs/>
        </w:rPr>
      </w:pPr>
      <w:r>
        <w:rPr>
          <w:i/>
          <w:iCs/>
        </w:rPr>
        <w:t xml:space="preserve">Keytruda </w:t>
      </w:r>
      <w:r w:rsidRPr="00B004E2">
        <w:rPr>
          <w:i/>
          <w:iCs/>
        </w:rPr>
        <w:t>(pembrolizumab) is indicated as monotherapy for the treatment of patients with metastatic or unresectable recurrent HNSCC with disease progression on or after platinum containing chemotherapy and whose tumours express PD-L1 [Combined Positive Score (CPS) ≥1] as determined by a validated test.</w:t>
      </w:r>
    </w:p>
    <w:p w14:paraId="1E9D3C14" w14:textId="77777777" w:rsidR="00B004E2" w:rsidRPr="00B004E2" w:rsidRDefault="00B004E2" w:rsidP="00B004E2">
      <w:pPr>
        <w:ind w:left="720"/>
        <w:rPr>
          <w:b/>
          <w:bCs/>
          <w:i/>
          <w:iCs/>
        </w:rPr>
      </w:pPr>
      <w:r w:rsidRPr="00B004E2">
        <w:rPr>
          <w:b/>
          <w:bCs/>
          <w:i/>
          <w:iCs/>
        </w:rPr>
        <w:t>Classical Hodgkin Lymphoma (</w:t>
      </w:r>
      <w:proofErr w:type="spellStart"/>
      <w:r w:rsidRPr="00B004E2">
        <w:rPr>
          <w:b/>
          <w:bCs/>
          <w:i/>
          <w:iCs/>
        </w:rPr>
        <w:t>cHL</w:t>
      </w:r>
      <w:proofErr w:type="spellEnd"/>
      <w:r w:rsidRPr="00B004E2">
        <w:rPr>
          <w:b/>
          <w:bCs/>
          <w:i/>
          <w:iCs/>
        </w:rPr>
        <w:t>)</w:t>
      </w:r>
    </w:p>
    <w:p w14:paraId="2AF163B1" w14:textId="151A28D8" w:rsidR="00B004E2" w:rsidRPr="00B004E2" w:rsidRDefault="00B004E2" w:rsidP="00B004E2">
      <w:pPr>
        <w:ind w:left="720"/>
        <w:rPr>
          <w:i/>
          <w:iCs/>
        </w:rPr>
      </w:pPr>
      <w:r>
        <w:rPr>
          <w:i/>
          <w:iCs/>
        </w:rPr>
        <w:t xml:space="preserve">Keytruda </w:t>
      </w:r>
      <w:r w:rsidRPr="00B004E2">
        <w:rPr>
          <w:i/>
          <w:iCs/>
        </w:rPr>
        <w:t>(pembrolizumab) is indicated as monotherapy for the treatment of adult and paediatric patients with relapsed or refractory classical Hodgkin Lymphoma (</w:t>
      </w:r>
      <w:proofErr w:type="spellStart"/>
      <w:r w:rsidRPr="00B004E2">
        <w:rPr>
          <w:i/>
          <w:iCs/>
        </w:rPr>
        <w:t>cHL</w:t>
      </w:r>
      <w:proofErr w:type="spellEnd"/>
      <w:r w:rsidRPr="00B004E2">
        <w:rPr>
          <w:i/>
          <w:iCs/>
        </w:rPr>
        <w:t>):</w:t>
      </w:r>
    </w:p>
    <w:p w14:paraId="098A4802" w14:textId="19B6E9D8" w:rsidR="00B004E2" w:rsidRPr="00B004E2" w:rsidRDefault="00B004E2" w:rsidP="00794437">
      <w:pPr>
        <w:pStyle w:val="ListBullet"/>
        <w:numPr>
          <w:ilvl w:val="0"/>
          <w:numId w:val="20"/>
        </w:numPr>
        <w:rPr>
          <w:i/>
          <w:iCs/>
        </w:rPr>
      </w:pPr>
      <w:r w:rsidRPr="00B004E2">
        <w:rPr>
          <w:i/>
          <w:iCs/>
        </w:rPr>
        <w:t>following autologous stem cell transplant (ASCT) or</w:t>
      </w:r>
    </w:p>
    <w:p w14:paraId="2A14FE3A" w14:textId="0E9B8C68" w:rsidR="00B004E2" w:rsidRPr="00B004E2" w:rsidRDefault="00B004E2" w:rsidP="00794437">
      <w:pPr>
        <w:pStyle w:val="ListBullet"/>
        <w:numPr>
          <w:ilvl w:val="0"/>
          <w:numId w:val="20"/>
        </w:numPr>
        <w:rPr>
          <w:i/>
          <w:iCs/>
        </w:rPr>
      </w:pPr>
      <w:r w:rsidRPr="00B004E2">
        <w:rPr>
          <w:i/>
          <w:iCs/>
        </w:rPr>
        <w:t>following at least two prior therapies when ASCT or multi-agent chemotherapy is not a treatment option.</w:t>
      </w:r>
    </w:p>
    <w:p w14:paraId="28F94A63" w14:textId="1C0D90F0" w:rsidR="00B004E2" w:rsidRPr="00B004E2" w:rsidRDefault="00B004E2" w:rsidP="00B004E2">
      <w:pPr>
        <w:ind w:left="720"/>
        <w:rPr>
          <w:i/>
          <w:iCs/>
        </w:rPr>
      </w:pPr>
      <w:r w:rsidRPr="00B004E2">
        <w:rPr>
          <w:i/>
          <w:iCs/>
        </w:rPr>
        <w:t xml:space="preserve">The approval of this indication in paediatric patients is </w:t>
      </w:r>
      <w:proofErr w:type="gramStart"/>
      <w:r w:rsidRPr="00B004E2">
        <w:rPr>
          <w:i/>
          <w:iCs/>
        </w:rPr>
        <w:t>on the basis of</w:t>
      </w:r>
      <w:proofErr w:type="gramEnd"/>
      <w:r w:rsidRPr="00B004E2">
        <w:rPr>
          <w:i/>
          <w:iCs/>
        </w:rPr>
        <w:t xml:space="preserve"> objective response rate from patients aged 11 years and older from single arm trial data and extrapolation from adult data (see Section 5.1 Pharmacodynamic properties, Clinical Trials).</w:t>
      </w:r>
    </w:p>
    <w:p w14:paraId="132DAC01" w14:textId="77777777" w:rsidR="00B004E2" w:rsidRPr="00B004E2" w:rsidRDefault="00B004E2" w:rsidP="00B004E2">
      <w:pPr>
        <w:ind w:left="720"/>
        <w:rPr>
          <w:b/>
          <w:bCs/>
          <w:i/>
          <w:iCs/>
        </w:rPr>
      </w:pPr>
      <w:r w:rsidRPr="00B004E2">
        <w:rPr>
          <w:b/>
          <w:bCs/>
          <w:i/>
          <w:iCs/>
        </w:rPr>
        <w:t>Primary mediastinal B-Cell Lymphoma (PMBCL)</w:t>
      </w:r>
    </w:p>
    <w:p w14:paraId="4F4367AE" w14:textId="646127FF" w:rsidR="00B004E2" w:rsidRPr="00B004E2" w:rsidRDefault="00B004E2" w:rsidP="00B004E2">
      <w:pPr>
        <w:ind w:left="720"/>
        <w:rPr>
          <w:i/>
          <w:iCs/>
        </w:rPr>
      </w:pPr>
      <w:r>
        <w:rPr>
          <w:i/>
          <w:iCs/>
        </w:rPr>
        <w:t xml:space="preserve">Keytruda </w:t>
      </w:r>
      <w:r w:rsidRPr="00B004E2">
        <w:rPr>
          <w:i/>
          <w:iCs/>
        </w:rPr>
        <w:t xml:space="preserve">(pembrolizumab) is indicated for the treatment of adult and paediatric patients with refractory primary mediastinal B-cell lymphoma (PMBCL), or who have relapsed after 2 or more prior lines of therapy. The approval of this indication is </w:t>
      </w:r>
      <w:proofErr w:type="gramStart"/>
      <w:r w:rsidRPr="00B004E2">
        <w:rPr>
          <w:i/>
          <w:iCs/>
        </w:rPr>
        <w:t>on the basis of</w:t>
      </w:r>
      <w:proofErr w:type="gramEnd"/>
      <w:r w:rsidRPr="00B004E2">
        <w:rPr>
          <w:i/>
          <w:iCs/>
        </w:rPr>
        <w:t xml:space="preserve"> objective response rate (ORR) and duration of response from non-randomised studies. See Section 5.1 Pharmacodynamic properties, Clinical Trials.</w:t>
      </w:r>
    </w:p>
    <w:p w14:paraId="67ED6B9B" w14:textId="77777777" w:rsidR="00B004E2" w:rsidRPr="00B004E2" w:rsidRDefault="00B004E2" w:rsidP="00B004E2">
      <w:pPr>
        <w:ind w:left="720"/>
        <w:rPr>
          <w:b/>
          <w:bCs/>
          <w:i/>
          <w:iCs/>
        </w:rPr>
      </w:pPr>
      <w:r w:rsidRPr="00B004E2">
        <w:rPr>
          <w:b/>
          <w:bCs/>
          <w:i/>
          <w:iCs/>
        </w:rPr>
        <w:t>Urothelial carcinoma</w:t>
      </w:r>
    </w:p>
    <w:p w14:paraId="3BC84610" w14:textId="38F29162" w:rsidR="00B004E2" w:rsidRPr="00B004E2" w:rsidRDefault="00B004E2" w:rsidP="00B004E2">
      <w:pPr>
        <w:ind w:left="720"/>
        <w:rPr>
          <w:i/>
          <w:iCs/>
        </w:rPr>
      </w:pPr>
      <w:r>
        <w:rPr>
          <w:i/>
          <w:iCs/>
        </w:rPr>
        <w:t xml:space="preserve">Keytruda </w:t>
      </w:r>
      <w:r w:rsidRPr="00B004E2">
        <w:rPr>
          <w:i/>
          <w:iCs/>
        </w:rPr>
        <w:t>(pembrolizumab) is indicated as monotherapy for the treatment of patients with locally advanced or metastatic urothelial carcinoma who are not eligible for cisplatin containing therapy and whose tumours express PD-L1 [Combined Positive Score (CPS) ≥10] as determined by a validated test, or in patients who are not eligible for any platinum-containing chemotherapy regardless of PD-L1 status. This indication is approved based on overall response rate and duration of response in a single-arm study. Improvements in overall survival, progression-free survival, or health-related quality of life have not been established.</w:t>
      </w:r>
    </w:p>
    <w:p w14:paraId="4D3FAFF8" w14:textId="03CA6C2D" w:rsidR="00B004E2" w:rsidRPr="00B004E2" w:rsidRDefault="00B004E2" w:rsidP="00B004E2">
      <w:pPr>
        <w:ind w:left="720"/>
        <w:rPr>
          <w:i/>
          <w:iCs/>
        </w:rPr>
      </w:pPr>
      <w:r>
        <w:rPr>
          <w:i/>
          <w:iCs/>
        </w:rPr>
        <w:t xml:space="preserve">Keytruda </w:t>
      </w:r>
      <w:r w:rsidRPr="00B004E2">
        <w:rPr>
          <w:i/>
          <w:iCs/>
        </w:rPr>
        <w:t>(pembrolizumab) is indicated as monotherapy for the treatment of patients with locally advanced or metastatic urothelial carcinoma who have received platinum-containing chemotherapy.</w:t>
      </w:r>
    </w:p>
    <w:p w14:paraId="68D96C53" w14:textId="5498FEB8" w:rsidR="00B004E2" w:rsidRPr="00B004E2" w:rsidRDefault="00B004E2" w:rsidP="00B004E2">
      <w:pPr>
        <w:ind w:left="720"/>
        <w:rPr>
          <w:i/>
          <w:iCs/>
        </w:rPr>
      </w:pPr>
      <w:r>
        <w:rPr>
          <w:i/>
          <w:iCs/>
        </w:rPr>
        <w:t xml:space="preserve">Keytruda </w:t>
      </w:r>
      <w:r w:rsidRPr="00B004E2">
        <w:rPr>
          <w:i/>
          <w:iCs/>
        </w:rPr>
        <w:t xml:space="preserve">(pembrolizumab) is indicated for the treatment of patients with Bacillus Calmette-Guerin (BCG)-unresponsive, high-risk, non-muscle invasive bladder cancer (NMIBC) with carcinoma in-situ (CIS) with or without papillary tumours who are ineligible for or have elected not to undergo cystectomy. This indication was approved via the </w:t>
      </w:r>
      <w:r w:rsidRPr="00B004E2">
        <w:rPr>
          <w:b/>
          <w:bCs/>
          <w:i/>
          <w:iCs/>
        </w:rPr>
        <w:t>provisional approval</w:t>
      </w:r>
      <w:r w:rsidRPr="00B004E2">
        <w:rPr>
          <w:i/>
          <w:iCs/>
        </w:rPr>
        <w:t xml:space="preserve"> pathway based on complete response rate and duration of response. Continued approval of this indication depends on verification and description of benefit in confirmatory trials.</w:t>
      </w:r>
    </w:p>
    <w:p w14:paraId="78D91BC9" w14:textId="187558B9" w:rsidR="00B004E2" w:rsidRPr="00794437" w:rsidRDefault="00B004E2" w:rsidP="00B004E2">
      <w:pPr>
        <w:ind w:left="720"/>
        <w:rPr>
          <w:i/>
          <w:iCs/>
        </w:rPr>
      </w:pPr>
      <w:r w:rsidRPr="00B004E2">
        <w:rPr>
          <w:b/>
          <w:bCs/>
          <w:i/>
          <w:iCs/>
        </w:rPr>
        <w:t>Microsatellite instability-high (MSI-H) or mismatch repair deficient (</w:t>
      </w:r>
      <w:proofErr w:type="spellStart"/>
      <w:r w:rsidRPr="00B004E2">
        <w:rPr>
          <w:b/>
          <w:bCs/>
          <w:i/>
          <w:iCs/>
        </w:rPr>
        <w:t>dMMR</w:t>
      </w:r>
      <w:proofErr w:type="spellEnd"/>
      <w:r w:rsidRPr="00B004E2">
        <w:rPr>
          <w:b/>
          <w:bCs/>
          <w:i/>
          <w:iCs/>
        </w:rPr>
        <w:t xml:space="preserve">) cancer </w:t>
      </w:r>
      <w:r w:rsidRPr="00794437">
        <w:rPr>
          <w:i/>
          <w:iCs/>
        </w:rPr>
        <w:t>Colorectal (previously untreated)</w:t>
      </w:r>
    </w:p>
    <w:p w14:paraId="6A60E7F5" w14:textId="5B8C2959" w:rsidR="00B004E2" w:rsidRPr="00B004E2" w:rsidRDefault="00B004E2" w:rsidP="00B004E2">
      <w:pPr>
        <w:ind w:left="720"/>
        <w:rPr>
          <w:i/>
          <w:iCs/>
        </w:rPr>
      </w:pPr>
      <w:r>
        <w:rPr>
          <w:i/>
          <w:iCs/>
        </w:rPr>
        <w:lastRenderedPageBreak/>
        <w:t xml:space="preserve">Keytruda </w:t>
      </w:r>
      <w:r w:rsidRPr="00B004E2">
        <w:rPr>
          <w:i/>
          <w:iCs/>
        </w:rPr>
        <w:t xml:space="preserve">(pembrolizumab) is indicated for the first-line treatment of patients with unresectable or metastatic colorectal cancer (CRC) that is MSI-H or </w:t>
      </w:r>
      <w:proofErr w:type="spellStart"/>
      <w:r w:rsidRPr="00B004E2">
        <w:rPr>
          <w:i/>
          <w:iCs/>
        </w:rPr>
        <w:t>dMMR</w:t>
      </w:r>
      <w:proofErr w:type="spellEnd"/>
      <w:r w:rsidRPr="00B004E2">
        <w:rPr>
          <w:i/>
          <w:iCs/>
        </w:rPr>
        <w:t xml:space="preserve"> as determined by a validated test.</w:t>
      </w:r>
    </w:p>
    <w:p w14:paraId="22AF8716" w14:textId="77777777" w:rsidR="00B004E2" w:rsidRPr="00B004E2" w:rsidRDefault="00B004E2" w:rsidP="00B004E2">
      <w:pPr>
        <w:ind w:left="720"/>
        <w:rPr>
          <w:i/>
          <w:iCs/>
        </w:rPr>
      </w:pPr>
      <w:r w:rsidRPr="00B004E2">
        <w:rPr>
          <w:i/>
          <w:iCs/>
        </w:rPr>
        <w:t>Colorectal (previously treated)</w:t>
      </w:r>
    </w:p>
    <w:p w14:paraId="7C48C1F0" w14:textId="49A343AC" w:rsidR="00B004E2" w:rsidRPr="00B004E2" w:rsidRDefault="00B004E2" w:rsidP="00B004E2">
      <w:pPr>
        <w:ind w:left="720"/>
        <w:rPr>
          <w:i/>
          <w:iCs/>
        </w:rPr>
      </w:pPr>
      <w:r>
        <w:rPr>
          <w:i/>
          <w:iCs/>
        </w:rPr>
        <w:t xml:space="preserve">Keytruda </w:t>
      </w:r>
      <w:r w:rsidRPr="00B004E2">
        <w:rPr>
          <w:i/>
          <w:iCs/>
        </w:rPr>
        <w:t xml:space="preserve">(pembrolizumab) is indicated in adult and paediatric patients for the treatment of unresectable or metastatic CRC that is MSI-H or </w:t>
      </w:r>
      <w:proofErr w:type="spellStart"/>
      <w:r w:rsidRPr="00B004E2">
        <w:rPr>
          <w:i/>
          <w:iCs/>
        </w:rPr>
        <w:t>dMMR</w:t>
      </w:r>
      <w:proofErr w:type="spellEnd"/>
      <w:r w:rsidRPr="00B004E2">
        <w:rPr>
          <w:i/>
          <w:iCs/>
        </w:rPr>
        <w:t xml:space="preserve"> as determined by a validated test, and that has progressed following treatment with a fluoropyrimidine, oxaliplatin, and irinotecan. This indication was approved via the </w:t>
      </w:r>
      <w:r w:rsidRPr="00B004E2">
        <w:rPr>
          <w:b/>
          <w:bCs/>
          <w:i/>
          <w:iCs/>
        </w:rPr>
        <w:t>provisional approval</w:t>
      </w:r>
      <w:r w:rsidRPr="00B004E2">
        <w:rPr>
          <w:i/>
          <w:iCs/>
        </w:rPr>
        <w:t xml:space="preserve"> pathway, based on objective response rate and response duration in a single-arm trial. Continued approval for this indication depends on verification and description of clinical benefit in the confirmatory trials.</w:t>
      </w:r>
    </w:p>
    <w:p w14:paraId="74418DE3" w14:textId="4A7619DF" w:rsidR="00A83027" w:rsidRDefault="00643D09" w:rsidP="00B004E2">
      <w:pPr>
        <w:ind w:left="720"/>
        <w:rPr>
          <w:i/>
          <w:iCs/>
        </w:rPr>
      </w:pPr>
      <w:r w:rsidRPr="00643D09">
        <w:rPr>
          <w:i/>
          <w:iCs/>
        </w:rPr>
        <w:t>Non-colorectal</w:t>
      </w:r>
    </w:p>
    <w:p w14:paraId="158995D0" w14:textId="337D981E" w:rsidR="00B004E2" w:rsidRPr="00B004E2" w:rsidRDefault="00B004E2" w:rsidP="00B004E2">
      <w:pPr>
        <w:ind w:left="720"/>
        <w:rPr>
          <w:i/>
          <w:iCs/>
        </w:rPr>
      </w:pPr>
      <w:r>
        <w:rPr>
          <w:i/>
          <w:iCs/>
        </w:rPr>
        <w:t xml:space="preserve">Keytruda </w:t>
      </w:r>
      <w:r w:rsidRPr="00B004E2">
        <w:rPr>
          <w:i/>
          <w:iCs/>
        </w:rPr>
        <w:t xml:space="preserve">(pembrolizumab) is indicated in adult and paediatric patients for the treatment of unresectable or metastatic solid tumours that are MSI-H or </w:t>
      </w:r>
      <w:proofErr w:type="spellStart"/>
      <w:r w:rsidRPr="00B004E2">
        <w:rPr>
          <w:i/>
          <w:iCs/>
        </w:rPr>
        <w:t>dMMR</w:t>
      </w:r>
      <w:proofErr w:type="spellEnd"/>
      <w:r w:rsidRPr="00B004E2">
        <w:rPr>
          <w:i/>
          <w:iCs/>
        </w:rPr>
        <w:t xml:space="preserve"> as determined by a validated test, that have progressed following prior treatment and when there are no satisfactory alternative treatment options. This indication was approved via the </w:t>
      </w:r>
      <w:r w:rsidRPr="00B004E2">
        <w:rPr>
          <w:b/>
          <w:bCs/>
          <w:i/>
          <w:iCs/>
        </w:rPr>
        <w:t>provisional approval</w:t>
      </w:r>
      <w:r w:rsidRPr="00B004E2">
        <w:rPr>
          <w:i/>
          <w:iCs/>
        </w:rPr>
        <w:t xml:space="preserve"> pathway, based on the pooling of data on objective response rate and response duration across multiple different tissue types in a single-arm trial. Sample sizes for individual tissue types were too small to provide data on clinical utility of the MSI-H/</w:t>
      </w:r>
      <w:proofErr w:type="spellStart"/>
      <w:r w:rsidRPr="00B004E2">
        <w:rPr>
          <w:i/>
          <w:iCs/>
        </w:rPr>
        <w:t>dMMR</w:t>
      </w:r>
      <w:proofErr w:type="spellEnd"/>
      <w:r w:rsidRPr="00B004E2">
        <w:rPr>
          <w:i/>
          <w:iCs/>
        </w:rPr>
        <w:t xml:space="preserve"> tests for each of the tissue types, individually. The assumption that MSI-H/</w:t>
      </w:r>
      <w:proofErr w:type="spellStart"/>
      <w:r w:rsidRPr="00B004E2">
        <w:rPr>
          <w:i/>
          <w:iCs/>
        </w:rPr>
        <w:t>dMMR</w:t>
      </w:r>
      <w:proofErr w:type="spellEnd"/>
      <w:r w:rsidRPr="00B004E2">
        <w:rPr>
          <w:i/>
          <w:iCs/>
        </w:rPr>
        <w:t xml:space="preserve">-status is predictive of the treatment effect of </w:t>
      </w:r>
      <w:r>
        <w:rPr>
          <w:i/>
          <w:iCs/>
        </w:rPr>
        <w:t xml:space="preserve">Keytruda </w:t>
      </w:r>
      <w:r w:rsidRPr="00B004E2">
        <w:rPr>
          <w:i/>
          <w:iCs/>
        </w:rPr>
        <w:t>for every tissue type has not been verified. Continued approval for this indication depends on verification and description of clinical benefit in the confirmatory trials.</w:t>
      </w:r>
    </w:p>
    <w:p w14:paraId="1181455B" w14:textId="6CE7FEA5" w:rsidR="00B004E2" w:rsidRPr="00B004E2" w:rsidRDefault="00B004E2" w:rsidP="00B004E2">
      <w:pPr>
        <w:ind w:left="720"/>
        <w:rPr>
          <w:i/>
          <w:iCs/>
        </w:rPr>
      </w:pPr>
      <w:r w:rsidRPr="00B004E2">
        <w:rPr>
          <w:i/>
          <w:iCs/>
        </w:rPr>
        <w:t xml:space="preserve">The safety and effectiveness of </w:t>
      </w:r>
      <w:r>
        <w:rPr>
          <w:i/>
          <w:iCs/>
        </w:rPr>
        <w:t xml:space="preserve">Keytruda </w:t>
      </w:r>
      <w:r w:rsidRPr="00B004E2">
        <w:rPr>
          <w:i/>
          <w:iCs/>
        </w:rPr>
        <w:t>in paediatric patients with MSI-H/</w:t>
      </w:r>
      <w:proofErr w:type="spellStart"/>
      <w:r w:rsidRPr="00B004E2">
        <w:rPr>
          <w:i/>
          <w:iCs/>
        </w:rPr>
        <w:t>dMMR</w:t>
      </w:r>
      <w:proofErr w:type="spellEnd"/>
      <w:r w:rsidRPr="00B004E2">
        <w:rPr>
          <w:i/>
          <w:iCs/>
        </w:rPr>
        <w:t xml:space="preserve"> central nervous system cancers have not been established.</w:t>
      </w:r>
    </w:p>
    <w:p w14:paraId="6D7DCE95" w14:textId="77777777" w:rsidR="00B004E2" w:rsidRPr="00B004E2" w:rsidRDefault="00B004E2" w:rsidP="00B004E2">
      <w:pPr>
        <w:ind w:left="720"/>
        <w:rPr>
          <w:b/>
          <w:bCs/>
          <w:i/>
          <w:iCs/>
        </w:rPr>
      </w:pPr>
      <w:r w:rsidRPr="00B004E2">
        <w:rPr>
          <w:b/>
          <w:bCs/>
          <w:i/>
          <w:iCs/>
        </w:rPr>
        <w:t>Endometrial carcinoma</w:t>
      </w:r>
    </w:p>
    <w:p w14:paraId="1B161B3E" w14:textId="7E74FBAF" w:rsidR="00B004E2" w:rsidRPr="00B004E2" w:rsidRDefault="00B004E2" w:rsidP="00B004E2">
      <w:pPr>
        <w:ind w:left="720"/>
        <w:rPr>
          <w:i/>
          <w:iCs/>
        </w:rPr>
      </w:pPr>
      <w:r>
        <w:rPr>
          <w:i/>
          <w:iCs/>
        </w:rPr>
        <w:t xml:space="preserve">Keytruda </w:t>
      </w:r>
      <w:r w:rsidRPr="00B004E2">
        <w:rPr>
          <w:i/>
          <w:iCs/>
        </w:rPr>
        <w:t xml:space="preserve">(pembrolizumab), in combination with </w:t>
      </w:r>
      <w:proofErr w:type="spellStart"/>
      <w:r w:rsidRPr="00B004E2">
        <w:rPr>
          <w:i/>
          <w:iCs/>
        </w:rPr>
        <w:t>lenvatinib</w:t>
      </w:r>
      <w:proofErr w:type="spellEnd"/>
      <w:r w:rsidRPr="00B004E2">
        <w:rPr>
          <w:i/>
          <w:iCs/>
        </w:rPr>
        <w:t xml:space="preserve">, is indicated for the treatment of patients with advanced endometrial carcinoma that is not MSI-H or </w:t>
      </w:r>
      <w:proofErr w:type="spellStart"/>
      <w:r w:rsidRPr="00B004E2">
        <w:rPr>
          <w:i/>
          <w:iCs/>
        </w:rPr>
        <w:t>dMMR</w:t>
      </w:r>
      <w:proofErr w:type="spellEnd"/>
      <w:r w:rsidRPr="00B004E2">
        <w:rPr>
          <w:i/>
          <w:iCs/>
        </w:rPr>
        <w:t xml:space="preserve"> as determined by a validated test, who have disease progression following prior systemic therapy and are not candidates for curative surgery or radiation. This indication was approved via the </w:t>
      </w:r>
      <w:r w:rsidRPr="00B004E2">
        <w:rPr>
          <w:b/>
          <w:bCs/>
          <w:i/>
          <w:iCs/>
        </w:rPr>
        <w:t>provisional approval</w:t>
      </w:r>
      <w:r w:rsidRPr="00B004E2">
        <w:rPr>
          <w:i/>
          <w:iCs/>
        </w:rPr>
        <w:t xml:space="preserve"> pathway, based on objective response rate and duration of response in a single-arm trial. Full registration for this indication depends on verification and description of clinical benefit in confirmatory trials.</w:t>
      </w:r>
    </w:p>
    <w:p w14:paraId="3A1FDAC9" w14:textId="77777777" w:rsidR="00B004E2" w:rsidRPr="00B004E2" w:rsidRDefault="00B004E2" w:rsidP="00B004E2">
      <w:pPr>
        <w:ind w:left="720"/>
        <w:rPr>
          <w:b/>
          <w:bCs/>
          <w:i/>
          <w:iCs/>
        </w:rPr>
      </w:pPr>
      <w:r w:rsidRPr="00B004E2">
        <w:rPr>
          <w:b/>
          <w:bCs/>
          <w:i/>
          <w:iCs/>
        </w:rPr>
        <w:t>Renal Cell Carcinoma (RCC)</w:t>
      </w:r>
    </w:p>
    <w:p w14:paraId="28C19DC2" w14:textId="35FFF7F0" w:rsidR="00B004E2" w:rsidRPr="00B004E2" w:rsidRDefault="00B004E2" w:rsidP="00B004E2">
      <w:pPr>
        <w:ind w:left="720"/>
        <w:rPr>
          <w:i/>
          <w:iCs/>
        </w:rPr>
      </w:pPr>
      <w:r>
        <w:rPr>
          <w:i/>
          <w:iCs/>
        </w:rPr>
        <w:t xml:space="preserve">Keytruda </w:t>
      </w:r>
      <w:r w:rsidRPr="00B004E2">
        <w:rPr>
          <w:i/>
          <w:iCs/>
        </w:rPr>
        <w:t xml:space="preserve">(pembrolizumab), in combination with </w:t>
      </w:r>
      <w:proofErr w:type="spellStart"/>
      <w:r w:rsidRPr="00B004E2">
        <w:rPr>
          <w:i/>
          <w:iCs/>
        </w:rPr>
        <w:t>axitinib</w:t>
      </w:r>
      <w:proofErr w:type="spellEnd"/>
      <w:r w:rsidRPr="00B004E2">
        <w:rPr>
          <w:i/>
          <w:iCs/>
        </w:rPr>
        <w:t>, is indicated for the first-line treatment of patients with advanced renal cell carcinoma (RCC).</w:t>
      </w:r>
    </w:p>
    <w:p w14:paraId="26CDE1FC" w14:textId="77777777" w:rsidR="00B004E2" w:rsidRPr="00B004E2" w:rsidRDefault="00B004E2" w:rsidP="00B004E2">
      <w:pPr>
        <w:ind w:left="720"/>
        <w:rPr>
          <w:b/>
          <w:bCs/>
          <w:i/>
          <w:iCs/>
        </w:rPr>
      </w:pPr>
      <w:r w:rsidRPr="00B004E2">
        <w:rPr>
          <w:b/>
          <w:bCs/>
          <w:i/>
          <w:iCs/>
        </w:rPr>
        <w:t>Cutaneous Squamous Cell Carcinoma</w:t>
      </w:r>
    </w:p>
    <w:p w14:paraId="133D05E5" w14:textId="637156B9" w:rsidR="00B004E2" w:rsidRPr="00B004E2" w:rsidRDefault="00B004E2" w:rsidP="00B004E2">
      <w:pPr>
        <w:ind w:left="720"/>
        <w:rPr>
          <w:i/>
          <w:iCs/>
        </w:rPr>
      </w:pPr>
      <w:r>
        <w:rPr>
          <w:i/>
          <w:iCs/>
        </w:rPr>
        <w:t xml:space="preserve">Keytruda </w:t>
      </w:r>
      <w:r w:rsidRPr="00B004E2">
        <w:rPr>
          <w:i/>
          <w:iCs/>
        </w:rPr>
        <w:t>(pembrolizumab) is indicated as monotherapy for the treatment of adult patients with recurrent or metastatic cutaneous squamous cell carcinoma (</w:t>
      </w:r>
      <w:proofErr w:type="spellStart"/>
      <w:r w:rsidRPr="00B004E2">
        <w:rPr>
          <w:i/>
          <w:iCs/>
        </w:rPr>
        <w:t>cSCC</w:t>
      </w:r>
      <w:proofErr w:type="spellEnd"/>
      <w:r w:rsidRPr="00B004E2">
        <w:rPr>
          <w:i/>
          <w:iCs/>
        </w:rPr>
        <w:t>) that is not curable by surgery or radiation. This indication was approved via the provisional approval pathway based on objective response rate and duration of response from a single-arm study. Improvements in overall survival, progression-free survival, or health-related quality of life have not been established. Full registration for this indication depends on submission of further clinical data to confirm the clinical benefit of the medicine.</w:t>
      </w:r>
    </w:p>
    <w:p w14:paraId="2717CC87" w14:textId="77777777" w:rsidR="00B004E2" w:rsidRPr="00B004E2" w:rsidRDefault="00B004E2" w:rsidP="00B004E2">
      <w:pPr>
        <w:ind w:left="720"/>
        <w:rPr>
          <w:b/>
          <w:bCs/>
          <w:i/>
          <w:iCs/>
        </w:rPr>
      </w:pPr>
      <w:r w:rsidRPr="00B004E2">
        <w:rPr>
          <w:b/>
          <w:bCs/>
          <w:i/>
          <w:iCs/>
        </w:rPr>
        <w:t>Oesophageal Cancer</w:t>
      </w:r>
    </w:p>
    <w:p w14:paraId="33D475BB" w14:textId="6999E536" w:rsidR="00B004E2" w:rsidRPr="00B004E2" w:rsidRDefault="00B004E2" w:rsidP="00B004E2">
      <w:pPr>
        <w:ind w:left="720"/>
        <w:rPr>
          <w:i/>
          <w:iCs/>
        </w:rPr>
      </w:pPr>
      <w:r>
        <w:rPr>
          <w:i/>
          <w:iCs/>
        </w:rPr>
        <w:lastRenderedPageBreak/>
        <w:t xml:space="preserve">Keytruda </w:t>
      </w:r>
      <w:r w:rsidRPr="00B004E2">
        <w:rPr>
          <w:i/>
          <w:iCs/>
        </w:rPr>
        <w:t>(pembrolizumab),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 amenable to surgical resection or definitive chemoradiation.</w:t>
      </w:r>
    </w:p>
    <w:p w14:paraId="78B54319" w14:textId="77777777" w:rsidR="00B004E2" w:rsidRPr="00B004E2" w:rsidRDefault="00B004E2" w:rsidP="00B004E2">
      <w:pPr>
        <w:ind w:left="720"/>
        <w:rPr>
          <w:b/>
          <w:bCs/>
          <w:i/>
          <w:iCs/>
        </w:rPr>
      </w:pPr>
      <w:r w:rsidRPr="00B004E2">
        <w:rPr>
          <w:b/>
          <w:bCs/>
          <w:i/>
          <w:iCs/>
        </w:rPr>
        <w:t>Tumour Mutational Burden-High (TMB-H) cancer</w:t>
      </w:r>
    </w:p>
    <w:p w14:paraId="64B68B4A" w14:textId="7148C9F5" w:rsidR="00B004E2" w:rsidRPr="00B004E2" w:rsidRDefault="00B004E2" w:rsidP="00B004E2">
      <w:pPr>
        <w:ind w:left="720"/>
        <w:rPr>
          <w:i/>
          <w:iCs/>
        </w:rPr>
      </w:pPr>
      <w:r>
        <w:rPr>
          <w:i/>
          <w:iCs/>
        </w:rPr>
        <w:t xml:space="preserve">Keytruda </w:t>
      </w:r>
      <w:r w:rsidRPr="00B004E2">
        <w:rPr>
          <w:i/>
          <w:iCs/>
        </w:rPr>
        <w:t>(pembrolizumab) is indicated for the treatment of adult and paediatric patients with unresectable or metastatic tumour mutational burden-high (TMB-H) [≥10 mutations/</w:t>
      </w:r>
      <w:proofErr w:type="spellStart"/>
      <w:r w:rsidRPr="00B004E2">
        <w:rPr>
          <w:i/>
          <w:iCs/>
        </w:rPr>
        <w:t>megabase</w:t>
      </w:r>
      <w:proofErr w:type="spellEnd"/>
      <w:r w:rsidRPr="00B004E2">
        <w:rPr>
          <w:i/>
          <w:iCs/>
        </w:rPr>
        <w:t xml:space="preserve"> (mut/Mb)] solid tumours, as determined by a validated test, that have progressed following prior treatment and who have no satisfactory alternative treatment options. This indication was approved via the </w:t>
      </w:r>
      <w:r w:rsidRPr="00B004E2">
        <w:rPr>
          <w:b/>
          <w:bCs/>
          <w:i/>
          <w:iCs/>
        </w:rPr>
        <w:t xml:space="preserve">provisional approval </w:t>
      </w:r>
      <w:r w:rsidRPr="00B004E2">
        <w:rPr>
          <w:i/>
          <w:iCs/>
        </w:rPr>
        <w:t xml:space="preserve">pathway, based on the pooling of data on objective response rate and response duration across multiple different tissue types in a single-arm trial. The assumption that TMB-H status is predictive of the treatment effect of </w:t>
      </w:r>
      <w:r>
        <w:rPr>
          <w:i/>
          <w:iCs/>
        </w:rPr>
        <w:t xml:space="preserve">Keytruda </w:t>
      </w:r>
      <w:r w:rsidRPr="00B004E2">
        <w:rPr>
          <w:i/>
          <w:iCs/>
        </w:rPr>
        <w:t>for every tissue type has not been verified. Full registration for this indication depends on verification and description of clinical benefit in confirmatory trials.</w:t>
      </w:r>
    </w:p>
    <w:p w14:paraId="07F2153D" w14:textId="56B89DC0" w:rsidR="00C22214" w:rsidRPr="00BD5DBD" w:rsidRDefault="00C22214" w:rsidP="00C22214">
      <w:pPr>
        <w:rPr>
          <w:szCs w:val="22"/>
        </w:rPr>
      </w:pPr>
      <w:r w:rsidRPr="00BD5DBD">
        <w:rPr>
          <w:szCs w:val="22"/>
        </w:rPr>
        <w:t xml:space="preserve">The above extension of indications </w:t>
      </w:r>
      <w:proofErr w:type="gramStart"/>
      <w:r w:rsidRPr="00BD5DBD">
        <w:rPr>
          <w:szCs w:val="22"/>
        </w:rPr>
        <w:t>are</w:t>
      </w:r>
      <w:proofErr w:type="gramEnd"/>
      <w:r w:rsidRPr="00BD5DBD">
        <w:rPr>
          <w:szCs w:val="22"/>
        </w:rPr>
        <w:t xml:space="preserve"> inclusive of the previous approved indications</w:t>
      </w:r>
      <w:r w:rsidR="00B004E2">
        <w:rPr>
          <w:szCs w:val="22"/>
        </w:rPr>
        <w:t>.</w:t>
      </w:r>
    </w:p>
    <w:p w14:paraId="6D25891E" w14:textId="77777777" w:rsidR="00C22214" w:rsidRPr="00D23139" w:rsidRDefault="00C22214" w:rsidP="00C22214">
      <w:pPr>
        <w:pStyle w:val="Heading3"/>
      </w:pPr>
      <w:bookmarkStart w:id="85" w:name="_Toc103679301"/>
      <w:bookmarkStart w:id="86" w:name="_Toc133584028"/>
      <w:r w:rsidRPr="00D23139">
        <w:t>Specific conditions of registration applying to these goods</w:t>
      </w:r>
      <w:bookmarkEnd w:id="85"/>
      <w:bookmarkEnd w:id="86"/>
    </w:p>
    <w:p w14:paraId="50638A6D" w14:textId="77777777" w:rsidR="00FE5DFF" w:rsidRDefault="00FE5DFF" w:rsidP="00B27EB7">
      <w:pPr>
        <w:pStyle w:val="ListBullet"/>
      </w:pPr>
      <w:r>
        <w:t xml:space="preserve">This </w:t>
      </w:r>
      <w:r w:rsidRPr="00B27EB7">
        <w:t>approval</w:t>
      </w:r>
      <w:r>
        <w:t xml:space="preserve"> does not impose any requirement for the submission of Periodic Safety Update reports. You should note that it is a requirement that all existing requirements for the submission of PSURs </w:t>
      </w:r>
      <w:proofErr w:type="gramStart"/>
      <w:r>
        <w:t>as a consequence of</w:t>
      </w:r>
      <w:proofErr w:type="gramEnd"/>
      <w:r>
        <w:t xml:space="preserve"> the initial registration or subsequent changes must be completed. </w:t>
      </w:r>
    </w:p>
    <w:p w14:paraId="25E71CF8" w14:textId="7060E5FA" w:rsidR="00FE5DFF" w:rsidRDefault="00FE5DFF" w:rsidP="00FE5DFF">
      <w:pPr>
        <w:pStyle w:val="ListBullet"/>
        <w:numPr>
          <w:ilvl w:val="0"/>
          <w:numId w:val="0"/>
        </w:numPr>
        <w:ind w:left="360"/>
      </w:pPr>
      <w:r>
        <w:t>You are reminded that sections 29A and 29AA of the Therapeutic Goods Act 1989 provide for penalties where there has been failure to inform the Secretary in writing, as soon as a person has become aware, of:</w:t>
      </w:r>
    </w:p>
    <w:p w14:paraId="2C3434EC" w14:textId="6323BD75" w:rsidR="00FE5DFF" w:rsidRDefault="00FE5DFF" w:rsidP="00FE5DFF">
      <w:pPr>
        <w:pStyle w:val="ListBullet"/>
        <w:numPr>
          <w:ilvl w:val="0"/>
          <w:numId w:val="0"/>
        </w:numPr>
        <w:ind w:left="360"/>
      </w:pPr>
      <w:r>
        <w:t xml:space="preserve">(a) information that contradicts information already given by the person under this </w:t>
      </w:r>
      <w:proofErr w:type="gramStart"/>
      <w:r>
        <w:t>Act;</w:t>
      </w:r>
      <w:proofErr w:type="gramEnd"/>
    </w:p>
    <w:p w14:paraId="36481207" w14:textId="15C252F0" w:rsidR="00FE5DFF" w:rsidRDefault="00FE5DFF" w:rsidP="00FE5DFF">
      <w:pPr>
        <w:pStyle w:val="ListBullet"/>
        <w:numPr>
          <w:ilvl w:val="0"/>
          <w:numId w:val="0"/>
        </w:numPr>
        <w:ind w:left="360"/>
      </w:pPr>
      <w:r>
        <w:t xml:space="preserve">(b) information that indicates that the use of the goods in accordance with the recommendations for their use may have an unintended harmful </w:t>
      </w:r>
      <w:proofErr w:type="gramStart"/>
      <w:r>
        <w:t>effect;</w:t>
      </w:r>
      <w:proofErr w:type="gramEnd"/>
    </w:p>
    <w:p w14:paraId="718DEC2A" w14:textId="569F1914" w:rsidR="00FE5DFF" w:rsidRDefault="00FE5DFF" w:rsidP="00FE5DFF">
      <w:pPr>
        <w:pStyle w:val="ListBullet"/>
        <w:numPr>
          <w:ilvl w:val="0"/>
          <w:numId w:val="0"/>
        </w:numPr>
        <w:ind w:left="360"/>
      </w:pPr>
      <w:r>
        <w:t xml:space="preserve">(c) </w:t>
      </w:r>
      <w:r w:rsidRPr="00FE5DFF">
        <w:t>information that indicates that the goods, when used in accordance with the</w:t>
      </w:r>
      <w:r>
        <w:t xml:space="preserve"> r</w:t>
      </w:r>
      <w:r w:rsidRPr="00FE5DFF">
        <w:t>ecommendations for their use, may not be as effective as the application for</w:t>
      </w:r>
      <w:r>
        <w:t xml:space="preserve"> </w:t>
      </w:r>
      <w:r w:rsidRPr="00FE5DFF">
        <w:t>registration or listing of t</w:t>
      </w:r>
      <w:r>
        <w:t>h</w:t>
      </w:r>
      <w:r w:rsidRPr="00FE5DFF">
        <w:t>e goods or information already given by the person</w:t>
      </w:r>
      <w:r>
        <w:t xml:space="preserve"> </w:t>
      </w:r>
      <w:r w:rsidRPr="00FE5DFF">
        <w:t xml:space="preserve">under this Act </w:t>
      </w:r>
      <w:proofErr w:type="gramStart"/>
      <w:r w:rsidRPr="00FE5DFF">
        <w:t>suggests;</w:t>
      </w:r>
      <w:proofErr w:type="gramEnd"/>
    </w:p>
    <w:p w14:paraId="5AF484C6" w14:textId="4E599D94" w:rsidR="00FE5DFF" w:rsidRDefault="00FE5DFF" w:rsidP="00FE5DFF">
      <w:pPr>
        <w:pStyle w:val="ListBullet"/>
        <w:numPr>
          <w:ilvl w:val="0"/>
          <w:numId w:val="0"/>
        </w:numPr>
        <w:ind w:left="360"/>
      </w:pPr>
      <w:r w:rsidRPr="00FE5DFF">
        <w:t xml:space="preserve">(d) information that indicates that the quality, </w:t>
      </w:r>
      <w:proofErr w:type="gramStart"/>
      <w:r w:rsidRPr="00FE5DFF">
        <w:t>safety</w:t>
      </w:r>
      <w:proofErr w:type="gramEnd"/>
      <w:r w:rsidRPr="00FE5DFF">
        <w:t xml:space="preserve"> or efficacy of the goods is</w:t>
      </w:r>
      <w:r>
        <w:t xml:space="preserve"> </w:t>
      </w:r>
      <w:r w:rsidRPr="00FE5DFF">
        <w:t>unacceptable.</w:t>
      </w:r>
    </w:p>
    <w:p w14:paraId="766089B8" w14:textId="458A59E2" w:rsidR="00FE5DFF" w:rsidRDefault="00FE5DFF" w:rsidP="005605FC">
      <w:pPr>
        <w:pStyle w:val="ListBullet"/>
      </w:pPr>
      <w:r>
        <w:t xml:space="preserve">Additional </w:t>
      </w:r>
      <w:r w:rsidR="005605FC">
        <w:t>c</w:t>
      </w:r>
      <w:r>
        <w:t>onditions of registration:</w:t>
      </w:r>
    </w:p>
    <w:p w14:paraId="4529FD1E" w14:textId="2ABAB91E" w:rsidR="00FE5DFF" w:rsidRPr="00FE5DFF" w:rsidRDefault="00FE5DFF" w:rsidP="00794437">
      <w:pPr>
        <w:pStyle w:val="ListBullet2"/>
        <w:numPr>
          <w:ilvl w:val="1"/>
          <w:numId w:val="20"/>
        </w:numPr>
        <w:ind w:left="850" w:hanging="425"/>
        <w:rPr>
          <w:color w:val="auto"/>
        </w:rPr>
      </w:pPr>
      <w:r w:rsidRPr="00FE5DFF">
        <w:rPr>
          <w:color w:val="auto"/>
        </w:rPr>
        <w:t xml:space="preserve">Submit the </w:t>
      </w:r>
      <w:proofErr w:type="gramStart"/>
      <w:r w:rsidRPr="00FE5DFF">
        <w:rPr>
          <w:color w:val="auto"/>
        </w:rPr>
        <w:t>final results</w:t>
      </w:r>
      <w:proofErr w:type="gramEnd"/>
      <w:r w:rsidRPr="00FE5DFF">
        <w:rPr>
          <w:color w:val="auto"/>
        </w:rPr>
        <w:t xml:space="preserve"> characterising the risk of immune-mediated or potentially immune-mediated toxicities, serious adverse events and long-term safety in paediatric patients with lymphoma enrolled in KN-051</w:t>
      </w:r>
      <w:r>
        <w:rPr>
          <w:color w:val="auto"/>
        </w:rPr>
        <w:t xml:space="preserve"> [KEYNOTE 051 trial]</w:t>
      </w:r>
      <w:r w:rsidRPr="00FE5DFF">
        <w:rPr>
          <w:color w:val="auto"/>
        </w:rPr>
        <w:t>. All patients with Hodgkin lymphoma should be followed for safety for a minimum of 6 months on pembrolizumab.</w:t>
      </w:r>
    </w:p>
    <w:p w14:paraId="5EFF1AA5" w14:textId="3DA8B9F2" w:rsidR="00FE5DFF" w:rsidRPr="00FE5DFF" w:rsidRDefault="00FE5DFF" w:rsidP="00794437">
      <w:pPr>
        <w:pStyle w:val="ListBullet2"/>
        <w:numPr>
          <w:ilvl w:val="1"/>
          <w:numId w:val="20"/>
        </w:numPr>
        <w:ind w:left="850" w:hanging="425"/>
        <w:rPr>
          <w:color w:val="auto"/>
        </w:rPr>
      </w:pPr>
      <w:r w:rsidRPr="00FE5DFF">
        <w:rPr>
          <w:color w:val="auto"/>
        </w:rPr>
        <w:t>Submit the final clinical study report for all paediatric patients who received pembrolizumab for Hodgkin Lymphoma in Keynote-051.</w:t>
      </w:r>
    </w:p>
    <w:p w14:paraId="0CF23E00" w14:textId="44B32FDB" w:rsidR="00FE5DFF" w:rsidRPr="00FE5DFF" w:rsidRDefault="00FE5DFF" w:rsidP="005605FC">
      <w:pPr>
        <w:pStyle w:val="ListBullet"/>
      </w:pPr>
      <w:r>
        <w:t xml:space="preserve">For all injectable products the Product Information must be included with the product </w:t>
      </w:r>
      <w:r w:rsidRPr="00FE5DFF">
        <w:rPr>
          <w:rFonts w:cs="Cambria"/>
          <w:szCs w:val="22"/>
        </w:rPr>
        <w:t>as a package insert.</w:t>
      </w:r>
    </w:p>
    <w:p w14:paraId="451DC3FC" w14:textId="77777777" w:rsidR="00C22214" w:rsidRDefault="00C22214" w:rsidP="00C22214">
      <w:pPr>
        <w:pStyle w:val="Heading2"/>
      </w:pPr>
      <w:bookmarkStart w:id="87" w:name="_Toc103679303"/>
      <w:bookmarkStart w:id="88" w:name="_Toc133584029"/>
      <w:r>
        <w:lastRenderedPageBreak/>
        <w:t>Attachment 1. Product Information</w:t>
      </w:r>
      <w:bookmarkEnd w:id="87"/>
      <w:bookmarkEnd w:id="88"/>
    </w:p>
    <w:p w14:paraId="6734192F" w14:textId="7A660F9E" w:rsidR="00B004E2" w:rsidRDefault="00C22214" w:rsidP="00C22214">
      <w:pPr>
        <w:rPr>
          <w:szCs w:val="22"/>
        </w:rPr>
      </w:pPr>
      <w:r w:rsidRPr="00BD5DBD">
        <w:rPr>
          <w:szCs w:val="22"/>
        </w:rPr>
        <w:t xml:space="preserve">The PI for </w:t>
      </w:r>
      <w:r w:rsidR="00FE5DFF">
        <w:rPr>
          <w:szCs w:val="22"/>
        </w:rPr>
        <w:t>Keytruda</w:t>
      </w:r>
      <w:r w:rsidRPr="00BD5DBD">
        <w:rPr>
          <w:szCs w:val="22"/>
        </w:rPr>
        <w:t xml:space="preserve"> approved with the submission which is described in this AusPAR is at Attachment 1. For the most recent PI, please refer to the TGA </w:t>
      </w:r>
      <w:hyperlink r:id="rId39" w:history="1">
        <w:r w:rsidRPr="00BD5DBD">
          <w:rPr>
            <w:rStyle w:val="Hyperlink"/>
            <w:szCs w:val="22"/>
          </w:rPr>
          <w:t>PI/CMI search facility.</w:t>
        </w:r>
      </w:hyperlink>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40"/>
          <w:footerReference w:type="default" r:id="rId41"/>
          <w:pgSz w:w="11906" w:h="16838" w:code="9"/>
          <w:pgMar w:top="1134" w:right="1418" w:bottom="1361" w:left="1418" w:header="573" w:footer="567" w:gutter="0"/>
          <w:cols w:space="708"/>
          <w:docGrid w:linePitch="360"/>
        </w:sectPr>
      </w:pPr>
    </w:p>
    <w:tbl>
      <w:tblPr>
        <w:tblpPr w:leftFromText="180" w:rightFromText="180" w:tblpY="-450"/>
        <w:tblW w:w="9145" w:type="dxa"/>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FE5DFF">
        <w:trPr>
          <w:trHeight w:hRule="exact" w:val="565"/>
        </w:trPr>
        <w:tc>
          <w:tcPr>
            <w:tcW w:w="9145" w:type="dxa"/>
          </w:tcPr>
          <w:bookmarkEnd w:id="3"/>
          <w:bookmarkEnd w:id="4"/>
          <w:p w14:paraId="7E090B86" w14:textId="77777777" w:rsidR="00F02AEC" w:rsidRPr="00215D48" w:rsidRDefault="00F02AEC" w:rsidP="00FE5DFF">
            <w:pPr>
              <w:pStyle w:val="TGASignoff"/>
            </w:pPr>
            <w:r w:rsidRPr="00215D48">
              <w:lastRenderedPageBreak/>
              <w:t>Therapeutic Goods Administration</w:t>
            </w:r>
          </w:p>
        </w:tc>
      </w:tr>
      <w:tr w:rsidR="00F02AEC" w:rsidRPr="00215D48" w14:paraId="70F47EA1" w14:textId="77777777" w:rsidTr="00FE5DFF">
        <w:trPr>
          <w:trHeight w:val="963"/>
        </w:trPr>
        <w:tc>
          <w:tcPr>
            <w:tcW w:w="9145" w:type="dxa"/>
            <w:tcMar>
              <w:top w:w="28" w:type="dxa"/>
            </w:tcMar>
          </w:tcPr>
          <w:p w14:paraId="3491EBCD" w14:textId="77777777" w:rsidR="00F02AEC" w:rsidRPr="00215D48" w:rsidRDefault="00F02AEC" w:rsidP="00FE5DFF">
            <w:pPr>
              <w:pStyle w:val="Address"/>
              <w:jc w:val="center"/>
            </w:pPr>
            <w:r w:rsidRPr="00215D48">
              <w:t>PO Box 100 Woden ACT 2606 Australia</w:t>
            </w:r>
          </w:p>
          <w:p w14:paraId="5D0FE0E7" w14:textId="3872094D" w:rsidR="00F02AEC" w:rsidRDefault="00F02AEC" w:rsidP="00FE5DFF">
            <w:pPr>
              <w:pStyle w:val="Address"/>
              <w:jc w:val="center"/>
              <w:rPr>
                <w:sz w:val="22"/>
                <w:szCs w:val="22"/>
              </w:rPr>
            </w:pPr>
            <w:r w:rsidRPr="00215D48">
              <w:t xml:space="preserve">Email: </w:t>
            </w:r>
            <w:hyperlink r:id="rId42" w:history="1">
              <w:r w:rsidRPr="00215D48">
                <w:rPr>
                  <w:rStyle w:val="Hyperlink"/>
                </w:rPr>
                <w:t>info@tga.gov.au</w:t>
              </w:r>
            </w:hyperlink>
            <w:r w:rsidR="00B004E2">
              <w:t xml:space="preserve"> </w:t>
            </w:r>
            <w:r w:rsidRPr="00215D48">
              <w:t xml:space="preserve">Phone: 1800 020 653 Fax: </w:t>
            </w:r>
            <w:r w:rsidRPr="00BA0DFC">
              <w:t>02 6203 1605</w:t>
            </w:r>
          </w:p>
          <w:p w14:paraId="4533D80F" w14:textId="09DB8DD7" w:rsidR="00F02AEC" w:rsidRPr="00215D48" w:rsidRDefault="00E83B6C" w:rsidP="00FE5DFF">
            <w:pPr>
              <w:pStyle w:val="Address"/>
              <w:jc w:val="center"/>
              <w:rPr>
                <w:rStyle w:val="Hyperlink"/>
                <w:b/>
                <w:color w:val="auto"/>
                <w:sz w:val="22"/>
              </w:rPr>
            </w:pPr>
            <w:hyperlink r:id="rId43" w:history="1">
              <w:r w:rsidR="00F02AEC" w:rsidRPr="00C4721A">
                <w:rPr>
                  <w:rStyle w:val="Hyperlink"/>
                  <w:b/>
                </w:rPr>
                <w:t>https://www.tga.gov.au</w:t>
              </w:r>
            </w:hyperlink>
          </w:p>
        </w:tc>
      </w:tr>
      <w:tr w:rsidR="00F02AEC" w:rsidRPr="00215D48" w14:paraId="2AD74347" w14:textId="77777777" w:rsidTr="00FE5DFF">
        <w:trPr>
          <w:trHeight w:val="251"/>
        </w:trPr>
        <w:tc>
          <w:tcPr>
            <w:tcW w:w="9145" w:type="dxa"/>
            <w:tcMar>
              <w:top w:w="28" w:type="dxa"/>
            </w:tcMar>
          </w:tcPr>
          <w:p w14:paraId="6EAAD5C1" w14:textId="77777777" w:rsidR="00F02AEC" w:rsidRPr="00215D48" w:rsidRDefault="00F02AEC" w:rsidP="00FE5DFF">
            <w:pPr>
              <w:pStyle w:val="Address"/>
              <w:jc w:val="center"/>
            </w:pPr>
            <w:r w:rsidRPr="00215D48">
              <w:t>Reference/Publication #</w:t>
            </w:r>
          </w:p>
        </w:tc>
      </w:tr>
    </w:tbl>
    <w:p w14:paraId="788B80FD" w14:textId="77777777" w:rsidR="007452E8" w:rsidRDefault="007452E8"/>
    <w:sectPr w:rsidR="007452E8" w:rsidSect="007452E8">
      <w:headerReference w:type="first" r:id="rId44"/>
      <w:footerReference w:type="first" r:id="rId4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DECBD" w14:textId="77777777" w:rsidR="00CC6770" w:rsidRDefault="00CC6770" w:rsidP="00F02AEC">
      <w:pPr>
        <w:spacing w:after="0" w:line="240" w:lineRule="auto"/>
      </w:pPr>
      <w:r>
        <w:separator/>
      </w:r>
    </w:p>
  </w:endnote>
  <w:endnote w:type="continuationSeparator" w:id="0">
    <w:p w14:paraId="1A5E21C8" w14:textId="77777777" w:rsidR="00CC6770" w:rsidRDefault="00CC6770" w:rsidP="00F02AEC">
      <w:pPr>
        <w:spacing w:after="0" w:line="240" w:lineRule="auto"/>
      </w:pPr>
      <w:r>
        <w:continuationSeparator/>
      </w:r>
    </w:p>
  </w:endnote>
  <w:endnote w:type="continuationNotice" w:id="1">
    <w:p w14:paraId="21DABDF4" w14:textId="77777777" w:rsidR="00CC6770" w:rsidRDefault="00CC67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3E3CF8" w:rsidRPr="00257138" w14:paraId="162D69C2" w14:textId="77777777" w:rsidTr="007452E8">
      <w:trPr>
        <w:trHeight w:val="423"/>
      </w:trPr>
      <w:tc>
        <w:tcPr>
          <w:tcW w:w="4360" w:type="dxa"/>
          <w:tcBorders>
            <w:top w:val="single" w:sz="4" w:space="0" w:color="auto"/>
          </w:tcBorders>
        </w:tcPr>
        <w:p w14:paraId="32E1B782" w14:textId="77777777" w:rsidR="003E3CF8" w:rsidRDefault="003E3CF8" w:rsidP="007452E8">
          <w:pPr>
            <w:pStyle w:val="Footer"/>
          </w:pPr>
        </w:p>
        <w:p w14:paraId="1849C07C" w14:textId="77777777" w:rsidR="003E3CF8" w:rsidRPr="00257138" w:rsidRDefault="003E3CF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3E3CF8" w:rsidRDefault="003E3CF8" w:rsidP="007452E8">
              <w:pPr>
                <w:pStyle w:val="Footer"/>
                <w:jc w:val="right"/>
              </w:pPr>
            </w:p>
            <w:p w14:paraId="5EDE6DF6" w14:textId="77777777" w:rsidR="003E3CF8" w:rsidRPr="00257138" w:rsidRDefault="003E3CF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3E3CF8" w:rsidRPr="00257138" w14:paraId="280F09C8" w14:textId="77777777" w:rsidTr="007452E8">
      <w:trPr>
        <w:trHeight w:val="263"/>
      </w:trPr>
      <w:tc>
        <w:tcPr>
          <w:tcW w:w="4360" w:type="dxa"/>
        </w:tcPr>
        <w:p w14:paraId="673F06D3" w14:textId="77777777" w:rsidR="003E3CF8" w:rsidRPr="00257138" w:rsidRDefault="003E3CF8" w:rsidP="007452E8">
          <w:pPr>
            <w:pStyle w:val="Footer"/>
          </w:pPr>
          <w:r w:rsidRPr="00257138">
            <w:t xml:space="preserve">V1.0 </w:t>
          </w:r>
          <w:r>
            <w:t>Month</w:t>
          </w:r>
          <w:r w:rsidRPr="00257138">
            <w:t xml:space="preserve"> 201</w:t>
          </w:r>
          <w:r>
            <w:t>2</w:t>
          </w:r>
        </w:p>
      </w:tc>
      <w:tc>
        <w:tcPr>
          <w:tcW w:w="4360" w:type="dxa"/>
        </w:tcPr>
        <w:p w14:paraId="77F5B433" w14:textId="77777777" w:rsidR="003E3CF8" w:rsidRPr="00257138" w:rsidRDefault="003E3CF8" w:rsidP="007452E8">
          <w:pPr>
            <w:pStyle w:val="Footer"/>
            <w:jc w:val="right"/>
          </w:pPr>
        </w:p>
      </w:tc>
    </w:tr>
  </w:tbl>
  <w:p w14:paraId="63F6FDDE" w14:textId="77777777" w:rsidR="003E3CF8" w:rsidRPr="00826007" w:rsidRDefault="003E3CF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C239" w14:textId="77777777" w:rsidR="003E3CF8" w:rsidRDefault="003E3CF8" w:rsidP="007452E8">
    <w:pPr>
      <w:pStyle w:val="Footer"/>
      <w:ind w:left="-1701"/>
    </w:pPr>
  </w:p>
  <w:p w14:paraId="09DAA29C" w14:textId="24F2C491" w:rsidR="003E3CF8" w:rsidRDefault="003E3CF8" w:rsidP="007452E8">
    <w:pPr>
      <w:pStyle w:val="Footer"/>
      <w:ind w:left="-170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3E3CF8" w:rsidRPr="004A3084" w14:paraId="6266BC33" w14:textId="77777777" w:rsidTr="007452E8">
      <w:trPr>
        <w:trHeight w:val="423"/>
      </w:trPr>
      <w:tc>
        <w:tcPr>
          <w:tcW w:w="7338" w:type="dxa"/>
          <w:tcBorders>
            <w:top w:val="single" w:sz="4" w:space="0" w:color="auto"/>
          </w:tcBorders>
        </w:tcPr>
        <w:p w14:paraId="3C421323" w14:textId="504D9489" w:rsidR="003E3CF8" w:rsidRPr="004A3084" w:rsidRDefault="003E3CF8" w:rsidP="007452E8">
          <w:pPr>
            <w:pStyle w:val="Footer"/>
          </w:pPr>
          <w:r w:rsidRPr="00487162">
            <w:t>AusPA</w:t>
          </w:r>
          <w:r>
            <w:t xml:space="preserve">R </w:t>
          </w:r>
          <w:r w:rsidRPr="008E1FA1">
            <w:t>- K</w:t>
          </w:r>
          <w:r>
            <w:t>eytruda</w:t>
          </w:r>
          <w:r w:rsidRPr="008E1FA1">
            <w:t xml:space="preserve"> - pembrolizumab - </w:t>
          </w:r>
          <w:bookmarkStart w:id="89" w:name="_Hlk133233115"/>
          <w:r w:rsidRPr="008E1FA1">
            <w:t xml:space="preserve">Merck Sharp &amp; Dohme (Australia) Pty Ltd </w:t>
          </w:r>
          <w:bookmarkEnd w:id="89"/>
          <w:r w:rsidRPr="008E1FA1">
            <w:t>-</w:t>
          </w:r>
          <w:r>
            <w:br/>
          </w:r>
          <w:r w:rsidRPr="008E1FA1">
            <w:t>PM-2020-02312-1-6</w:t>
          </w:r>
          <w:r>
            <w:t xml:space="preserve"> </w:t>
          </w:r>
          <w:r>
            <w:br/>
          </w:r>
          <w:r w:rsidR="00F03FEC">
            <w:t>Final 9 June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5FF27A09" w:rsidR="003E3CF8" w:rsidRPr="004A3084" w:rsidRDefault="003E3CF8" w:rsidP="007452E8">
              <w:pPr>
                <w:pStyle w:val="Footer"/>
                <w:jc w:val="right"/>
              </w:pPr>
              <w:r w:rsidRPr="004A3084">
                <w:t xml:space="preserve">Page </w:t>
              </w:r>
              <w:r>
                <w:fldChar w:fldCharType="begin"/>
              </w:r>
              <w:r>
                <w:instrText xml:space="preserve"> PAGE </w:instrText>
              </w:r>
              <w:r>
                <w:fldChar w:fldCharType="separate"/>
              </w:r>
              <w:r w:rsidR="001058E3">
                <w:rPr>
                  <w:noProof/>
                </w:rPr>
                <w:t>37</w:t>
              </w:r>
              <w:r>
                <w:rPr>
                  <w:noProof/>
                </w:rPr>
                <w:fldChar w:fldCharType="end"/>
              </w:r>
              <w:r w:rsidRPr="004A3084">
                <w:t xml:space="preserve"> of </w:t>
              </w:r>
              <w:r>
                <w:fldChar w:fldCharType="begin"/>
              </w:r>
              <w:r>
                <w:instrText>NUMPAGES</w:instrText>
              </w:r>
              <w:r>
                <w:fldChar w:fldCharType="separate"/>
              </w:r>
              <w:r w:rsidR="001058E3">
                <w:rPr>
                  <w:noProof/>
                </w:rPr>
                <w:t>47</w:t>
              </w:r>
              <w:r>
                <w:fldChar w:fldCharType="end"/>
              </w:r>
            </w:p>
          </w:sdtContent>
        </w:sdt>
      </w:tc>
    </w:tr>
  </w:tbl>
  <w:p w14:paraId="1A4EDE60" w14:textId="77777777" w:rsidR="003E3CF8" w:rsidRPr="00826007" w:rsidRDefault="003E3CF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3E3CF8" w:rsidRPr="008E3C43" w:rsidRDefault="003E3CF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86C34" w14:textId="77777777" w:rsidR="00CC6770" w:rsidRDefault="00CC6770" w:rsidP="00F02AEC">
      <w:pPr>
        <w:spacing w:after="0" w:line="240" w:lineRule="auto"/>
      </w:pPr>
      <w:r>
        <w:separator/>
      </w:r>
    </w:p>
  </w:footnote>
  <w:footnote w:type="continuationSeparator" w:id="0">
    <w:p w14:paraId="03EF52B2" w14:textId="77777777" w:rsidR="00CC6770" w:rsidRDefault="00CC6770" w:rsidP="00F02AEC">
      <w:pPr>
        <w:spacing w:after="0" w:line="240" w:lineRule="auto"/>
      </w:pPr>
      <w:r>
        <w:continuationSeparator/>
      </w:r>
    </w:p>
  </w:footnote>
  <w:footnote w:type="continuationNotice" w:id="1">
    <w:p w14:paraId="47A3BB22" w14:textId="77777777" w:rsidR="00CC6770" w:rsidRDefault="00CC6770">
      <w:pPr>
        <w:spacing w:before="0" w:after="0" w:line="240" w:lineRule="auto"/>
      </w:pPr>
    </w:p>
  </w:footnote>
  <w:footnote w:id="2">
    <w:p w14:paraId="68402A9B" w14:textId="60286C39" w:rsidR="003E3CF8" w:rsidRPr="00A93DC6" w:rsidRDefault="003E3CF8">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3">
    <w:p w14:paraId="21AE6C0F" w14:textId="1A7BBD04" w:rsidR="003E3CF8" w:rsidRDefault="003E3CF8">
      <w:pPr>
        <w:pStyle w:val="FootnoteText"/>
      </w:pPr>
      <w:r>
        <w:rPr>
          <w:rStyle w:val="FootnoteReference"/>
        </w:rPr>
        <w:footnoteRef/>
      </w:r>
      <w:r>
        <w:t xml:space="preserve"> </w:t>
      </w:r>
      <w:r w:rsidRPr="00DC1FDA">
        <w:t>Eichenauer DA, Aleman BMP, Andre M et al Hodgkin lymphoma: ESMO Clinical Practice Guidelines for diagnosis, treatment and follow-up</w:t>
      </w:r>
      <w:r>
        <w:t xml:space="preserve">; </w:t>
      </w:r>
      <w:r w:rsidRPr="00DC1FDA">
        <w:rPr>
          <w:i/>
          <w:iCs/>
        </w:rPr>
        <w:t xml:space="preserve">Annals of Oncology </w:t>
      </w:r>
      <w:r w:rsidRPr="00DC1FDA">
        <w:t>2018 29(4</w:t>
      </w:r>
      <w:r w:rsidRPr="00DC1FDA">
        <w:t>):iv19-iv29</w:t>
      </w:r>
    </w:p>
  </w:footnote>
  <w:footnote w:id="4">
    <w:p w14:paraId="21F15542" w14:textId="15A5524B" w:rsidR="003E3CF8" w:rsidRDefault="003E3CF8">
      <w:pPr>
        <w:pStyle w:val="FootnoteText"/>
      </w:pPr>
      <w:r>
        <w:rPr>
          <w:rStyle w:val="FootnoteReference"/>
        </w:rPr>
        <w:footnoteRef/>
      </w:r>
      <w:r>
        <w:t xml:space="preserve"> </w:t>
      </w:r>
      <w:r w:rsidRPr="00792325">
        <w:t>Lugano classification</w:t>
      </w:r>
      <w:r>
        <w:t xml:space="preserve"> of staging lymphomas derived from Ann Arbor staging with Cotswold modifications.</w:t>
      </w:r>
    </w:p>
  </w:footnote>
  <w:footnote w:id="5">
    <w:p w14:paraId="5512BE13" w14:textId="241AABE3" w:rsidR="003E3CF8" w:rsidRPr="00C13873" w:rsidRDefault="003E3CF8">
      <w:pPr>
        <w:pStyle w:val="FootnoteText"/>
        <w:rPr>
          <w:lang w:val="en-GB"/>
        </w:rPr>
      </w:pPr>
      <w:r>
        <w:rPr>
          <w:rStyle w:val="FootnoteReference"/>
        </w:rPr>
        <w:footnoteRef/>
      </w:r>
      <w:r>
        <w:t xml:space="preserve"> </w:t>
      </w:r>
      <w:r w:rsidRPr="00F61B45">
        <w:t xml:space="preserve">Lister TA, Crowther D, Sutcliffe SB, et al. Report of a committee convened to discuss the evaluation and staging of patients with Hodgkin's disease: </w:t>
      </w:r>
      <w:r w:rsidRPr="00F61B45">
        <w:t xml:space="preserve">Cotswolds meeting. </w:t>
      </w:r>
      <w:r w:rsidRPr="00C13873">
        <w:rPr>
          <w:i/>
        </w:rPr>
        <w:t>J Clin Oncol</w:t>
      </w:r>
      <w:r w:rsidRPr="00F61B45">
        <w:t xml:space="preserve"> 1989; 7:1630.</w:t>
      </w:r>
    </w:p>
  </w:footnote>
  <w:footnote w:id="6">
    <w:p w14:paraId="2782E204" w14:textId="748AD0CD" w:rsidR="003E3CF8" w:rsidRPr="00C13873" w:rsidRDefault="003E3CF8">
      <w:pPr>
        <w:pStyle w:val="FootnoteText"/>
        <w:rPr>
          <w:lang w:val="en-GB"/>
        </w:rPr>
      </w:pPr>
      <w:r>
        <w:rPr>
          <w:rStyle w:val="FootnoteReference"/>
        </w:rPr>
        <w:footnoteRef/>
      </w:r>
      <w:r>
        <w:t xml:space="preserve"> </w:t>
      </w:r>
      <w:r w:rsidRPr="00F61B45">
        <w:t xml:space="preserve">Cheson BD, Fisher RI, Barrington SF, et al. Recommendations for initial evaluation, staging, and response assessment of Hodgkin and non-Hodgkin lymphoma: the Lugano classification. </w:t>
      </w:r>
      <w:r w:rsidRPr="00C13873">
        <w:rPr>
          <w:i/>
        </w:rPr>
        <w:t xml:space="preserve">J Clin Oncol </w:t>
      </w:r>
      <w:r w:rsidRPr="00F61B45">
        <w:t>2014; 32:3059</w:t>
      </w:r>
    </w:p>
  </w:footnote>
  <w:footnote w:id="7">
    <w:p w14:paraId="66FF2081" w14:textId="4FDBA32A" w:rsidR="003E3CF8" w:rsidRPr="00794437" w:rsidRDefault="003E3CF8">
      <w:pPr>
        <w:pStyle w:val="FootnoteText"/>
        <w:rPr>
          <w:lang w:val="en-GB"/>
        </w:rPr>
      </w:pPr>
      <w:r>
        <w:rPr>
          <w:rStyle w:val="FootnoteReference"/>
        </w:rPr>
        <w:footnoteRef/>
      </w:r>
      <w:r>
        <w:t xml:space="preserve"> </w:t>
      </w:r>
      <w:r w:rsidRPr="00A463D1">
        <w:t xml:space="preserve">Hasenclever D, Diehl V. A prognostic score for advanced Hodgkin's disease. International Prognostic Factors Project on Advanced Hodgkin's Disease. </w:t>
      </w:r>
      <w:r w:rsidRPr="00794437">
        <w:rPr>
          <w:i/>
        </w:rPr>
        <w:t>N Engl J Med</w:t>
      </w:r>
      <w:r w:rsidRPr="00A463D1">
        <w:t>. 1998 Nov 19;339(21):1506-14.</w:t>
      </w:r>
    </w:p>
  </w:footnote>
  <w:footnote w:id="8">
    <w:p w14:paraId="0FE07661" w14:textId="2713CB79" w:rsidR="003E3CF8" w:rsidRPr="00794437" w:rsidRDefault="003E3CF8">
      <w:pPr>
        <w:pStyle w:val="FootnoteText"/>
        <w:rPr>
          <w:lang w:val="en-GB"/>
        </w:rPr>
      </w:pPr>
      <w:r>
        <w:rPr>
          <w:rStyle w:val="FootnoteReference"/>
        </w:rPr>
        <w:footnoteRef/>
      </w:r>
      <w:r>
        <w:t xml:space="preserve"> </w:t>
      </w:r>
      <w:r w:rsidRPr="00F41825">
        <w:t xml:space="preserve">Barrington SF, Qian W, </w:t>
      </w:r>
      <w:r w:rsidRPr="00F41825">
        <w:t xml:space="preserve">Somer EJ et-al. Concordance between four European centres of PET reporting criteria designed for use in multicentre trials in Hodgkin lymphoma. </w:t>
      </w:r>
      <w:r w:rsidRPr="00C00401">
        <w:rPr>
          <w:i/>
        </w:rPr>
        <w:t>Eur</w:t>
      </w:r>
      <w:r>
        <w:rPr>
          <w:i/>
        </w:rPr>
        <w:t xml:space="preserve"> J Nucl Med Mol</w:t>
      </w:r>
      <w:r w:rsidRPr="00794437">
        <w:rPr>
          <w:i/>
        </w:rPr>
        <w:t xml:space="preserve"> Imaging</w:t>
      </w:r>
      <w:r w:rsidRPr="00F41825">
        <w:t>. 2010;37 (10): 1824-33</w:t>
      </w:r>
      <w:r>
        <w:t>.</w:t>
      </w:r>
    </w:p>
  </w:footnote>
  <w:footnote w:id="9">
    <w:p w14:paraId="3240FDA0" w14:textId="21BE3A55" w:rsidR="003E3CF8" w:rsidRDefault="003E3CF8">
      <w:pPr>
        <w:pStyle w:val="FootnoteText"/>
      </w:pPr>
      <w:r>
        <w:rPr>
          <w:rStyle w:val="FootnoteReference"/>
        </w:rPr>
        <w:footnoteRef/>
      </w:r>
      <w:r>
        <w:t xml:space="preserve"> </w:t>
      </w:r>
      <w:r w:rsidRPr="00F41825">
        <w:t xml:space="preserve">Brice P. Managing relapsed and refractory Hodgkin lymphoma. Br J </w:t>
      </w:r>
      <w:r w:rsidRPr="00F41825">
        <w:t>Haematol 2008; 141:3.</w:t>
      </w:r>
      <w:r w:rsidRPr="00F41825" w:rsidDel="00F41825">
        <w:t xml:space="preserve"> </w:t>
      </w:r>
    </w:p>
  </w:footnote>
  <w:footnote w:id="10">
    <w:p w14:paraId="2DDD1393" w14:textId="14DE759B" w:rsidR="003E3CF8" w:rsidRPr="00C13873" w:rsidRDefault="003E3CF8">
      <w:pPr>
        <w:pStyle w:val="FootnoteText"/>
        <w:rPr>
          <w:lang w:val="en-GB"/>
        </w:rPr>
      </w:pPr>
      <w:r>
        <w:rPr>
          <w:rStyle w:val="FootnoteReference"/>
        </w:rPr>
        <w:footnoteRef/>
      </w:r>
      <w:r>
        <w:t xml:space="preserve"> </w:t>
      </w:r>
      <w:r w:rsidRPr="00C731CC">
        <w:t xml:space="preserve">Hoppe RT, Advani RH, Ai WZ, et al. Hodgkin Lymphoma, Version 2.2020, NCCN Clinical Practice Guidelines in Oncology. </w:t>
      </w:r>
      <w:r w:rsidRPr="00C13873">
        <w:rPr>
          <w:i/>
        </w:rPr>
        <w:t xml:space="preserve">J Natl </w:t>
      </w:r>
      <w:r w:rsidRPr="00C13873">
        <w:rPr>
          <w:i/>
        </w:rPr>
        <w:t>Compr Canc Netw</w:t>
      </w:r>
      <w:r w:rsidRPr="00C731CC">
        <w:t>. 2020;18(6):755-781.</w:t>
      </w:r>
    </w:p>
  </w:footnote>
  <w:footnote w:id="11">
    <w:p w14:paraId="3D802688" w14:textId="23191E63" w:rsidR="003E3CF8" w:rsidRPr="00C13873" w:rsidRDefault="003E3CF8">
      <w:pPr>
        <w:pStyle w:val="FootnoteText"/>
        <w:rPr>
          <w:lang w:val="en-GB"/>
        </w:rPr>
      </w:pPr>
      <w:r>
        <w:rPr>
          <w:rStyle w:val="FootnoteReference"/>
        </w:rPr>
        <w:footnoteRef/>
      </w:r>
      <w:r>
        <w:t xml:space="preserve"> </w:t>
      </w:r>
      <w:r w:rsidRPr="00C731CC">
        <w:t>O</w:t>
      </w:r>
      <w:r>
        <w:t>pdivo</w:t>
      </w:r>
      <w:r w:rsidRPr="00C731CC">
        <w:t xml:space="preserve"> nivolumab concentrated solution for IV infusion vial (</w:t>
      </w:r>
      <w:r>
        <w:t xml:space="preserve">ARTG R </w:t>
      </w:r>
      <w:r w:rsidRPr="00C731CC">
        <w:t>231868)</w:t>
      </w:r>
      <w:r>
        <w:t xml:space="preserve"> was first registered in Australia on 11 January 2016.</w:t>
      </w:r>
    </w:p>
  </w:footnote>
  <w:footnote w:id="12">
    <w:p w14:paraId="0656D54B" w14:textId="4C85413F" w:rsidR="003E3CF8" w:rsidRPr="00B02783" w:rsidRDefault="003E3CF8">
      <w:pPr>
        <w:pStyle w:val="FootnoteText"/>
        <w:rPr>
          <w:lang w:val="en-GB"/>
        </w:rPr>
      </w:pPr>
      <w:r>
        <w:rPr>
          <w:rStyle w:val="FootnoteReference"/>
        </w:rPr>
        <w:footnoteRef/>
      </w:r>
      <w:r>
        <w:t xml:space="preserve"> An AusPAR describing the submission for initial registration of Keytruda (pembrolizumab) can be found at: </w:t>
      </w:r>
      <w:hyperlink r:id="rId1" w:history="1">
        <w:r w:rsidRPr="00B02783">
          <w:rPr>
            <w:rStyle w:val="Hyperlink"/>
          </w:rPr>
          <w:t>AusPAR for Keytruda (nivolumab) Merck Sharp &amp; Dohme (Australia) Pty Ltd - PM-2014-01928-1-4</w:t>
        </w:r>
      </w:hyperlink>
    </w:p>
  </w:footnote>
  <w:footnote w:id="13">
    <w:p w14:paraId="7A20326E" w14:textId="74C960E6" w:rsidR="003E3CF8" w:rsidRPr="00204E76" w:rsidRDefault="003E3CF8" w:rsidP="00204E76">
      <w:pPr>
        <w:pStyle w:val="FootnoteText"/>
      </w:pPr>
      <w:r>
        <w:rPr>
          <w:rStyle w:val="FootnoteReference"/>
        </w:rPr>
        <w:footnoteRef/>
      </w:r>
      <w:r>
        <w:t xml:space="preserve"> </w:t>
      </w:r>
      <w:r w:rsidRPr="003A5528">
        <w:t xml:space="preserve">Cheson B, Pfistner B, Juweid ME et al Revised Response Criteria for Malignant Lymphoma </w:t>
      </w:r>
      <w:r w:rsidRPr="00204E76">
        <w:rPr>
          <w:i/>
          <w:iCs/>
        </w:rPr>
        <w:t>J Clin Oncol</w:t>
      </w:r>
      <w:r w:rsidRPr="003A5528">
        <w:t xml:space="preserve"> 2007;25(5):579-586</w:t>
      </w:r>
    </w:p>
  </w:footnote>
  <w:footnote w:id="14">
    <w:p w14:paraId="46719BBA" w14:textId="10D609B4" w:rsidR="003E3CF8" w:rsidRPr="00C13873" w:rsidRDefault="003E3CF8">
      <w:pPr>
        <w:pStyle w:val="FootnoteText"/>
        <w:rPr>
          <w:lang w:val="en-GB"/>
        </w:rPr>
      </w:pPr>
      <w:r>
        <w:rPr>
          <w:rStyle w:val="FootnoteReference"/>
        </w:rPr>
        <w:footnoteRef/>
      </w:r>
      <w:r>
        <w:t xml:space="preserve"> The Keynote 013 trial (Study </w:t>
      </w:r>
      <w:r w:rsidRPr="00CC693A">
        <w:t>3475-013</w:t>
      </w:r>
      <w:r>
        <w:t xml:space="preserve">): </w:t>
      </w:r>
      <w:r w:rsidRPr="00CC693A">
        <w:t xml:space="preserve">A Phase </w:t>
      </w:r>
      <w:r w:rsidRPr="00CC693A">
        <w:t>Ib multi-cohort trial of MK-3475 (Pembrolizumab) in subjects with h</w:t>
      </w:r>
      <w:r>
        <w:t>a</w:t>
      </w:r>
      <w:r w:rsidRPr="00CC693A">
        <w:t>ematologic malignancies</w:t>
      </w:r>
      <w:r>
        <w:t xml:space="preserve">. </w:t>
      </w:r>
      <w:r w:rsidRPr="00CC693A">
        <w:t>ClinicalTrials.gov Identifier: NCT01953692</w:t>
      </w:r>
    </w:p>
  </w:footnote>
  <w:footnote w:id="15">
    <w:p w14:paraId="741F9C67" w14:textId="263AB393" w:rsidR="00652100" w:rsidRPr="00652100" w:rsidRDefault="00652100" w:rsidP="00652100">
      <w:pPr>
        <w:pStyle w:val="FootnoteText"/>
      </w:pPr>
      <w:r>
        <w:rPr>
          <w:rStyle w:val="FootnoteReference"/>
        </w:rPr>
        <w:footnoteRef/>
      </w:r>
      <w:r>
        <w:t xml:space="preserve"> The European Public Access Report (EPAR) pertaining to the submission related to this indication (Assessment report: EMA/97222/2021; Procedure No. EMEA/H/C/003820/II/0090) is available online at: </w:t>
      </w:r>
      <w:hyperlink r:id="rId2" w:history="1">
        <w:r>
          <w:rPr>
            <w:rStyle w:val="Hyperlink"/>
          </w:rPr>
          <w:t>Keytruda; INN-pembrolizumab (europa.eu)</w:t>
        </w:r>
      </w:hyperlink>
    </w:p>
  </w:footnote>
  <w:footnote w:id="16">
    <w:p w14:paraId="43AEFC76" w14:textId="1E3C599F" w:rsidR="00CF570F" w:rsidRDefault="00CF570F">
      <w:pPr>
        <w:pStyle w:val="FootnoteText"/>
      </w:pPr>
      <w:r>
        <w:rPr>
          <w:rStyle w:val="FootnoteReference"/>
        </w:rPr>
        <w:footnoteRef/>
      </w:r>
      <w:r>
        <w:t xml:space="preserve"> </w:t>
      </w:r>
      <w:r w:rsidRPr="00794437">
        <w:rPr>
          <w:b/>
        </w:rPr>
        <w:t xml:space="preserve">Provisional determination </w:t>
      </w:r>
      <w:r w:rsidRPr="00CF570F">
        <w:t xml:space="preserve">is a formal </w:t>
      </w:r>
      <w:r>
        <w:t xml:space="preserve">process whereby the sponsor must </w:t>
      </w:r>
      <w:r>
        <w:t xml:space="preserve">submit an application for determination and have this application approved before the sponsor can lodge a submission for provisional registration. The </w:t>
      </w:r>
      <w:r w:rsidRPr="00CF570F">
        <w:t xml:space="preserve">process allows </w:t>
      </w:r>
      <w:r>
        <w:t>the TGA</w:t>
      </w:r>
      <w:r w:rsidRPr="00CF570F">
        <w:t xml:space="preserve"> to make a decision regarding whether the medicine is eli</w:t>
      </w:r>
      <w:r w:rsidR="00023D72">
        <w:t>gible for registration via the p</w:t>
      </w:r>
      <w:r w:rsidRPr="00CF570F">
        <w:t>rovisional approval pathway.</w:t>
      </w:r>
    </w:p>
    <w:p w14:paraId="1E006EB7" w14:textId="733B40D4" w:rsidR="00023D72" w:rsidRDefault="00023D72">
      <w:pPr>
        <w:pStyle w:val="FootnoteText"/>
        <w:rPr>
          <w:lang w:val="en-GB"/>
        </w:rPr>
      </w:pPr>
      <w:r>
        <w:rPr>
          <w:lang w:val="en-GB"/>
        </w:rPr>
        <w:t xml:space="preserve">The </w:t>
      </w:r>
      <w:r w:rsidRPr="00794437">
        <w:rPr>
          <w:b/>
          <w:lang w:val="en-GB"/>
        </w:rPr>
        <w:t>provisional approval pathway</w:t>
      </w:r>
      <w:r w:rsidRPr="00023D72">
        <w:rPr>
          <w:lang w:val="en-GB"/>
        </w:rPr>
        <w:t xml:space="preserve"> allows for provisional registration of medicines on the basis of preliminary clinical data. However, </w:t>
      </w:r>
      <w:r>
        <w:rPr>
          <w:lang w:val="en-GB"/>
        </w:rPr>
        <w:t>the TGA always</w:t>
      </w:r>
      <w:r w:rsidRPr="00023D72">
        <w:rPr>
          <w:lang w:val="en-GB"/>
        </w:rPr>
        <w:t xml:space="preserve"> require comprehensive non-clinical data on safety, quality and compliance with Good Manufacturing Practice. These requirements are the same as in the standard registration process for prescription medicines.</w:t>
      </w:r>
      <w:r>
        <w:rPr>
          <w:lang w:val="en-GB"/>
        </w:rPr>
        <w:t xml:space="preserve"> For further information, see the </w:t>
      </w:r>
      <w:hyperlink r:id="rId3" w:history="1">
        <w:r>
          <w:rPr>
            <w:rStyle w:val="Hyperlink"/>
          </w:rPr>
          <w:t>Provisional registration process.</w:t>
        </w:r>
      </w:hyperlink>
    </w:p>
    <w:p w14:paraId="4D917950" w14:textId="6971E4EE" w:rsidR="00023D72" w:rsidRPr="00023D72" w:rsidRDefault="00023D72" w:rsidP="00023D72">
      <w:pPr>
        <w:pStyle w:val="FootnoteText"/>
        <w:rPr>
          <w:lang w:val="en-GB"/>
        </w:rPr>
      </w:pPr>
      <w:r>
        <w:rPr>
          <w:lang w:val="en-GB"/>
        </w:rPr>
        <w:t>I</w:t>
      </w:r>
      <w:r w:rsidRPr="00023D72">
        <w:rPr>
          <w:lang w:val="en-GB"/>
        </w:rPr>
        <w:t>f</w:t>
      </w:r>
      <w:r>
        <w:rPr>
          <w:lang w:val="en-GB"/>
        </w:rPr>
        <w:t xml:space="preserve"> and when</w:t>
      </w:r>
      <w:r w:rsidRPr="00023D72">
        <w:rPr>
          <w:lang w:val="en-GB"/>
        </w:rPr>
        <w:t xml:space="preserve"> a provisional determination is in place, </w:t>
      </w:r>
      <w:r>
        <w:rPr>
          <w:lang w:val="en-GB"/>
        </w:rPr>
        <w:t>a submission to approve an</w:t>
      </w:r>
      <w:r w:rsidRPr="00023D72">
        <w:rPr>
          <w:lang w:val="en-GB"/>
        </w:rPr>
        <w:t xml:space="preserve"> application </w:t>
      </w:r>
      <w:r>
        <w:rPr>
          <w:lang w:val="en-GB"/>
        </w:rPr>
        <w:t>for a new or expanded indication is</w:t>
      </w:r>
      <w:r w:rsidRPr="00023D72">
        <w:rPr>
          <w:lang w:val="en-GB"/>
        </w:rPr>
        <w:t xml:space="preserve"> processed through the provisional registration pathway (section 23AA of the Act).</w:t>
      </w:r>
    </w:p>
    <w:p w14:paraId="157FED3F" w14:textId="66C35806" w:rsidR="00023D72" w:rsidRPr="00794437" w:rsidRDefault="00023D72" w:rsidP="00023D72">
      <w:pPr>
        <w:pStyle w:val="FootnoteText"/>
        <w:rPr>
          <w:lang w:val="en-GB"/>
        </w:rPr>
      </w:pPr>
      <w:r>
        <w:rPr>
          <w:lang w:val="en-GB"/>
        </w:rPr>
        <w:t xml:space="preserve">A sponsor however </w:t>
      </w:r>
      <w:r w:rsidRPr="00023D72">
        <w:rPr>
          <w:lang w:val="en-GB"/>
        </w:rPr>
        <w:t xml:space="preserve">cannot seek and </w:t>
      </w:r>
      <w:r>
        <w:rPr>
          <w:lang w:val="en-GB"/>
        </w:rPr>
        <w:t>the TGA is unable to</w:t>
      </w:r>
      <w:r w:rsidRPr="00023D72">
        <w:rPr>
          <w:lang w:val="en-GB"/>
        </w:rPr>
        <w:t xml:space="preserve"> accept a submission for provisional registration unless the provisional determination is in place at the time when </w:t>
      </w:r>
      <w:r>
        <w:rPr>
          <w:lang w:val="en-GB"/>
        </w:rPr>
        <w:t>the sponsor</w:t>
      </w:r>
      <w:r w:rsidRPr="00023D72">
        <w:rPr>
          <w:lang w:val="en-GB"/>
        </w:rPr>
        <w:t xml:space="preserve"> lodge</w:t>
      </w:r>
      <w:r>
        <w:rPr>
          <w:lang w:val="en-GB"/>
        </w:rPr>
        <w:t>s</w:t>
      </w:r>
      <w:r w:rsidRPr="00023D72">
        <w:rPr>
          <w:lang w:val="en-GB"/>
        </w:rPr>
        <w:t xml:space="preserve"> the section 23 submission for registration. This means that </w:t>
      </w:r>
      <w:r>
        <w:rPr>
          <w:lang w:val="en-GB"/>
        </w:rPr>
        <w:t>a sponsor</w:t>
      </w:r>
      <w:r w:rsidRPr="00023D72">
        <w:rPr>
          <w:lang w:val="en-GB"/>
        </w:rPr>
        <w:t xml:space="preserve"> cannot lodge a determination application in parallel to or after </w:t>
      </w:r>
      <w:r>
        <w:rPr>
          <w:lang w:val="en-GB"/>
        </w:rPr>
        <w:t>the pre-submission planning f</w:t>
      </w:r>
      <w:r w:rsidRPr="00023D72">
        <w:rPr>
          <w:lang w:val="en-GB"/>
        </w:rPr>
        <w:t>orm (PPF).</w:t>
      </w:r>
    </w:p>
  </w:footnote>
  <w:footnote w:id="17">
    <w:p w14:paraId="1EAEDBE1" w14:textId="75C67A10" w:rsidR="001A73FD" w:rsidRPr="001A73FD" w:rsidRDefault="001A73FD">
      <w:pPr>
        <w:pStyle w:val="FootnoteText"/>
      </w:pPr>
      <w:r>
        <w:rPr>
          <w:rStyle w:val="FootnoteReference"/>
        </w:rPr>
        <w:footnoteRef/>
      </w:r>
      <w:r>
        <w:t xml:space="preserve"> International Council for Harmonisation (ICH) topic E11 </w:t>
      </w:r>
      <w:hyperlink r:id="rId4" w:history="1">
        <w:r w:rsidRPr="001A73FD">
          <w:rPr>
            <w:rStyle w:val="Hyperlink"/>
          </w:rPr>
          <w:t>- Note for guidance on clinical investigation of medicinal products in the paediatric population</w:t>
        </w:r>
      </w:hyperlink>
      <w:r>
        <w:t xml:space="preserve"> (CPMP/ICH/2711/99</w:t>
      </w:r>
      <w:r w:rsidR="004E5745">
        <w:t xml:space="preserve">). </w:t>
      </w:r>
      <w:r>
        <w:t xml:space="preserve">TGA-adopted; </w:t>
      </w:r>
      <w:r w:rsidRPr="001A73FD">
        <w:t>effective date: 19 Apr</w:t>
      </w:r>
      <w:r w:rsidR="004E5745">
        <w:t>il</w:t>
      </w:r>
      <w:r w:rsidRPr="001A73FD">
        <w:t xml:space="preserve"> 2001</w:t>
      </w:r>
      <w:r w:rsidR="004E5745">
        <w:t>.</w:t>
      </w:r>
    </w:p>
  </w:footnote>
  <w:footnote w:id="18">
    <w:p w14:paraId="11074B0D" w14:textId="6F132744" w:rsidR="004E5745" w:rsidRPr="004E5745" w:rsidRDefault="001A73FD" w:rsidP="001A73FD">
      <w:pPr>
        <w:pStyle w:val="FootnoteText"/>
      </w:pPr>
      <w:r>
        <w:rPr>
          <w:rStyle w:val="FootnoteReference"/>
        </w:rPr>
        <w:footnoteRef/>
      </w:r>
      <w:r>
        <w:t xml:space="preserve"> </w:t>
      </w:r>
      <w:r w:rsidR="004E5745">
        <w:t xml:space="preserve">EMA: </w:t>
      </w:r>
      <w:hyperlink r:id="rId5" w:history="1">
        <w:r w:rsidRPr="004E5745">
          <w:rPr>
            <w:rStyle w:val="Hyperlink"/>
          </w:rPr>
          <w:t>Reflection paper on the use of extrapolation in the developme</w:t>
        </w:r>
        <w:r w:rsidR="004E5745" w:rsidRPr="004E5745">
          <w:rPr>
            <w:rStyle w:val="Hyperlink"/>
          </w:rPr>
          <w:t>nt of medicines for paediatrics</w:t>
        </w:r>
      </w:hyperlink>
      <w:r w:rsidR="004E5745">
        <w:t xml:space="preserve"> (</w:t>
      </w:r>
      <w:r>
        <w:t>EMA/189724/2018</w:t>
      </w:r>
      <w:r w:rsidR="004E5745">
        <w:t>). TGA-adopted; effective date: 15 July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6F9FCCB5" w:rsidR="003E3CF8" w:rsidRPr="00CB0550" w:rsidRDefault="003E3CF8" w:rsidP="00CB0550">
    <w:pPr>
      <w:pStyle w:val="Header"/>
      <w:jc w:val="left"/>
    </w:pPr>
    <w:r>
      <w:rPr>
        <w:noProof/>
        <w:lang w:val="en-GB" w:eastAsia="en-GB"/>
      </w:rPr>
      <mc:AlternateContent>
        <mc:Choice Requires="wps">
          <w:drawing>
            <wp:anchor distT="0" distB="0" distL="114300" distR="114300" simplePos="1" relativeHeight="251656192" behindDoc="0" locked="0" layoutInCell="0" allowOverlap="1" wp14:anchorId="318312BB" wp14:editId="2E840254">
              <wp:simplePos x="0" y="190500"/>
              <wp:positionH relativeFrom="page">
                <wp:posOffset>0</wp:posOffset>
              </wp:positionH>
              <wp:positionV relativeFrom="page">
                <wp:posOffset>190500</wp:posOffset>
              </wp:positionV>
              <wp:extent cx="7560310" cy="273050"/>
              <wp:effectExtent l="0" t="0" r="0" b="12700"/>
              <wp:wrapNone/>
              <wp:docPr id="1" name="Text Box 1" descr="{&quot;HashCode&quot;:14684423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05B93E" w14:textId="6E1D0EFC" w:rsidR="003E3CF8" w:rsidRPr="00455EDA" w:rsidRDefault="003E3CF8" w:rsidP="00455EDA">
                          <w:pPr>
                            <w:spacing w:before="0" w:after="0"/>
                            <w:rPr>
                              <w:rFonts w:ascii="Calibri" w:hAnsi="Calibri" w:cs="Calibri"/>
                              <w:color w:val="00B294"/>
                              <w:sz w:val="24"/>
                            </w:rPr>
                          </w:pPr>
                          <w:r w:rsidRPr="00455EDA">
                            <w:rPr>
                              <w:rFonts w:ascii="Calibri" w:hAnsi="Calibri" w:cs="Calibri"/>
                              <w:color w:val="00B294"/>
                              <w:sz w:val="24"/>
                            </w:rPr>
                            <w:t>Proprietary</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18312BB" id="_x0000_t202" coordsize="21600,21600" o:spt="202" path="m,l,21600r21600,l21600,xe">
              <v:stroke joinstyle="miter"/>
              <v:path gradientshapeok="t" o:connecttype="rect"/>
            </v:shapetype>
            <v:shape id="Text Box 1" o:spid="_x0000_s1026" type="#_x0000_t202" alt="{&quot;HashCode&quot;:1468442394,&quot;Height&quot;:841.0,&quot;Width&quot;:595.0,&quot;Placement&quot;:&quot;Header&quot;,&quot;Index&quot;:&quot;Primary&quot;,&quot;Section&quot;:1,&quot;Top&quot;:0.0,&quot;Left&quot;:0.0}" style="position:absolute;margin-left:0;margin-top:1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u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" o:allowincell="f" filled="f" stroked="f" strokeweight=".5pt">
              <v:textbox inset="20pt,0,,0">
                <w:txbxContent>
                  <w:p w14:paraId="3D05B93E" w14:textId="6E1D0EFC" w:rsidR="003E3CF8" w:rsidRPr="00455EDA" w:rsidRDefault="003E3CF8" w:rsidP="00455EDA">
                    <w:pPr>
                      <w:spacing w:before="0" w:after="0"/>
                      <w:rPr>
                        <w:rFonts w:ascii="Calibri" w:hAnsi="Calibri" w:cs="Calibri"/>
                        <w:color w:val="00B294"/>
                        <w:sz w:val="24"/>
                      </w:rPr>
                    </w:pPr>
                    <w:r w:rsidRPr="00455EDA">
                      <w:rPr>
                        <w:rFonts w:ascii="Calibri" w:hAnsi="Calibri" w:cs="Calibri"/>
                        <w:color w:val="00B294"/>
                        <w:sz w:val="24"/>
                      </w:rPr>
                      <w:t>Proprietary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3E3CF8" w:rsidRPr="002B29B2" w14:paraId="3E15C3BC" w14:textId="77777777" w:rsidTr="007452E8">
      <w:trPr>
        <w:trHeight w:hRule="exact" w:val="8845"/>
      </w:trPr>
      <w:tc>
        <w:tcPr>
          <w:tcW w:w="11964" w:type="dxa"/>
          <w:vAlign w:val="center"/>
        </w:tcPr>
        <w:p w14:paraId="6FDE4BFB" w14:textId="7DBAF085" w:rsidR="003E3CF8" w:rsidRPr="002B29B2" w:rsidRDefault="003E3CF8" w:rsidP="007452E8">
          <w:pPr>
            <w:ind w:left="-57"/>
            <w:rPr>
              <w:noProof/>
            </w:rPr>
          </w:pPr>
        </w:p>
      </w:tc>
    </w:tr>
  </w:tbl>
  <w:p w14:paraId="6402DE55" w14:textId="77777777" w:rsidR="003E3CF8" w:rsidRDefault="003E3CF8" w:rsidP="007452E8">
    <w:pPr>
      <w:rPr>
        <w:noProof/>
      </w:rPr>
    </w:pPr>
    <w:r>
      <w:rPr>
        <w:noProof/>
        <w:lang w:val="en-GB" w:eastAsia="en-GB"/>
      </w:rPr>
      <w:drawing>
        <wp:anchor distT="0" distB="0" distL="114300" distR="114300" simplePos="0" relativeHeight="251653120"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004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07AA263D" w:rsidR="003E3CF8" w:rsidRDefault="003E3CF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3E3CF8" w:rsidRPr="00FE501F" w:rsidRDefault="003E3CF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17AF88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691EAB"/>
    <w:multiLevelType w:val="hybridMultilevel"/>
    <w:tmpl w:val="8EA25A9E"/>
    <w:lvl w:ilvl="0" w:tplc="A646507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9354089"/>
    <w:multiLevelType w:val="hybridMultilevel"/>
    <w:tmpl w:val="43FED53A"/>
    <w:lvl w:ilvl="0" w:tplc="4D4E3178">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AC227CB"/>
    <w:multiLevelType w:val="hybridMultilevel"/>
    <w:tmpl w:val="13AE369C"/>
    <w:lvl w:ilvl="0" w:tplc="3C4CA93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7B4525D"/>
    <w:multiLevelType w:val="hybridMultilevel"/>
    <w:tmpl w:val="8B62A0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AC16A8"/>
    <w:multiLevelType w:val="hybridMultilevel"/>
    <w:tmpl w:val="9BF20EE6"/>
    <w:lvl w:ilvl="0" w:tplc="D9262E28">
      <w:start w:val="1"/>
      <w:numFmt w:val="lowerLetter"/>
      <w:lvlText w:val="%1."/>
      <w:lvlJc w:val="left"/>
      <w:pPr>
        <w:ind w:left="215" w:hanging="140"/>
      </w:pPr>
      <w:rPr>
        <w:rFonts w:ascii="Calibri" w:eastAsia="Calibri" w:hAnsi="Calibri" w:cs="Calibri" w:hint="default"/>
        <w:color w:val="231F20"/>
        <w:w w:val="103"/>
        <w:sz w:val="14"/>
        <w:szCs w:val="14"/>
      </w:rPr>
    </w:lvl>
    <w:lvl w:ilvl="1" w:tplc="05A6EF46">
      <w:numFmt w:val="bullet"/>
      <w:lvlText w:val="•"/>
      <w:lvlJc w:val="left"/>
      <w:pPr>
        <w:ind w:left="876" w:hanging="140"/>
      </w:pPr>
      <w:rPr>
        <w:rFonts w:hint="default"/>
      </w:rPr>
    </w:lvl>
    <w:lvl w:ilvl="2" w:tplc="CEF2C580">
      <w:numFmt w:val="bullet"/>
      <w:lvlText w:val="•"/>
      <w:lvlJc w:val="left"/>
      <w:pPr>
        <w:ind w:left="1533" w:hanging="140"/>
      </w:pPr>
      <w:rPr>
        <w:rFonts w:hint="default"/>
      </w:rPr>
    </w:lvl>
    <w:lvl w:ilvl="3" w:tplc="6D365278">
      <w:numFmt w:val="bullet"/>
      <w:lvlText w:val="•"/>
      <w:lvlJc w:val="left"/>
      <w:pPr>
        <w:ind w:left="2189" w:hanging="140"/>
      </w:pPr>
      <w:rPr>
        <w:rFonts w:hint="default"/>
      </w:rPr>
    </w:lvl>
    <w:lvl w:ilvl="4" w:tplc="3B08258A">
      <w:numFmt w:val="bullet"/>
      <w:lvlText w:val="•"/>
      <w:lvlJc w:val="left"/>
      <w:pPr>
        <w:ind w:left="2846" w:hanging="140"/>
      </w:pPr>
      <w:rPr>
        <w:rFonts w:hint="default"/>
      </w:rPr>
    </w:lvl>
    <w:lvl w:ilvl="5" w:tplc="833C2EAA">
      <w:numFmt w:val="bullet"/>
      <w:lvlText w:val="•"/>
      <w:lvlJc w:val="left"/>
      <w:pPr>
        <w:ind w:left="3503" w:hanging="140"/>
      </w:pPr>
      <w:rPr>
        <w:rFonts w:hint="default"/>
      </w:rPr>
    </w:lvl>
    <w:lvl w:ilvl="6" w:tplc="A5C4F6B0">
      <w:numFmt w:val="bullet"/>
      <w:lvlText w:val="•"/>
      <w:lvlJc w:val="left"/>
      <w:pPr>
        <w:ind w:left="4159" w:hanging="140"/>
      </w:pPr>
      <w:rPr>
        <w:rFonts w:hint="default"/>
      </w:rPr>
    </w:lvl>
    <w:lvl w:ilvl="7" w:tplc="5926819E">
      <w:numFmt w:val="bullet"/>
      <w:lvlText w:val="•"/>
      <w:lvlJc w:val="left"/>
      <w:pPr>
        <w:ind w:left="4816" w:hanging="140"/>
      </w:pPr>
      <w:rPr>
        <w:rFonts w:hint="default"/>
      </w:rPr>
    </w:lvl>
    <w:lvl w:ilvl="8" w:tplc="0294440A">
      <w:numFmt w:val="bullet"/>
      <w:lvlText w:val="•"/>
      <w:lvlJc w:val="left"/>
      <w:pPr>
        <w:ind w:left="5472" w:hanging="140"/>
      </w:pPr>
      <w:rPr>
        <w:rFonts w:hint="default"/>
      </w:rPr>
    </w:lvl>
  </w:abstractNum>
  <w:abstractNum w:abstractNumId="10" w15:restartNumberingAfterBreak="0">
    <w:nsid w:val="44914314"/>
    <w:multiLevelType w:val="hybridMultilevel"/>
    <w:tmpl w:val="A8762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EF41127"/>
    <w:multiLevelType w:val="hybridMultilevel"/>
    <w:tmpl w:val="222C708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2E1248D"/>
    <w:multiLevelType w:val="hybridMultilevel"/>
    <w:tmpl w:val="C4360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2"/>
  </w:num>
  <w:num w:numId="5">
    <w:abstractNumId w:val="7"/>
  </w:num>
  <w:num w:numId="6">
    <w:abstractNumId w:val="11"/>
  </w:num>
  <w:num w:numId="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0"/>
  </w:num>
  <w:num w:numId="9">
    <w:abstractNumId w:val="10"/>
  </w:num>
  <w:num w:numId="10">
    <w:abstractNumId w:val="9"/>
  </w:num>
  <w:num w:numId="11">
    <w:abstractNumId w:val="14"/>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3"/>
  </w:num>
  <w:num w:numId="16">
    <w:abstractNumId w:val="2"/>
    <w:lvlOverride w:ilvl="0">
      <w:startOverride w:val="1"/>
    </w:lvlOverride>
  </w:num>
  <w:num w:numId="17">
    <w:abstractNumId w:val="8"/>
  </w:num>
  <w:num w:numId="18">
    <w:abstractNumId w:val="1"/>
  </w:num>
  <w:num w:numId="19">
    <w:abstractNumId w:val="6"/>
  </w:num>
  <w:num w:numId="20">
    <w:abstractNumId w:val="5"/>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23D72"/>
    <w:rsid w:val="00051FDB"/>
    <w:rsid w:val="000574D9"/>
    <w:rsid w:val="00060E49"/>
    <w:rsid w:val="00062C68"/>
    <w:rsid w:val="00077844"/>
    <w:rsid w:val="00077C45"/>
    <w:rsid w:val="000833D2"/>
    <w:rsid w:val="00094B81"/>
    <w:rsid w:val="000975AA"/>
    <w:rsid w:val="000A1DDC"/>
    <w:rsid w:val="000C30CD"/>
    <w:rsid w:val="000D7934"/>
    <w:rsid w:val="000E51F3"/>
    <w:rsid w:val="000F44CC"/>
    <w:rsid w:val="00101FB1"/>
    <w:rsid w:val="001058E3"/>
    <w:rsid w:val="0012473C"/>
    <w:rsid w:val="0013528C"/>
    <w:rsid w:val="00163D04"/>
    <w:rsid w:val="00165D28"/>
    <w:rsid w:val="00171953"/>
    <w:rsid w:val="00175CD8"/>
    <w:rsid w:val="00193461"/>
    <w:rsid w:val="00194A75"/>
    <w:rsid w:val="001A73FD"/>
    <w:rsid w:val="001C1C2E"/>
    <w:rsid w:val="0020369B"/>
    <w:rsid w:val="00204E76"/>
    <w:rsid w:val="00214CE7"/>
    <w:rsid w:val="00216AD0"/>
    <w:rsid w:val="00217C8A"/>
    <w:rsid w:val="00226F39"/>
    <w:rsid w:val="00235D0F"/>
    <w:rsid w:val="00241B60"/>
    <w:rsid w:val="00264529"/>
    <w:rsid w:val="00295490"/>
    <w:rsid w:val="00297BCC"/>
    <w:rsid w:val="002A0CD0"/>
    <w:rsid w:val="002A6BBD"/>
    <w:rsid w:val="002C5E29"/>
    <w:rsid w:val="002C7C3D"/>
    <w:rsid w:val="002D22AB"/>
    <w:rsid w:val="002D7127"/>
    <w:rsid w:val="002E5D98"/>
    <w:rsid w:val="002F08C8"/>
    <w:rsid w:val="002F26CB"/>
    <w:rsid w:val="003008D8"/>
    <w:rsid w:val="00303959"/>
    <w:rsid w:val="00312AC3"/>
    <w:rsid w:val="00314430"/>
    <w:rsid w:val="00324B33"/>
    <w:rsid w:val="003361D8"/>
    <w:rsid w:val="00346C54"/>
    <w:rsid w:val="00346EC2"/>
    <w:rsid w:val="0035444D"/>
    <w:rsid w:val="00357671"/>
    <w:rsid w:val="00395140"/>
    <w:rsid w:val="003B149C"/>
    <w:rsid w:val="003B68D0"/>
    <w:rsid w:val="003C6D03"/>
    <w:rsid w:val="003D71A1"/>
    <w:rsid w:val="003E3CF8"/>
    <w:rsid w:val="00405756"/>
    <w:rsid w:val="00410CB6"/>
    <w:rsid w:val="0041196A"/>
    <w:rsid w:val="0041688F"/>
    <w:rsid w:val="0042376F"/>
    <w:rsid w:val="004246B8"/>
    <w:rsid w:val="00433318"/>
    <w:rsid w:val="0044571F"/>
    <w:rsid w:val="00453CEA"/>
    <w:rsid w:val="00455EDA"/>
    <w:rsid w:val="004609DE"/>
    <w:rsid w:val="00477AF2"/>
    <w:rsid w:val="00477C4E"/>
    <w:rsid w:val="00486E7E"/>
    <w:rsid w:val="0049023A"/>
    <w:rsid w:val="00491A55"/>
    <w:rsid w:val="004B3081"/>
    <w:rsid w:val="004B4A80"/>
    <w:rsid w:val="004E337E"/>
    <w:rsid w:val="004E5745"/>
    <w:rsid w:val="005140A5"/>
    <w:rsid w:val="00535DFE"/>
    <w:rsid w:val="00550D45"/>
    <w:rsid w:val="005605FC"/>
    <w:rsid w:val="00562F42"/>
    <w:rsid w:val="0056766D"/>
    <w:rsid w:val="0058575E"/>
    <w:rsid w:val="0058783C"/>
    <w:rsid w:val="005900D0"/>
    <w:rsid w:val="005911AE"/>
    <w:rsid w:val="0059313A"/>
    <w:rsid w:val="005B023F"/>
    <w:rsid w:val="005B22DE"/>
    <w:rsid w:val="005B6BF9"/>
    <w:rsid w:val="005C0B08"/>
    <w:rsid w:val="005D2089"/>
    <w:rsid w:val="005D5844"/>
    <w:rsid w:val="005D7514"/>
    <w:rsid w:val="005E1A7B"/>
    <w:rsid w:val="005F3903"/>
    <w:rsid w:val="0062250F"/>
    <w:rsid w:val="00624208"/>
    <w:rsid w:val="006277A1"/>
    <w:rsid w:val="006351D9"/>
    <w:rsid w:val="00637130"/>
    <w:rsid w:val="00637F0E"/>
    <w:rsid w:val="00640A2B"/>
    <w:rsid w:val="006423F2"/>
    <w:rsid w:val="00643D09"/>
    <w:rsid w:val="00652100"/>
    <w:rsid w:val="00665D30"/>
    <w:rsid w:val="006920E4"/>
    <w:rsid w:val="00692CCD"/>
    <w:rsid w:val="006A1F0B"/>
    <w:rsid w:val="006A277A"/>
    <w:rsid w:val="006C1790"/>
    <w:rsid w:val="006D6B44"/>
    <w:rsid w:val="006D7E5A"/>
    <w:rsid w:val="006F43FB"/>
    <w:rsid w:val="006F53FE"/>
    <w:rsid w:val="007072A1"/>
    <w:rsid w:val="00710BC5"/>
    <w:rsid w:val="0072003B"/>
    <w:rsid w:val="00721EB8"/>
    <w:rsid w:val="007242E8"/>
    <w:rsid w:val="007264B0"/>
    <w:rsid w:val="007357B9"/>
    <w:rsid w:val="007452E8"/>
    <w:rsid w:val="00746990"/>
    <w:rsid w:val="00750D70"/>
    <w:rsid w:val="00751A95"/>
    <w:rsid w:val="0076081D"/>
    <w:rsid w:val="00770570"/>
    <w:rsid w:val="00781A31"/>
    <w:rsid w:val="00792325"/>
    <w:rsid w:val="00793272"/>
    <w:rsid w:val="00794437"/>
    <w:rsid w:val="00797B7E"/>
    <w:rsid w:val="007B04DE"/>
    <w:rsid w:val="007C57BC"/>
    <w:rsid w:val="007D3D1C"/>
    <w:rsid w:val="007D4138"/>
    <w:rsid w:val="007D6AB1"/>
    <w:rsid w:val="007E2554"/>
    <w:rsid w:val="007E7030"/>
    <w:rsid w:val="007F0A77"/>
    <w:rsid w:val="007F50D3"/>
    <w:rsid w:val="00803235"/>
    <w:rsid w:val="00810E01"/>
    <w:rsid w:val="008174DA"/>
    <w:rsid w:val="00826C50"/>
    <w:rsid w:val="008329DB"/>
    <w:rsid w:val="008361C5"/>
    <w:rsid w:val="0083628F"/>
    <w:rsid w:val="00837AB9"/>
    <w:rsid w:val="00845CF6"/>
    <w:rsid w:val="00850637"/>
    <w:rsid w:val="00860B29"/>
    <w:rsid w:val="0087784D"/>
    <w:rsid w:val="008804CF"/>
    <w:rsid w:val="008964B3"/>
    <w:rsid w:val="008C49C6"/>
    <w:rsid w:val="008C5C40"/>
    <w:rsid w:val="008C754C"/>
    <w:rsid w:val="008D6A54"/>
    <w:rsid w:val="008E1FA1"/>
    <w:rsid w:val="008F4A5B"/>
    <w:rsid w:val="0090605E"/>
    <w:rsid w:val="009108CE"/>
    <w:rsid w:val="00913CDD"/>
    <w:rsid w:val="00915A9F"/>
    <w:rsid w:val="00917AC0"/>
    <w:rsid w:val="00920BCF"/>
    <w:rsid w:val="009246B8"/>
    <w:rsid w:val="00930D58"/>
    <w:rsid w:val="00934400"/>
    <w:rsid w:val="0094714C"/>
    <w:rsid w:val="00953ADC"/>
    <w:rsid w:val="0095656C"/>
    <w:rsid w:val="00966EF1"/>
    <w:rsid w:val="0097444F"/>
    <w:rsid w:val="00996FA5"/>
    <w:rsid w:val="009A1A9E"/>
    <w:rsid w:val="009A486C"/>
    <w:rsid w:val="009A599D"/>
    <w:rsid w:val="009E2B6D"/>
    <w:rsid w:val="009E6F8C"/>
    <w:rsid w:val="00A01C56"/>
    <w:rsid w:val="00A029F3"/>
    <w:rsid w:val="00A12297"/>
    <w:rsid w:val="00A20B42"/>
    <w:rsid w:val="00A231CE"/>
    <w:rsid w:val="00A358E7"/>
    <w:rsid w:val="00A371DD"/>
    <w:rsid w:val="00A414B5"/>
    <w:rsid w:val="00A463D1"/>
    <w:rsid w:val="00A51A2D"/>
    <w:rsid w:val="00A63D9B"/>
    <w:rsid w:val="00A83027"/>
    <w:rsid w:val="00A93DC6"/>
    <w:rsid w:val="00AB7CBF"/>
    <w:rsid w:val="00AC6370"/>
    <w:rsid w:val="00AD2066"/>
    <w:rsid w:val="00AD4099"/>
    <w:rsid w:val="00AD48E1"/>
    <w:rsid w:val="00AE1947"/>
    <w:rsid w:val="00B004E2"/>
    <w:rsid w:val="00B02783"/>
    <w:rsid w:val="00B04B46"/>
    <w:rsid w:val="00B27EB7"/>
    <w:rsid w:val="00B36120"/>
    <w:rsid w:val="00B361FD"/>
    <w:rsid w:val="00B36E5B"/>
    <w:rsid w:val="00B46BC0"/>
    <w:rsid w:val="00B55681"/>
    <w:rsid w:val="00B80FB2"/>
    <w:rsid w:val="00B85020"/>
    <w:rsid w:val="00B91CE7"/>
    <w:rsid w:val="00B967FF"/>
    <w:rsid w:val="00BA7F7D"/>
    <w:rsid w:val="00BD07DF"/>
    <w:rsid w:val="00BD5380"/>
    <w:rsid w:val="00BD5DBD"/>
    <w:rsid w:val="00BE65C4"/>
    <w:rsid w:val="00BF4638"/>
    <w:rsid w:val="00C00401"/>
    <w:rsid w:val="00C07551"/>
    <w:rsid w:val="00C13873"/>
    <w:rsid w:val="00C22214"/>
    <w:rsid w:val="00C2526A"/>
    <w:rsid w:val="00C25C90"/>
    <w:rsid w:val="00C407AB"/>
    <w:rsid w:val="00C541A1"/>
    <w:rsid w:val="00C570FF"/>
    <w:rsid w:val="00C6574E"/>
    <w:rsid w:val="00C731CC"/>
    <w:rsid w:val="00C816C6"/>
    <w:rsid w:val="00C93F1A"/>
    <w:rsid w:val="00CA1850"/>
    <w:rsid w:val="00CB0550"/>
    <w:rsid w:val="00CB1178"/>
    <w:rsid w:val="00CB1F7B"/>
    <w:rsid w:val="00CC16D0"/>
    <w:rsid w:val="00CC1B30"/>
    <w:rsid w:val="00CC6770"/>
    <w:rsid w:val="00CC693A"/>
    <w:rsid w:val="00CD239E"/>
    <w:rsid w:val="00CE33A8"/>
    <w:rsid w:val="00CE690D"/>
    <w:rsid w:val="00CF4188"/>
    <w:rsid w:val="00CF570F"/>
    <w:rsid w:val="00D01DDB"/>
    <w:rsid w:val="00D078BE"/>
    <w:rsid w:val="00D1292C"/>
    <w:rsid w:val="00D13F8A"/>
    <w:rsid w:val="00D23CC7"/>
    <w:rsid w:val="00D36571"/>
    <w:rsid w:val="00D46239"/>
    <w:rsid w:val="00D62877"/>
    <w:rsid w:val="00D63760"/>
    <w:rsid w:val="00D70479"/>
    <w:rsid w:val="00D918D5"/>
    <w:rsid w:val="00D92581"/>
    <w:rsid w:val="00D94C8E"/>
    <w:rsid w:val="00DB1CF3"/>
    <w:rsid w:val="00DC1FDA"/>
    <w:rsid w:val="00DC31D2"/>
    <w:rsid w:val="00DC62A6"/>
    <w:rsid w:val="00DD69AF"/>
    <w:rsid w:val="00DF5BFE"/>
    <w:rsid w:val="00E00EBF"/>
    <w:rsid w:val="00E043E0"/>
    <w:rsid w:val="00E048BA"/>
    <w:rsid w:val="00E31845"/>
    <w:rsid w:val="00E366F5"/>
    <w:rsid w:val="00E47E0C"/>
    <w:rsid w:val="00E51813"/>
    <w:rsid w:val="00E532E0"/>
    <w:rsid w:val="00E53D3F"/>
    <w:rsid w:val="00E5579B"/>
    <w:rsid w:val="00E55EFC"/>
    <w:rsid w:val="00E6451C"/>
    <w:rsid w:val="00E75C53"/>
    <w:rsid w:val="00E83B6C"/>
    <w:rsid w:val="00EA3699"/>
    <w:rsid w:val="00F02AEC"/>
    <w:rsid w:val="00F03FEC"/>
    <w:rsid w:val="00F11207"/>
    <w:rsid w:val="00F157FC"/>
    <w:rsid w:val="00F246E0"/>
    <w:rsid w:val="00F301D8"/>
    <w:rsid w:val="00F30AF3"/>
    <w:rsid w:val="00F3161E"/>
    <w:rsid w:val="00F41825"/>
    <w:rsid w:val="00F54D6E"/>
    <w:rsid w:val="00F61B45"/>
    <w:rsid w:val="00F657B4"/>
    <w:rsid w:val="00F671E7"/>
    <w:rsid w:val="00F823AF"/>
    <w:rsid w:val="00F865A7"/>
    <w:rsid w:val="00FA0754"/>
    <w:rsid w:val="00FA1BC9"/>
    <w:rsid w:val="00FA49C3"/>
    <w:rsid w:val="00FB236E"/>
    <w:rsid w:val="00FB727F"/>
    <w:rsid w:val="00FD5B09"/>
    <w:rsid w:val="00FE5DFF"/>
    <w:rsid w:val="00FF3488"/>
    <w:rsid w:val="00FF3BA2"/>
    <w:rsid w:val="14A79BE9"/>
    <w:rsid w:val="1792F3F6"/>
    <w:rsid w:val="18C195D3"/>
    <w:rsid w:val="19D32C09"/>
    <w:rsid w:val="1A7BE5A0"/>
    <w:rsid w:val="1B568734"/>
    <w:rsid w:val="2E9C8F1B"/>
    <w:rsid w:val="37C972A8"/>
    <w:rsid w:val="3DBE7688"/>
    <w:rsid w:val="41C5E5D2"/>
    <w:rsid w:val="51134D41"/>
    <w:rsid w:val="5E654C76"/>
    <w:rsid w:val="5F8E2004"/>
    <w:rsid w:val="60DA9AC5"/>
    <w:rsid w:val="6558416F"/>
    <w:rsid w:val="66065770"/>
    <w:rsid w:val="67395F38"/>
    <w:rsid w:val="68302FFF"/>
    <w:rsid w:val="6E72F0DE"/>
    <w:rsid w:val="7259D203"/>
    <w:rsid w:val="72CBB21B"/>
    <w:rsid w:val="76B34DD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F897C49-B211-4411-8646-033EE9E60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C45"/>
    <w:pPr>
      <w:spacing w:before="120"/>
    </w:pPr>
    <w:rPr>
      <w:rFonts w:ascii="Cambria" w:hAnsi="Cambria"/>
      <w:sz w:val="22"/>
    </w:rPr>
  </w:style>
  <w:style w:type="paragraph" w:styleId="Heading1">
    <w:name w:val="heading 1"/>
    <w:basedOn w:val="Heading2"/>
    <w:next w:val="Normal"/>
    <w:link w:val="Heading1Char"/>
    <w:qFormat/>
    <w:rsid w:val="00D70479"/>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214CE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8E1FA1"/>
    <w:pPr>
      <w:numPr>
        <w:numId w:val="1"/>
      </w:numPr>
      <w:spacing w:after="180" w:line="240" w:lineRule="atLeast"/>
    </w:pPr>
    <w:rPr>
      <w:rFonts w:eastAsia="Cambria" w:cs="Times New Roman"/>
    </w:rPr>
  </w:style>
  <w:style w:type="paragraph" w:styleId="ListBullet2">
    <w:name w:val="List Bullet 2"/>
    <w:basedOn w:val="Normal"/>
    <w:uiPriority w:val="2"/>
    <w:qFormat/>
    <w:rsid w:val="0056766D"/>
    <w:pPr>
      <w:numPr>
        <w:ilvl w:val="1"/>
        <w:numId w:val="1"/>
      </w:numPr>
      <w:spacing w:after="180" w:line="240" w:lineRule="atLeast"/>
      <w:ind w:left="850" w:hanging="425"/>
    </w:pPr>
    <w:rPr>
      <w:rFonts w:eastAsia="Cambria" w:cs="Times New Roman"/>
      <w:color w:val="333F48"/>
    </w:rPr>
  </w:style>
  <w:style w:type="paragraph" w:styleId="ListBullet3">
    <w:name w:val="List Bullet 3"/>
    <w:basedOn w:val="Normal"/>
    <w:uiPriority w:val="2"/>
    <w:qFormat/>
    <w:rsid w:val="0056766D"/>
    <w:pPr>
      <w:numPr>
        <w:numId w:val="3"/>
      </w:numPr>
      <w:spacing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8E1FA1"/>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after="100" w:line="240" w:lineRule="atLeast"/>
      <w:ind w:left="851"/>
    </w:pPr>
    <w:rPr>
      <w:rFonts w:ascii="Arial" w:eastAsia="Cambria" w:hAnsi="Arial" w:cs="Times New Roman"/>
      <w:b/>
      <w:color w:val="333F48"/>
    </w:rPr>
  </w:style>
  <w:style w:type="paragraph" w:styleId="FootnoteText">
    <w:name w:val="footnote text"/>
    <w:basedOn w:val="Normal"/>
    <w:link w:val="FootnoteTextChar"/>
    <w:rsid w:val="002A0CD0"/>
    <w:pPr>
      <w:keepLines/>
      <w:spacing w:after="0" w:line="240" w:lineRule="auto"/>
    </w:pPr>
    <w:rPr>
      <w:rFonts w:eastAsia="Cambria" w:cs="Times New Roman"/>
      <w:color w:val="333F48"/>
      <w:sz w:val="18"/>
    </w:rPr>
  </w:style>
  <w:style w:type="character" w:customStyle="1" w:styleId="FootnoteTextChar">
    <w:name w:val="Footnote Text Char"/>
    <w:basedOn w:val="DefaultParagraphFont"/>
    <w:link w:val="FootnoteText"/>
    <w:rsid w:val="002A0CD0"/>
    <w:rPr>
      <w:rFonts w:ascii="Cambria" w:eastAsia="Cambria" w:hAnsi="Cambria" w:cs="Times New Roman"/>
      <w:color w:val="333F48"/>
      <w:sz w:val="18"/>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line="240" w:lineRule="atLeast"/>
    </w:pPr>
    <w:rPr>
      <w:rFonts w:eastAsia="Cambria" w:cs="Times New Roman"/>
      <w:i/>
      <w:color w:val="007099"/>
      <w:szCs w:val="22"/>
    </w:rPr>
  </w:style>
  <w:style w:type="paragraph" w:customStyle="1" w:styleId="TableTitle">
    <w:name w:val="Table Title"/>
    <w:basedOn w:val="Normal"/>
    <w:rsid w:val="00324B33"/>
    <w:pPr>
      <w:keepNext/>
      <w:spacing w:line="240" w:lineRule="atLeast"/>
    </w:pPr>
    <w:rPr>
      <w:rFonts w:eastAsia="Cambria" w:cs="Times New Roman"/>
      <w:b/>
      <w:szCs w:val="22"/>
    </w:rPr>
  </w:style>
  <w:style w:type="paragraph" w:customStyle="1" w:styleId="TableDescription">
    <w:name w:val="Table Description"/>
    <w:basedOn w:val="Normal"/>
    <w:rsid w:val="0056766D"/>
    <w:pPr>
      <w:spacing w:after="0" w:line="240" w:lineRule="auto"/>
    </w:pPr>
    <w:rPr>
      <w:rFonts w:eastAsia="Cambria" w:cs="Times New Roman"/>
      <w:sz w:val="19"/>
      <w:szCs w:val="19"/>
    </w:rPr>
  </w:style>
  <w:style w:type="character" w:styleId="CommentReference">
    <w:name w:val="annotation reference"/>
    <w:basedOn w:val="DefaultParagraphFont"/>
    <w:uiPriority w:val="99"/>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unhideWhenUsed/>
    <w:rsid w:val="00966EF1"/>
    <w:rPr>
      <w:color w:val="605E5C"/>
      <w:shd w:val="clear" w:color="auto" w:fill="E1DFDD"/>
    </w:rPr>
  </w:style>
  <w:style w:type="paragraph" w:customStyle="1" w:styleId="TableText">
    <w:name w:val="Table Text"/>
    <w:basedOn w:val="FootnoteText"/>
    <w:qFormat/>
    <w:rsid w:val="00E5579B"/>
    <w:rPr>
      <w:sz w:val="20"/>
      <w:lang w:val="en-GB"/>
    </w:rPr>
  </w:style>
  <w:style w:type="character" w:customStyle="1" w:styleId="Heading1Char">
    <w:name w:val="Heading 1 Char"/>
    <w:basedOn w:val="DefaultParagraphFont"/>
    <w:link w:val="Heading1"/>
    <w:rsid w:val="00D70479"/>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214CE7"/>
    <w:rPr>
      <w:rFonts w:asciiTheme="majorHAnsi" w:eastAsiaTheme="majorEastAsia" w:hAnsiTheme="majorHAnsi" w:cstheme="majorBidi"/>
      <w:i/>
      <w:iCs/>
      <w:color w:val="1F3763" w:themeColor="accent1" w:themeShade="7F"/>
      <w:sz w:val="22"/>
    </w:rPr>
  </w:style>
  <w:style w:type="paragraph" w:styleId="ListParagraph">
    <w:name w:val="List Paragraph"/>
    <w:basedOn w:val="Normal"/>
    <w:link w:val="ListParagraphChar"/>
    <w:uiPriority w:val="34"/>
    <w:qFormat/>
    <w:rsid w:val="00214CE7"/>
    <w:pPr>
      <w:adjustRightInd w:val="0"/>
      <w:snapToGrid w:val="0"/>
      <w:spacing w:before="180" w:after="180" w:line="240" w:lineRule="atLeast"/>
      <w:ind w:left="720"/>
      <w:contextualSpacing/>
    </w:pPr>
    <w:rPr>
      <w:rFonts w:eastAsia="MS Mincho" w:cs="Times New Roman"/>
      <w:lang w:eastAsia="ja-JP"/>
    </w:rPr>
  </w:style>
  <w:style w:type="character" w:customStyle="1" w:styleId="ListParagraphChar">
    <w:name w:val="List Paragraph Char"/>
    <w:basedOn w:val="DefaultParagraphFont"/>
    <w:link w:val="ListParagraph"/>
    <w:uiPriority w:val="34"/>
    <w:rsid w:val="00214CE7"/>
    <w:rPr>
      <w:rFonts w:ascii="Cambria" w:eastAsia="MS Mincho" w:hAnsi="Cambria" w:cs="Times New Roman"/>
      <w:sz w:val="22"/>
      <w:lang w:eastAsia="ja-JP"/>
    </w:rPr>
  </w:style>
  <w:style w:type="table" w:customStyle="1" w:styleId="TableTGAblue1">
    <w:name w:val="Table TGA blue1"/>
    <w:basedOn w:val="TableNormal"/>
    <w:uiPriority w:val="99"/>
    <w:qFormat/>
    <w:rsid w:val="00214CE7"/>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TableParagraph">
    <w:name w:val="Table Paragraph"/>
    <w:basedOn w:val="Normal"/>
    <w:uiPriority w:val="1"/>
    <w:qFormat/>
    <w:rsid w:val="00214CE7"/>
    <w:pPr>
      <w:widowControl w:val="0"/>
      <w:autoSpaceDE w:val="0"/>
      <w:autoSpaceDN w:val="0"/>
      <w:spacing w:before="11" w:after="0" w:line="148" w:lineRule="exact"/>
    </w:pPr>
    <w:rPr>
      <w:rFonts w:ascii="Calibri" w:eastAsia="Calibri" w:hAnsi="Calibri" w:cs="Calibri"/>
      <w:szCs w:val="22"/>
      <w:lang w:val="en-US"/>
    </w:rPr>
  </w:style>
  <w:style w:type="table" w:customStyle="1" w:styleId="TableTGAblue2">
    <w:name w:val="Table TGA blue2"/>
    <w:basedOn w:val="TableNormal"/>
    <w:uiPriority w:val="99"/>
    <w:qFormat/>
    <w:rsid w:val="00DD69AF"/>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ue4">
    <w:name w:val="Table TGA blue4"/>
    <w:basedOn w:val="TableNormal"/>
    <w:uiPriority w:val="99"/>
    <w:qFormat/>
    <w:rsid w:val="00DD69AF"/>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Caption">
    <w:name w:val="caption"/>
    <w:basedOn w:val="Normal"/>
    <w:next w:val="Normal"/>
    <w:uiPriority w:val="35"/>
    <w:unhideWhenUsed/>
    <w:qFormat/>
    <w:rsid w:val="00DD69AF"/>
    <w:pPr>
      <w:spacing w:after="200" w:line="240" w:lineRule="auto"/>
    </w:pPr>
    <w:rPr>
      <w:i/>
      <w:iCs/>
      <w:color w:val="44546A" w:themeColor="text2"/>
      <w:sz w:val="18"/>
      <w:szCs w:val="18"/>
    </w:rPr>
  </w:style>
  <w:style w:type="paragraph" w:customStyle="1" w:styleId="Tabletext0">
    <w:name w:val="Table text"/>
    <w:basedOn w:val="Normal"/>
    <w:link w:val="TabletextChar"/>
    <w:rsid w:val="00DD69AF"/>
    <w:pPr>
      <w:spacing w:line="240" w:lineRule="atLeast"/>
    </w:pPr>
    <w:rPr>
      <w:rFonts w:eastAsia="Cambria" w:cs="Times New Roman"/>
      <w:sz w:val="19"/>
      <w:szCs w:val="22"/>
    </w:rPr>
  </w:style>
  <w:style w:type="character" w:customStyle="1" w:styleId="TabletextChar">
    <w:name w:val="Table text Char"/>
    <w:basedOn w:val="DefaultParagraphFont"/>
    <w:link w:val="Tabletext0"/>
    <w:rsid w:val="00DD69AF"/>
    <w:rPr>
      <w:rFonts w:ascii="Cambria" w:eastAsia="Cambria" w:hAnsi="Cambria" w:cs="Times New Roman"/>
      <w:sz w:val="19"/>
      <w:szCs w:val="22"/>
    </w:rPr>
  </w:style>
  <w:style w:type="character" w:customStyle="1" w:styleId="muxgbd">
    <w:name w:val="muxgbd"/>
    <w:basedOn w:val="DefaultParagraphFont"/>
    <w:rsid w:val="00217C8A"/>
  </w:style>
  <w:style w:type="character" w:styleId="Emphasis">
    <w:name w:val="Emphasis"/>
    <w:basedOn w:val="DefaultParagraphFont"/>
    <w:uiPriority w:val="20"/>
    <w:qFormat/>
    <w:rsid w:val="000C30CD"/>
    <w:rPr>
      <w:i/>
      <w:iCs/>
    </w:rPr>
  </w:style>
  <w:style w:type="character" w:customStyle="1" w:styleId="Mention1">
    <w:name w:val="Mention1"/>
    <w:basedOn w:val="DefaultParagraphFont"/>
    <w:uiPriority w:val="99"/>
    <w:unhideWhenUsed/>
    <w:rsid w:val="00C2526A"/>
    <w:rPr>
      <w:color w:val="2B579A"/>
      <w:shd w:val="clear" w:color="auto" w:fill="E1DFDD"/>
    </w:rPr>
  </w:style>
  <w:style w:type="character" w:styleId="Strong">
    <w:name w:val="Strong"/>
    <w:basedOn w:val="DefaultParagraphFont"/>
    <w:uiPriority w:val="22"/>
    <w:qFormat/>
    <w:rsid w:val="00A463D1"/>
    <w:rPr>
      <w:b/>
      <w:bCs/>
    </w:rPr>
  </w:style>
  <w:style w:type="table" w:styleId="TableGridLight">
    <w:name w:val="Grid Table Light"/>
    <w:basedOn w:val="TableNormal"/>
    <w:uiPriority w:val="40"/>
    <w:rsid w:val="00A463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714182">
      <w:bodyDiv w:val="1"/>
      <w:marLeft w:val="0"/>
      <w:marRight w:val="0"/>
      <w:marTop w:val="0"/>
      <w:marBottom w:val="0"/>
      <w:divBdr>
        <w:top w:val="none" w:sz="0" w:space="0" w:color="auto"/>
        <w:left w:val="none" w:sz="0" w:space="0" w:color="auto"/>
        <w:bottom w:val="none" w:sz="0" w:space="0" w:color="auto"/>
        <w:right w:val="none" w:sz="0" w:space="0" w:color="auto"/>
      </w:divBdr>
    </w:div>
    <w:div w:id="370956585">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26299057">
      <w:bodyDiv w:val="1"/>
      <w:marLeft w:val="0"/>
      <w:marRight w:val="0"/>
      <w:marTop w:val="0"/>
      <w:marBottom w:val="0"/>
      <w:divBdr>
        <w:top w:val="none" w:sz="0" w:space="0" w:color="auto"/>
        <w:left w:val="none" w:sz="0" w:space="0" w:color="auto"/>
        <w:bottom w:val="none" w:sz="0" w:space="0" w:color="auto"/>
        <w:right w:val="none" w:sz="0" w:space="0" w:color="auto"/>
      </w:divBdr>
    </w:div>
    <w:div w:id="922496302">
      <w:bodyDiv w:val="1"/>
      <w:marLeft w:val="0"/>
      <w:marRight w:val="0"/>
      <w:marTop w:val="0"/>
      <w:marBottom w:val="0"/>
      <w:divBdr>
        <w:top w:val="none" w:sz="0" w:space="0" w:color="auto"/>
        <w:left w:val="none" w:sz="0" w:space="0" w:color="auto"/>
        <w:bottom w:val="none" w:sz="0" w:space="0" w:color="auto"/>
        <w:right w:val="none" w:sz="0" w:space="0" w:color="auto"/>
      </w:divBdr>
    </w:div>
    <w:div w:id="1042438795">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452285810">
      <w:bodyDiv w:val="1"/>
      <w:marLeft w:val="0"/>
      <w:marRight w:val="0"/>
      <w:marTop w:val="0"/>
      <w:marBottom w:val="0"/>
      <w:divBdr>
        <w:top w:val="none" w:sz="0" w:space="0" w:color="auto"/>
        <w:left w:val="none" w:sz="0" w:space="0" w:color="auto"/>
        <w:bottom w:val="none" w:sz="0" w:space="0" w:color="auto"/>
        <w:right w:val="none" w:sz="0" w:space="0" w:color="auto"/>
      </w:divBdr>
    </w:div>
    <w:div w:id="1549799589">
      <w:bodyDiv w:val="1"/>
      <w:marLeft w:val="0"/>
      <w:marRight w:val="0"/>
      <w:marTop w:val="0"/>
      <w:marBottom w:val="0"/>
      <w:divBdr>
        <w:top w:val="none" w:sz="0" w:space="0" w:color="auto"/>
        <w:left w:val="none" w:sz="0" w:space="0" w:color="auto"/>
        <w:bottom w:val="none" w:sz="0" w:space="0" w:color="auto"/>
        <w:right w:val="none" w:sz="0" w:space="0" w:color="auto"/>
      </w:divBdr>
    </w:div>
    <w:div w:id="1628466031">
      <w:bodyDiv w:val="1"/>
      <w:marLeft w:val="0"/>
      <w:marRight w:val="0"/>
      <w:marTop w:val="0"/>
      <w:marBottom w:val="0"/>
      <w:divBdr>
        <w:top w:val="none" w:sz="0" w:space="0" w:color="auto"/>
        <w:left w:val="none" w:sz="0" w:space="0" w:color="auto"/>
        <w:bottom w:val="none" w:sz="0" w:space="0" w:color="auto"/>
        <w:right w:val="none" w:sz="0" w:space="0" w:color="auto"/>
      </w:divBdr>
    </w:div>
    <w:div w:id="1745645911">
      <w:bodyDiv w:val="1"/>
      <w:marLeft w:val="0"/>
      <w:marRight w:val="0"/>
      <w:marTop w:val="0"/>
      <w:marBottom w:val="0"/>
      <w:divBdr>
        <w:top w:val="none" w:sz="0" w:space="0" w:color="auto"/>
        <w:left w:val="none" w:sz="0" w:space="0" w:color="auto"/>
        <w:bottom w:val="none" w:sz="0" w:space="0" w:color="auto"/>
        <w:right w:val="none" w:sz="0" w:space="0" w:color="auto"/>
      </w:divBdr>
      <w:divsChild>
        <w:div w:id="2101292310">
          <w:marLeft w:val="0"/>
          <w:marRight w:val="0"/>
          <w:marTop w:val="0"/>
          <w:marBottom w:val="0"/>
          <w:divBdr>
            <w:top w:val="none" w:sz="0" w:space="0" w:color="auto"/>
            <w:left w:val="none" w:sz="0" w:space="0" w:color="auto"/>
            <w:bottom w:val="none" w:sz="0" w:space="0" w:color="auto"/>
            <w:right w:val="none" w:sz="0" w:space="0" w:color="auto"/>
          </w:divBdr>
        </w:div>
        <w:div w:id="329064943">
          <w:marLeft w:val="0"/>
          <w:marRight w:val="0"/>
          <w:marTop w:val="0"/>
          <w:marBottom w:val="0"/>
          <w:divBdr>
            <w:top w:val="none" w:sz="0" w:space="0" w:color="auto"/>
            <w:left w:val="none" w:sz="0" w:space="0" w:color="auto"/>
            <w:bottom w:val="none" w:sz="0" w:space="0" w:color="auto"/>
            <w:right w:val="none" w:sz="0" w:space="0" w:color="auto"/>
          </w:divBdr>
          <w:divsChild>
            <w:div w:id="8233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21958">
      <w:bodyDiv w:val="1"/>
      <w:marLeft w:val="0"/>
      <w:marRight w:val="0"/>
      <w:marTop w:val="0"/>
      <w:marBottom w:val="0"/>
      <w:divBdr>
        <w:top w:val="none" w:sz="0" w:space="0" w:color="auto"/>
        <w:left w:val="none" w:sz="0" w:space="0" w:color="auto"/>
        <w:bottom w:val="none" w:sz="0" w:space="0" w:color="auto"/>
        <w:right w:val="none" w:sz="0" w:space="0" w:color="auto"/>
      </w:divBdr>
    </w:div>
    <w:div w:id="1793556197">
      <w:bodyDiv w:val="1"/>
      <w:marLeft w:val="0"/>
      <w:marRight w:val="0"/>
      <w:marTop w:val="0"/>
      <w:marBottom w:val="0"/>
      <w:divBdr>
        <w:top w:val="none" w:sz="0" w:space="0" w:color="auto"/>
        <w:left w:val="none" w:sz="0" w:space="0" w:color="auto"/>
        <w:bottom w:val="none" w:sz="0" w:space="0" w:color="auto"/>
        <w:right w:val="none" w:sz="0" w:space="0" w:color="auto"/>
      </w:divBdr>
      <w:divsChild>
        <w:div w:id="1947499911">
          <w:marLeft w:val="0"/>
          <w:marRight w:val="0"/>
          <w:marTop w:val="0"/>
          <w:marBottom w:val="0"/>
          <w:divBdr>
            <w:top w:val="none" w:sz="0" w:space="0" w:color="auto"/>
            <w:left w:val="none" w:sz="0" w:space="0" w:color="auto"/>
            <w:bottom w:val="none" w:sz="0" w:space="0" w:color="auto"/>
            <w:right w:val="none" w:sz="0" w:space="0" w:color="auto"/>
          </w:divBdr>
        </w:div>
        <w:div w:id="1182890319">
          <w:marLeft w:val="0"/>
          <w:marRight w:val="0"/>
          <w:marTop w:val="0"/>
          <w:marBottom w:val="0"/>
          <w:divBdr>
            <w:top w:val="none" w:sz="0" w:space="0" w:color="auto"/>
            <w:left w:val="none" w:sz="0" w:space="0" w:color="auto"/>
            <w:bottom w:val="none" w:sz="0" w:space="0" w:color="auto"/>
            <w:right w:val="none" w:sz="0" w:space="0" w:color="auto"/>
          </w:divBdr>
          <w:divsChild>
            <w:div w:id="11322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3952">
      <w:bodyDiv w:val="1"/>
      <w:marLeft w:val="0"/>
      <w:marRight w:val="0"/>
      <w:marTop w:val="0"/>
      <w:marBottom w:val="0"/>
      <w:divBdr>
        <w:top w:val="none" w:sz="0" w:space="0" w:color="auto"/>
        <w:left w:val="none" w:sz="0" w:space="0" w:color="auto"/>
        <w:bottom w:val="none" w:sz="0" w:space="0" w:color="auto"/>
        <w:right w:val="none" w:sz="0" w:space="0" w:color="auto"/>
      </w:divBdr>
    </w:div>
    <w:div w:id="212588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 TargetMode="External"/><Relationship Id="rId26" Type="http://schemas.openxmlformats.org/officeDocument/2006/relationships/image" Target="media/image3.png"/><Relationship Id="rId39" Type="http://schemas.openxmlformats.org/officeDocument/2006/relationships/hyperlink" Target="https://www.tga.gov.au/picmi-search-facility" TargetMode="External"/><Relationship Id="rId3" Type="http://schemas.openxmlformats.org/officeDocument/2006/relationships/styles" Target="styles.xml"/><Relationship Id="rId21" Type="http://schemas.openxmlformats.org/officeDocument/2006/relationships/hyperlink" Target="https://www.tga.gov.au/products/australian-register-therapeutic-goods-artg/consumer-medicines-information-cmi" TargetMode="External"/><Relationship Id="rId34" Type="http://schemas.openxmlformats.org/officeDocument/2006/relationships/hyperlink" Target="https://www.tga.gov.au/tgas-risk-management-approach" TargetMode="External"/><Relationship Id="rId42" Type="http://schemas.openxmlformats.org/officeDocument/2006/relationships/hyperlink" Target="mailto:info@tga.gov.a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products/australian-register-therapeutic-goods-artg" TargetMode="External"/><Relationship Id="rId25" Type="http://schemas.openxmlformats.org/officeDocument/2006/relationships/hyperlink" Target="https://www.tga.gov.au/resources/resource/international-scientific-guidelines/international-scientific-guideline-appendix-4-guideline-evaluation-anticancer-medicinal-products-man-condition-specific-guidance" TargetMode="External"/><Relationship Id="rId33" Type="http://schemas.openxmlformats.org/officeDocument/2006/relationships/hyperlink" Target="https://www.tga.gov.au/publication/risk-management-plans-medicines-and-biologicals" TargetMode="External"/><Relationship Id="rId38" Type="http://schemas.openxmlformats.org/officeDocument/2006/relationships/hyperlink" Target="https://www.tga.gov.au/resources/resource/guidance/provisional-determinatio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ject-orbis" TargetMode="External"/><Relationship Id="rId20" Type="http://schemas.openxmlformats.org/officeDocument/2006/relationships/hyperlink" Target="https://www.tga.gov.au/products/australian-register-therapeutic-goods-artg/product-information-one" TargetMode="External"/><Relationship Id="rId29" Type="http://schemas.openxmlformats.org/officeDocument/2006/relationships/image" Target="media/image6.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ga.gov.au/resources/resource/international-scientific-guidelines/international-scientific-guidelines-appendix-1-guideline-evaluation-anticancer-medicinal-products-man-methodological-consideration-using-progression-free-survival-pfs-or-disease-free-survival-dfs" TargetMode="External"/><Relationship Id="rId32" Type="http://schemas.microsoft.com/office/2007/relationships/hdphoto" Target="media/hdphoto1.wdp"/><Relationship Id="rId37" Type="http://schemas.openxmlformats.org/officeDocument/2006/relationships/hyperlink" Target="https://www.tga.gov.au/committee/advisory-committee-medicines-acm" TargetMode="External"/><Relationship Id="rId40" Type="http://schemas.openxmlformats.org/officeDocument/2006/relationships/header" Target="header3.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hyperlink" Target="https://www.tga.gov.au/how-we-regulate/supply-therapeutic-good-0/supply-prescription-medicine/application-process/prescription-medicines-registration-process" TargetMode="External"/><Relationship Id="rId28" Type="http://schemas.openxmlformats.org/officeDocument/2006/relationships/image" Target="media/image5.png"/><Relationship Id="rId36" Type="http://schemas.openxmlformats.org/officeDocument/2006/relationships/hyperlink" Target="https://www.tga.gov.au/resources/resource/guidance/risk-management-plans-medicines-and-biologicals/australia-specific-annex-eu-rmp" TargetMode="External"/><Relationship Id="rId10" Type="http://schemas.openxmlformats.org/officeDocument/2006/relationships/header" Target="header2.xml"/><Relationship Id="rId19" Type="http://schemas.openxmlformats.org/officeDocument/2006/relationships/hyperlink" Target="https://www.tga.gov.au/products/australian-register-therapeutic-goods-artg/product-information-one" TargetMode="External"/><Relationship Id="rId31" Type="http://schemas.openxmlformats.org/officeDocument/2006/relationships/image" Target="media/image8.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picmi-search-facility" TargetMode="Externa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hyperlink" Target="https://www.tga.gov.au/resources/resource/guidance/risk-management-plans-medicines-and-biologicals/australia-specific-annex-eu-rmp" TargetMode="External"/><Relationship Id="rId43"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resource/guidance/provisional-registration-process" TargetMode="External"/><Relationship Id="rId2" Type="http://schemas.openxmlformats.org/officeDocument/2006/relationships/hyperlink" Target="https://www.ema.europa.eu/en/documents/variation-report/keytruda-h-c-3820-ii-0090-epar-assessment-report-variation_en.pdf" TargetMode="External"/><Relationship Id="rId1" Type="http://schemas.openxmlformats.org/officeDocument/2006/relationships/hyperlink" Target="https://www.tga.gov.au/resources/auspar/auspar-pembrolizumab-rch" TargetMode="External"/><Relationship Id="rId5" Type="http://schemas.openxmlformats.org/officeDocument/2006/relationships/hyperlink" Target="https://www.tga.gov.au/resources/resource/international-scientific-guidelines/international-scientific-guideline-reflection-paper-use-extrapolation-development-medicines-paediatrics" TargetMode="External"/><Relationship Id="rId4" Type="http://schemas.openxmlformats.org/officeDocument/2006/relationships/hyperlink" Target="https://www.tga.gov.au/resources/resource/international-scientific-guidelines/international-scientific-guideline-ich-topic-e-11-note-guidance-clinical-investigation-medicinal-products-paediatric-popula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98E62-B4A6-4242-B4C4-C9E784B5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15257</Words>
  <Characters>86969</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102022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Keytruda</dc:title>
  <dc:subject>Prescription medicines</dc:subject>
  <dc:creator>Therapeutic Goods Administration</dc:creator>
  <cp:keywords/>
  <dc:description/>
  <cp:lastModifiedBy>LACK, Janet</cp:lastModifiedBy>
  <cp:revision>3</cp:revision>
  <dcterms:created xsi:type="dcterms:W3CDTF">2023-06-15T05:52:00Z</dcterms:created>
  <dcterms:modified xsi:type="dcterms:W3CDTF">2023-06-15T05:53:00Z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e81acc0d-dcc4-4dc9-a2c5-be70b05a2fe6_Enabled">
    <vt:lpwstr>true</vt:lpwstr>
  </property>
  <property fmtid="{D5CDD505-2E9C-101B-9397-08002B2CF9AE}" pid="4" name="MSIP_Label_e81acc0d-dcc4-4dc9-a2c5-be70b05a2fe6_SetDate">
    <vt:lpwstr>2023-05-14T23:31:56Z</vt:lpwstr>
  </property>
  <property fmtid="{D5CDD505-2E9C-101B-9397-08002B2CF9AE}" pid="5" name="MSIP_Label_e81acc0d-dcc4-4dc9-a2c5-be70b05a2fe6_Method">
    <vt:lpwstr>Privileged</vt:lpwstr>
  </property>
  <property fmtid="{D5CDD505-2E9C-101B-9397-08002B2CF9AE}" pid="6" name="MSIP_Label_e81acc0d-dcc4-4dc9-a2c5-be70b05a2fe6_Name">
    <vt:lpwstr>e81acc0d-dcc4-4dc9-a2c5-be70b05a2fe6</vt:lpwstr>
  </property>
  <property fmtid="{D5CDD505-2E9C-101B-9397-08002B2CF9AE}" pid="7" name="MSIP_Label_e81acc0d-dcc4-4dc9-a2c5-be70b05a2fe6_SiteId">
    <vt:lpwstr>a00de4ec-48a8-43a6-be74-e31274e2060d</vt:lpwstr>
  </property>
  <property fmtid="{D5CDD505-2E9C-101B-9397-08002B2CF9AE}" pid="8" name="MSIP_Label_e81acc0d-dcc4-4dc9-a2c5-be70b05a2fe6_ActionId">
    <vt:lpwstr>6cea1ef5-55fd-4edd-a935-5f285913405a</vt:lpwstr>
  </property>
  <property fmtid="{D5CDD505-2E9C-101B-9397-08002B2CF9AE}" pid="9" name="MSIP_Label_e81acc0d-dcc4-4dc9-a2c5-be70b05a2fe6_ContentBits">
    <vt:lpwstr>0</vt:lpwstr>
  </property>
  <property fmtid="{D5CDD505-2E9C-101B-9397-08002B2CF9AE}" pid="10" name="MerckAIPLabel">
    <vt:lpwstr>NotClassified</vt:lpwstr>
  </property>
  <property fmtid="{D5CDD505-2E9C-101B-9397-08002B2CF9AE}" pid="11" name="MerckAIPDataExchange">
    <vt:lpwstr>!MRKMIP@NotClassified</vt:lpwstr>
  </property>
</Properties>
</file>