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04ABD">
        <w:tc>
          <w:tcPr>
            <w:tcW w:w="8720" w:type="dxa"/>
          </w:tcPr>
          <w:p w14:paraId="158C7559" w14:textId="50EC184C" w:rsidR="0025660C" w:rsidRPr="00077548" w:rsidRDefault="00597B50" w:rsidP="00E04ABD">
            <w:pPr>
              <w:pStyle w:val="Title"/>
            </w:pPr>
            <w:r w:rsidRPr="00597B50">
              <w:t>Notice of final decisions to amend (or not amend) the current Poisons Standard</w:t>
            </w:r>
          </w:p>
        </w:tc>
      </w:tr>
      <w:tr w:rsidR="0025660C" w14:paraId="3393FE2A" w14:textId="77777777" w:rsidTr="00E04ABD">
        <w:trPr>
          <w:trHeight w:val="810"/>
        </w:trPr>
        <w:tc>
          <w:tcPr>
            <w:tcW w:w="8720" w:type="dxa"/>
          </w:tcPr>
          <w:p w14:paraId="38D3E20E" w14:textId="4E86C4C0" w:rsidR="0025660C" w:rsidRPr="00077548" w:rsidRDefault="0069150F" w:rsidP="00E04ABD">
            <w:pPr>
              <w:pStyle w:val="Subtitle"/>
              <w:tabs>
                <w:tab w:val="left" w:pos="5310"/>
              </w:tabs>
              <w:ind w:left="0"/>
            </w:pPr>
            <w:r>
              <w:t>3</w:t>
            </w:r>
            <w:r w:rsidR="006C6C31">
              <w:t xml:space="preserve"> </w:t>
            </w:r>
            <w:r>
              <w:t>May</w:t>
            </w:r>
            <w:r w:rsidR="006C6C31">
              <w:t xml:space="preserve"> 2023</w:t>
            </w:r>
            <w:r w:rsidR="00AA34FC">
              <w:t xml:space="preserve"> </w:t>
            </w:r>
          </w:p>
        </w:tc>
      </w:tr>
      <w:tr w:rsidR="0025660C" w14:paraId="0C412F80" w14:textId="77777777" w:rsidTr="00E04ABD">
        <w:trPr>
          <w:trHeight w:val="884"/>
        </w:trPr>
        <w:tc>
          <w:tcPr>
            <w:tcW w:w="8720" w:type="dxa"/>
          </w:tcPr>
          <w:p w14:paraId="4F8A6B3F" w14:textId="222527CF" w:rsidR="005A5916" w:rsidRPr="00EB4571" w:rsidRDefault="005A5916" w:rsidP="00E04ABD">
            <w:pPr>
              <w:pStyle w:val="NonTOCheading2"/>
              <w:spacing w:before="240"/>
              <w:rPr>
                <w:rFonts w:asciiTheme="majorHAnsi" w:hAnsiTheme="majorHAnsi" w:cstheme="majorHAnsi"/>
                <w:b w:val="0"/>
                <w:szCs w:val="22"/>
              </w:rPr>
            </w:pPr>
          </w:p>
        </w:tc>
      </w:tr>
      <w:tr w:rsidR="0025660C" w14:paraId="7FC07B7E" w14:textId="77777777" w:rsidTr="00E04ABD">
        <w:trPr>
          <w:trHeight w:val="601"/>
        </w:trPr>
        <w:tc>
          <w:tcPr>
            <w:tcW w:w="8720" w:type="dxa"/>
          </w:tcPr>
          <w:p w14:paraId="3BC7EC49" w14:textId="38DA154E" w:rsidR="0025660C" w:rsidRDefault="00CC0649" w:rsidP="00E04ABD">
            <w:pPr>
              <w:pStyle w:val="Date"/>
            </w:pPr>
            <w:r>
              <w:t>Version 2.0</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68C7AFDB" w:rsidR="007907BF" w:rsidRDefault="007907BF" w:rsidP="007907BF">
      <w:pPr>
        <w:pStyle w:val="LegalCopy"/>
      </w:pPr>
      <w:r w:rsidRPr="009401F6">
        <w:t>© Commonwealth of Australia 20</w:t>
      </w:r>
      <w:r>
        <w:t>2</w:t>
      </w:r>
      <w:r w:rsidR="00D80FA9">
        <w:t>3</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9401F6">
          <w:rPr>
            <w:rStyle w:val="Hyperlink"/>
            <w:rFonts w:cs="Arial"/>
          </w:rPr>
          <w:t>tga.copyright@tga.gov.au</w:t>
        </w:r>
      </w:hyperlink>
      <w:r w:rsidR="00CC0649">
        <w: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8" w:displacedByCustomXml="next"/>
    <w:bookmarkStart w:id="1" w:name="_Toc328388475" w:displacedByCustomXml="next"/>
    <w:bookmarkStart w:id="2" w:name="_Toc323740419" w:displacedByCustomXml="next"/>
    <w:sdt>
      <w:sdtPr>
        <w:rPr>
          <w:rFonts w:ascii="Arial" w:hAnsi="Arial"/>
          <w:b/>
        </w:rPr>
        <w:id w:val="21514559"/>
        <w:docPartObj>
          <w:docPartGallery w:val="Table of Contents"/>
          <w:docPartUnique/>
        </w:docPartObj>
      </w:sdtPr>
      <w:sdtEndPr/>
      <w:sdtContent>
        <w:p w14:paraId="0D5DFC8C" w14:textId="77777777" w:rsidR="001121BD" w:rsidRDefault="0025660C">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3F0FEEE5" w14:textId="290B8552" w:rsidR="00A43827" w:rsidRDefault="008D3724">
          <w:pPr>
            <w:pStyle w:val="TOC2"/>
            <w:tabs>
              <w:tab w:val="left" w:pos="851"/>
            </w:tabs>
            <w:rPr>
              <w:rFonts w:asciiTheme="minorHAnsi" w:eastAsiaTheme="minorEastAsia" w:hAnsiTheme="minorHAnsi" w:cstheme="minorBidi"/>
              <w:noProof/>
              <w:kern w:val="2"/>
              <w:sz w:val="24"/>
              <w:szCs w:val="24"/>
              <w:lang w:eastAsia="en-AU"/>
              <w14:ligatures w14:val="standardContextual"/>
            </w:rPr>
          </w:pPr>
          <w:r>
            <w:rPr>
              <w:sz w:val="32"/>
            </w:rPr>
            <w:fldChar w:fldCharType="begin"/>
          </w:r>
          <w:r>
            <w:rPr>
              <w:sz w:val="32"/>
            </w:rPr>
            <w:instrText xml:space="preserve"> TOC \o "1-3" \h \z \u </w:instrText>
          </w:r>
          <w:r>
            <w:rPr>
              <w:sz w:val="32"/>
            </w:rPr>
            <w:fldChar w:fldCharType="separate"/>
          </w:r>
          <w:hyperlink w:anchor="_Toc190165691" w:history="1">
            <w:r w:rsidR="00A43827" w:rsidRPr="00B24B99">
              <w:rPr>
                <w:rStyle w:val="Hyperlink"/>
                <w:noProof/>
              </w:rPr>
              <w:t>1</w:t>
            </w:r>
            <w:r w:rsidR="00A43827">
              <w:rPr>
                <w:rFonts w:asciiTheme="minorHAnsi" w:eastAsiaTheme="minorEastAsia" w:hAnsiTheme="minorHAnsi" w:cstheme="minorBidi"/>
                <w:noProof/>
                <w:kern w:val="2"/>
                <w:sz w:val="24"/>
                <w:szCs w:val="24"/>
                <w:lang w:eastAsia="en-AU"/>
                <w14:ligatures w14:val="standardContextual"/>
              </w:rPr>
              <w:tab/>
            </w:r>
            <w:r w:rsidR="00A43827" w:rsidRPr="00B24B99">
              <w:rPr>
                <w:rStyle w:val="Hyperlink"/>
                <w:noProof/>
              </w:rPr>
              <w:t>Notice of final decisions to amend (or not amend) the current Poisons Standard</w:t>
            </w:r>
            <w:r w:rsidR="00A43827">
              <w:rPr>
                <w:noProof/>
                <w:webHidden/>
              </w:rPr>
              <w:tab/>
            </w:r>
            <w:r w:rsidR="00A43827">
              <w:rPr>
                <w:noProof/>
                <w:webHidden/>
              </w:rPr>
              <w:fldChar w:fldCharType="begin"/>
            </w:r>
            <w:r w:rsidR="00A43827">
              <w:rPr>
                <w:noProof/>
                <w:webHidden/>
              </w:rPr>
              <w:instrText xml:space="preserve"> PAGEREF _Toc190165691 \h </w:instrText>
            </w:r>
            <w:r w:rsidR="00A43827">
              <w:rPr>
                <w:noProof/>
                <w:webHidden/>
              </w:rPr>
            </w:r>
            <w:r w:rsidR="00A43827">
              <w:rPr>
                <w:noProof/>
                <w:webHidden/>
              </w:rPr>
              <w:fldChar w:fldCharType="separate"/>
            </w:r>
            <w:r w:rsidR="00CC0649">
              <w:rPr>
                <w:noProof/>
                <w:webHidden/>
              </w:rPr>
              <w:t>4</w:t>
            </w:r>
            <w:r w:rsidR="00A43827">
              <w:rPr>
                <w:noProof/>
                <w:webHidden/>
              </w:rPr>
              <w:fldChar w:fldCharType="end"/>
            </w:r>
          </w:hyperlink>
        </w:p>
        <w:p w14:paraId="614C8D19" w14:textId="22030B72"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692" w:history="1">
            <w:r w:rsidRPr="00B24B99">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decisions on proposed amendments referred to the Advisory Committee on Medicines Scheduling (ACMS #40, November 2022)</w:t>
            </w:r>
            <w:r>
              <w:rPr>
                <w:noProof/>
                <w:webHidden/>
              </w:rPr>
              <w:tab/>
            </w:r>
            <w:r>
              <w:rPr>
                <w:noProof/>
                <w:webHidden/>
              </w:rPr>
              <w:fldChar w:fldCharType="begin"/>
            </w:r>
            <w:r>
              <w:rPr>
                <w:noProof/>
                <w:webHidden/>
              </w:rPr>
              <w:instrText xml:space="preserve"> PAGEREF _Toc190165692 \h </w:instrText>
            </w:r>
            <w:r>
              <w:rPr>
                <w:noProof/>
                <w:webHidden/>
              </w:rPr>
            </w:r>
            <w:r>
              <w:rPr>
                <w:noProof/>
                <w:webHidden/>
              </w:rPr>
              <w:fldChar w:fldCharType="separate"/>
            </w:r>
            <w:r w:rsidR="00CC0649">
              <w:rPr>
                <w:noProof/>
                <w:webHidden/>
              </w:rPr>
              <w:t>4</w:t>
            </w:r>
            <w:r>
              <w:rPr>
                <w:noProof/>
                <w:webHidden/>
              </w:rPr>
              <w:fldChar w:fldCharType="end"/>
            </w:r>
          </w:hyperlink>
        </w:p>
        <w:p w14:paraId="50CDE3FA" w14:textId="652DF3C1"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3" w:history="1">
            <w:r w:rsidRPr="00B24B99">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paracetamol</w:t>
            </w:r>
            <w:r>
              <w:rPr>
                <w:noProof/>
                <w:webHidden/>
              </w:rPr>
              <w:tab/>
            </w:r>
            <w:r>
              <w:rPr>
                <w:noProof/>
                <w:webHidden/>
              </w:rPr>
              <w:fldChar w:fldCharType="begin"/>
            </w:r>
            <w:r>
              <w:rPr>
                <w:noProof/>
                <w:webHidden/>
              </w:rPr>
              <w:instrText xml:space="preserve"> PAGEREF _Toc190165693 \h </w:instrText>
            </w:r>
            <w:r>
              <w:rPr>
                <w:noProof/>
                <w:webHidden/>
              </w:rPr>
            </w:r>
            <w:r>
              <w:rPr>
                <w:noProof/>
                <w:webHidden/>
              </w:rPr>
              <w:fldChar w:fldCharType="separate"/>
            </w:r>
            <w:r w:rsidR="00CC0649">
              <w:rPr>
                <w:noProof/>
                <w:webHidden/>
              </w:rPr>
              <w:t>4</w:t>
            </w:r>
            <w:r>
              <w:rPr>
                <w:noProof/>
                <w:webHidden/>
              </w:rPr>
              <w:fldChar w:fldCharType="end"/>
            </w:r>
          </w:hyperlink>
        </w:p>
        <w:p w14:paraId="05AFDD3E" w14:textId="1D060FC7"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4" w:history="1">
            <w:r w:rsidRPr="00B24B99">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ivermectin</w:t>
            </w:r>
            <w:r>
              <w:rPr>
                <w:noProof/>
                <w:webHidden/>
              </w:rPr>
              <w:tab/>
            </w:r>
            <w:r>
              <w:rPr>
                <w:noProof/>
                <w:webHidden/>
              </w:rPr>
              <w:fldChar w:fldCharType="begin"/>
            </w:r>
            <w:r>
              <w:rPr>
                <w:noProof/>
                <w:webHidden/>
              </w:rPr>
              <w:instrText xml:space="preserve"> PAGEREF _Toc190165694 \h </w:instrText>
            </w:r>
            <w:r>
              <w:rPr>
                <w:noProof/>
                <w:webHidden/>
              </w:rPr>
            </w:r>
            <w:r>
              <w:rPr>
                <w:noProof/>
                <w:webHidden/>
              </w:rPr>
              <w:fldChar w:fldCharType="separate"/>
            </w:r>
            <w:r w:rsidR="00CC0649">
              <w:rPr>
                <w:noProof/>
                <w:webHidden/>
              </w:rPr>
              <w:t>14</w:t>
            </w:r>
            <w:r>
              <w:rPr>
                <w:noProof/>
                <w:webHidden/>
              </w:rPr>
              <w:fldChar w:fldCharType="end"/>
            </w:r>
          </w:hyperlink>
        </w:p>
        <w:p w14:paraId="46C74AD2" w14:textId="20D82736"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5" w:history="1">
            <w:r w:rsidRPr="00B24B99">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brimonidine</w:t>
            </w:r>
            <w:r>
              <w:rPr>
                <w:noProof/>
                <w:webHidden/>
              </w:rPr>
              <w:tab/>
            </w:r>
            <w:r>
              <w:rPr>
                <w:noProof/>
                <w:webHidden/>
              </w:rPr>
              <w:fldChar w:fldCharType="begin"/>
            </w:r>
            <w:r>
              <w:rPr>
                <w:noProof/>
                <w:webHidden/>
              </w:rPr>
              <w:instrText xml:space="preserve"> PAGEREF _Toc190165695 \h </w:instrText>
            </w:r>
            <w:r>
              <w:rPr>
                <w:noProof/>
                <w:webHidden/>
              </w:rPr>
            </w:r>
            <w:r>
              <w:rPr>
                <w:noProof/>
                <w:webHidden/>
              </w:rPr>
              <w:fldChar w:fldCharType="separate"/>
            </w:r>
            <w:r w:rsidR="00CC0649">
              <w:rPr>
                <w:noProof/>
                <w:webHidden/>
              </w:rPr>
              <w:t>19</w:t>
            </w:r>
            <w:r>
              <w:rPr>
                <w:noProof/>
                <w:webHidden/>
              </w:rPr>
              <w:fldChar w:fldCharType="end"/>
            </w:r>
          </w:hyperlink>
        </w:p>
        <w:p w14:paraId="668E3613" w14:textId="5983226B"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6" w:history="1">
            <w:r w:rsidRPr="00B24B99">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fexofenadine</w:t>
            </w:r>
            <w:r>
              <w:rPr>
                <w:noProof/>
                <w:webHidden/>
              </w:rPr>
              <w:tab/>
            </w:r>
            <w:r>
              <w:rPr>
                <w:noProof/>
                <w:webHidden/>
              </w:rPr>
              <w:fldChar w:fldCharType="begin"/>
            </w:r>
            <w:r>
              <w:rPr>
                <w:noProof/>
                <w:webHidden/>
              </w:rPr>
              <w:instrText xml:space="preserve"> PAGEREF _Toc190165696 \h </w:instrText>
            </w:r>
            <w:r>
              <w:rPr>
                <w:noProof/>
                <w:webHidden/>
              </w:rPr>
            </w:r>
            <w:r>
              <w:rPr>
                <w:noProof/>
                <w:webHidden/>
              </w:rPr>
              <w:fldChar w:fldCharType="separate"/>
            </w:r>
            <w:r w:rsidR="00CC0649">
              <w:rPr>
                <w:noProof/>
                <w:webHidden/>
              </w:rPr>
              <w:t>20</w:t>
            </w:r>
            <w:r>
              <w:rPr>
                <w:noProof/>
                <w:webHidden/>
              </w:rPr>
              <w:fldChar w:fldCharType="end"/>
            </w:r>
          </w:hyperlink>
        </w:p>
        <w:p w14:paraId="78BD644B" w14:textId="4AF52018"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7" w:history="1">
            <w:r w:rsidRPr="00B24B99">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ibuprofen</w:t>
            </w:r>
            <w:r>
              <w:rPr>
                <w:noProof/>
                <w:webHidden/>
              </w:rPr>
              <w:tab/>
            </w:r>
            <w:r>
              <w:rPr>
                <w:noProof/>
                <w:webHidden/>
              </w:rPr>
              <w:fldChar w:fldCharType="begin"/>
            </w:r>
            <w:r>
              <w:rPr>
                <w:noProof/>
                <w:webHidden/>
              </w:rPr>
              <w:instrText xml:space="preserve"> PAGEREF _Toc190165697 \h </w:instrText>
            </w:r>
            <w:r>
              <w:rPr>
                <w:noProof/>
                <w:webHidden/>
              </w:rPr>
            </w:r>
            <w:r>
              <w:rPr>
                <w:noProof/>
                <w:webHidden/>
              </w:rPr>
              <w:fldChar w:fldCharType="separate"/>
            </w:r>
            <w:r w:rsidR="00CC0649">
              <w:rPr>
                <w:noProof/>
                <w:webHidden/>
              </w:rPr>
              <w:t>23</w:t>
            </w:r>
            <w:r>
              <w:rPr>
                <w:noProof/>
                <w:webHidden/>
              </w:rPr>
              <w:fldChar w:fldCharType="end"/>
            </w:r>
          </w:hyperlink>
        </w:p>
        <w:p w14:paraId="14BD98F2" w14:textId="713EFC30"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698" w:history="1">
            <w:r w:rsidRPr="00B24B99">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melatonin</w:t>
            </w:r>
            <w:r>
              <w:rPr>
                <w:noProof/>
                <w:webHidden/>
              </w:rPr>
              <w:tab/>
            </w:r>
            <w:r>
              <w:rPr>
                <w:noProof/>
                <w:webHidden/>
              </w:rPr>
              <w:fldChar w:fldCharType="begin"/>
            </w:r>
            <w:r>
              <w:rPr>
                <w:noProof/>
                <w:webHidden/>
              </w:rPr>
              <w:instrText xml:space="preserve"> PAGEREF _Toc190165698 \h </w:instrText>
            </w:r>
            <w:r>
              <w:rPr>
                <w:noProof/>
                <w:webHidden/>
              </w:rPr>
            </w:r>
            <w:r>
              <w:rPr>
                <w:noProof/>
                <w:webHidden/>
              </w:rPr>
              <w:fldChar w:fldCharType="separate"/>
            </w:r>
            <w:r w:rsidR="00CC0649">
              <w:rPr>
                <w:noProof/>
                <w:webHidden/>
              </w:rPr>
              <w:t>27</w:t>
            </w:r>
            <w:r>
              <w:rPr>
                <w:noProof/>
                <w:webHidden/>
              </w:rPr>
              <w:fldChar w:fldCharType="end"/>
            </w:r>
          </w:hyperlink>
        </w:p>
        <w:p w14:paraId="48A12D97" w14:textId="2ECD256B"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699" w:history="1">
            <w:r w:rsidRPr="00B24B99">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decisions on proposed amendments referred to the Advisory Committee on Medicines and Chemicals Scheduling (ACMS-ACCS #32, November 2022)</w:t>
            </w:r>
            <w:r>
              <w:rPr>
                <w:noProof/>
                <w:webHidden/>
              </w:rPr>
              <w:tab/>
            </w:r>
            <w:r>
              <w:rPr>
                <w:noProof/>
                <w:webHidden/>
              </w:rPr>
              <w:fldChar w:fldCharType="begin"/>
            </w:r>
            <w:r>
              <w:rPr>
                <w:noProof/>
                <w:webHidden/>
              </w:rPr>
              <w:instrText xml:space="preserve"> PAGEREF _Toc190165699 \h </w:instrText>
            </w:r>
            <w:r>
              <w:rPr>
                <w:noProof/>
                <w:webHidden/>
              </w:rPr>
            </w:r>
            <w:r>
              <w:rPr>
                <w:noProof/>
                <w:webHidden/>
              </w:rPr>
              <w:fldChar w:fldCharType="separate"/>
            </w:r>
            <w:r w:rsidR="00CC0649">
              <w:rPr>
                <w:noProof/>
                <w:webHidden/>
              </w:rPr>
              <w:t>29</w:t>
            </w:r>
            <w:r>
              <w:rPr>
                <w:noProof/>
                <w:webHidden/>
              </w:rPr>
              <w:fldChar w:fldCharType="end"/>
            </w:r>
          </w:hyperlink>
        </w:p>
        <w:p w14:paraId="6A5EE41A" w14:textId="061B8BB5"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700" w:history="1">
            <w:r w:rsidRPr="00B24B99">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decisions on proposed amendments referred to the Advisory Committee on Chemicals Scheduling (ACCS #35, November 2022)</w:t>
            </w:r>
            <w:r>
              <w:rPr>
                <w:noProof/>
                <w:webHidden/>
              </w:rPr>
              <w:tab/>
            </w:r>
            <w:r>
              <w:rPr>
                <w:noProof/>
                <w:webHidden/>
              </w:rPr>
              <w:fldChar w:fldCharType="begin"/>
            </w:r>
            <w:r>
              <w:rPr>
                <w:noProof/>
                <w:webHidden/>
              </w:rPr>
              <w:instrText xml:space="preserve"> PAGEREF _Toc190165700 \h </w:instrText>
            </w:r>
            <w:r>
              <w:rPr>
                <w:noProof/>
                <w:webHidden/>
              </w:rPr>
            </w:r>
            <w:r>
              <w:rPr>
                <w:noProof/>
                <w:webHidden/>
              </w:rPr>
              <w:fldChar w:fldCharType="separate"/>
            </w:r>
            <w:r w:rsidR="00CC0649">
              <w:rPr>
                <w:noProof/>
                <w:webHidden/>
              </w:rPr>
              <w:t>29</w:t>
            </w:r>
            <w:r>
              <w:rPr>
                <w:noProof/>
                <w:webHidden/>
              </w:rPr>
              <w:fldChar w:fldCharType="end"/>
            </w:r>
          </w:hyperlink>
        </w:p>
        <w:p w14:paraId="5561A903" w14:textId="32EEBD56"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1" w:history="1">
            <w:r w:rsidRPr="00B24B99">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ethalfluralin</w:t>
            </w:r>
            <w:r>
              <w:rPr>
                <w:noProof/>
                <w:webHidden/>
              </w:rPr>
              <w:tab/>
            </w:r>
            <w:r>
              <w:rPr>
                <w:noProof/>
                <w:webHidden/>
              </w:rPr>
              <w:fldChar w:fldCharType="begin"/>
            </w:r>
            <w:r>
              <w:rPr>
                <w:noProof/>
                <w:webHidden/>
              </w:rPr>
              <w:instrText xml:space="preserve"> PAGEREF _Toc190165701 \h </w:instrText>
            </w:r>
            <w:r>
              <w:rPr>
                <w:noProof/>
                <w:webHidden/>
              </w:rPr>
            </w:r>
            <w:r>
              <w:rPr>
                <w:noProof/>
                <w:webHidden/>
              </w:rPr>
              <w:fldChar w:fldCharType="separate"/>
            </w:r>
            <w:r w:rsidR="00CC0649">
              <w:rPr>
                <w:noProof/>
                <w:webHidden/>
              </w:rPr>
              <w:t>29</w:t>
            </w:r>
            <w:r>
              <w:rPr>
                <w:noProof/>
                <w:webHidden/>
              </w:rPr>
              <w:fldChar w:fldCharType="end"/>
            </w:r>
          </w:hyperlink>
        </w:p>
        <w:p w14:paraId="1E9DC3B0" w14:textId="4C5CB6FD"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2" w:history="1">
            <w:r w:rsidRPr="00B24B99">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tigolaner</w:t>
            </w:r>
            <w:r>
              <w:rPr>
                <w:noProof/>
                <w:webHidden/>
              </w:rPr>
              <w:tab/>
            </w:r>
            <w:r>
              <w:rPr>
                <w:noProof/>
                <w:webHidden/>
              </w:rPr>
              <w:fldChar w:fldCharType="begin"/>
            </w:r>
            <w:r>
              <w:rPr>
                <w:noProof/>
                <w:webHidden/>
              </w:rPr>
              <w:instrText xml:space="preserve"> PAGEREF _Toc190165702 \h </w:instrText>
            </w:r>
            <w:r>
              <w:rPr>
                <w:noProof/>
                <w:webHidden/>
              </w:rPr>
            </w:r>
            <w:r>
              <w:rPr>
                <w:noProof/>
                <w:webHidden/>
              </w:rPr>
              <w:fldChar w:fldCharType="separate"/>
            </w:r>
            <w:r w:rsidR="00CC0649">
              <w:rPr>
                <w:noProof/>
                <w:webHidden/>
              </w:rPr>
              <w:t>31</w:t>
            </w:r>
            <w:r>
              <w:rPr>
                <w:noProof/>
                <w:webHidden/>
              </w:rPr>
              <w:fldChar w:fldCharType="end"/>
            </w:r>
          </w:hyperlink>
        </w:p>
        <w:p w14:paraId="25690A7C" w14:textId="2B6806B1"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703" w:history="1">
            <w:r w:rsidRPr="00B24B99">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Amendments to the Poisons Standard made as delegate-only decisions</w:t>
            </w:r>
            <w:r>
              <w:rPr>
                <w:noProof/>
                <w:webHidden/>
              </w:rPr>
              <w:tab/>
            </w:r>
            <w:r>
              <w:rPr>
                <w:noProof/>
                <w:webHidden/>
              </w:rPr>
              <w:fldChar w:fldCharType="begin"/>
            </w:r>
            <w:r>
              <w:rPr>
                <w:noProof/>
                <w:webHidden/>
              </w:rPr>
              <w:instrText xml:space="preserve"> PAGEREF _Toc190165703 \h </w:instrText>
            </w:r>
            <w:r>
              <w:rPr>
                <w:noProof/>
                <w:webHidden/>
              </w:rPr>
            </w:r>
            <w:r>
              <w:rPr>
                <w:noProof/>
                <w:webHidden/>
              </w:rPr>
              <w:fldChar w:fldCharType="separate"/>
            </w:r>
            <w:r w:rsidR="00CC0649">
              <w:rPr>
                <w:noProof/>
                <w:webHidden/>
              </w:rPr>
              <w:t>32</w:t>
            </w:r>
            <w:r>
              <w:rPr>
                <w:noProof/>
                <w:webHidden/>
              </w:rPr>
              <w:fldChar w:fldCharType="end"/>
            </w:r>
          </w:hyperlink>
        </w:p>
        <w:p w14:paraId="49C3FED4" w14:textId="3F6474EC"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4" w:history="1">
            <w:r w:rsidRPr="00B24B99">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Final decision in relation to spiromesifen</w:t>
            </w:r>
            <w:r>
              <w:rPr>
                <w:noProof/>
                <w:webHidden/>
              </w:rPr>
              <w:tab/>
            </w:r>
            <w:r>
              <w:rPr>
                <w:noProof/>
                <w:webHidden/>
              </w:rPr>
              <w:fldChar w:fldCharType="begin"/>
            </w:r>
            <w:r>
              <w:rPr>
                <w:noProof/>
                <w:webHidden/>
              </w:rPr>
              <w:instrText xml:space="preserve"> PAGEREF _Toc190165704 \h </w:instrText>
            </w:r>
            <w:r>
              <w:rPr>
                <w:noProof/>
                <w:webHidden/>
              </w:rPr>
            </w:r>
            <w:r>
              <w:rPr>
                <w:noProof/>
                <w:webHidden/>
              </w:rPr>
              <w:fldChar w:fldCharType="separate"/>
            </w:r>
            <w:r w:rsidR="00CC0649">
              <w:rPr>
                <w:noProof/>
                <w:webHidden/>
              </w:rPr>
              <w:t>32</w:t>
            </w:r>
            <w:r>
              <w:rPr>
                <w:noProof/>
                <w:webHidden/>
              </w:rPr>
              <w:fldChar w:fldCharType="end"/>
            </w:r>
          </w:hyperlink>
        </w:p>
        <w:p w14:paraId="7F13E54D" w14:textId="5E475D6F"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705" w:history="1">
            <w:r w:rsidRPr="00B24B99">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_Toc190165705 \h </w:instrText>
            </w:r>
            <w:r>
              <w:rPr>
                <w:noProof/>
                <w:webHidden/>
              </w:rPr>
            </w:r>
            <w:r>
              <w:rPr>
                <w:noProof/>
                <w:webHidden/>
              </w:rPr>
              <w:fldChar w:fldCharType="separate"/>
            </w:r>
            <w:r w:rsidR="00CC0649">
              <w:rPr>
                <w:noProof/>
                <w:webHidden/>
              </w:rPr>
              <w:t>34</w:t>
            </w:r>
            <w:r>
              <w:rPr>
                <w:noProof/>
                <w:webHidden/>
              </w:rPr>
              <w:fldChar w:fldCharType="end"/>
            </w:r>
          </w:hyperlink>
        </w:p>
        <w:p w14:paraId="3950B675" w14:textId="6AEB53B0"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6" w:history="1">
            <w:r w:rsidRPr="00B24B99">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Andexanet alfa</w:t>
            </w:r>
            <w:r>
              <w:rPr>
                <w:noProof/>
                <w:webHidden/>
              </w:rPr>
              <w:tab/>
            </w:r>
            <w:r>
              <w:rPr>
                <w:noProof/>
                <w:webHidden/>
              </w:rPr>
              <w:fldChar w:fldCharType="begin"/>
            </w:r>
            <w:r>
              <w:rPr>
                <w:noProof/>
                <w:webHidden/>
              </w:rPr>
              <w:instrText xml:space="preserve"> PAGEREF _Toc190165706 \h </w:instrText>
            </w:r>
            <w:r>
              <w:rPr>
                <w:noProof/>
                <w:webHidden/>
              </w:rPr>
            </w:r>
            <w:r>
              <w:rPr>
                <w:noProof/>
                <w:webHidden/>
              </w:rPr>
              <w:fldChar w:fldCharType="separate"/>
            </w:r>
            <w:r w:rsidR="00CC0649">
              <w:rPr>
                <w:noProof/>
                <w:webHidden/>
              </w:rPr>
              <w:t>34</w:t>
            </w:r>
            <w:r>
              <w:rPr>
                <w:noProof/>
                <w:webHidden/>
              </w:rPr>
              <w:fldChar w:fldCharType="end"/>
            </w:r>
          </w:hyperlink>
        </w:p>
        <w:p w14:paraId="6874672A" w14:textId="3B7CC39F"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7" w:history="1">
            <w:r w:rsidRPr="00B24B99">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B24B99">
              <w:rPr>
                <w:rStyle w:val="Hyperlink"/>
                <w:rFonts w:cs="Calibri Light"/>
                <w:noProof/>
                <w:lang w:eastAsia="en-AU"/>
              </w:rPr>
              <w:t>Avatrombopag</w:t>
            </w:r>
            <w:r>
              <w:rPr>
                <w:noProof/>
                <w:webHidden/>
              </w:rPr>
              <w:tab/>
            </w:r>
            <w:r>
              <w:rPr>
                <w:noProof/>
                <w:webHidden/>
              </w:rPr>
              <w:fldChar w:fldCharType="begin"/>
            </w:r>
            <w:r>
              <w:rPr>
                <w:noProof/>
                <w:webHidden/>
              </w:rPr>
              <w:instrText xml:space="preserve"> PAGEREF _Toc190165707 \h </w:instrText>
            </w:r>
            <w:r>
              <w:rPr>
                <w:noProof/>
                <w:webHidden/>
              </w:rPr>
            </w:r>
            <w:r>
              <w:rPr>
                <w:noProof/>
                <w:webHidden/>
              </w:rPr>
              <w:fldChar w:fldCharType="separate"/>
            </w:r>
            <w:r w:rsidR="00CC0649">
              <w:rPr>
                <w:noProof/>
                <w:webHidden/>
              </w:rPr>
              <w:t>34</w:t>
            </w:r>
            <w:r>
              <w:rPr>
                <w:noProof/>
                <w:webHidden/>
              </w:rPr>
              <w:fldChar w:fldCharType="end"/>
            </w:r>
          </w:hyperlink>
        </w:p>
        <w:p w14:paraId="54A6AD18" w14:textId="67DC72BC"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8" w:history="1">
            <w:r w:rsidRPr="00B24B99">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B24B99">
              <w:rPr>
                <w:rStyle w:val="Hyperlink"/>
                <w:rFonts w:cs="Calibri Light"/>
                <w:noProof/>
                <w:lang w:eastAsia="en-AU"/>
              </w:rPr>
              <w:t>Difelikefalin</w:t>
            </w:r>
            <w:r>
              <w:rPr>
                <w:noProof/>
                <w:webHidden/>
              </w:rPr>
              <w:tab/>
            </w:r>
            <w:r>
              <w:rPr>
                <w:noProof/>
                <w:webHidden/>
              </w:rPr>
              <w:fldChar w:fldCharType="begin"/>
            </w:r>
            <w:r>
              <w:rPr>
                <w:noProof/>
                <w:webHidden/>
              </w:rPr>
              <w:instrText xml:space="preserve"> PAGEREF _Toc190165708 \h </w:instrText>
            </w:r>
            <w:r>
              <w:rPr>
                <w:noProof/>
                <w:webHidden/>
              </w:rPr>
            </w:r>
            <w:r>
              <w:rPr>
                <w:noProof/>
                <w:webHidden/>
              </w:rPr>
              <w:fldChar w:fldCharType="separate"/>
            </w:r>
            <w:r w:rsidR="00CC0649">
              <w:rPr>
                <w:noProof/>
                <w:webHidden/>
              </w:rPr>
              <w:t>35</w:t>
            </w:r>
            <w:r>
              <w:rPr>
                <w:noProof/>
                <w:webHidden/>
              </w:rPr>
              <w:fldChar w:fldCharType="end"/>
            </w:r>
          </w:hyperlink>
        </w:p>
        <w:p w14:paraId="194B4EB5" w14:textId="7C861D89"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09" w:history="1">
            <w:r w:rsidRPr="00B24B99">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lang w:eastAsia="en-AU"/>
              </w:rPr>
              <w:t>Ivosidenib</w:t>
            </w:r>
            <w:r>
              <w:rPr>
                <w:noProof/>
                <w:webHidden/>
              </w:rPr>
              <w:tab/>
            </w:r>
            <w:r>
              <w:rPr>
                <w:noProof/>
                <w:webHidden/>
              </w:rPr>
              <w:fldChar w:fldCharType="begin"/>
            </w:r>
            <w:r>
              <w:rPr>
                <w:noProof/>
                <w:webHidden/>
              </w:rPr>
              <w:instrText xml:space="preserve"> PAGEREF _Toc190165709 \h </w:instrText>
            </w:r>
            <w:r>
              <w:rPr>
                <w:noProof/>
                <w:webHidden/>
              </w:rPr>
            </w:r>
            <w:r>
              <w:rPr>
                <w:noProof/>
                <w:webHidden/>
              </w:rPr>
              <w:fldChar w:fldCharType="separate"/>
            </w:r>
            <w:r w:rsidR="00CC0649">
              <w:rPr>
                <w:noProof/>
                <w:webHidden/>
              </w:rPr>
              <w:t>35</w:t>
            </w:r>
            <w:r>
              <w:rPr>
                <w:noProof/>
                <w:webHidden/>
              </w:rPr>
              <w:fldChar w:fldCharType="end"/>
            </w:r>
          </w:hyperlink>
        </w:p>
        <w:p w14:paraId="79173930" w14:textId="6FF854BD" w:rsidR="00A43827" w:rsidRDefault="00A43827">
          <w:pPr>
            <w:pStyle w:val="TOC3"/>
            <w:tabs>
              <w:tab w:val="left" w:pos="1701"/>
            </w:tabs>
            <w:rPr>
              <w:rFonts w:asciiTheme="minorHAnsi" w:eastAsiaTheme="minorEastAsia" w:hAnsiTheme="minorHAnsi" w:cstheme="minorBidi"/>
              <w:noProof/>
              <w:kern w:val="2"/>
              <w:sz w:val="24"/>
              <w:szCs w:val="24"/>
              <w:lang w:eastAsia="en-AU"/>
              <w14:ligatures w14:val="standardContextual"/>
            </w:rPr>
          </w:pPr>
          <w:hyperlink w:anchor="_Toc190165710" w:history="1">
            <w:r w:rsidRPr="00B24B99">
              <w:rPr>
                <w:rStyle w:val="Hyperlink"/>
                <w:noProof/>
              </w:rPr>
              <w:t>6.5</w:t>
            </w:r>
            <w:r>
              <w:rPr>
                <w:rFonts w:asciiTheme="minorHAnsi" w:eastAsiaTheme="minorEastAsia" w:hAnsiTheme="minorHAnsi" w:cstheme="minorBidi"/>
                <w:noProof/>
                <w:kern w:val="2"/>
                <w:sz w:val="24"/>
                <w:szCs w:val="24"/>
                <w:lang w:eastAsia="en-AU"/>
                <w14:ligatures w14:val="standardContextual"/>
              </w:rPr>
              <w:tab/>
            </w:r>
            <w:r w:rsidRPr="00B24B99">
              <w:rPr>
                <w:rStyle w:val="Hyperlink"/>
                <w:rFonts w:cs="Calibri Light"/>
                <w:noProof/>
                <w:lang w:eastAsia="en-AU"/>
              </w:rPr>
              <w:t>Pralsetinib</w:t>
            </w:r>
            <w:r>
              <w:rPr>
                <w:noProof/>
                <w:webHidden/>
              </w:rPr>
              <w:tab/>
            </w:r>
            <w:r>
              <w:rPr>
                <w:noProof/>
                <w:webHidden/>
              </w:rPr>
              <w:fldChar w:fldCharType="begin"/>
            </w:r>
            <w:r>
              <w:rPr>
                <w:noProof/>
                <w:webHidden/>
              </w:rPr>
              <w:instrText xml:space="preserve"> PAGEREF _Toc190165710 \h </w:instrText>
            </w:r>
            <w:r>
              <w:rPr>
                <w:noProof/>
                <w:webHidden/>
              </w:rPr>
            </w:r>
            <w:r>
              <w:rPr>
                <w:noProof/>
                <w:webHidden/>
              </w:rPr>
              <w:fldChar w:fldCharType="separate"/>
            </w:r>
            <w:r w:rsidR="00CC0649">
              <w:rPr>
                <w:noProof/>
                <w:webHidden/>
              </w:rPr>
              <w:t>35</w:t>
            </w:r>
            <w:r>
              <w:rPr>
                <w:noProof/>
                <w:webHidden/>
              </w:rPr>
              <w:fldChar w:fldCharType="end"/>
            </w:r>
          </w:hyperlink>
        </w:p>
        <w:p w14:paraId="0AF9D290" w14:textId="74DBEAFC" w:rsidR="00A43827" w:rsidRDefault="00A43827">
          <w:pPr>
            <w:pStyle w:val="TOC2"/>
            <w:tabs>
              <w:tab w:val="left" w:pos="851"/>
            </w:tabs>
            <w:rPr>
              <w:rFonts w:asciiTheme="minorHAnsi" w:eastAsiaTheme="minorEastAsia" w:hAnsiTheme="minorHAnsi" w:cstheme="minorBidi"/>
              <w:noProof/>
              <w:kern w:val="2"/>
              <w:sz w:val="24"/>
              <w:szCs w:val="24"/>
              <w:lang w:eastAsia="en-AU"/>
              <w14:ligatures w14:val="standardContextual"/>
            </w:rPr>
          </w:pPr>
          <w:hyperlink w:anchor="_Toc190165711" w:history="1">
            <w:r w:rsidRPr="00B24B99">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B24B99">
              <w:rPr>
                <w:rStyle w:val="Hyperlink"/>
                <w:noProof/>
              </w:rPr>
              <w:t>Version history</w:t>
            </w:r>
            <w:r>
              <w:rPr>
                <w:noProof/>
                <w:webHidden/>
              </w:rPr>
              <w:tab/>
            </w:r>
            <w:r>
              <w:rPr>
                <w:noProof/>
                <w:webHidden/>
              </w:rPr>
              <w:fldChar w:fldCharType="begin"/>
            </w:r>
            <w:r>
              <w:rPr>
                <w:noProof/>
                <w:webHidden/>
              </w:rPr>
              <w:instrText xml:space="preserve"> PAGEREF _Toc190165711 \h </w:instrText>
            </w:r>
            <w:r>
              <w:rPr>
                <w:noProof/>
                <w:webHidden/>
              </w:rPr>
            </w:r>
            <w:r>
              <w:rPr>
                <w:noProof/>
                <w:webHidden/>
              </w:rPr>
              <w:fldChar w:fldCharType="separate"/>
            </w:r>
            <w:r w:rsidR="00CC0649">
              <w:rPr>
                <w:noProof/>
                <w:webHidden/>
              </w:rPr>
              <w:t>36</w:t>
            </w:r>
            <w:r>
              <w:rPr>
                <w:noProof/>
                <w:webHidden/>
              </w:rPr>
              <w:fldChar w:fldCharType="end"/>
            </w:r>
          </w:hyperlink>
        </w:p>
        <w:p w14:paraId="7DF331EE" w14:textId="2D0F95FC" w:rsidR="0025660C" w:rsidRDefault="008D3724" w:rsidP="008D3724">
          <w:pPr>
            <w:pStyle w:val="NonTOCheading2"/>
          </w:pPr>
          <w:r>
            <w:rPr>
              <w:sz w:val="32"/>
            </w:rPr>
            <w:fldChar w:fldCharType="end"/>
          </w:r>
        </w:p>
      </w:sdtContent>
    </w:sdt>
    <w:p w14:paraId="3445656D" w14:textId="540444A0" w:rsidR="0025660C" w:rsidRPr="00BC2009" w:rsidRDefault="00597B50" w:rsidP="00BC2009">
      <w:pPr>
        <w:pStyle w:val="Heading2"/>
        <w:pageBreakBefore/>
        <w:ind w:left="431" w:hanging="431"/>
      </w:pPr>
      <w:bookmarkStart w:id="3" w:name="_Toc190165691"/>
      <w:bookmarkEnd w:id="2"/>
      <w:bookmarkEnd w:id="1"/>
      <w:bookmarkEnd w:id="0"/>
      <w:r w:rsidRPr="00597B50">
        <w:lastRenderedPageBreak/>
        <w:t>Notice of final decisions to amend (or not amend) the current Poisons Standard</w:t>
      </w:r>
      <w:bookmarkEnd w:id="3"/>
      <w:r w:rsidRPr="00597B50">
        <w:t xml:space="preserve"> </w:t>
      </w:r>
    </w:p>
    <w:p w14:paraId="6885013C" w14:textId="78BF48AD" w:rsidR="00597B50" w:rsidRPr="00971CD6" w:rsidRDefault="00597B50">
      <w:r w:rsidRPr="00971CD6">
        <w:t xml:space="preserve">This web publication constitutes a notice for the purposes of regulation 42ZCZS and regulation 42ZCZX of the </w:t>
      </w:r>
      <w:r w:rsidRPr="00971CD6">
        <w:rPr>
          <w:i/>
        </w:rPr>
        <w:t xml:space="preserve">Therapeutic Goods Regulations 1990 </w:t>
      </w:r>
      <w:r w:rsidRPr="00971CD6">
        <w:t xml:space="preserve">(the </w:t>
      </w:r>
      <w:r w:rsidRPr="00971CD6">
        <w:rPr>
          <w:b/>
        </w:rPr>
        <w:t>Regulations</w:t>
      </w:r>
      <w:r w:rsidRPr="00971CD6">
        <w:t>). In accordance with regulations 42ZCZS and 42</w:t>
      </w:r>
      <w:r w:rsidR="00971CD6" w:rsidRPr="00971CD6">
        <w:t>Z</w:t>
      </w:r>
      <w:r w:rsidRPr="00971CD6">
        <w:t>CZX, this notice publishes:</w:t>
      </w:r>
    </w:p>
    <w:p w14:paraId="518D5BAC" w14:textId="67308A98" w:rsidR="00597B50" w:rsidRPr="00971CD6" w:rsidRDefault="00597B50">
      <w:pPr>
        <w:pStyle w:val="ListBullet"/>
      </w:pPr>
      <w:r w:rsidRPr="00971CD6">
        <w:t>the decisions made by a delegate</w:t>
      </w:r>
      <w:r w:rsidR="00A53DC8" w:rsidRPr="00971CD6">
        <w:rPr>
          <w:rStyle w:val="FootnoteReference"/>
        </w:rPr>
        <w:footnoteReference w:id="1"/>
      </w:r>
      <w:r w:rsidR="00C05254" w:rsidRPr="00971CD6">
        <w:t xml:space="preserve"> </w:t>
      </w:r>
      <w:r w:rsidRPr="00971CD6">
        <w:t xml:space="preserve">of the Secretary </w:t>
      </w:r>
      <w:r w:rsidR="00B23D7A" w:rsidRPr="00971CD6">
        <w:t xml:space="preserve">of the Department of Health and Aged Care </w:t>
      </w:r>
      <w:r w:rsidR="00C05254" w:rsidRPr="00971CD6">
        <w:t xml:space="preserve">(the </w:t>
      </w:r>
      <w:r w:rsidR="00C05254" w:rsidRPr="00971CD6">
        <w:rPr>
          <w:b/>
          <w:bCs/>
        </w:rPr>
        <w:t>Delegate</w:t>
      </w:r>
      <w:r w:rsidR="00C05254" w:rsidRPr="00971CD6">
        <w:t xml:space="preserve">) </w:t>
      </w:r>
      <w:r w:rsidRPr="00971CD6">
        <w:t>pursuant to regulations 42ZCZR</w:t>
      </w:r>
      <w:r w:rsidR="00971CD6" w:rsidRPr="00971CD6">
        <w:t xml:space="preserve"> and</w:t>
      </w:r>
      <w:r w:rsidRPr="00971CD6">
        <w:t xml:space="preserve"> </w:t>
      </w:r>
      <w:proofErr w:type="gramStart"/>
      <w:r w:rsidRPr="00971CD6">
        <w:t>42ZCZU;</w:t>
      </w:r>
      <w:proofErr w:type="gramEnd"/>
    </w:p>
    <w:p w14:paraId="3702BF82" w14:textId="248DA0CB" w:rsidR="00597B50" w:rsidRPr="00971CD6" w:rsidRDefault="00597B50">
      <w:pPr>
        <w:pStyle w:val="ListBullet"/>
      </w:pPr>
      <w:r w:rsidRPr="00971CD6">
        <w:t>the reasons for th</w:t>
      </w:r>
      <w:r w:rsidR="00971CD6">
        <w:t>os</w:t>
      </w:r>
      <w:r w:rsidRPr="00971CD6">
        <w:t xml:space="preserve">e final decisions; and </w:t>
      </w:r>
    </w:p>
    <w:p w14:paraId="50C52661" w14:textId="1E77E7A2" w:rsidR="00ED5D05" w:rsidRDefault="00597B50" w:rsidP="00927539">
      <w:pPr>
        <w:pStyle w:val="ListBullet"/>
      </w:pPr>
      <w:r w:rsidRPr="00971CD6">
        <w:t>the date of effect of th</w:t>
      </w:r>
      <w:r w:rsidR="00971CD6">
        <w:t>os</w:t>
      </w:r>
      <w:r w:rsidRPr="00971CD6">
        <w:t>e decisions.</w:t>
      </w:r>
    </w:p>
    <w:p w14:paraId="4075EC20" w14:textId="77777777" w:rsidR="00A44238" w:rsidRDefault="00A44238" w:rsidP="00A44238">
      <w:pPr>
        <w:pStyle w:val="Heading4"/>
        <w:rPr>
          <w:rFonts w:asciiTheme="minorHAnsi" w:hAnsiTheme="minorHAnsi"/>
          <w:i/>
          <w:iCs/>
          <w:sz w:val="22"/>
          <w:szCs w:val="22"/>
        </w:rPr>
      </w:pPr>
      <w:bookmarkStart w:id="4" w:name="_Toc126157959"/>
      <w:r>
        <w:rPr>
          <w:rFonts w:asciiTheme="minorHAnsi" w:hAnsiTheme="minorHAnsi"/>
          <w:i/>
          <w:iCs/>
          <w:sz w:val="22"/>
          <w:szCs w:val="22"/>
        </w:rPr>
        <w:t>Defined terms</w:t>
      </w:r>
      <w:bookmarkEnd w:id="4"/>
    </w:p>
    <w:p w14:paraId="06F066DD" w14:textId="77777777" w:rsidR="00A44238" w:rsidRDefault="00A44238" w:rsidP="00A44238">
      <w:pPr>
        <w:rPr>
          <w:rFonts w:asciiTheme="minorHAnsi" w:hAnsiTheme="minorHAnsi"/>
        </w:rPr>
      </w:pPr>
      <w:r>
        <w:rPr>
          <w:rFonts w:asciiTheme="minorHAnsi" w:hAnsiTheme="minorHAnsi"/>
        </w:rPr>
        <w:t>In this notice the following defined terms are used in addition to those above:</w:t>
      </w:r>
    </w:p>
    <w:p w14:paraId="4FA6DA97" w14:textId="77777777" w:rsidR="00A44238" w:rsidRPr="0034081E" w:rsidRDefault="00A44238" w:rsidP="00A44238">
      <w:pPr>
        <w:pStyle w:val="ListBullet"/>
        <w:numPr>
          <w:ilvl w:val="0"/>
          <w:numId w:val="1"/>
        </w:numPr>
        <w:rPr>
          <w:rFonts w:asciiTheme="minorHAnsi" w:hAnsiTheme="minorHAnsi"/>
        </w:rPr>
      </w:pPr>
      <w:r>
        <w:t>t</w:t>
      </w:r>
      <w:r w:rsidRPr="0034081E">
        <w:t xml:space="preserve">he </w:t>
      </w:r>
      <w:r w:rsidRPr="00A5493F">
        <w:rPr>
          <w:i/>
          <w:iCs/>
        </w:rPr>
        <w:t>Therapeutic Goods Act 1989</w:t>
      </w:r>
      <w:r w:rsidRPr="0034081E">
        <w:t xml:space="preserve"> </w:t>
      </w:r>
      <w:r>
        <w:t>(</w:t>
      </w:r>
      <w:proofErr w:type="spellStart"/>
      <w:r>
        <w:t>Cth</w:t>
      </w:r>
      <w:proofErr w:type="spellEnd"/>
      <w:r>
        <w:t xml:space="preserve">) </w:t>
      </w:r>
      <w:r w:rsidRPr="0034081E">
        <w:rPr>
          <w:iCs/>
        </w:rPr>
        <w:t xml:space="preserve">(the </w:t>
      </w:r>
      <w:r w:rsidRPr="0034081E">
        <w:rPr>
          <w:b/>
          <w:bCs/>
          <w:iCs/>
        </w:rPr>
        <w:t>Act</w:t>
      </w:r>
      <w:r>
        <w:rPr>
          <w:iCs/>
        </w:rPr>
        <w:t>)</w:t>
      </w:r>
    </w:p>
    <w:p w14:paraId="4F1CB66F" w14:textId="77777777" w:rsidR="00A44238" w:rsidRDefault="00A44238" w:rsidP="00A44238">
      <w:pPr>
        <w:pStyle w:val="ListBullet"/>
        <w:numPr>
          <w:ilvl w:val="0"/>
          <w:numId w:val="1"/>
        </w:numPr>
      </w:pPr>
      <w:r>
        <w:t>t</w:t>
      </w:r>
      <w:r w:rsidRPr="002C1418">
        <w:t xml:space="preserve">he </w:t>
      </w:r>
      <w:hyperlink r:id="rId12" w:history="1">
        <w:r w:rsidRPr="001A7580">
          <w:rPr>
            <w:rStyle w:val="Hyperlink"/>
          </w:rPr>
          <w:t>Scheduling Policy Framework</w:t>
        </w:r>
      </w:hyperlink>
      <w:r>
        <w:t xml:space="preserve"> 2018 (the </w:t>
      </w:r>
      <w:r w:rsidRPr="00180FED">
        <w:rPr>
          <w:b/>
          <w:bCs/>
        </w:rPr>
        <w:t>SPF</w:t>
      </w:r>
      <w:r>
        <w:t xml:space="preserve">); </w:t>
      </w:r>
    </w:p>
    <w:p w14:paraId="65E0E645" w14:textId="1A934816" w:rsidR="007728F9" w:rsidRDefault="00A44238" w:rsidP="007728F9">
      <w:pPr>
        <w:pStyle w:val="ListBullet"/>
        <w:numPr>
          <w:ilvl w:val="0"/>
          <w:numId w:val="1"/>
        </w:numPr>
      </w:pPr>
      <w:r>
        <w:t>the</w:t>
      </w:r>
      <w:r w:rsidR="007728F9">
        <w:t xml:space="preserve"> Scheduling handbook:</w:t>
      </w:r>
      <w:r>
        <w:t xml:space="preserve"> </w:t>
      </w:r>
      <w:hyperlink r:id="rId13" w:history="1">
        <w:r w:rsidR="007728F9">
          <w:rPr>
            <w:rStyle w:val="Hyperlink"/>
          </w:rPr>
          <w:t>Guidance for amending the Poisons Standard</w:t>
        </w:r>
      </w:hyperlink>
      <w:r>
        <w:t xml:space="preserve"> (the </w:t>
      </w:r>
      <w:r w:rsidRPr="00AF1F5F">
        <w:rPr>
          <w:b/>
          <w:bCs/>
        </w:rPr>
        <w:t>Handbook</w:t>
      </w:r>
      <w:r>
        <w:t>); and</w:t>
      </w:r>
    </w:p>
    <w:p w14:paraId="7167546A" w14:textId="77777777" w:rsidR="00A44238" w:rsidRPr="00A5493F" w:rsidRDefault="00A44238" w:rsidP="00A44238">
      <w:pPr>
        <w:pStyle w:val="ListBullet"/>
        <w:numPr>
          <w:ilvl w:val="0"/>
          <w:numId w:val="1"/>
        </w:numPr>
        <w:rPr>
          <w:rFonts w:asciiTheme="minorHAnsi" w:hAnsiTheme="minorHAnsi"/>
        </w:rPr>
      </w:pPr>
      <w:r>
        <w:rPr>
          <w:rFonts w:asciiTheme="minorHAnsi" w:hAnsiTheme="minorHAnsi"/>
        </w:rPr>
        <w:t xml:space="preserve">the Therapeutic Goods Administration (the </w:t>
      </w:r>
      <w:r w:rsidRPr="0034081E">
        <w:rPr>
          <w:rFonts w:asciiTheme="minorHAnsi" w:hAnsiTheme="minorHAnsi"/>
          <w:b/>
          <w:bCs/>
        </w:rPr>
        <w:t>TGA</w:t>
      </w:r>
      <w:r>
        <w:rPr>
          <w:rFonts w:asciiTheme="minorHAnsi" w:hAnsiTheme="minorHAnsi"/>
        </w:rPr>
        <w:t>).</w:t>
      </w:r>
    </w:p>
    <w:p w14:paraId="241E6570" w14:textId="77777777" w:rsidR="00A44238" w:rsidRPr="00A5493F" w:rsidRDefault="00A44238" w:rsidP="00A44238">
      <w:pPr>
        <w:rPr>
          <w:rFonts w:asciiTheme="minorHAnsi" w:hAnsiTheme="minorHAnsi"/>
          <w:sz w:val="20"/>
        </w:rPr>
      </w:pPr>
      <w:r w:rsidRPr="00A5493F">
        <w:rPr>
          <w:rFonts w:asciiTheme="minorHAnsi" w:hAnsiTheme="minorHAnsi"/>
          <w:sz w:val="20"/>
        </w:rPr>
        <w:t xml:space="preserve">Note: additional terms </w:t>
      </w:r>
      <w:r>
        <w:rPr>
          <w:rFonts w:asciiTheme="minorHAnsi" w:hAnsiTheme="minorHAnsi"/>
          <w:sz w:val="20"/>
        </w:rPr>
        <w:t>are</w:t>
      </w:r>
      <w:r w:rsidRPr="00A5493F">
        <w:rPr>
          <w:rFonts w:asciiTheme="minorHAnsi" w:hAnsiTheme="minorHAnsi"/>
          <w:sz w:val="20"/>
        </w:rPr>
        <w:t xml:space="preserve"> also be defined for individual decisions.</w:t>
      </w:r>
    </w:p>
    <w:p w14:paraId="4214D372" w14:textId="34C602E8" w:rsidR="00FA029A" w:rsidRPr="00FA029A" w:rsidRDefault="00F41DCE" w:rsidP="00E951D8">
      <w:pPr>
        <w:pStyle w:val="Heading2"/>
      </w:pPr>
      <w:bookmarkStart w:id="5" w:name="_Toc190165692"/>
      <w:r>
        <w:t>Final</w:t>
      </w:r>
      <w:r w:rsidR="00FA029A" w:rsidRPr="00FA029A">
        <w:t xml:space="preserve"> decisions on proposed amendments referred to the Advisory Committee o</w:t>
      </w:r>
      <w:r w:rsidR="00FA029A">
        <w:t>n Medicines Scheduling (ACMS #</w:t>
      </w:r>
      <w:r w:rsidR="00927539">
        <w:t>40</w:t>
      </w:r>
      <w:r w:rsidR="00FA029A">
        <w:t xml:space="preserve">, </w:t>
      </w:r>
      <w:r w:rsidR="00927539">
        <w:t>November</w:t>
      </w:r>
      <w:r w:rsidR="00FA029A">
        <w:t xml:space="preserve"> 20</w:t>
      </w:r>
      <w:r w:rsidR="00927539">
        <w:t>22)</w:t>
      </w:r>
      <w:bookmarkEnd w:id="5"/>
    </w:p>
    <w:p w14:paraId="2C809E54" w14:textId="3270984F" w:rsidR="00927539" w:rsidRPr="00927539" w:rsidRDefault="00F56D63" w:rsidP="00927539">
      <w:pPr>
        <w:pStyle w:val="Heading3"/>
      </w:pPr>
      <w:bookmarkStart w:id="6" w:name="_Toc46325255"/>
      <w:bookmarkStart w:id="7" w:name="_Toc46325611"/>
      <w:bookmarkStart w:id="8" w:name="_Toc46327427"/>
      <w:bookmarkStart w:id="9" w:name="_Toc46412213"/>
      <w:bookmarkStart w:id="10" w:name="_Final_decision_in"/>
      <w:bookmarkStart w:id="11" w:name="_Toc46325256"/>
      <w:bookmarkStart w:id="12" w:name="_Toc46325612"/>
      <w:bookmarkStart w:id="13" w:name="_Toc46327428"/>
      <w:bookmarkStart w:id="14" w:name="_Toc46412214"/>
      <w:bookmarkStart w:id="15" w:name="_Toc46325257"/>
      <w:bookmarkStart w:id="16" w:name="_Toc46325613"/>
      <w:bookmarkStart w:id="17" w:name="_Toc46327429"/>
      <w:bookmarkStart w:id="18" w:name="_Toc46412215"/>
      <w:bookmarkStart w:id="19" w:name="_Toc46325258"/>
      <w:bookmarkStart w:id="20" w:name="_Toc46325614"/>
      <w:bookmarkStart w:id="21" w:name="_Toc46327430"/>
      <w:bookmarkStart w:id="22" w:name="_Toc46412216"/>
      <w:bookmarkStart w:id="23" w:name="_Toc46325259"/>
      <w:bookmarkStart w:id="24" w:name="_Toc46325615"/>
      <w:bookmarkStart w:id="25" w:name="_Toc46327431"/>
      <w:bookmarkStart w:id="26" w:name="_Toc46412217"/>
      <w:bookmarkStart w:id="27" w:name="_Final_decision_in_1"/>
      <w:bookmarkStart w:id="28" w:name="_Toc19016569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Final decision in relation to </w:t>
      </w:r>
      <w:r w:rsidR="00927539">
        <w:t>paracetamol</w:t>
      </w:r>
      <w:bookmarkEnd w:id="28"/>
    </w:p>
    <w:p w14:paraId="42AFCE76" w14:textId="77777777" w:rsidR="00E95DA8" w:rsidRPr="00587797" w:rsidRDefault="00E95DA8" w:rsidP="00E95DA8">
      <w:pPr>
        <w:pStyle w:val="Heading4"/>
      </w:pPr>
      <w:bookmarkStart w:id="29" w:name="_Toc76981152"/>
      <w:r w:rsidRPr="00587797">
        <w:rPr>
          <w:rFonts w:ascii="Cambria" w:eastAsia="Times New Roman" w:hAnsi="Cambria"/>
          <w:i/>
          <w:sz w:val="22"/>
        </w:rPr>
        <w:t>CONTENT WARNING</w:t>
      </w:r>
      <w:bookmarkEnd w:id="29"/>
    </w:p>
    <w:p w14:paraId="6D906885" w14:textId="77777777" w:rsidR="00E95DA8" w:rsidRDefault="00E95DA8" w:rsidP="00E95DA8">
      <w:r>
        <w:t>The Department of Health (the ‘Department’) recognises that each of the numbers reported within this document represents an individual. The Department acknowledges the devastating effects associated with acts of self-harm on individuals, their families, friends and communities. A list of support services and information sources is provided below.</w:t>
      </w:r>
    </w:p>
    <w:p w14:paraId="5806A67C" w14:textId="77777777" w:rsidR="00E95DA8" w:rsidRDefault="00E95DA8" w:rsidP="00E95DA8">
      <w:r>
        <w:t xml:space="preserve">The information below contains details of </w:t>
      </w:r>
      <w:r w:rsidRPr="00A423EC">
        <w:t>self-poisoning</w:t>
      </w:r>
      <w:r>
        <w:t>s</w:t>
      </w:r>
      <w:r w:rsidRPr="00A423EC">
        <w:t xml:space="preserve"> </w:t>
      </w:r>
      <w:r>
        <w:t xml:space="preserve">some people may find distressing. </w:t>
      </w:r>
      <w:r w:rsidRPr="00EB2CA1">
        <w:t>If you</w:t>
      </w:r>
      <w:r>
        <w:t xml:space="preserve"> or someone you know</w:t>
      </w:r>
      <w:r w:rsidRPr="00EB2CA1">
        <w:t xml:space="preserve"> </w:t>
      </w:r>
      <w:r>
        <w:t>needs</w:t>
      </w:r>
      <w:r w:rsidRPr="00EB2CA1">
        <w:t xml:space="preserve"> additional support, please contact any of the belo</w:t>
      </w:r>
      <w:r>
        <w:t>w crisis support helplines:</w:t>
      </w:r>
    </w:p>
    <w:p w14:paraId="645DEFBD" w14:textId="77777777" w:rsidR="00CC0649" w:rsidRDefault="00CC0649">
      <w:pPr>
        <w:spacing w:before="0" w:after="0" w:line="240" w:lineRule="auto"/>
        <w:rPr>
          <w:rFonts w:eastAsia="Times New Roman"/>
          <w:b/>
          <w:bCs/>
          <w:i/>
          <w:szCs w:val="26"/>
        </w:rPr>
      </w:pPr>
      <w:bookmarkStart w:id="30" w:name="_Toc71021839"/>
      <w:bookmarkStart w:id="31" w:name="_Toc76981153"/>
      <w:r>
        <w:rPr>
          <w:rFonts w:eastAsia="Times New Roman"/>
          <w:i/>
        </w:rPr>
        <w:br w:type="page"/>
      </w:r>
    </w:p>
    <w:p w14:paraId="122DB9BE" w14:textId="21701838" w:rsidR="00E95DA8" w:rsidRPr="00587797" w:rsidRDefault="00E95DA8" w:rsidP="00E95DA8">
      <w:pPr>
        <w:pStyle w:val="Heading4"/>
      </w:pPr>
      <w:r w:rsidRPr="00587797">
        <w:rPr>
          <w:rFonts w:ascii="Cambria" w:eastAsia="Times New Roman" w:hAnsi="Cambria"/>
          <w:i/>
          <w:sz w:val="22"/>
        </w:rPr>
        <w:lastRenderedPageBreak/>
        <w:t>Support services and information sources</w:t>
      </w:r>
      <w:bookmarkEnd w:id="30"/>
      <w:bookmarkEnd w:id="31"/>
    </w:p>
    <w:p w14:paraId="7F3B6791" w14:textId="77777777" w:rsidR="00E95DA8" w:rsidRPr="00472F0B" w:rsidRDefault="00E95DA8" w:rsidP="00E95DA8">
      <w:pPr>
        <w:rPr>
          <w:b/>
        </w:rPr>
      </w:pPr>
      <w:r w:rsidRPr="00472F0B">
        <w:rPr>
          <w:b/>
        </w:rPr>
        <w:t>Adult</w:t>
      </w:r>
    </w:p>
    <w:p w14:paraId="250112B3" w14:textId="77777777" w:rsidR="00E95DA8" w:rsidRDefault="00E95DA8" w:rsidP="00E95DA8">
      <w:pPr>
        <w:pStyle w:val="ListBullet"/>
        <w:numPr>
          <w:ilvl w:val="0"/>
          <w:numId w:val="1"/>
        </w:numPr>
      </w:pPr>
      <w:hyperlink r:id="rId14" w:history="1">
        <w:r w:rsidRPr="00A423EC">
          <w:rPr>
            <w:rStyle w:val="Hyperlink"/>
          </w:rPr>
          <w:t>Lifeline</w:t>
        </w:r>
      </w:hyperlink>
      <w:r>
        <w:t>: 13 11 14</w:t>
      </w:r>
    </w:p>
    <w:p w14:paraId="35371B98" w14:textId="77777777" w:rsidR="00E95DA8" w:rsidRDefault="00E95DA8" w:rsidP="00E95DA8">
      <w:pPr>
        <w:pStyle w:val="ListBullet"/>
        <w:numPr>
          <w:ilvl w:val="0"/>
          <w:numId w:val="1"/>
        </w:numPr>
      </w:pPr>
      <w:hyperlink r:id="rId15" w:history="1">
        <w:r w:rsidRPr="00472F0B">
          <w:rPr>
            <w:rStyle w:val="Hyperlink"/>
          </w:rPr>
          <w:t>Suicide Call Back Service</w:t>
        </w:r>
      </w:hyperlink>
      <w:r>
        <w:t>: 1300 659 467</w:t>
      </w:r>
    </w:p>
    <w:p w14:paraId="1E2A6366" w14:textId="77777777" w:rsidR="00E95DA8" w:rsidRDefault="00E95DA8" w:rsidP="00E95DA8">
      <w:pPr>
        <w:pStyle w:val="ListBullet"/>
        <w:numPr>
          <w:ilvl w:val="0"/>
          <w:numId w:val="1"/>
        </w:numPr>
      </w:pPr>
      <w:hyperlink r:id="rId16" w:history="1">
        <w:r w:rsidRPr="00A423EC">
          <w:rPr>
            <w:rStyle w:val="Hyperlink"/>
          </w:rPr>
          <w:t>Beyond Blue</w:t>
        </w:r>
      </w:hyperlink>
      <w:r>
        <w:t>: 1800 512 348</w:t>
      </w:r>
    </w:p>
    <w:p w14:paraId="5B33F6FA" w14:textId="77777777" w:rsidR="00E95DA8" w:rsidRDefault="00E95DA8" w:rsidP="00E95DA8">
      <w:pPr>
        <w:pStyle w:val="ListBullet"/>
        <w:numPr>
          <w:ilvl w:val="0"/>
          <w:numId w:val="1"/>
        </w:numPr>
      </w:pPr>
      <w:hyperlink r:id="rId17" w:history="1">
        <w:proofErr w:type="spellStart"/>
        <w:r w:rsidRPr="00A423EC">
          <w:rPr>
            <w:rStyle w:val="Hyperlink"/>
          </w:rPr>
          <w:t>MensLine</w:t>
        </w:r>
        <w:proofErr w:type="spellEnd"/>
        <w:r w:rsidRPr="00A423EC">
          <w:rPr>
            <w:rStyle w:val="Hyperlink"/>
          </w:rPr>
          <w:t xml:space="preserve"> Australia</w:t>
        </w:r>
      </w:hyperlink>
      <w:r>
        <w:t>: 1300 789 978</w:t>
      </w:r>
    </w:p>
    <w:p w14:paraId="7396B420" w14:textId="77777777" w:rsidR="00E95DA8" w:rsidRDefault="00E95DA8" w:rsidP="00E95DA8">
      <w:pPr>
        <w:pStyle w:val="ListBullet"/>
        <w:numPr>
          <w:ilvl w:val="0"/>
          <w:numId w:val="0"/>
        </w:numPr>
        <w:rPr>
          <w:b/>
        </w:rPr>
      </w:pPr>
      <w:r w:rsidRPr="00472F0B">
        <w:rPr>
          <w:b/>
        </w:rPr>
        <w:t>Youth</w:t>
      </w:r>
    </w:p>
    <w:p w14:paraId="7789319F" w14:textId="77777777" w:rsidR="00E95DA8" w:rsidRDefault="00E95DA8" w:rsidP="00E95DA8">
      <w:pPr>
        <w:pStyle w:val="ListBullet"/>
        <w:numPr>
          <w:ilvl w:val="0"/>
          <w:numId w:val="1"/>
        </w:numPr>
      </w:pPr>
      <w:hyperlink r:id="rId18" w:history="1">
        <w:r w:rsidRPr="00472F0B">
          <w:rPr>
            <w:rStyle w:val="Hyperlink"/>
          </w:rPr>
          <w:t>Kids Helpline</w:t>
        </w:r>
      </w:hyperlink>
      <w:r>
        <w:t xml:space="preserve"> (</w:t>
      </w:r>
      <w:r w:rsidRPr="00134C40">
        <w:t>5-25 years</w:t>
      </w:r>
      <w:r>
        <w:t>): 1800 551 800</w:t>
      </w:r>
    </w:p>
    <w:p w14:paraId="6541A6A8" w14:textId="77777777" w:rsidR="00E95DA8" w:rsidRDefault="00E95DA8" w:rsidP="00E95DA8">
      <w:pPr>
        <w:pStyle w:val="ListBullet"/>
        <w:numPr>
          <w:ilvl w:val="0"/>
          <w:numId w:val="1"/>
        </w:numPr>
      </w:pPr>
      <w:hyperlink r:id="rId19" w:history="1">
        <w:r w:rsidRPr="00472F0B">
          <w:rPr>
            <w:rStyle w:val="Hyperlink"/>
          </w:rPr>
          <w:t>Headspace</w:t>
        </w:r>
      </w:hyperlink>
      <w:r>
        <w:t>: 1800 650 890</w:t>
      </w:r>
    </w:p>
    <w:p w14:paraId="22A36BA7" w14:textId="77777777" w:rsidR="00E95DA8" w:rsidRPr="0032042F" w:rsidRDefault="00E95DA8" w:rsidP="00E95DA8">
      <w:pPr>
        <w:pStyle w:val="ListBullet"/>
        <w:numPr>
          <w:ilvl w:val="0"/>
          <w:numId w:val="1"/>
        </w:numPr>
      </w:pPr>
      <w:hyperlink r:id="rId20" w:history="1">
        <w:proofErr w:type="spellStart"/>
        <w:r w:rsidRPr="00472F0B">
          <w:rPr>
            <w:rStyle w:val="Hyperlink"/>
          </w:rPr>
          <w:t>ReachOut</w:t>
        </w:r>
        <w:proofErr w:type="spellEnd"/>
      </w:hyperlink>
    </w:p>
    <w:p w14:paraId="381AECB7" w14:textId="77777777" w:rsidR="00E951D8" w:rsidRPr="00587797" w:rsidRDefault="00E951D8" w:rsidP="00F41DCE">
      <w:pPr>
        <w:pStyle w:val="Heading5"/>
        <w:rPr>
          <w:color w:val="auto"/>
        </w:rPr>
      </w:pPr>
      <w:r w:rsidRPr="00587797">
        <w:rPr>
          <w:color w:val="auto"/>
        </w:rPr>
        <w:t>Proposal</w:t>
      </w:r>
    </w:p>
    <w:p w14:paraId="1F65A5A7" w14:textId="74BA489D" w:rsidR="00DF4641" w:rsidRDefault="00EE1295" w:rsidP="00DF4641">
      <w:pPr>
        <w:pStyle w:val="Heading5"/>
        <w:ind w:left="0" w:firstLine="0"/>
        <w:rPr>
          <w:b w:val="0"/>
          <w:bCs w:val="0"/>
          <w:i w:val="0"/>
          <w:iCs/>
        </w:rPr>
      </w:pPr>
      <w:r>
        <w:rPr>
          <w:b w:val="0"/>
          <w:bCs w:val="0"/>
          <w:i w:val="0"/>
          <w:iCs/>
        </w:rPr>
        <w:t>The Delegate proposed changes to the entries for paracetamol in Schedules 2, 3 and 4 of the Poisons Standard. The changes would reduce the maximum size of packs of immediate release paracetamol from</w:t>
      </w:r>
      <w:r w:rsidR="00587797">
        <w:rPr>
          <w:b w:val="0"/>
          <w:bCs w:val="0"/>
          <w:i w:val="0"/>
          <w:iCs/>
        </w:rPr>
        <w:t>:</w:t>
      </w:r>
      <w:r>
        <w:rPr>
          <w:b w:val="0"/>
          <w:bCs w:val="0"/>
          <w:i w:val="0"/>
          <w:iCs/>
        </w:rPr>
        <w:t xml:space="preserve"> </w:t>
      </w:r>
    </w:p>
    <w:p w14:paraId="612E4436" w14:textId="77777777" w:rsidR="00DF4641" w:rsidRDefault="00EE1295" w:rsidP="00DF4641">
      <w:pPr>
        <w:pStyle w:val="ListBullet2"/>
      </w:pPr>
      <w:r>
        <w:t xml:space="preserve">20 tablets/capsules to 16 for unscheduled products, </w:t>
      </w:r>
    </w:p>
    <w:p w14:paraId="4179EEFC" w14:textId="7DD202E6" w:rsidR="00DF4641" w:rsidRDefault="00EE1295" w:rsidP="00DF4641">
      <w:pPr>
        <w:pStyle w:val="ListBullet2"/>
      </w:pPr>
      <w:r>
        <w:t xml:space="preserve">100 tablets/capsules to 32 for Schedule 2 products, and </w:t>
      </w:r>
    </w:p>
    <w:p w14:paraId="6ED995FE" w14:textId="109D5C79" w:rsidR="00DF4641" w:rsidRDefault="00EE1295" w:rsidP="00DF4641">
      <w:pPr>
        <w:pStyle w:val="ListBullet2"/>
      </w:pPr>
      <w:r>
        <w:t xml:space="preserve">mandate blister </w:t>
      </w:r>
      <w:r w:rsidR="00DF4641">
        <w:t xml:space="preserve">or strip packaging for all tablet/capsule products </w:t>
      </w:r>
      <w:r w:rsidR="00AB18C0">
        <w:t xml:space="preserve">containing paracetamol </w:t>
      </w:r>
      <w:r w:rsidR="00DF4641">
        <w:t>that are unscheduled or included in Schedule 2</w:t>
      </w:r>
      <w:r>
        <w:t xml:space="preserve"> </w:t>
      </w:r>
      <w:r w:rsidR="002F4418">
        <w:t xml:space="preserve">(the </w:t>
      </w:r>
      <w:r w:rsidR="002F4418" w:rsidRPr="002F4418">
        <w:t>Proposal</w:t>
      </w:r>
      <w:r w:rsidR="002F4418">
        <w:t>).</w:t>
      </w:r>
      <w:r w:rsidR="00DF4641">
        <w:t xml:space="preserve"> </w:t>
      </w:r>
    </w:p>
    <w:p w14:paraId="73642222" w14:textId="34600B85" w:rsidR="00E951D8" w:rsidRPr="00E951D8" w:rsidRDefault="00DF4641" w:rsidP="00DF4641">
      <w:pPr>
        <w:pStyle w:val="ListBullet2"/>
        <w:numPr>
          <w:ilvl w:val="0"/>
          <w:numId w:val="0"/>
        </w:numPr>
      </w:pPr>
      <w:r>
        <w:t>Equivalent and proportionate changes would also apply to preparations of wrapped powders and sachets of granules that contain paracetamol.</w:t>
      </w:r>
    </w:p>
    <w:p w14:paraId="61E0B426" w14:textId="2E417B6B" w:rsidR="00335BEC" w:rsidRPr="00587797" w:rsidRDefault="00436C41" w:rsidP="00F41DCE">
      <w:pPr>
        <w:pStyle w:val="Heading5"/>
        <w:rPr>
          <w:color w:val="auto"/>
        </w:rPr>
      </w:pPr>
      <w:r w:rsidRPr="00587797">
        <w:rPr>
          <w:color w:val="auto"/>
        </w:rPr>
        <w:t xml:space="preserve">Final </w:t>
      </w:r>
      <w:r w:rsidR="00A53DC8" w:rsidRPr="00587797">
        <w:rPr>
          <w:color w:val="auto"/>
        </w:rPr>
        <w:t>d</w:t>
      </w:r>
      <w:r w:rsidRPr="00587797">
        <w:rPr>
          <w:color w:val="auto"/>
        </w:rPr>
        <w:t xml:space="preserve">ecision </w:t>
      </w:r>
    </w:p>
    <w:p w14:paraId="549A1777" w14:textId="3A122A08" w:rsidR="00335BEC" w:rsidRDefault="00335BEC" w:rsidP="00335BEC">
      <w:r>
        <w:t xml:space="preserve">Pursuant to regulation 42ZCZR of the Regulations, </w:t>
      </w:r>
      <w:r w:rsidR="00B23D7A">
        <w:t>the</w:t>
      </w:r>
      <w:r>
        <w:t xml:space="preserve"> Delegate has made a final decision </w:t>
      </w:r>
      <w:r w:rsidRPr="00101351">
        <w:t xml:space="preserve">to </w:t>
      </w:r>
      <w:r w:rsidR="00516E40" w:rsidRPr="00101351">
        <w:t>vary</w:t>
      </w:r>
      <w:r w:rsidRPr="00101351">
        <w:t xml:space="preserve"> the interim decision and amend the current Poisons Standard in relation to </w:t>
      </w:r>
      <w:r w:rsidR="00DF4641" w:rsidRPr="00101351">
        <w:t>paracetamol</w:t>
      </w:r>
      <w:r w:rsidR="00516E40" w:rsidRPr="00101351">
        <w:t xml:space="preserve"> </w:t>
      </w:r>
      <w:r w:rsidRPr="00101351">
        <w:t>as follows</w:t>
      </w:r>
      <w:r w:rsidR="00DF4641" w:rsidRPr="00101351">
        <w:t>:</w:t>
      </w:r>
      <w:r w:rsidR="00516E40">
        <w:t xml:space="preserve"> </w:t>
      </w:r>
    </w:p>
    <w:p w14:paraId="5A65BEEF" w14:textId="77777777" w:rsidR="00101351" w:rsidRPr="00694553" w:rsidRDefault="00101351" w:rsidP="00101351">
      <w:pPr>
        <w:ind w:left="426"/>
        <w:rPr>
          <w:b/>
          <w:bCs/>
        </w:rPr>
      </w:pPr>
      <w:r w:rsidRPr="00694553">
        <w:rPr>
          <w:b/>
          <w:bCs/>
        </w:rPr>
        <w:t>Schedule 4</w:t>
      </w:r>
    </w:p>
    <w:p w14:paraId="0C5AB670" w14:textId="77777777" w:rsidR="00101351" w:rsidRPr="00694553" w:rsidRDefault="00101351" w:rsidP="00101351">
      <w:pPr>
        <w:ind w:left="720"/>
      </w:pPr>
      <w:r w:rsidRPr="00694553">
        <w:t>PARACETAMOL:</w:t>
      </w:r>
    </w:p>
    <w:p w14:paraId="0F15917A" w14:textId="77777777" w:rsidR="00101351" w:rsidRPr="00694553" w:rsidRDefault="00101351" w:rsidP="001E00F6">
      <w:pPr>
        <w:pStyle w:val="ListBulleta"/>
      </w:pPr>
      <w:r w:rsidRPr="00694553">
        <w:t xml:space="preserve">when combined with aspirin or salicylamide or any derivative of these substances </w:t>
      </w:r>
      <w:r w:rsidRPr="00694553">
        <w:rPr>
          <w:b/>
          <w:bCs/>
        </w:rPr>
        <w:t xml:space="preserve">except </w:t>
      </w:r>
      <w:r w:rsidRPr="00694553">
        <w:t>when separately specified in these Schedules; or</w:t>
      </w:r>
    </w:p>
    <w:p w14:paraId="497A9DEE" w14:textId="77777777" w:rsidR="00101351" w:rsidRPr="00694553" w:rsidRDefault="00101351" w:rsidP="001E00F6">
      <w:pPr>
        <w:pStyle w:val="ListBulleta"/>
      </w:pPr>
      <w:r w:rsidRPr="00694553">
        <w:t xml:space="preserve">when combined with ibuprofen in a primary pack containing more than 30 dosage </w:t>
      </w:r>
      <w:proofErr w:type="gramStart"/>
      <w:r w:rsidRPr="00694553">
        <w:t>units;</w:t>
      </w:r>
      <w:proofErr w:type="gramEnd"/>
      <w:r w:rsidRPr="00694553">
        <w:t xml:space="preserve"> or</w:t>
      </w:r>
    </w:p>
    <w:p w14:paraId="00099E8A" w14:textId="77777777" w:rsidR="00101351" w:rsidRPr="00694553" w:rsidRDefault="00101351" w:rsidP="001E00F6">
      <w:pPr>
        <w:pStyle w:val="ListBulleta"/>
      </w:pPr>
      <w:r w:rsidRPr="00694553">
        <w:t>in modified release tablets or capsules containing more than 665 mg paracetamol; or</w:t>
      </w:r>
    </w:p>
    <w:p w14:paraId="0C13B6E7" w14:textId="77777777" w:rsidR="00101351" w:rsidRPr="00694553" w:rsidRDefault="00101351" w:rsidP="001E00F6">
      <w:pPr>
        <w:pStyle w:val="ListBulleta"/>
      </w:pPr>
      <w:r w:rsidRPr="00694553">
        <w:t>in non-modified release tablets or capsules containing more than 500 mg paracetamol; or</w:t>
      </w:r>
    </w:p>
    <w:p w14:paraId="6B5C7A2F" w14:textId="77777777" w:rsidR="00101351" w:rsidRPr="00694553" w:rsidRDefault="00101351" w:rsidP="001E00F6">
      <w:pPr>
        <w:pStyle w:val="ListBulleta"/>
      </w:pPr>
      <w:r w:rsidRPr="00694553">
        <w:t>in individually wrapped powders or sachets of granules each containing more than 1000 mg paracetamol; or</w:t>
      </w:r>
    </w:p>
    <w:p w14:paraId="55C84265" w14:textId="77777777" w:rsidR="00101351" w:rsidRPr="00694553" w:rsidRDefault="00101351" w:rsidP="001E00F6">
      <w:pPr>
        <w:pStyle w:val="ListBulleta"/>
      </w:pPr>
      <w:r w:rsidRPr="00694553">
        <w:lastRenderedPageBreak/>
        <w:t xml:space="preserve">in tablets or capsules enclosed in a primary pack containing more than 100 tablets or capsules </w:t>
      </w:r>
      <w:r w:rsidRPr="00694553">
        <w:rPr>
          <w:b/>
          <w:bCs/>
        </w:rPr>
        <w:t>except</w:t>
      </w:r>
      <w:r w:rsidRPr="00694553">
        <w:t xml:space="preserve"> in </w:t>
      </w:r>
      <w:r w:rsidRPr="00694553">
        <w:rPr>
          <w:strike/>
          <w:color w:val="FF0000"/>
        </w:rPr>
        <w:t>Schedule 2 or</w:t>
      </w:r>
      <w:r w:rsidRPr="00694553">
        <w:rPr>
          <w:color w:val="FF0000"/>
        </w:rPr>
        <w:t xml:space="preserve"> </w:t>
      </w:r>
      <w:r w:rsidRPr="00694553">
        <w:t xml:space="preserve">Schedule </w:t>
      </w:r>
      <w:proofErr w:type="gramStart"/>
      <w:r w:rsidRPr="00694553">
        <w:t>3;</w:t>
      </w:r>
      <w:proofErr w:type="gramEnd"/>
      <w:r w:rsidRPr="00694553">
        <w:t xml:space="preserve"> or</w:t>
      </w:r>
    </w:p>
    <w:p w14:paraId="7EA804EA" w14:textId="77777777" w:rsidR="00101351" w:rsidRPr="00694553" w:rsidRDefault="00101351" w:rsidP="001E00F6">
      <w:pPr>
        <w:pStyle w:val="ListBulleta"/>
      </w:pPr>
      <w:r w:rsidRPr="00694553">
        <w:t>in individually wrapped powders or sachets of granules enclosed in a primary pack containing more than 50 wrapped powders or sachets of granules</w:t>
      </w:r>
      <w:r w:rsidRPr="00694553">
        <w:rPr>
          <w:b/>
          <w:bCs/>
          <w:color w:val="00B050"/>
        </w:rPr>
        <w:t xml:space="preserve"> </w:t>
      </w:r>
      <w:r w:rsidRPr="00694553">
        <w:rPr>
          <w:b/>
          <w:bCs/>
        </w:rPr>
        <w:t>except</w:t>
      </w:r>
      <w:r w:rsidRPr="00694553">
        <w:t xml:space="preserve"> when included in Schedule </w:t>
      </w:r>
      <w:proofErr w:type="gramStart"/>
      <w:r w:rsidRPr="00694553">
        <w:rPr>
          <w:strike/>
          <w:color w:val="FF0000"/>
        </w:rPr>
        <w:t>2</w:t>
      </w:r>
      <w:r w:rsidRPr="00694553">
        <w:rPr>
          <w:color w:val="00B050"/>
          <w:u w:val="single"/>
        </w:rPr>
        <w:t>3</w:t>
      </w:r>
      <w:r w:rsidRPr="00694553">
        <w:t>;</w:t>
      </w:r>
      <w:proofErr w:type="gramEnd"/>
      <w:r w:rsidRPr="00694553">
        <w:t xml:space="preserve"> or</w:t>
      </w:r>
    </w:p>
    <w:p w14:paraId="0ED17840" w14:textId="77777777" w:rsidR="00101351" w:rsidRPr="00694553" w:rsidRDefault="00101351" w:rsidP="001E00F6">
      <w:pPr>
        <w:pStyle w:val="ListBulleta"/>
      </w:pPr>
      <w:r w:rsidRPr="00694553">
        <w:t>for injection; or</w:t>
      </w:r>
    </w:p>
    <w:p w14:paraId="14FEF0D1" w14:textId="77777777" w:rsidR="00101351" w:rsidRPr="00694553" w:rsidRDefault="00101351" w:rsidP="001E00F6">
      <w:pPr>
        <w:pStyle w:val="ListBulleta"/>
      </w:pPr>
      <w:r w:rsidRPr="00694553">
        <w:t>for the treatment of animals.</w:t>
      </w:r>
    </w:p>
    <w:p w14:paraId="136932EF" w14:textId="77777777" w:rsidR="00101351" w:rsidRPr="00694553" w:rsidRDefault="00101351" w:rsidP="00101351">
      <w:pPr>
        <w:ind w:left="426"/>
        <w:rPr>
          <w:b/>
          <w:bCs/>
        </w:rPr>
      </w:pPr>
      <w:r w:rsidRPr="00694553">
        <w:rPr>
          <w:b/>
          <w:bCs/>
        </w:rPr>
        <w:t>Schedule 3</w:t>
      </w:r>
    </w:p>
    <w:p w14:paraId="45D3A65C" w14:textId="77777777" w:rsidR="00101351" w:rsidRPr="00694553" w:rsidRDefault="00101351" w:rsidP="00101351">
      <w:pPr>
        <w:ind w:left="720"/>
      </w:pPr>
      <w:bookmarkStart w:id="32" w:name="_Hlk82528071"/>
      <w:r w:rsidRPr="00694553">
        <w:t>PARACETAMOL:</w:t>
      </w:r>
    </w:p>
    <w:p w14:paraId="63A1DF5A" w14:textId="77777777" w:rsidR="00101351" w:rsidRPr="00694553" w:rsidRDefault="00101351" w:rsidP="001E00F6">
      <w:pPr>
        <w:pStyle w:val="ListBulleta"/>
        <w:numPr>
          <w:ilvl w:val="0"/>
          <w:numId w:val="44"/>
        </w:numPr>
      </w:pPr>
      <w:r w:rsidRPr="00694553">
        <w:t xml:space="preserve">when combined with ibuprofen in a primary pack containing 30 dosage units or less </w:t>
      </w:r>
      <w:r w:rsidRPr="00F50B88">
        <w:rPr>
          <w:b/>
          <w:bCs/>
        </w:rPr>
        <w:t>except</w:t>
      </w:r>
      <w:r w:rsidRPr="00694553">
        <w:t xml:space="preserve"> when included in Schedule </w:t>
      </w:r>
      <w:proofErr w:type="gramStart"/>
      <w:r w:rsidRPr="00694553">
        <w:t>2;</w:t>
      </w:r>
      <w:proofErr w:type="gramEnd"/>
      <w:r w:rsidRPr="00694553">
        <w:t xml:space="preserve"> or</w:t>
      </w:r>
    </w:p>
    <w:p w14:paraId="540267EB" w14:textId="77777777" w:rsidR="00101351" w:rsidRPr="00694553" w:rsidRDefault="00101351" w:rsidP="001E00F6">
      <w:pPr>
        <w:pStyle w:val="ListBulleta"/>
      </w:pPr>
      <w:r w:rsidRPr="00694553">
        <w:t xml:space="preserve">in modified release tablets or capsules containing 665 mg or less paracetamol enclosed in a primary pack containing not more than 100 tablets or </w:t>
      </w:r>
      <w:proofErr w:type="gramStart"/>
      <w:r w:rsidRPr="00694553">
        <w:t>capsules;</w:t>
      </w:r>
      <w:proofErr w:type="gramEnd"/>
      <w:r w:rsidRPr="00694553">
        <w:t xml:space="preserve"> or</w:t>
      </w:r>
    </w:p>
    <w:p w14:paraId="7B59959C" w14:textId="77777777" w:rsidR="00101351" w:rsidRPr="00694553" w:rsidRDefault="00101351" w:rsidP="001E00F6">
      <w:pPr>
        <w:pStyle w:val="ListBulleta"/>
      </w:pPr>
      <w:r w:rsidRPr="00694553">
        <w:t>in modified release</w:t>
      </w:r>
      <w:r w:rsidRPr="00694553">
        <w:rPr>
          <w:strike/>
        </w:rPr>
        <w:t xml:space="preserve"> </w:t>
      </w:r>
      <w:r w:rsidRPr="00694553">
        <w:t>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694553">
        <w:t>’;</w:t>
      </w:r>
      <w:proofErr w:type="gramEnd"/>
      <w:r w:rsidRPr="00694553">
        <w:t xml:space="preserve"> or</w:t>
      </w:r>
    </w:p>
    <w:p w14:paraId="6CD3DDF8" w14:textId="5F84D3F5" w:rsidR="00F50B88" w:rsidRPr="001E00F6" w:rsidRDefault="00101351" w:rsidP="001E00F6">
      <w:pPr>
        <w:pStyle w:val="ListBulleta"/>
        <w:rPr>
          <w:color w:val="00B050"/>
          <w:u w:val="single"/>
        </w:rPr>
      </w:pPr>
      <w:r w:rsidRPr="001E00F6">
        <w:rPr>
          <w:color w:val="00B050"/>
          <w:u w:val="single"/>
        </w:rPr>
        <w:t xml:space="preserve">in non-modified release tablets or capsules containing not more than 500 mg paracetamol and in a primary pack containing not more than 100 tablets or capsules </w:t>
      </w:r>
      <w:r w:rsidRPr="001E00F6">
        <w:rPr>
          <w:b/>
          <w:bCs/>
          <w:color w:val="00B050"/>
          <w:u w:val="single"/>
        </w:rPr>
        <w:t>except</w:t>
      </w:r>
      <w:r w:rsidRPr="001E00F6">
        <w:rPr>
          <w:color w:val="00B050"/>
          <w:u w:val="single"/>
        </w:rPr>
        <w:t xml:space="preserve"> when included in or expressly excluded from Schedule </w:t>
      </w:r>
      <w:proofErr w:type="gramStart"/>
      <w:r w:rsidRPr="001E00F6">
        <w:rPr>
          <w:color w:val="00B050"/>
          <w:u w:val="single"/>
        </w:rPr>
        <w:t>2;</w:t>
      </w:r>
      <w:proofErr w:type="gramEnd"/>
      <w:r w:rsidRPr="001E00F6">
        <w:rPr>
          <w:color w:val="00B050"/>
          <w:u w:val="single"/>
        </w:rPr>
        <w:t xml:space="preserve"> or</w:t>
      </w:r>
    </w:p>
    <w:p w14:paraId="1974A523" w14:textId="05C45272" w:rsidR="00F50B88" w:rsidRPr="001E00F6" w:rsidRDefault="00101351" w:rsidP="001E00F6">
      <w:pPr>
        <w:pStyle w:val="ListBulleta"/>
        <w:rPr>
          <w:color w:val="00B050"/>
          <w:u w:val="single"/>
        </w:rPr>
      </w:pPr>
      <w:r w:rsidRPr="001E00F6">
        <w:rPr>
          <w:color w:val="00B050"/>
          <w:u w:val="single"/>
        </w:rPr>
        <w:t>in tablets or capsules enclosed in a primary pack containing more than 100 tablets or capsules intended only as a bulk medicine pack and labelled ‘For dispensing only’ and ‘This pack is not to be supplied to a patient</w:t>
      </w:r>
      <w:proofErr w:type="gramStart"/>
      <w:r w:rsidRPr="001E00F6">
        <w:rPr>
          <w:color w:val="00B050"/>
          <w:u w:val="single"/>
        </w:rPr>
        <w:t>’;</w:t>
      </w:r>
      <w:proofErr w:type="gramEnd"/>
      <w:r w:rsidRPr="001E00F6">
        <w:rPr>
          <w:color w:val="00B050"/>
          <w:u w:val="single"/>
        </w:rPr>
        <w:t xml:space="preserve"> or</w:t>
      </w:r>
    </w:p>
    <w:p w14:paraId="651C81F3" w14:textId="579B9D3B" w:rsidR="00F50B88" w:rsidRPr="001E00F6" w:rsidRDefault="00101351" w:rsidP="001E00F6">
      <w:pPr>
        <w:pStyle w:val="ListBulleta"/>
        <w:rPr>
          <w:color w:val="00B050"/>
          <w:u w:val="single"/>
        </w:rPr>
      </w:pPr>
      <w:r w:rsidRPr="001E00F6">
        <w:rPr>
          <w:color w:val="00B050"/>
          <w:u w:val="single"/>
        </w:rPr>
        <w:t xml:space="preserve">in individually wrapped powders or sachets of granules enclosed in a primary pack containing not more than 50 wrapped powders or sachets of granules </w:t>
      </w:r>
      <w:r w:rsidRPr="001E00F6">
        <w:rPr>
          <w:b/>
          <w:bCs/>
          <w:color w:val="00B050"/>
          <w:u w:val="single"/>
        </w:rPr>
        <w:t>except</w:t>
      </w:r>
      <w:r w:rsidRPr="001E00F6">
        <w:rPr>
          <w:color w:val="00B050"/>
          <w:u w:val="single"/>
        </w:rPr>
        <w:t xml:space="preserve"> when included in or expressly excluded from Schedule </w:t>
      </w:r>
      <w:proofErr w:type="gramStart"/>
      <w:r w:rsidRPr="001E00F6">
        <w:rPr>
          <w:color w:val="00B050"/>
          <w:u w:val="single"/>
        </w:rPr>
        <w:t>2;</w:t>
      </w:r>
      <w:proofErr w:type="gramEnd"/>
      <w:r w:rsidRPr="001E00F6">
        <w:rPr>
          <w:color w:val="00B050"/>
          <w:u w:val="single"/>
        </w:rPr>
        <w:t xml:space="preserve"> or</w:t>
      </w:r>
    </w:p>
    <w:p w14:paraId="1BC69DF1" w14:textId="07EBB4A8" w:rsidR="00F50B88" w:rsidRPr="001E00F6" w:rsidRDefault="00101351" w:rsidP="001E00F6">
      <w:pPr>
        <w:pStyle w:val="ListBulleta"/>
        <w:rPr>
          <w:color w:val="00B050"/>
          <w:u w:val="single"/>
        </w:rPr>
      </w:pPr>
      <w:r w:rsidRPr="001E00F6">
        <w:rPr>
          <w:color w:val="00B050"/>
          <w:u w:val="single"/>
        </w:rPr>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1E00F6">
        <w:rPr>
          <w:color w:val="00B050"/>
          <w:u w:val="single"/>
        </w:rPr>
        <w:t>’;</w:t>
      </w:r>
      <w:proofErr w:type="gramEnd"/>
      <w:r w:rsidRPr="001E00F6">
        <w:rPr>
          <w:color w:val="00B050"/>
          <w:u w:val="single"/>
        </w:rPr>
        <w:t xml:space="preserve"> or</w:t>
      </w:r>
    </w:p>
    <w:p w14:paraId="0B8875A0" w14:textId="5500FF02" w:rsidR="00461069" w:rsidRPr="00694553" w:rsidRDefault="00101351" w:rsidP="001E00F6">
      <w:pPr>
        <w:pStyle w:val="ListBulleta"/>
      </w:pPr>
      <w:r w:rsidRPr="00694553">
        <w:t xml:space="preserve">in liquid preparations for oral use </w:t>
      </w:r>
      <w:r w:rsidRPr="00F50B88">
        <w:rPr>
          <w:b/>
          <w:bCs/>
        </w:rPr>
        <w:t>except</w:t>
      </w:r>
      <w:r w:rsidRPr="00694553">
        <w:t xml:space="preserve"> when in Schedule 2.</w:t>
      </w:r>
      <w:bookmarkEnd w:id="32"/>
    </w:p>
    <w:p w14:paraId="0162E135" w14:textId="77777777" w:rsidR="00101351" w:rsidRPr="00694553" w:rsidRDefault="00101351" w:rsidP="00101351">
      <w:pPr>
        <w:ind w:left="426"/>
        <w:rPr>
          <w:b/>
          <w:bCs/>
        </w:rPr>
      </w:pPr>
      <w:r w:rsidRPr="00694553">
        <w:rPr>
          <w:b/>
          <w:bCs/>
        </w:rPr>
        <w:t>Schedule 2</w:t>
      </w:r>
    </w:p>
    <w:p w14:paraId="496664BA" w14:textId="77777777" w:rsidR="00101351" w:rsidRPr="00694553" w:rsidRDefault="00101351" w:rsidP="00101351">
      <w:pPr>
        <w:ind w:left="720"/>
      </w:pPr>
      <w:r w:rsidRPr="00694553">
        <w:t>PARACETAMOL for therapeutic use:</w:t>
      </w:r>
    </w:p>
    <w:p w14:paraId="31C89732" w14:textId="578E09C2" w:rsidR="00587797" w:rsidRPr="00694553" w:rsidRDefault="00101351" w:rsidP="001E00F6">
      <w:pPr>
        <w:pStyle w:val="ListBulleta"/>
        <w:numPr>
          <w:ilvl w:val="0"/>
          <w:numId w:val="46"/>
        </w:numPr>
      </w:pPr>
      <w:r w:rsidRPr="00694553">
        <w:t>in liquid preparations for oral use containing a maximum of 10 g of paracetamol per container; or</w:t>
      </w:r>
    </w:p>
    <w:p w14:paraId="59E3EECA" w14:textId="77777777" w:rsidR="00101351" w:rsidRPr="00694553" w:rsidRDefault="00101351" w:rsidP="001E00F6">
      <w:pPr>
        <w:pStyle w:val="ListBulleta"/>
      </w:pPr>
      <w:r w:rsidRPr="00694553">
        <w:t xml:space="preserve">when combined with ibuprofen in preparations for oral use when labelled with a recommended daily dose of 1200 mg or less of ibuprofen in divided doses in a primary pack containing no more than 12 dosage units per </w:t>
      </w:r>
      <w:proofErr w:type="gramStart"/>
      <w:r w:rsidRPr="00694553">
        <w:t>pack;</w:t>
      </w:r>
      <w:proofErr w:type="gramEnd"/>
      <w:r w:rsidRPr="00694553">
        <w:t xml:space="preserve"> or</w:t>
      </w:r>
    </w:p>
    <w:p w14:paraId="184C90BB" w14:textId="77777777" w:rsidR="00101351" w:rsidRPr="00694553" w:rsidRDefault="00101351" w:rsidP="001E00F6">
      <w:pPr>
        <w:pStyle w:val="ListBulleta"/>
      </w:pPr>
      <w:r w:rsidRPr="00694553">
        <w:lastRenderedPageBreak/>
        <w:t xml:space="preserve">in tablets or capsules </w:t>
      </w:r>
      <w:r w:rsidRPr="00694553">
        <w:rPr>
          <w:color w:val="00B050"/>
          <w:u w:val="single"/>
        </w:rPr>
        <w:t>in blister or strip packaging</w:t>
      </w:r>
      <w:r w:rsidRPr="00694553">
        <w:rPr>
          <w:color w:val="00B050"/>
        </w:rPr>
        <w:t xml:space="preserve"> </w:t>
      </w:r>
      <w:r w:rsidRPr="00694553">
        <w:t xml:space="preserve">enclosed in a primary pack containing not more than </w:t>
      </w:r>
      <w:r w:rsidRPr="00694553">
        <w:rPr>
          <w:color w:val="00B050"/>
          <w:u w:val="single"/>
        </w:rPr>
        <w:t>50</w:t>
      </w:r>
      <w:r w:rsidRPr="00694553">
        <w:t xml:space="preserve"> </w:t>
      </w:r>
      <w:r w:rsidRPr="00694553">
        <w:rPr>
          <w:strike/>
          <w:color w:val="FF0000"/>
        </w:rPr>
        <w:t>100</w:t>
      </w:r>
      <w:r w:rsidRPr="00694553">
        <w:t xml:space="preserve"> tablets or </w:t>
      </w:r>
      <w:proofErr w:type="gramStart"/>
      <w:r w:rsidRPr="00694553">
        <w:t>capsules;</w:t>
      </w:r>
      <w:proofErr w:type="gramEnd"/>
      <w:r w:rsidRPr="00694553">
        <w:t xml:space="preserve"> or</w:t>
      </w:r>
    </w:p>
    <w:p w14:paraId="4C590523" w14:textId="77777777" w:rsidR="00101351" w:rsidRPr="001E00F6" w:rsidRDefault="00101351" w:rsidP="001E00F6">
      <w:pPr>
        <w:pStyle w:val="ListBulleta"/>
        <w:rPr>
          <w:strike/>
          <w:color w:val="FF0000"/>
        </w:rPr>
      </w:pPr>
      <w:bookmarkStart w:id="33" w:name="_Hlk126149750"/>
      <w:r w:rsidRPr="001E00F6">
        <w:rPr>
          <w:strike/>
          <w:color w:val="FF0000"/>
        </w:rPr>
        <w:t>in tablets or capsules enclosed in a primary pack containing more than 100 tablets or capsules intended only as a bulk medicine pack and labelled ‘For dispensing only’ and ‘This pack is not to be supplied to a patient</w:t>
      </w:r>
      <w:proofErr w:type="gramStart"/>
      <w:r w:rsidRPr="001E00F6">
        <w:rPr>
          <w:strike/>
          <w:color w:val="FF0000"/>
        </w:rPr>
        <w:t>’;</w:t>
      </w:r>
      <w:proofErr w:type="gramEnd"/>
      <w:r w:rsidRPr="001E00F6">
        <w:rPr>
          <w:strike/>
          <w:color w:val="FF0000"/>
        </w:rPr>
        <w:t xml:space="preserve"> or</w:t>
      </w:r>
      <w:bookmarkEnd w:id="33"/>
    </w:p>
    <w:p w14:paraId="0E26FA31" w14:textId="77777777" w:rsidR="00101351" w:rsidRPr="00694553" w:rsidRDefault="00101351" w:rsidP="00E83A51">
      <w:pPr>
        <w:pStyle w:val="ListBulleta"/>
      </w:pPr>
      <w:r w:rsidRPr="00694553">
        <w:t xml:space="preserve">in individually wrapped powders or sachets of granules enclosed in a primary pack containing not more than </w:t>
      </w:r>
      <w:r w:rsidRPr="00587797">
        <w:rPr>
          <w:color w:val="00B050"/>
          <w:u w:val="single"/>
        </w:rPr>
        <w:t>25</w:t>
      </w:r>
      <w:r w:rsidRPr="00694553">
        <w:t xml:space="preserve"> </w:t>
      </w:r>
      <w:r w:rsidRPr="00587797">
        <w:rPr>
          <w:strike/>
          <w:color w:val="FF0000"/>
        </w:rPr>
        <w:t>50</w:t>
      </w:r>
      <w:r w:rsidRPr="00694553">
        <w:t xml:space="preserve"> wrapped powders or sachets of </w:t>
      </w:r>
      <w:proofErr w:type="gramStart"/>
      <w:r w:rsidRPr="00694553">
        <w:t>granules;</w:t>
      </w:r>
      <w:proofErr w:type="gramEnd"/>
      <w:r w:rsidRPr="00694553">
        <w:t xml:space="preserve"> or</w:t>
      </w:r>
    </w:p>
    <w:p w14:paraId="0858E18D" w14:textId="77777777" w:rsidR="00101351" w:rsidRPr="00E83A51" w:rsidRDefault="00101351" w:rsidP="00E83A51">
      <w:pPr>
        <w:pStyle w:val="ListBulleta"/>
        <w:rPr>
          <w:strike/>
          <w:color w:val="FF0000"/>
        </w:rPr>
      </w:pPr>
      <w:r w:rsidRPr="00E83A51">
        <w:rPr>
          <w:strike/>
          <w:color w:val="FF0000"/>
        </w:rPr>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E83A51">
        <w:rPr>
          <w:strike/>
          <w:color w:val="FF0000"/>
        </w:rPr>
        <w:t>’;</w:t>
      </w:r>
      <w:proofErr w:type="gramEnd"/>
      <w:r w:rsidRPr="00E83A51">
        <w:rPr>
          <w:strike/>
          <w:color w:val="FF0000"/>
        </w:rPr>
        <w:t xml:space="preserve"> or</w:t>
      </w:r>
    </w:p>
    <w:p w14:paraId="54D19718" w14:textId="77777777" w:rsidR="00101351" w:rsidRPr="00694553" w:rsidRDefault="00101351" w:rsidP="00E83A51">
      <w:pPr>
        <w:pStyle w:val="ListBulleta"/>
      </w:pPr>
      <w:r w:rsidRPr="00694553">
        <w:t>in other preparations</w:t>
      </w:r>
      <w:r w:rsidRPr="001E00F6">
        <w:rPr>
          <w:b/>
          <w:bCs/>
        </w:rPr>
        <w:t xml:space="preserve"> except</w:t>
      </w:r>
      <w:r w:rsidRPr="00694553">
        <w:t>:</w:t>
      </w:r>
    </w:p>
    <w:p w14:paraId="079E4864" w14:textId="77777777" w:rsidR="00101351" w:rsidRPr="00694553" w:rsidRDefault="00101351" w:rsidP="001E00F6">
      <w:pPr>
        <w:pStyle w:val="ListBulleti"/>
      </w:pPr>
      <w:r w:rsidRPr="00694553">
        <w:t>when included in Schedule 3 or 4; or</w:t>
      </w:r>
    </w:p>
    <w:p w14:paraId="5E4BE18B" w14:textId="77777777" w:rsidR="00101351" w:rsidRPr="00694553" w:rsidRDefault="00101351" w:rsidP="001E00F6">
      <w:pPr>
        <w:pStyle w:val="ListBulleti"/>
      </w:pPr>
      <w:r w:rsidRPr="00694553">
        <w:t>in individually wrapped powders or sachets of granules each containing 1000 mg or less of paracetamol as the only therapeutically active constituent (other than caffeine, phenylephrine and/or guaifenesin or when combined with effervescent agents) when:</w:t>
      </w:r>
    </w:p>
    <w:p w14:paraId="20187AB3" w14:textId="77777777" w:rsidR="00101351" w:rsidRPr="00694553" w:rsidRDefault="00101351" w:rsidP="001E00F6">
      <w:pPr>
        <w:pStyle w:val="ListBulleta"/>
        <w:numPr>
          <w:ilvl w:val="1"/>
          <w:numId w:val="43"/>
        </w:numPr>
      </w:pPr>
      <w:r w:rsidRPr="00694553">
        <w:t>enclosed in a primary pack that contains not more than 10 such powders or sachets of granules,</w:t>
      </w:r>
    </w:p>
    <w:p w14:paraId="6627D966" w14:textId="77777777" w:rsidR="00101351" w:rsidRPr="00694553" w:rsidRDefault="00101351" w:rsidP="001E00F6">
      <w:pPr>
        <w:pStyle w:val="ListBulleta"/>
        <w:numPr>
          <w:ilvl w:val="1"/>
          <w:numId w:val="43"/>
        </w:numPr>
      </w:pPr>
      <w:r w:rsidRPr="00694553">
        <w:t>compliant with the requirements of the Required Advisory Statements for Medicine Labels,</w:t>
      </w:r>
    </w:p>
    <w:p w14:paraId="21CC1CFC" w14:textId="77777777" w:rsidR="00101351" w:rsidRDefault="00101351" w:rsidP="001E00F6">
      <w:pPr>
        <w:pStyle w:val="ListBulleta"/>
        <w:numPr>
          <w:ilvl w:val="1"/>
          <w:numId w:val="43"/>
        </w:numPr>
      </w:pPr>
      <w:r w:rsidRPr="00694553">
        <w:t>not labelled for the treatment of children 6 years or age or less, and</w:t>
      </w:r>
    </w:p>
    <w:p w14:paraId="2E80BDD9" w14:textId="77777777" w:rsidR="00101351" w:rsidRPr="00B05FC4" w:rsidRDefault="00101351" w:rsidP="001E00F6">
      <w:pPr>
        <w:pStyle w:val="ListBulleta"/>
        <w:numPr>
          <w:ilvl w:val="1"/>
          <w:numId w:val="43"/>
        </w:numPr>
      </w:pPr>
      <w:r w:rsidRPr="00B05FC4">
        <w:t>not labelled for the treatment of children under 12 years of age when combined with caffeine, phenylephrine and/or guaifenesin; or</w:t>
      </w:r>
    </w:p>
    <w:p w14:paraId="1C00008E" w14:textId="77777777" w:rsidR="00101351" w:rsidRPr="00694553" w:rsidRDefault="00101351" w:rsidP="001E00F6">
      <w:pPr>
        <w:pStyle w:val="ListBulleti"/>
      </w:pPr>
      <w:r w:rsidRPr="00694553">
        <w:t>in tablets or capsules each containing 500 mg or less of paracetamol as the only therapeutically active constituent (other than caffeine, phenylephrine and/or guaifenesin or when combined with effervescent agents) when:</w:t>
      </w:r>
    </w:p>
    <w:p w14:paraId="2C2F1AD0" w14:textId="121BC8B7" w:rsidR="00F50B88" w:rsidRPr="00694553" w:rsidRDefault="00101351" w:rsidP="001E00F6">
      <w:pPr>
        <w:pStyle w:val="ListBulleti"/>
        <w:numPr>
          <w:ilvl w:val="1"/>
          <w:numId w:val="6"/>
        </w:numPr>
        <w:ind w:left="2410"/>
      </w:pPr>
      <w:r w:rsidRPr="00694553">
        <w:t>packed in blister or strip packaging</w:t>
      </w:r>
      <w:r w:rsidR="00E2288B">
        <w:t xml:space="preserve"> </w:t>
      </w:r>
      <w:r w:rsidR="00E2288B" w:rsidRPr="00E2288B">
        <w:rPr>
          <w:strike/>
          <w:color w:val="FF0000"/>
        </w:rPr>
        <w:t>or in a container with a child-resistant closure</w:t>
      </w:r>
      <w:r w:rsidRPr="00694553">
        <w:t>,</w:t>
      </w:r>
    </w:p>
    <w:p w14:paraId="18F7691A" w14:textId="1165EDA2" w:rsidR="00F50B88" w:rsidRPr="00694553" w:rsidRDefault="00101351" w:rsidP="001E00F6">
      <w:pPr>
        <w:pStyle w:val="ListBulleti"/>
        <w:numPr>
          <w:ilvl w:val="1"/>
          <w:numId w:val="6"/>
        </w:numPr>
        <w:ind w:left="2410"/>
      </w:pPr>
      <w:r w:rsidRPr="00694553">
        <w:t xml:space="preserve">in a primary pack containing not more than </w:t>
      </w:r>
      <w:r w:rsidRPr="00F50B88">
        <w:rPr>
          <w:color w:val="00B050"/>
          <w:u w:val="single"/>
        </w:rPr>
        <w:t>16</w:t>
      </w:r>
      <w:r w:rsidRPr="00F50B88">
        <w:rPr>
          <w:color w:val="00B050"/>
        </w:rPr>
        <w:t xml:space="preserve"> </w:t>
      </w:r>
      <w:r w:rsidRPr="00F50B88">
        <w:rPr>
          <w:strike/>
          <w:color w:val="FF0000"/>
        </w:rPr>
        <w:t>20</w:t>
      </w:r>
      <w:r w:rsidRPr="00694553">
        <w:t xml:space="preserve"> tablets or capsules,</w:t>
      </w:r>
    </w:p>
    <w:p w14:paraId="604DE56C" w14:textId="0E5A2444" w:rsidR="00F50B88" w:rsidRPr="00694553" w:rsidRDefault="00101351" w:rsidP="001E00F6">
      <w:pPr>
        <w:pStyle w:val="ListBulleti"/>
        <w:numPr>
          <w:ilvl w:val="1"/>
          <w:numId w:val="6"/>
        </w:numPr>
        <w:ind w:left="2410"/>
      </w:pPr>
      <w:r w:rsidRPr="00694553">
        <w:t>complaint with the requirements of the Required Advisory Statements for Medicine Labels,</w:t>
      </w:r>
    </w:p>
    <w:p w14:paraId="190B0807" w14:textId="332DF1F6" w:rsidR="00F50B88" w:rsidRDefault="00101351" w:rsidP="001E00F6">
      <w:pPr>
        <w:pStyle w:val="ListBulleti"/>
        <w:numPr>
          <w:ilvl w:val="1"/>
          <w:numId w:val="6"/>
        </w:numPr>
        <w:ind w:left="2410"/>
      </w:pPr>
      <w:r w:rsidRPr="00694553">
        <w:t>not labelled for the treatment of children 6 years of age or less, and</w:t>
      </w:r>
    </w:p>
    <w:p w14:paraId="53FA96A1" w14:textId="77777777" w:rsidR="00101351" w:rsidRPr="00B05FC4" w:rsidRDefault="00101351" w:rsidP="001E00F6">
      <w:pPr>
        <w:pStyle w:val="ListBulleti"/>
        <w:numPr>
          <w:ilvl w:val="1"/>
          <w:numId w:val="6"/>
        </w:numPr>
        <w:ind w:left="2410"/>
      </w:pPr>
      <w:r w:rsidRPr="00B05FC4">
        <w:t>not labelled for the treatment of children under 12 years of age when combined with caffeine, phenylephrine and/or guaifenesin.</w:t>
      </w:r>
    </w:p>
    <w:p w14:paraId="0EC4F82F" w14:textId="77777777" w:rsidR="00CC0649" w:rsidRDefault="00CC0649">
      <w:pPr>
        <w:spacing w:before="0" w:after="0" w:line="240" w:lineRule="auto"/>
        <w:rPr>
          <w:b/>
          <w:bCs/>
        </w:rPr>
      </w:pPr>
      <w:r>
        <w:rPr>
          <w:b/>
          <w:bCs/>
        </w:rPr>
        <w:br w:type="page"/>
      </w:r>
    </w:p>
    <w:p w14:paraId="0C6A059B" w14:textId="02C305DF" w:rsidR="00101351" w:rsidRDefault="00BE00A6" w:rsidP="00BE00A6">
      <w:pPr>
        <w:ind w:left="426"/>
        <w:rPr>
          <w:b/>
          <w:bCs/>
        </w:rPr>
      </w:pPr>
      <w:r>
        <w:rPr>
          <w:b/>
          <w:bCs/>
        </w:rPr>
        <w:lastRenderedPageBreak/>
        <w:t>Index</w:t>
      </w:r>
    </w:p>
    <w:p w14:paraId="20D277E5" w14:textId="77777777" w:rsidR="00BE00A6" w:rsidRDefault="00BE00A6" w:rsidP="00BE00A6">
      <w:pPr>
        <w:ind w:left="426"/>
      </w:pPr>
      <w:r w:rsidRPr="00333358">
        <w:t>PARACETAMOL</w:t>
      </w:r>
      <w:r>
        <w:br/>
      </w:r>
      <w:r w:rsidRPr="00333358">
        <w:t>cross reference: ASPIRIN, IBUPROFEN, METOCLOPRAMIDE, SALICYLAMIDE, CAFFEINE</w:t>
      </w:r>
    </w:p>
    <w:p w14:paraId="0477EABD" w14:textId="15C77B50" w:rsidR="00BE00A6" w:rsidRPr="00333358" w:rsidRDefault="00BE00A6" w:rsidP="00333358">
      <w:pPr>
        <w:ind w:left="426"/>
      </w:pPr>
      <w:r w:rsidRPr="00333358">
        <w:t>Schedule 4</w:t>
      </w:r>
      <w:r w:rsidRPr="00333358">
        <w:br/>
        <w:t>Schedule 3</w:t>
      </w:r>
      <w:r w:rsidRPr="00333358">
        <w:br/>
        <w:t>Schedule 2</w:t>
      </w:r>
      <w:r w:rsidRPr="00333358">
        <w:br/>
        <w:t>Appendix F, clause 4</w:t>
      </w:r>
      <w:r w:rsidRPr="00333358">
        <w:br/>
        <w:t>Appendix H, clause 1</w:t>
      </w:r>
    </w:p>
    <w:p w14:paraId="676153A9" w14:textId="77777777" w:rsidR="00BE00A6" w:rsidRPr="00333358" w:rsidRDefault="00BE00A6" w:rsidP="00333358">
      <w:pPr>
        <w:ind w:left="142"/>
        <w:rPr>
          <w:b/>
          <w:bCs/>
        </w:rPr>
      </w:pPr>
    </w:p>
    <w:p w14:paraId="5D482910" w14:textId="73C349EA" w:rsidR="00436C41" w:rsidRPr="001E00F6" w:rsidRDefault="00436C41" w:rsidP="00F41DCE">
      <w:pPr>
        <w:pStyle w:val="Heading5"/>
        <w:rPr>
          <w:color w:val="auto"/>
        </w:rPr>
      </w:pPr>
      <w:r w:rsidRPr="001E00F6">
        <w:rPr>
          <w:color w:val="auto"/>
        </w:rPr>
        <w:t xml:space="preserve">Materials considered </w:t>
      </w:r>
    </w:p>
    <w:p w14:paraId="348AF278" w14:textId="4E3E957E" w:rsidR="006A64F4" w:rsidRDefault="006A64F4" w:rsidP="006A64F4">
      <w:r>
        <w:t>In making this final decision, the Delegate considered the following material:</w:t>
      </w:r>
    </w:p>
    <w:p w14:paraId="4761957C" w14:textId="77777777" w:rsidR="00DF4641" w:rsidRDefault="00DF4641" w:rsidP="00DF4641">
      <w:pPr>
        <w:pStyle w:val="ListBullet"/>
      </w:pPr>
      <w:r w:rsidRPr="007C0A3A">
        <w:t xml:space="preserve">The </w:t>
      </w:r>
      <w:hyperlink r:id="rId21" w:history="1">
        <w:r w:rsidRPr="007C0A3A">
          <w:rPr>
            <w:rStyle w:val="Hyperlink"/>
          </w:rPr>
          <w:t>delegate-initiated proposal</w:t>
        </w:r>
      </w:hyperlink>
      <w:r w:rsidRPr="007C0A3A">
        <w:t xml:space="preserve"> to amend the current Poisons Standard with respect to paracetamol (th</w:t>
      </w:r>
      <w:r>
        <w:t xml:space="preserve">e </w:t>
      </w:r>
      <w:r w:rsidRPr="007C0A3A">
        <w:rPr>
          <w:b/>
          <w:bCs/>
        </w:rPr>
        <w:t>Proposal</w:t>
      </w:r>
      <w:r w:rsidRPr="007C0A3A">
        <w:t>);</w:t>
      </w:r>
    </w:p>
    <w:p w14:paraId="0F1E3CF2" w14:textId="4AC122CF" w:rsidR="00DF4641" w:rsidRDefault="00DF4641" w:rsidP="00DF4641">
      <w:pPr>
        <w:pStyle w:val="ListBullet"/>
      </w:pPr>
      <w:r>
        <w:t xml:space="preserve">The 190 </w:t>
      </w:r>
      <w:hyperlink r:id="rId22" w:history="1">
        <w:r w:rsidRPr="009B19BF">
          <w:rPr>
            <w:rStyle w:val="Hyperlink"/>
          </w:rPr>
          <w:t>public submissions</w:t>
        </w:r>
      </w:hyperlink>
      <w:r>
        <w:t xml:space="preserve"> received in response to the </w:t>
      </w:r>
      <w:hyperlink r:id="rId23" w:history="1">
        <w:r w:rsidRPr="009B19BF">
          <w:rPr>
            <w:rStyle w:val="Hyperlink"/>
          </w:rPr>
          <w:t>pre-meeting consultation</w:t>
        </w:r>
      </w:hyperlink>
      <w:r>
        <w:t xml:space="preserve"> under regulation 42ZCZK of the Regulations; </w:t>
      </w:r>
    </w:p>
    <w:p w14:paraId="2A0CA360" w14:textId="77777777" w:rsidR="00A44238" w:rsidRDefault="00A44238" w:rsidP="00A44238">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46C08E77" w14:textId="77777777" w:rsidR="00101351" w:rsidRPr="00694553" w:rsidRDefault="00101351" w:rsidP="00101351">
      <w:pPr>
        <w:pStyle w:val="ListBullet"/>
      </w:pPr>
      <w:r>
        <w:t xml:space="preserve">The 201 </w:t>
      </w:r>
      <w:hyperlink r:id="rId24" w:history="1">
        <w:r w:rsidRPr="004C2D42">
          <w:rPr>
            <w:rStyle w:val="Hyperlink"/>
          </w:rPr>
          <w:t>public submissions</w:t>
        </w:r>
      </w:hyperlink>
      <w:r>
        <w:t xml:space="preserve"> received in response to the </w:t>
      </w:r>
      <w:hyperlink r:id="rId25" w:history="1">
        <w:r w:rsidRPr="004C2D42">
          <w:rPr>
            <w:rStyle w:val="Hyperlink"/>
          </w:rPr>
          <w:t>interim decision consultation</w:t>
        </w:r>
      </w:hyperlink>
      <w:r>
        <w:t xml:space="preserve"> under regulation 42ZCZP of the Regulations; </w:t>
      </w:r>
    </w:p>
    <w:p w14:paraId="02BD6220" w14:textId="77777777" w:rsidR="00A44238" w:rsidRDefault="00A44238" w:rsidP="00A44238">
      <w:pPr>
        <w:pStyle w:val="ListBullet"/>
      </w:pPr>
      <w:r>
        <w:t>T</w:t>
      </w:r>
      <w:r w:rsidRPr="00AF1F5F">
        <w:t>he findings and recommendations in the</w:t>
      </w:r>
      <w:r>
        <w:t xml:space="preserve"> </w:t>
      </w:r>
      <w:hyperlink r:id="rId26" w:history="1">
        <w:r w:rsidRPr="00EA600F">
          <w:rPr>
            <w:rStyle w:val="Hyperlink"/>
          </w:rPr>
          <w:t>independent expert report of the risks of intentional self-poisoning with paracetamol</w:t>
        </w:r>
      </w:hyperlink>
      <w:r w:rsidRPr="006B3B4C">
        <w:t xml:space="preserve">, </w:t>
      </w:r>
      <w:r>
        <w:t xml:space="preserve">published on the TGA website on 14 September 2022 (the </w:t>
      </w:r>
      <w:r w:rsidRPr="00AF1F5F">
        <w:rPr>
          <w:b/>
          <w:bCs/>
        </w:rPr>
        <w:t>Report</w:t>
      </w:r>
      <w:r>
        <w:t>);</w:t>
      </w:r>
    </w:p>
    <w:p w14:paraId="0CA7079D" w14:textId="0FF7774A" w:rsidR="006A64F4" w:rsidRDefault="001169AC" w:rsidP="001169AC">
      <w:pPr>
        <w:pStyle w:val="ListBullet"/>
      </w:pPr>
      <w:r w:rsidRPr="001169AC">
        <w:t xml:space="preserve">Subsection 52E(1) of </w:t>
      </w:r>
      <w:r w:rsidR="00EA2090">
        <w:rPr>
          <w:iCs/>
        </w:rPr>
        <w:t xml:space="preserve">the </w:t>
      </w:r>
      <w:r w:rsidR="00EA2090" w:rsidRPr="0069150F">
        <w:rPr>
          <w:iCs/>
        </w:rPr>
        <w:t>Act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r w:rsidR="006A64F4">
        <w:t>;</w:t>
      </w:r>
    </w:p>
    <w:p w14:paraId="7E7DFC20" w14:textId="688FEDD0" w:rsidR="00101351" w:rsidRDefault="00101351" w:rsidP="00101351">
      <w:pPr>
        <w:pStyle w:val="ListBullet"/>
      </w:pPr>
      <w:r>
        <w:t xml:space="preserve">The </w:t>
      </w:r>
      <w:hyperlink r:id="rId27" w:history="1">
        <w:r w:rsidRPr="00694553">
          <w:rPr>
            <w:rStyle w:val="Hyperlink"/>
          </w:rPr>
          <w:t>Therapeutic Guidelines</w:t>
        </w:r>
      </w:hyperlink>
      <w:r w:rsidR="00E83A51">
        <w:t>;</w:t>
      </w:r>
    </w:p>
    <w:p w14:paraId="423E63AB" w14:textId="74A324EB" w:rsidR="00101351" w:rsidRDefault="00101351" w:rsidP="00101351">
      <w:pPr>
        <w:pStyle w:val="ListBullet"/>
      </w:pPr>
      <w:r>
        <w:t xml:space="preserve">The Pharmacy Guild pharmacy and dispensary assistant </w:t>
      </w:r>
      <w:hyperlink r:id="rId28" w:history="1">
        <w:r w:rsidRPr="00C31882">
          <w:rPr>
            <w:rStyle w:val="Hyperlink"/>
          </w:rPr>
          <w:t>S2/S3 training summary</w:t>
        </w:r>
      </w:hyperlink>
      <w:r w:rsidR="00E83A51">
        <w:t>;</w:t>
      </w:r>
    </w:p>
    <w:p w14:paraId="6E825D54" w14:textId="11672ADA" w:rsidR="00101351" w:rsidRDefault="00101351" w:rsidP="00101351">
      <w:pPr>
        <w:pStyle w:val="ListBullet"/>
      </w:pPr>
      <w:r>
        <w:t xml:space="preserve">The </w:t>
      </w:r>
      <w:hyperlink r:id="rId29" w:history="1">
        <w:r w:rsidRPr="00C31882">
          <w:rPr>
            <w:rStyle w:val="Hyperlink"/>
          </w:rPr>
          <w:t>Explanatory Note</w:t>
        </w:r>
      </w:hyperlink>
      <w:r>
        <w:t xml:space="preserve"> for </w:t>
      </w:r>
      <w:r w:rsidRPr="00C31882">
        <w:t xml:space="preserve">The Medicines (Sale or Supply) (Miscellaneous Provisions) Amendment (No. 2) Regulations </w:t>
      </w:r>
      <w:proofErr w:type="gramStart"/>
      <w:r w:rsidRPr="00C31882">
        <w:t>1997</w:t>
      </w:r>
      <w:r w:rsidR="00E83A51">
        <w:t>;</w:t>
      </w:r>
      <w:proofErr w:type="gramEnd"/>
    </w:p>
    <w:p w14:paraId="1A4340ED" w14:textId="3DE3B67A" w:rsidR="00101351" w:rsidRDefault="00101351" w:rsidP="00101351">
      <w:pPr>
        <w:pStyle w:val="ListBullet"/>
      </w:pPr>
      <w:r>
        <w:t>Further data from the New South Wales Poison Information Centre (NSW PIC</w:t>
      </w:r>
      <w:proofErr w:type="gramStart"/>
      <w:r>
        <w:t>)</w:t>
      </w:r>
      <w:r w:rsidR="00E83A51">
        <w:t>;</w:t>
      </w:r>
      <w:proofErr w:type="gramEnd"/>
    </w:p>
    <w:p w14:paraId="23A7FC12" w14:textId="63DC3285" w:rsidR="00101351" w:rsidRDefault="00101351" w:rsidP="00101351">
      <w:pPr>
        <w:pStyle w:val="ListBullet"/>
      </w:pPr>
      <w:r>
        <w:t>Two</w:t>
      </w:r>
      <w:r w:rsidRPr="00C31882">
        <w:t xml:space="preserve"> journal articles on paracetamol overdose as cited in the reasons </w:t>
      </w:r>
      <w:proofErr w:type="gramStart"/>
      <w:r w:rsidRPr="00C31882">
        <w:t>below</w:t>
      </w:r>
      <w:r w:rsidR="00E83A51">
        <w:t>;</w:t>
      </w:r>
      <w:proofErr w:type="gramEnd"/>
    </w:p>
    <w:p w14:paraId="7EDBC43C" w14:textId="124E4D51" w:rsidR="006A64F4" w:rsidRDefault="0069150F" w:rsidP="002C1418">
      <w:pPr>
        <w:pStyle w:val="ListBullet"/>
      </w:pPr>
      <w:r>
        <w:t>Pursuant to paragraph 52E(2)(a) of the Act, t</w:t>
      </w:r>
      <w:r w:rsidR="00EA2090">
        <w:t xml:space="preserve">he </w:t>
      </w:r>
      <w:r w:rsidR="006A64F4" w:rsidRPr="00A44238">
        <w:t>SPF; and</w:t>
      </w:r>
    </w:p>
    <w:p w14:paraId="67F7348D" w14:textId="65269F64" w:rsidR="006A64F4" w:rsidRDefault="002C1418" w:rsidP="00432CDD">
      <w:pPr>
        <w:pStyle w:val="ListBullet"/>
      </w:pPr>
      <w:r>
        <w:t xml:space="preserve">The </w:t>
      </w:r>
      <w:r w:rsidR="00A44238">
        <w:t>Handbook.</w:t>
      </w:r>
    </w:p>
    <w:p w14:paraId="62A6D491" w14:textId="77777777" w:rsidR="00CC0649" w:rsidRDefault="00CC0649">
      <w:pPr>
        <w:spacing w:before="0" w:after="0" w:line="240" w:lineRule="auto"/>
        <w:rPr>
          <w:rFonts w:eastAsia="Times New Roman"/>
          <w:b/>
          <w:bCs/>
          <w:i/>
          <w:szCs w:val="26"/>
        </w:rPr>
      </w:pPr>
      <w:r>
        <w:br w:type="page"/>
      </w:r>
    </w:p>
    <w:p w14:paraId="70E59020" w14:textId="52FD8366" w:rsidR="00436C41" w:rsidRPr="001E00F6" w:rsidRDefault="00436C41" w:rsidP="00F41DCE">
      <w:pPr>
        <w:pStyle w:val="Heading5"/>
        <w:rPr>
          <w:color w:val="auto"/>
        </w:rPr>
      </w:pPr>
      <w:r w:rsidRPr="001E00F6">
        <w:rPr>
          <w:color w:val="auto"/>
        </w:rPr>
        <w:lastRenderedPageBreak/>
        <w:t>Reasons for the final decision (including findings on material questions of fact)</w:t>
      </w:r>
    </w:p>
    <w:p w14:paraId="51C8F94F" w14:textId="77777777" w:rsidR="00101351" w:rsidRDefault="00101351" w:rsidP="00101351">
      <w:pPr>
        <w:rPr>
          <w:rFonts w:cstheme="minorHAnsi"/>
        </w:rPr>
      </w:pPr>
      <w:r w:rsidRPr="00694553">
        <w:rPr>
          <w:rFonts w:cstheme="minorHAnsi"/>
        </w:rPr>
        <w:t>I have made a final decision to vary my interim decision and amend the current Poisons Standard to reduce pack sizes and mandate blister packs in the manner detailed above. My final decision departs from my interim decision by:</w:t>
      </w:r>
    </w:p>
    <w:p w14:paraId="261128D6" w14:textId="77777777" w:rsidR="00101351" w:rsidRPr="00820CF2" w:rsidRDefault="00101351" w:rsidP="00D868C1">
      <w:pPr>
        <w:pStyle w:val="ListBullet2"/>
        <w:rPr>
          <w:rFonts w:cstheme="minorHAnsi"/>
        </w:rPr>
      </w:pPr>
      <w:r w:rsidRPr="00B05FC4">
        <w:rPr>
          <w:rFonts w:cstheme="minorHAnsi"/>
        </w:rPr>
        <w:t xml:space="preserve">Reducing the maximum size of </w:t>
      </w:r>
      <w:r w:rsidRPr="00B05FC4">
        <w:t xml:space="preserve">Pharmacy Only (Schedule 2) packs of paracetamol tablets and capsules </w:t>
      </w:r>
      <w:r>
        <w:t xml:space="preserve">from 100 </w:t>
      </w:r>
      <w:r w:rsidRPr="00B05FC4">
        <w:t>to 50 instead of 32</w:t>
      </w:r>
    </w:p>
    <w:p w14:paraId="7B586B1C" w14:textId="1B8BE5FE" w:rsidR="00101351" w:rsidRPr="00B05FC4" w:rsidRDefault="00101351" w:rsidP="00D868C1">
      <w:pPr>
        <w:pStyle w:val="ListBullet2"/>
        <w:rPr>
          <w:rFonts w:cstheme="minorHAnsi"/>
        </w:rPr>
      </w:pPr>
      <w:r>
        <w:t xml:space="preserve">Reducing the maximum size of Pharmacy Only (Schedule 2) packs of paracetamol </w:t>
      </w:r>
      <w:r w:rsidRPr="003075F1">
        <w:t>powders or sachets of granules from 50 to 25 instead of 16</w:t>
      </w:r>
      <w:r w:rsidR="00E83A51">
        <w:t>; and</w:t>
      </w:r>
    </w:p>
    <w:p w14:paraId="0A121B6B" w14:textId="31CC3BD7" w:rsidR="00101351" w:rsidRPr="00B05FC4" w:rsidRDefault="00101351" w:rsidP="00D868C1">
      <w:pPr>
        <w:pStyle w:val="ListBullet2"/>
        <w:rPr>
          <w:rFonts w:cstheme="minorHAnsi"/>
        </w:rPr>
      </w:pPr>
      <w:r w:rsidRPr="00B05FC4">
        <w:t xml:space="preserve">Leaving the maximum size of general sale (not scheduled) packs of paracetamol in </w:t>
      </w:r>
      <w:r w:rsidRPr="00B05FC4">
        <w:rPr>
          <w:rFonts w:cstheme="minorHAnsi"/>
        </w:rPr>
        <w:t xml:space="preserve">sachets as they currently are instead of reducing them to </w:t>
      </w:r>
      <w:r>
        <w:rPr>
          <w:rFonts w:cstheme="minorHAnsi"/>
        </w:rPr>
        <w:t>8</w:t>
      </w:r>
      <w:r w:rsidR="00E83A51">
        <w:rPr>
          <w:rFonts w:cstheme="minorHAnsi"/>
        </w:rPr>
        <w:t>.</w:t>
      </w:r>
    </w:p>
    <w:p w14:paraId="73B2904A" w14:textId="77777777" w:rsidR="00101351" w:rsidRPr="00694553" w:rsidRDefault="00101351" w:rsidP="00101351">
      <w:pPr>
        <w:rPr>
          <w:rFonts w:eastAsia="Times New Roman" w:cstheme="minorHAnsi"/>
          <w:lang w:eastAsia="en-AU"/>
        </w:rPr>
      </w:pPr>
      <w:r w:rsidRPr="00694553">
        <w:rPr>
          <w:rFonts w:cstheme="minorHAnsi"/>
        </w:rPr>
        <w:t xml:space="preserve">Consistent with my interim decision, I have decided to not introduce or change purchasing or access restrictions related to the number of packs that can be sold in a single transaction, </w:t>
      </w:r>
      <w:r w:rsidRPr="00694553">
        <w:rPr>
          <w:rFonts w:eastAsia="Times New Roman" w:cstheme="minorHAnsi"/>
          <w:lang w:eastAsia="en-AU"/>
        </w:rPr>
        <w:t xml:space="preserve">sales from behind the counter, modified release (MR) paracetamol preparations, or purchaser age. </w:t>
      </w:r>
    </w:p>
    <w:p w14:paraId="24565E78" w14:textId="077AA52E" w:rsidR="00101351" w:rsidRPr="00694553" w:rsidRDefault="00101351" w:rsidP="00101351">
      <w:pPr>
        <w:rPr>
          <w:rFonts w:eastAsia="Times New Roman" w:cstheme="minorHAnsi"/>
          <w:lang w:eastAsia="en-AU"/>
        </w:rPr>
      </w:pPr>
      <w:r w:rsidRPr="00694553">
        <w:rPr>
          <w:rFonts w:eastAsia="Times New Roman" w:cstheme="minorHAnsi"/>
          <w:lang w:eastAsia="en-AU"/>
        </w:rPr>
        <w:t xml:space="preserve">In reaching my final decision, I have considered all the 201 public submissions received between 3 February and 3 March 2023. I note that over 80% of organisations, including peak bodies representing consumers, healthcare practitioners and industry, partially or fully supported the interim decision. </w:t>
      </w:r>
    </w:p>
    <w:p w14:paraId="2072F78A" w14:textId="03207350" w:rsidR="00101351" w:rsidRPr="00694553" w:rsidRDefault="00101351" w:rsidP="00101351">
      <w:pPr>
        <w:rPr>
          <w:rFonts w:eastAsia="Times New Roman" w:cstheme="minorHAnsi"/>
          <w:lang w:eastAsia="en-AU"/>
        </w:rPr>
      </w:pPr>
      <w:r w:rsidRPr="00694553">
        <w:rPr>
          <w:rFonts w:eastAsia="Times New Roman" w:cstheme="minorHAnsi"/>
          <w:lang w:eastAsia="en-AU"/>
        </w:rPr>
        <w:t xml:space="preserve">There was consensus among submissions to not implement limits on the number of packs that can be purchased in a single transaction, sales from behind the counter and purchaser age restrictions. In contrast, there were divergent views in relation to restrictions on pack sizes and </w:t>
      </w:r>
      <w:r w:rsidR="006767C3">
        <w:rPr>
          <w:rFonts w:eastAsia="Times New Roman" w:cstheme="minorHAnsi"/>
          <w:lang w:eastAsia="en-AU"/>
        </w:rPr>
        <w:t>MR</w:t>
      </w:r>
      <w:r w:rsidRPr="00694553">
        <w:rPr>
          <w:rFonts w:eastAsia="Times New Roman" w:cstheme="minorHAnsi"/>
          <w:lang w:eastAsia="en-AU"/>
        </w:rPr>
        <w:t xml:space="preserve"> formulations. Several submissions emphasised the differing characteristics and purchasing trends of cough and cold products containing paracetamol compared to </w:t>
      </w:r>
      <w:r>
        <w:rPr>
          <w:rFonts w:eastAsia="Times New Roman" w:cstheme="minorHAnsi"/>
          <w:lang w:eastAsia="en-AU"/>
        </w:rPr>
        <w:t>those for pain relief</w:t>
      </w:r>
      <w:r w:rsidRPr="00694553">
        <w:rPr>
          <w:rFonts w:eastAsia="Times New Roman" w:cstheme="minorHAnsi"/>
          <w:lang w:eastAsia="en-AU"/>
        </w:rPr>
        <w:t xml:space="preserve"> containing paracetamol as the only active ingredient, </w:t>
      </w:r>
      <w:r>
        <w:rPr>
          <w:rFonts w:eastAsia="Times New Roman" w:cstheme="minorHAnsi"/>
          <w:lang w:eastAsia="en-AU"/>
        </w:rPr>
        <w:t xml:space="preserve">with </w:t>
      </w:r>
      <w:r w:rsidRPr="00694553">
        <w:rPr>
          <w:rFonts w:eastAsia="Times New Roman" w:cstheme="minorHAnsi"/>
          <w:lang w:eastAsia="en-AU"/>
        </w:rPr>
        <w:t xml:space="preserve">the maximum pack sizes of </w:t>
      </w:r>
      <w:r>
        <w:rPr>
          <w:rFonts w:eastAsia="Times New Roman" w:cstheme="minorHAnsi"/>
          <w:lang w:eastAsia="en-AU"/>
        </w:rPr>
        <w:t xml:space="preserve">both having been </w:t>
      </w:r>
      <w:r w:rsidRPr="00694553">
        <w:rPr>
          <w:rFonts w:eastAsia="Times New Roman" w:cstheme="minorHAnsi"/>
          <w:lang w:eastAsia="en-AU"/>
        </w:rPr>
        <w:t xml:space="preserve">proposed </w:t>
      </w:r>
      <w:r>
        <w:rPr>
          <w:rFonts w:eastAsia="Times New Roman" w:cstheme="minorHAnsi"/>
          <w:lang w:eastAsia="en-AU"/>
        </w:rPr>
        <w:t xml:space="preserve">in my interim decision </w:t>
      </w:r>
      <w:r w:rsidRPr="00694553">
        <w:rPr>
          <w:rFonts w:eastAsia="Times New Roman" w:cstheme="minorHAnsi"/>
          <w:lang w:eastAsia="en-AU"/>
        </w:rPr>
        <w:t xml:space="preserve">to be </w:t>
      </w:r>
      <w:r>
        <w:rPr>
          <w:rFonts w:eastAsia="Times New Roman" w:cstheme="minorHAnsi"/>
          <w:lang w:eastAsia="en-AU"/>
        </w:rPr>
        <w:t>reduced</w:t>
      </w:r>
      <w:r w:rsidRPr="00694553">
        <w:rPr>
          <w:rFonts w:eastAsia="Times New Roman" w:cstheme="minorHAnsi"/>
          <w:lang w:eastAsia="en-AU"/>
        </w:rPr>
        <w:t xml:space="preserve">. Finally, most submissions from individuals expressed opposition to any changes to paracetamol purchasing or access controls. </w:t>
      </w:r>
    </w:p>
    <w:p w14:paraId="758F29B8" w14:textId="77777777" w:rsidR="00101351" w:rsidRDefault="00101351" w:rsidP="00101351">
      <w:pPr>
        <w:rPr>
          <w:rFonts w:eastAsia="Times New Roman" w:cstheme="minorHAnsi"/>
          <w:lang w:eastAsia="en-AU"/>
        </w:rPr>
      </w:pPr>
      <w:r w:rsidRPr="00694553">
        <w:rPr>
          <w:rFonts w:eastAsia="Times New Roman" w:cstheme="minorHAnsi"/>
          <w:lang w:eastAsia="en-AU"/>
        </w:rPr>
        <w:t xml:space="preserve">The factors </w:t>
      </w:r>
      <w:r>
        <w:rPr>
          <w:rFonts w:eastAsia="Times New Roman" w:cstheme="minorHAnsi"/>
          <w:lang w:eastAsia="en-AU"/>
        </w:rPr>
        <w:t xml:space="preserve">that </w:t>
      </w:r>
      <w:r w:rsidRPr="00694553">
        <w:rPr>
          <w:rFonts w:eastAsia="Times New Roman" w:cstheme="minorHAnsi"/>
          <w:lang w:eastAsia="en-AU"/>
        </w:rPr>
        <w:t xml:space="preserve">I have considered </w:t>
      </w:r>
      <w:r>
        <w:rPr>
          <w:rFonts w:eastAsia="Times New Roman" w:cstheme="minorHAnsi"/>
          <w:lang w:eastAsia="en-AU"/>
        </w:rPr>
        <w:t>in accordance with s 52</w:t>
      </w:r>
      <w:proofErr w:type="gramStart"/>
      <w:r>
        <w:rPr>
          <w:rFonts w:eastAsia="Times New Roman" w:cstheme="minorHAnsi"/>
          <w:lang w:eastAsia="en-AU"/>
        </w:rPr>
        <w:t>E(</w:t>
      </w:r>
      <w:proofErr w:type="gramEnd"/>
      <w:r>
        <w:rPr>
          <w:rFonts w:eastAsia="Times New Roman" w:cstheme="minorHAnsi"/>
          <w:lang w:eastAsia="en-AU"/>
        </w:rPr>
        <w:t>1) of the Act</w:t>
      </w:r>
      <w:r w:rsidRPr="00694553">
        <w:rPr>
          <w:rFonts w:eastAsia="Times New Roman" w:cstheme="minorHAnsi"/>
          <w:lang w:eastAsia="en-AU"/>
        </w:rPr>
        <w:t xml:space="preserve"> and my reasons in reaching my final decision are those in my interim decision except:</w:t>
      </w:r>
    </w:p>
    <w:p w14:paraId="104067B7" w14:textId="77777777" w:rsidR="00101351" w:rsidRPr="0085304E" w:rsidRDefault="00101351" w:rsidP="00101351">
      <w:pPr>
        <w:pStyle w:val="ListParagraph"/>
        <w:numPr>
          <w:ilvl w:val="0"/>
          <w:numId w:val="41"/>
        </w:numPr>
        <w:spacing w:before="0" w:after="160" w:line="259" w:lineRule="auto"/>
        <w:rPr>
          <w:rFonts w:eastAsia="Times New Roman" w:cstheme="minorHAnsi"/>
          <w:lang w:eastAsia="en-AU"/>
        </w:rPr>
      </w:pPr>
      <w:r w:rsidRPr="0085304E">
        <w:rPr>
          <w:rFonts w:eastAsia="Times New Roman" w:cstheme="minorHAnsi"/>
          <w:lang w:eastAsia="en-AU"/>
        </w:rPr>
        <w:t xml:space="preserve">In weighing up the spectrum of views from the public consultation, I am persuaded that access to paracetamol in a pharmacy setting should be slightly less restrictive than proposed in my interim decision. </w:t>
      </w:r>
    </w:p>
    <w:p w14:paraId="11D7924D" w14:textId="77777777" w:rsidR="00101351" w:rsidRPr="0085304E" w:rsidRDefault="00101351" w:rsidP="00101351">
      <w:pPr>
        <w:pStyle w:val="ListParagraph"/>
        <w:numPr>
          <w:ilvl w:val="0"/>
          <w:numId w:val="41"/>
        </w:numPr>
        <w:spacing w:before="0" w:after="160" w:line="259" w:lineRule="auto"/>
        <w:rPr>
          <w:rFonts w:eastAsia="Times New Roman" w:cstheme="minorHAnsi"/>
          <w:lang w:eastAsia="en-AU"/>
        </w:rPr>
      </w:pPr>
      <w:r w:rsidRPr="0085304E">
        <w:rPr>
          <w:rFonts w:eastAsia="Times New Roman" w:cstheme="minorHAnsi"/>
          <w:lang w:eastAsia="en-AU"/>
        </w:rPr>
        <w:t xml:space="preserve">In response to concerns raised in the submissions, and </w:t>
      </w:r>
      <w:proofErr w:type="gramStart"/>
      <w:r w:rsidRPr="0085304E">
        <w:rPr>
          <w:rFonts w:eastAsia="Times New Roman" w:cstheme="minorHAnsi"/>
          <w:lang w:eastAsia="en-AU"/>
        </w:rPr>
        <w:t>with regard to</w:t>
      </w:r>
      <w:proofErr w:type="gramEnd"/>
      <w:r w:rsidRPr="0085304E">
        <w:rPr>
          <w:rFonts w:eastAsia="Times New Roman" w:cstheme="minorHAnsi"/>
          <w:lang w:eastAsia="en-AU"/>
        </w:rPr>
        <w:t xml:space="preserve"> s 52E(1)(a) and (d) of the Act and additional intentional overdose data, I have specifically reconsidered the likelihood of the involvement of paracetamol in sachet form in intentional overdose. </w:t>
      </w:r>
    </w:p>
    <w:p w14:paraId="16145E01" w14:textId="48A21773" w:rsidR="00101351" w:rsidRPr="00694553" w:rsidRDefault="00101351" w:rsidP="00101351">
      <w:pPr>
        <w:rPr>
          <w:rFonts w:eastAsia="Times New Roman" w:cstheme="minorHAnsi"/>
          <w:lang w:eastAsia="en-AU"/>
        </w:rPr>
      </w:pPr>
      <w:r w:rsidRPr="00694553">
        <w:rPr>
          <w:rFonts w:eastAsia="Times New Roman" w:cstheme="minorHAnsi"/>
          <w:lang w:eastAsia="en-AU"/>
        </w:rPr>
        <w:t xml:space="preserve">I am satisfied that the changes between my interim and final decisions </w:t>
      </w:r>
      <w:r>
        <w:rPr>
          <w:rFonts w:eastAsia="Times New Roman" w:cstheme="minorHAnsi"/>
          <w:lang w:eastAsia="en-AU"/>
        </w:rPr>
        <w:t>attain the</w:t>
      </w:r>
      <w:r w:rsidRPr="00694553">
        <w:rPr>
          <w:rFonts w:eastAsia="Times New Roman" w:cstheme="minorHAnsi"/>
          <w:lang w:eastAsia="en-AU"/>
        </w:rPr>
        <w:t xml:space="preserve"> appropriate balance between addressing </w:t>
      </w:r>
      <w:r>
        <w:rPr>
          <w:rFonts w:eastAsia="Times New Roman" w:cstheme="minorHAnsi"/>
          <w:lang w:eastAsia="en-AU"/>
        </w:rPr>
        <w:t xml:space="preserve">intentional </w:t>
      </w:r>
      <w:r w:rsidRPr="00694553">
        <w:rPr>
          <w:rFonts w:eastAsia="Times New Roman" w:cstheme="minorHAnsi"/>
          <w:lang w:eastAsia="en-AU"/>
        </w:rPr>
        <w:t xml:space="preserve">paracetamol </w:t>
      </w:r>
      <w:r>
        <w:rPr>
          <w:rFonts w:eastAsia="Times New Roman" w:cstheme="minorHAnsi"/>
          <w:lang w:eastAsia="en-AU"/>
        </w:rPr>
        <w:t>overdose</w:t>
      </w:r>
      <w:r w:rsidRPr="00694553">
        <w:rPr>
          <w:rFonts w:eastAsia="Times New Roman" w:cstheme="minorHAnsi"/>
          <w:lang w:eastAsia="en-AU"/>
        </w:rPr>
        <w:t xml:space="preserve"> and ensuring appropriate access for legitimate therapeutic use</w:t>
      </w:r>
      <w:r>
        <w:rPr>
          <w:rFonts w:eastAsia="Times New Roman" w:cstheme="minorHAnsi"/>
          <w:lang w:eastAsia="en-AU"/>
        </w:rPr>
        <w:t xml:space="preserve"> that I expressed in my interim decision</w:t>
      </w:r>
      <w:r w:rsidRPr="00694553">
        <w:rPr>
          <w:rFonts w:eastAsia="Times New Roman" w:cstheme="minorHAnsi"/>
          <w:lang w:eastAsia="en-AU"/>
        </w:rPr>
        <w:t>.</w:t>
      </w:r>
    </w:p>
    <w:p w14:paraId="26671186" w14:textId="77777777" w:rsidR="00101351" w:rsidRPr="00694553" w:rsidRDefault="00101351" w:rsidP="00101351">
      <w:pPr>
        <w:rPr>
          <w:rFonts w:eastAsia="Times New Roman" w:cstheme="minorHAnsi"/>
          <w:lang w:eastAsia="en-AU"/>
        </w:rPr>
      </w:pPr>
      <w:r w:rsidRPr="00694553">
        <w:rPr>
          <w:rFonts w:eastAsia="Times New Roman" w:cstheme="minorHAnsi"/>
          <w:lang w:eastAsia="en-AU"/>
        </w:rPr>
        <w:t xml:space="preserve">My detailed reasons for these changes and other comments are as follows. I also elaborate, given the public consultation submissions, on my reasons for those matters that are unchanged between my interim and final decisions. </w:t>
      </w:r>
    </w:p>
    <w:p w14:paraId="66C0D3C0" w14:textId="77777777" w:rsidR="00CC0649" w:rsidRDefault="00CC0649">
      <w:pPr>
        <w:spacing w:before="0" w:after="0" w:line="240" w:lineRule="auto"/>
        <w:rPr>
          <w:b/>
          <w:bCs/>
          <w:lang w:eastAsia="en-AU"/>
        </w:rPr>
      </w:pPr>
      <w:r>
        <w:rPr>
          <w:b/>
          <w:bCs/>
          <w:lang w:eastAsia="en-AU"/>
        </w:rPr>
        <w:br w:type="page"/>
      </w:r>
    </w:p>
    <w:p w14:paraId="5B180E41" w14:textId="3535A9D3" w:rsidR="00101351" w:rsidRPr="00D868C1" w:rsidRDefault="00101351" w:rsidP="00D868C1">
      <w:pPr>
        <w:rPr>
          <w:b/>
          <w:bCs/>
          <w:u w:val="single"/>
          <w:lang w:eastAsia="en-AU"/>
        </w:rPr>
      </w:pPr>
      <w:r w:rsidRPr="00D868C1">
        <w:rPr>
          <w:b/>
          <w:bCs/>
          <w:lang w:eastAsia="en-AU"/>
        </w:rPr>
        <w:lastRenderedPageBreak/>
        <w:t>Reasons for reducing the maximum size of paracetamol packs, including varying my interim decision</w:t>
      </w:r>
    </w:p>
    <w:p w14:paraId="44E7C5E1" w14:textId="77777777" w:rsidR="00101351" w:rsidRPr="00694553" w:rsidRDefault="00101351" w:rsidP="00101351">
      <w:pPr>
        <w:rPr>
          <w:rFonts w:cstheme="minorHAnsi"/>
        </w:rPr>
      </w:pPr>
      <w:r w:rsidRPr="00694553">
        <w:rPr>
          <w:rFonts w:cstheme="minorHAnsi"/>
        </w:rPr>
        <w:t>I maintain the view, despite some submissions, that reduction</w:t>
      </w:r>
      <w:r>
        <w:rPr>
          <w:rFonts w:cstheme="minorHAnsi"/>
        </w:rPr>
        <w:t>s</w:t>
      </w:r>
      <w:r w:rsidRPr="00694553">
        <w:rPr>
          <w:rFonts w:cstheme="minorHAnsi"/>
        </w:rPr>
        <w:t xml:space="preserve"> in </w:t>
      </w:r>
      <w:r>
        <w:rPr>
          <w:rFonts w:cstheme="minorHAnsi"/>
        </w:rPr>
        <w:t xml:space="preserve">maximum </w:t>
      </w:r>
      <w:r w:rsidRPr="00694553">
        <w:rPr>
          <w:rFonts w:cstheme="minorHAnsi"/>
        </w:rPr>
        <w:t>pack size</w:t>
      </w:r>
      <w:r>
        <w:rPr>
          <w:rFonts w:cstheme="minorHAnsi"/>
        </w:rPr>
        <w:t xml:space="preserve">s of both general sale and Pharmacy Only paracetamol </w:t>
      </w:r>
      <w:r w:rsidRPr="00694553">
        <w:rPr>
          <w:rFonts w:cstheme="minorHAnsi"/>
        </w:rPr>
        <w:t xml:space="preserve">is </w:t>
      </w:r>
      <w:r>
        <w:rPr>
          <w:rFonts w:cstheme="minorHAnsi"/>
        </w:rPr>
        <w:t xml:space="preserve">generally </w:t>
      </w:r>
      <w:r w:rsidRPr="00694553">
        <w:rPr>
          <w:rFonts w:cstheme="minorHAnsi"/>
        </w:rPr>
        <w:t xml:space="preserve">appropriate. However, I have decided to vary the interim decision in relation to </w:t>
      </w:r>
      <w:r>
        <w:rPr>
          <w:rFonts w:cstheme="minorHAnsi"/>
        </w:rPr>
        <w:t xml:space="preserve">the degree to which Pharmacy Only pack sizes should be reduced, </w:t>
      </w:r>
      <w:r w:rsidRPr="00694553">
        <w:rPr>
          <w:rFonts w:cstheme="minorHAnsi"/>
        </w:rPr>
        <w:t>and I will now set out further reasoning to support this amendment.</w:t>
      </w:r>
    </w:p>
    <w:p w14:paraId="0A9F22A8" w14:textId="77777777" w:rsidR="00101351" w:rsidRPr="00694553" w:rsidRDefault="00101351" w:rsidP="00101351">
      <w:pPr>
        <w:rPr>
          <w:rFonts w:cstheme="minorHAnsi"/>
        </w:rPr>
      </w:pPr>
      <w:r w:rsidRPr="00694553">
        <w:rPr>
          <w:rFonts w:cstheme="minorHAnsi"/>
        </w:rPr>
        <w:t xml:space="preserve">Most peak bodies expressed some level of support for reducing the </w:t>
      </w:r>
      <w:r>
        <w:rPr>
          <w:rFonts w:cstheme="minorHAnsi"/>
        </w:rPr>
        <w:t xml:space="preserve">maximum </w:t>
      </w:r>
      <w:r w:rsidRPr="00694553">
        <w:rPr>
          <w:rFonts w:cstheme="minorHAnsi"/>
        </w:rPr>
        <w:t xml:space="preserve">pack size of products containing only paracetamol as the active ingredient. There were recurring concerns that a limit of 32 for </w:t>
      </w:r>
      <w:r>
        <w:rPr>
          <w:rFonts w:cstheme="minorHAnsi"/>
        </w:rPr>
        <w:t>P</w:t>
      </w:r>
      <w:r w:rsidRPr="00694553">
        <w:rPr>
          <w:rFonts w:cstheme="minorHAnsi"/>
        </w:rPr>
        <w:t xml:space="preserve">harmacy </w:t>
      </w:r>
      <w:r>
        <w:rPr>
          <w:rFonts w:cstheme="minorHAnsi"/>
        </w:rPr>
        <w:t>O</w:t>
      </w:r>
      <w:r w:rsidRPr="00694553">
        <w:rPr>
          <w:rFonts w:cstheme="minorHAnsi"/>
        </w:rPr>
        <w:t xml:space="preserve">nly (Schedule 2) medicine was disproportionately restrictive with numerous counterproposals for </w:t>
      </w:r>
      <w:r>
        <w:rPr>
          <w:rFonts w:cstheme="minorHAnsi"/>
        </w:rPr>
        <w:t xml:space="preserve">maximum </w:t>
      </w:r>
      <w:r w:rsidRPr="00694553">
        <w:rPr>
          <w:rFonts w:cstheme="minorHAnsi"/>
        </w:rPr>
        <w:t xml:space="preserve">pack sizes to be reduced instead to 50 tablets or capsules (or equivalent). I also note that a survey conducted by Pain Australia showed that only 25% of those who live with chronic pain agreed with the reduced </w:t>
      </w:r>
      <w:r>
        <w:rPr>
          <w:rFonts w:cstheme="minorHAnsi"/>
        </w:rPr>
        <w:t>maximum p</w:t>
      </w:r>
      <w:r w:rsidRPr="00694553">
        <w:rPr>
          <w:rFonts w:cstheme="minorHAnsi"/>
        </w:rPr>
        <w:t xml:space="preserve">ack sizes in the interim decision. Moreover, </w:t>
      </w:r>
      <w:proofErr w:type="gramStart"/>
      <w:r w:rsidRPr="00694553">
        <w:rPr>
          <w:rFonts w:cstheme="minorHAnsi"/>
        </w:rPr>
        <w:t>the overwhelming majority of</w:t>
      </w:r>
      <w:proofErr w:type="gramEnd"/>
      <w:r w:rsidRPr="00694553">
        <w:rPr>
          <w:rFonts w:cstheme="minorHAnsi"/>
        </w:rPr>
        <w:t xml:space="preserve"> individual submissions did not support </w:t>
      </w:r>
      <w:r>
        <w:rPr>
          <w:rFonts w:cstheme="minorHAnsi"/>
        </w:rPr>
        <w:t>any</w:t>
      </w:r>
      <w:r w:rsidRPr="00694553">
        <w:rPr>
          <w:rFonts w:cstheme="minorHAnsi"/>
        </w:rPr>
        <w:t xml:space="preserve"> reduction. </w:t>
      </w:r>
    </w:p>
    <w:p w14:paraId="16013950" w14:textId="77777777" w:rsidR="00101351" w:rsidRPr="00694553" w:rsidRDefault="00101351" w:rsidP="00101351">
      <w:pPr>
        <w:rPr>
          <w:rFonts w:cstheme="minorHAnsi"/>
        </w:rPr>
      </w:pPr>
      <w:r w:rsidRPr="00694553">
        <w:rPr>
          <w:rFonts w:cstheme="minorHAnsi"/>
        </w:rPr>
        <w:t xml:space="preserve">On the other hand, the Australian Medical Association (AMA) expressed support for a limit of 32 and the Royal Australian College of General Practitioners (RACGP) were in favour of even lower pack sizes, consistent with those available via general sale, to adequately reduce the amount of paracetamol in the home. </w:t>
      </w:r>
    </w:p>
    <w:p w14:paraId="480060F8" w14:textId="6545FA59" w:rsidR="00101351" w:rsidRPr="00694553" w:rsidRDefault="00101351" w:rsidP="00101351">
      <w:pPr>
        <w:rPr>
          <w:rFonts w:cstheme="minorHAnsi"/>
        </w:rPr>
      </w:pPr>
      <w:proofErr w:type="gramStart"/>
      <w:r w:rsidRPr="00694553">
        <w:rPr>
          <w:rFonts w:cstheme="minorHAnsi"/>
        </w:rPr>
        <w:t>In light of</w:t>
      </w:r>
      <w:proofErr w:type="gramEnd"/>
      <w:r w:rsidRPr="00694553">
        <w:rPr>
          <w:rFonts w:cstheme="minorHAnsi"/>
        </w:rPr>
        <w:t xml:space="preserve"> these views and pursuant to s 52E(1)(a) of the Act, I have reconsidered the relative risks of overdosing with 25 g compared to 16 g of paracetamol (equivalent to 50 versus 32 tablets or capsules of 500 mg paracetamol). In particular, I note </w:t>
      </w:r>
      <w:r>
        <w:rPr>
          <w:rFonts w:cstheme="minorHAnsi"/>
        </w:rPr>
        <w:t>that the Therapeutic Guidelines</w:t>
      </w:r>
      <w:r>
        <w:rPr>
          <w:rStyle w:val="FootnoteReference"/>
          <w:rFonts w:cstheme="minorHAnsi"/>
        </w:rPr>
        <w:footnoteReference w:id="2"/>
      </w:r>
      <w:r>
        <w:rPr>
          <w:rFonts w:cstheme="minorHAnsi"/>
        </w:rPr>
        <w:t xml:space="preserve"> </w:t>
      </w:r>
      <w:r w:rsidRPr="00694553">
        <w:rPr>
          <w:rFonts w:cstheme="minorHAnsi"/>
        </w:rPr>
        <w:t xml:space="preserve">and </w:t>
      </w:r>
      <w:r>
        <w:rPr>
          <w:rFonts w:cstheme="minorHAnsi"/>
        </w:rPr>
        <w:t xml:space="preserve">the Report state that ingestion of </w:t>
      </w:r>
      <w:r w:rsidRPr="00694553">
        <w:rPr>
          <w:rFonts w:cstheme="minorHAnsi"/>
        </w:rPr>
        <w:t xml:space="preserve">30 g of </w:t>
      </w:r>
      <w:r>
        <w:rPr>
          <w:rFonts w:cstheme="minorHAnsi"/>
        </w:rPr>
        <w:t xml:space="preserve">immediate-release </w:t>
      </w:r>
      <w:r w:rsidRPr="00694553">
        <w:rPr>
          <w:rFonts w:cstheme="minorHAnsi"/>
        </w:rPr>
        <w:t xml:space="preserve">paracetamol </w:t>
      </w:r>
      <w:r>
        <w:rPr>
          <w:rFonts w:cstheme="minorHAnsi"/>
        </w:rPr>
        <w:t>is</w:t>
      </w:r>
      <w:r w:rsidRPr="00694553">
        <w:rPr>
          <w:rFonts w:cstheme="minorHAnsi"/>
        </w:rPr>
        <w:t xml:space="preserve"> the threshold of increasing risk of acute liver injury even when current antidote therapy starts within 8 hours of ingestion</w:t>
      </w:r>
      <w:r>
        <w:rPr>
          <w:rFonts w:cstheme="minorHAnsi"/>
        </w:rPr>
        <w:t>, with treatments for overdoses &lt;30 g being effective particularly if patients present earlier than 8 hours</w:t>
      </w:r>
      <w:r w:rsidRPr="00694553">
        <w:rPr>
          <w:rFonts w:cstheme="minorHAnsi"/>
        </w:rPr>
        <w:t>.</w:t>
      </w:r>
      <w:bookmarkStart w:id="34" w:name="_Ref133241081"/>
      <w:r w:rsidRPr="00CD5135">
        <w:rPr>
          <w:rStyle w:val="FootnoteReference"/>
          <w:rFonts w:cstheme="minorHAnsi"/>
        </w:rPr>
        <w:footnoteReference w:id="3"/>
      </w:r>
      <w:bookmarkEnd w:id="34"/>
      <w:r>
        <w:rPr>
          <w:rFonts w:cstheme="minorHAnsi"/>
          <w:vertAlign w:val="superscript"/>
        </w:rPr>
        <w:t>,</w:t>
      </w:r>
      <w:r>
        <w:rPr>
          <w:rStyle w:val="FootnoteReference"/>
          <w:rFonts w:cstheme="minorHAnsi"/>
        </w:rPr>
        <w:footnoteReference w:id="4"/>
      </w:r>
      <w:r w:rsidRPr="00694553">
        <w:rPr>
          <w:rFonts w:cstheme="minorHAnsi"/>
        </w:rPr>
        <w:t xml:space="preserve"> I find this distinction particularly important considering most of those that overdose on paracetamol present within 8 hours.</w:t>
      </w:r>
      <w:r w:rsidRPr="00694553">
        <w:rPr>
          <w:rStyle w:val="FootnoteReference"/>
          <w:rFonts w:cstheme="minorHAnsi"/>
        </w:rPr>
        <w:footnoteReference w:id="5"/>
      </w:r>
    </w:p>
    <w:p w14:paraId="5194D8B1" w14:textId="77777777" w:rsidR="00101351" w:rsidRDefault="00101351" w:rsidP="00101351">
      <w:pPr>
        <w:rPr>
          <w:rFonts w:cstheme="minorHAnsi"/>
        </w:rPr>
      </w:pPr>
      <w:r w:rsidRPr="00694553">
        <w:rPr>
          <w:rFonts w:cstheme="minorHAnsi"/>
        </w:rPr>
        <w:t>Moreover, I have considered, pursuant to s 52E(1)(b) of the Act, the need highlighted by the Australian Commission on Safety and Quality in Health Care to align with the National Medicines Policy of fair, timely, safe and reliable access to medicines.</w:t>
      </w:r>
    </w:p>
    <w:p w14:paraId="5649ECE5" w14:textId="77777777" w:rsidR="00101351" w:rsidRDefault="00101351" w:rsidP="00101351">
      <w:pPr>
        <w:rPr>
          <w:rFonts w:cstheme="minorHAnsi"/>
        </w:rPr>
      </w:pPr>
      <w:r w:rsidRPr="00694553">
        <w:rPr>
          <w:rFonts w:cstheme="minorHAnsi"/>
        </w:rPr>
        <w:t xml:space="preserve">I acknowledge the concerns raised by the RACGP, but for the reasons outlined in the interim decision and </w:t>
      </w:r>
      <w:proofErr w:type="gramStart"/>
      <w:r w:rsidRPr="00694553">
        <w:rPr>
          <w:rFonts w:cstheme="minorHAnsi"/>
        </w:rPr>
        <w:t>in light of</w:t>
      </w:r>
      <w:proofErr w:type="gramEnd"/>
      <w:r w:rsidRPr="00694553">
        <w:rPr>
          <w:rFonts w:cstheme="minorHAnsi"/>
        </w:rPr>
        <w:t xml:space="preserve"> further information, I am not swayed that maximum Pharmacy Only pack sizes of less than 32 tablets or capsules would fairly consider the many Australians that safely use paracetamol. </w:t>
      </w:r>
    </w:p>
    <w:p w14:paraId="6D11EAED" w14:textId="77777777" w:rsidR="00101351" w:rsidRPr="00694553" w:rsidRDefault="00101351" w:rsidP="00101351">
      <w:pPr>
        <w:rPr>
          <w:rFonts w:cstheme="minorHAnsi"/>
        </w:rPr>
      </w:pPr>
      <w:r w:rsidRPr="00694553">
        <w:rPr>
          <w:rFonts w:cstheme="minorHAnsi"/>
        </w:rPr>
        <w:t>For the purposes of s 52E(1)(f) of the Act, I have also taken into account that over 94% of community pharmacies in Australia are QCPP accredited, requiring all staff who supply Pharmacy Only (Schedule 2) medicine to be trained via a recognised and accredited course.</w:t>
      </w:r>
      <w:r w:rsidRPr="00694553">
        <w:rPr>
          <w:rStyle w:val="FootnoteReference"/>
          <w:rFonts w:cstheme="minorHAnsi"/>
        </w:rPr>
        <w:footnoteReference w:id="6"/>
      </w:r>
      <w:r w:rsidRPr="00694553">
        <w:rPr>
          <w:rFonts w:cstheme="minorHAnsi"/>
        </w:rPr>
        <w:t xml:space="preserve"> Due to this widespread training, and with the option to refer to a pharmacist, I am satisfied these safeguards will allow for pack sizes of 50 to be appropriately managed as </w:t>
      </w:r>
      <w:r>
        <w:rPr>
          <w:rFonts w:cstheme="minorHAnsi"/>
        </w:rPr>
        <w:t>P</w:t>
      </w:r>
      <w:r w:rsidRPr="00694553">
        <w:rPr>
          <w:rFonts w:cstheme="minorHAnsi"/>
        </w:rPr>
        <w:t xml:space="preserve">harmacy </w:t>
      </w:r>
      <w:r>
        <w:rPr>
          <w:rFonts w:cstheme="minorHAnsi"/>
        </w:rPr>
        <w:t>O</w:t>
      </w:r>
      <w:r w:rsidRPr="00694553">
        <w:rPr>
          <w:rFonts w:cstheme="minorHAnsi"/>
        </w:rPr>
        <w:t xml:space="preserve">nly (Schedule 2) medicine. </w:t>
      </w:r>
    </w:p>
    <w:p w14:paraId="636E68DA" w14:textId="77777777" w:rsidR="00101351" w:rsidRPr="00694553" w:rsidRDefault="00101351" w:rsidP="00101351">
      <w:pPr>
        <w:rPr>
          <w:rFonts w:cstheme="minorHAnsi"/>
        </w:rPr>
      </w:pPr>
      <w:proofErr w:type="gramStart"/>
      <w:r w:rsidRPr="00694553">
        <w:rPr>
          <w:rFonts w:cstheme="minorHAnsi"/>
        </w:rPr>
        <w:t xml:space="preserve">On </w:t>
      </w:r>
      <w:r>
        <w:rPr>
          <w:rFonts w:cstheme="minorHAnsi"/>
        </w:rPr>
        <w:t>the basis of</w:t>
      </w:r>
      <w:proofErr w:type="gramEnd"/>
      <w:r>
        <w:rPr>
          <w:rFonts w:cstheme="minorHAnsi"/>
        </w:rPr>
        <w:t xml:space="preserve"> the above</w:t>
      </w:r>
      <w:r w:rsidRPr="00694553">
        <w:rPr>
          <w:rFonts w:cstheme="minorHAnsi"/>
        </w:rPr>
        <w:t xml:space="preserve">, I have formed the view that </w:t>
      </w:r>
      <w:r>
        <w:rPr>
          <w:rFonts w:cstheme="minorHAnsi"/>
        </w:rPr>
        <w:t xml:space="preserve">limiting pack sizes of Pharmacy Only (Schedule 2) immediate release paracetamol to </w:t>
      </w:r>
      <w:r w:rsidRPr="00694553">
        <w:rPr>
          <w:rFonts w:cstheme="minorHAnsi"/>
        </w:rPr>
        <w:t xml:space="preserve">50 </w:t>
      </w:r>
      <w:r>
        <w:rPr>
          <w:rFonts w:cstheme="minorHAnsi"/>
        </w:rPr>
        <w:t xml:space="preserve">units of 500 mg tablets and capsules, </w:t>
      </w:r>
      <w:r>
        <w:rPr>
          <w:rFonts w:cstheme="minorHAnsi"/>
        </w:rPr>
        <w:lastRenderedPageBreak/>
        <w:t xml:space="preserve">equivalent to 25 g total paracetamol, </w:t>
      </w:r>
      <w:r w:rsidRPr="00694553">
        <w:rPr>
          <w:rFonts w:cstheme="minorHAnsi"/>
        </w:rPr>
        <w:t xml:space="preserve">will achieve the fine balance between the risks and benefits </w:t>
      </w:r>
      <w:r>
        <w:rPr>
          <w:rFonts w:cstheme="minorHAnsi"/>
        </w:rPr>
        <w:t xml:space="preserve">that I sought in making </w:t>
      </w:r>
      <w:r w:rsidRPr="00694553">
        <w:rPr>
          <w:rFonts w:cstheme="minorHAnsi"/>
        </w:rPr>
        <w:t xml:space="preserve">my interim decision. </w:t>
      </w:r>
    </w:p>
    <w:p w14:paraId="1DB95C9F" w14:textId="77777777" w:rsidR="00101351" w:rsidRPr="00694553" w:rsidRDefault="00101351" w:rsidP="00101351">
      <w:pPr>
        <w:rPr>
          <w:lang w:eastAsia="en-AU"/>
        </w:rPr>
      </w:pPr>
      <w:r w:rsidRPr="00694553">
        <w:rPr>
          <w:rFonts w:cstheme="minorHAnsi"/>
        </w:rPr>
        <w:t xml:space="preserve">Consistent with my concerns in the interim decision, I am reassured that my final decision will continue to support access to those in rural and remote areas and will alleviate the major impacts on industry that were raised again by Consumer Healthcare Products (CHP) Australia. </w:t>
      </w:r>
    </w:p>
    <w:p w14:paraId="6B23090A" w14:textId="77777777" w:rsidR="00101351" w:rsidRPr="00694553" w:rsidRDefault="00101351" w:rsidP="00101351">
      <w:pPr>
        <w:rPr>
          <w:rFonts w:cstheme="minorHAnsi"/>
        </w:rPr>
      </w:pPr>
      <w:r w:rsidRPr="00694553">
        <w:rPr>
          <w:rFonts w:cstheme="minorHAnsi"/>
        </w:rPr>
        <w:t xml:space="preserve">In contrast, </w:t>
      </w:r>
      <w:r>
        <w:rPr>
          <w:rFonts w:cstheme="minorHAnsi"/>
        </w:rPr>
        <w:t>c</w:t>
      </w:r>
      <w:r w:rsidRPr="00694553">
        <w:rPr>
          <w:rFonts w:cstheme="minorHAnsi"/>
        </w:rPr>
        <w:t xml:space="preserve">onsistent with my interim decision and with a high level of support from submissions, I am assured that reducing pack sizes to 16 in a general retail setting is appropriate and necessary to protect the public. </w:t>
      </w:r>
    </w:p>
    <w:p w14:paraId="3A1EB733" w14:textId="5A69890E" w:rsidR="00101351" w:rsidRPr="00D868C1" w:rsidRDefault="00101351" w:rsidP="00101351">
      <w:pPr>
        <w:rPr>
          <w:rFonts w:cstheme="minorHAnsi"/>
          <w:b/>
          <w:bCs/>
          <w:i/>
          <w:iCs/>
        </w:rPr>
      </w:pPr>
      <w:r w:rsidRPr="00694553">
        <w:rPr>
          <w:rFonts w:cstheme="minorHAnsi"/>
          <w:b/>
          <w:bCs/>
          <w:i/>
          <w:iCs/>
        </w:rPr>
        <w:t>Combination tablets or capsules</w:t>
      </w:r>
      <w:r w:rsidR="00D868C1">
        <w:rPr>
          <w:rFonts w:cstheme="minorHAnsi"/>
          <w:b/>
          <w:bCs/>
          <w:i/>
          <w:iCs/>
        </w:rPr>
        <w:t xml:space="preserve">. </w:t>
      </w:r>
      <w:r w:rsidRPr="00694553">
        <w:rPr>
          <w:rFonts w:cstheme="minorHAnsi"/>
        </w:rPr>
        <w:t>Consumer Healthcare Products (CHP) Australia and several pharmaceutical companies advocated against changes to maximum pack sizes of cough and cold products containing paracetamol along with other active ingredients.</w:t>
      </w:r>
      <w:r>
        <w:rPr>
          <w:rFonts w:cstheme="minorHAnsi"/>
        </w:rPr>
        <w:t xml:space="preserve"> These products are currently available on general sale</w:t>
      </w:r>
      <w:r>
        <w:rPr>
          <w:rStyle w:val="FootnoteReference"/>
          <w:rFonts w:cstheme="minorHAnsi"/>
        </w:rPr>
        <w:footnoteReference w:id="7"/>
      </w:r>
      <w:r>
        <w:rPr>
          <w:rFonts w:cstheme="minorHAnsi"/>
        </w:rPr>
        <w:t xml:space="preserve"> or as Pharmacy Only (Schedule 2) preparations.</w:t>
      </w:r>
      <w:r w:rsidRPr="00694553">
        <w:rPr>
          <w:rFonts w:cstheme="minorHAnsi"/>
        </w:rPr>
        <w:t xml:space="preserve"> They argued that these products are unlikely to be used in </w:t>
      </w:r>
      <w:r>
        <w:rPr>
          <w:rFonts w:cstheme="minorHAnsi"/>
        </w:rPr>
        <w:t>intentional</w:t>
      </w:r>
      <w:r w:rsidRPr="00694553">
        <w:rPr>
          <w:rFonts w:cstheme="minorHAnsi"/>
        </w:rPr>
        <w:t xml:space="preserve"> paracetamol overdose due to their comparatively higher cost, </w:t>
      </w:r>
      <w:r>
        <w:rPr>
          <w:rFonts w:cstheme="minorHAnsi"/>
        </w:rPr>
        <w:t>unique patterns of purchase and use by consumers</w:t>
      </w:r>
      <w:r w:rsidRPr="00694553">
        <w:rPr>
          <w:rFonts w:cstheme="minorHAnsi"/>
        </w:rPr>
        <w:t xml:space="preserve"> and a paucity of data of their use in intentional paracetamol overdose. </w:t>
      </w:r>
    </w:p>
    <w:p w14:paraId="4766EF07" w14:textId="77777777" w:rsidR="00101351" w:rsidRPr="00694553" w:rsidRDefault="00101351" w:rsidP="00101351">
      <w:pPr>
        <w:rPr>
          <w:rFonts w:cstheme="minorHAnsi"/>
        </w:rPr>
      </w:pPr>
      <w:r w:rsidRPr="00694553">
        <w:rPr>
          <w:rFonts w:cstheme="minorHAnsi"/>
        </w:rPr>
        <w:t xml:space="preserve">However, </w:t>
      </w:r>
      <w:r>
        <w:rPr>
          <w:rFonts w:cstheme="minorHAnsi"/>
        </w:rPr>
        <w:t>I note that the Report’s data on intentional paracetamol combination product overdose exposures included some cough and cold preparations.</w:t>
      </w:r>
      <w:r>
        <w:rPr>
          <w:rStyle w:val="FootnoteReference"/>
          <w:rFonts w:cstheme="minorHAnsi"/>
        </w:rPr>
        <w:footnoteReference w:id="8"/>
      </w:r>
      <w:r>
        <w:rPr>
          <w:rFonts w:cstheme="minorHAnsi"/>
        </w:rPr>
        <w:t xml:space="preserve"> Given these data, in April 2023</w:t>
      </w:r>
      <w:r w:rsidRPr="00694553">
        <w:rPr>
          <w:rFonts w:cstheme="minorHAnsi"/>
        </w:rPr>
        <w:t xml:space="preserve"> </w:t>
      </w:r>
      <w:r>
        <w:rPr>
          <w:rFonts w:cstheme="minorHAnsi"/>
        </w:rPr>
        <w:t xml:space="preserve">I obtained further information from </w:t>
      </w:r>
      <w:r w:rsidRPr="00694553">
        <w:rPr>
          <w:rFonts w:cstheme="minorHAnsi"/>
        </w:rPr>
        <w:t>the New South Wales Poisons Information Centre (NSW PIC)</w:t>
      </w:r>
      <w:r>
        <w:rPr>
          <w:rFonts w:cstheme="minorHAnsi"/>
        </w:rPr>
        <w:t>.</w:t>
      </w:r>
      <w:bookmarkStart w:id="35" w:name="_Ref133477318"/>
      <w:r>
        <w:rPr>
          <w:rStyle w:val="FootnoteReference"/>
          <w:rFonts w:cstheme="minorHAnsi"/>
        </w:rPr>
        <w:footnoteReference w:id="9"/>
      </w:r>
      <w:bookmarkEnd w:id="35"/>
      <w:r>
        <w:rPr>
          <w:rFonts w:cstheme="minorHAnsi"/>
        </w:rPr>
        <w:t xml:space="preserve"> They advised that the proportion of intentional exposure events they recorded as being specifically attributed to paracetamol-containing </w:t>
      </w:r>
      <w:r w:rsidRPr="00694553">
        <w:rPr>
          <w:rFonts w:cstheme="minorHAnsi"/>
        </w:rPr>
        <w:t xml:space="preserve">cough and cold products </w:t>
      </w:r>
      <w:r>
        <w:rPr>
          <w:rFonts w:cstheme="minorHAnsi"/>
        </w:rPr>
        <w:t xml:space="preserve">in the year </w:t>
      </w:r>
      <w:r w:rsidRPr="00694553">
        <w:rPr>
          <w:rFonts w:cstheme="minorHAnsi"/>
        </w:rPr>
        <w:t>2022</w:t>
      </w:r>
      <w:r>
        <w:rPr>
          <w:rFonts w:cstheme="minorHAnsi"/>
        </w:rPr>
        <w:t xml:space="preserve"> was</w:t>
      </w:r>
      <w:r w:rsidRPr="00694553">
        <w:rPr>
          <w:rFonts w:cstheme="minorHAnsi"/>
        </w:rPr>
        <w:t xml:space="preserve"> 6.5%</w:t>
      </w:r>
      <w:r>
        <w:rPr>
          <w:rFonts w:cstheme="minorHAnsi"/>
        </w:rPr>
        <w:t xml:space="preserve"> of intentional exposure events</w:t>
      </w:r>
      <w:r w:rsidRPr="00694553">
        <w:rPr>
          <w:rFonts w:cstheme="minorHAnsi"/>
        </w:rPr>
        <w:t>.</w:t>
      </w:r>
      <w:bookmarkStart w:id="36" w:name="_Ref133240056"/>
      <w:r>
        <w:rPr>
          <w:rFonts w:cstheme="minorHAnsi"/>
        </w:rPr>
        <w:t xml:space="preserve"> In this light, I am concerned that these products, like single ingredient paracetamol products, pose a risk from intentional overdose. </w:t>
      </w:r>
      <w:bookmarkEnd w:id="36"/>
    </w:p>
    <w:p w14:paraId="52ECAEAB" w14:textId="77777777" w:rsidR="00101351" w:rsidRPr="00694553" w:rsidRDefault="00101351" w:rsidP="00101351">
      <w:pPr>
        <w:rPr>
          <w:rFonts w:cstheme="minorHAnsi"/>
        </w:rPr>
      </w:pPr>
      <w:r w:rsidRPr="00694553">
        <w:rPr>
          <w:rFonts w:cstheme="minorHAnsi"/>
        </w:rPr>
        <w:t xml:space="preserve">In addition, I have considered that changes to </w:t>
      </w:r>
      <w:r>
        <w:rPr>
          <w:rFonts w:cstheme="minorHAnsi"/>
        </w:rPr>
        <w:t xml:space="preserve">maximum paracetamol </w:t>
      </w:r>
      <w:r w:rsidRPr="00694553">
        <w:rPr>
          <w:rFonts w:cstheme="minorHAnsi"/>
        </w:rPr>
        <w:t>pack sizes that were introduced in the United Kingdom (UK) that effectively reduced the rates of overdose</w:t>
      </w:r>
      <w:r>
        <w:rPr>
          <w:rFonts w:cstheme="minorHAnsi"/>
        </w:rPr>
        <w:t>. C</w:t>
      </w:r>
      <w:r w:rsidRPr="00694553">
        <w:rPr>
          <w:rFonts w:cstheme="minorHAnsi"/>
        </w:rPr>
        <w:t xml:space="preserve">ough and cold products </w:t>
      </w:r>
      <w:r>
        <w:rPr>
          <w:rFonts w:cstheme="minorHAnsi"/>
        </w:rPr>
        <w:t xml:space="preserve">containing paracetamol and </w:t>
      </w:r>
      <w:r w:rsidRPr="00694553">
        <w:rPr>
          <w:rFonts w:cstheme="minorHAnsi"/>
        </w:rPr>
        <w:t>in the form of tablets or capsules</w:t>
      </w:r>
      <w:r>
        <w:rPr>
          <w:rFonts w:cstheme="minorHAnsi"/>
        </w:rPr>
        <w:t xml:space="preserve"> were not exempted from these changes</w:t>
      </w:r>
      <w:r w:rsidRPr="00694553">
        <w:rPr>
          <w:rFonts w:cstheme="minorHAnsi"/>
        </w:rPr>
        <w:t>.</w:t>
      </w:r>
      <w:bookmarkStart w:id="37" w:name="_Ref133240024"/>
      <w:r w:rsidRPr="00694553">
        <w:rPr>
          <w:rStyle w:val="FootnoteReference"/>
          <w:rFonts w:cstheme="minorHAnsi"/>
        </w:rPr>
        <w:footnoteReference w:id="10"/>
      </w:r>
      <w:bookmarkEnd w:id="37"/>
      <w:r w:rsidRPr="00694553">
        <w:rPr>
          <w:rFonts w:cstheme="minorHAnsi"/>
        </w:rPr>
        <w:t xml:space="preserve"> </w:t>
      </w:r>
      <w:r>
        <w:rPr>
          <w:rFonts w:cstheme="minorHAnsi"/>
        </w:rPr>
        <w:t xml:space="preserve">I am therefore disinclined to treat these differently </w:t>
      </w:r>
      <w:proofErr w:type="gramStart"/>
      <w:r>
        <w:rPr>
          <w:rFonts w:cstheme="minorHAnsi"/>
        </w:rPr>
        <w:t>in regard to</w:t>
      </w:r>
      <w:proofErr w:type="gramEnd"/>
      <w:r>
        <w:rPr>
          <w:rFonts w:cstheme="minorHAnsi"/>
        </w:rPr>
        <w:t xml:space="preserve"> maximum pack sizes.</w:t>
      </w:r>
    </w:p>
    <w:p w14:paraId="5CF5A8C4" w14:textId="77777777" w:rsidR="00101351" w:rsidRPr="00694553" w:rsidRDefault="00101351" w:rsidP="00101351">
      <w:pPr>
        <w:rPr>
          <w:rFonts w:cstheme="minorHAnsi"/>
        </w:rPr>
      </w:pPr>
      <w:r w:rsidRPr="00694553">
        <w:rPr>
          <w:rFonts w:cstheme="minorHAnsi"/>
        </w:rPr>
        <w:t xml:space="preserve">While I have considered the rationale provided by industry in accordance with </w:t>
      </w:r>
      <w:r>
        <w:rPr>
          <w:rFonts w:cstheme="minorHAnsi"/>
        </w:rPr>
        <w:t xml:space="preserve">s </w:t>
      </w:r>
      <w:r w:rsidRPr="00694553">
        <w:rPr>
          <w:rFonts w:cstheme="minorHAnsi"/>
        </w:rPr>
        <w:t>52E(1)(a)</w:t>
      </w:r>
      <w:r>
        <w:rPr>
          <w:rFonts w:cstheme="minorHAnsi"/>
        </w:rPr>
        <w:t xml:space="preserve"> and </w:t>
      </w:r>
      <w:r w:rsidRPr="00694553">
        <w:rPr>
          <w:rFonts w:cstheme="minorHAnsi"/>
        </w:rPr>
        <w:t xml:space="preserve">(d) of the Act, </w:t>
      </w:r>
      <w:r>
        <w:rPr>
          <w:rFonts w:cstheme="minorHAnsi"/>
        </w:rPr>
        <w:t xml:space="preserve">I therefore </w:t>
      </w:r>
      <w:r w:rsidRPr="00694553">
        <w:rPr>
          <w:rFonts w:cstheme="minorHAnsi"/>
        </w:rPr>
        <w:t>remain satisfied that the maximum pack sizes of these paracetamol-containing co</w:t>
      </w:r>
      <w:r>
        <w:rPr>
          <w:rFonts w:cstheme="minorHAnsi"/>
        </w:rPr>
        <w:t>ugh</w:t>
      </w:r>
      <w:r w:rsidRPr="00694553">
        <w:rPr>
          <w:rFonts w:cstheme="minorHAnsi"/>
        </w:rPr>
        <w:t xml:space="preserve"> and </w:t>
      </w:r>
      <w:r>
        <w:rPr>
          <w:rFonts w:cstheme="minorHAnsi"/>
        </w:rPr>
        <w:t>cold</w:t>
      </w:r>
      <w:r w:rsidRPr="00694553">
        <w:rPr>
          <w:rFonts w:cstheme="minorHAnsi"/>
        </w:rPr>
        <w:t xml:space="preserve"> products should be reduced to 16 in general retail and 50 as Pharmacy Only (Schedule 2) medicine.</w:t>
      </w:r>
      <w:r>
        <w:rPr>
          <w:rFonts w:cstheme="minorHAnsi"/>
        </w:rPr>
        <w:t xml:space="preserve"> That is, they should not be treated differently in relation to maximum pack sizes from single active ingredient paracetamol products.</w:t>
      </w:r>
    </w:p>
    <w:p w14:paraId="57584E74" w14:textId="54853CDB" w:rsidR="00101351" w:rsidRPr="00D868C1" w:rsidRDefault="00101351" w:rsidP="00101351">
      <w:pPr>
        <w:rPr>
          <w:rFonts w:cstheme="minorHAnsi"/>
          <w:b/>
          <w:bCs/>
          <w:i/>
          <w:iCs/>
        </w:rPr>
      </w:pPr>
      <w:r w:rsidRPr="00694553">
        <w:rPr>
          <w:rFonts w:cstheme="minorHAnsi"/>
          <w:b/>
          <w:bCs/>
          <w:i/>
          <w:iCs/>
        </w:rPr>
        <w:t>Powders or sachets of granules</w:t>
      </w:r>
      <w:r w:rsidR="00D868C1">
        <w:rPr>
          <w:rFonts w:cstheme="minorHAnsi"/>
          <w:b/>
          <w:bCs/>
          <w:i/>
          <w:iCs/>
        </w:rPr>
        <w:t xml:space="preserve">. </w:t>
      </w:r>
      <w:r w:rsidRPr="00694553">
        <w:rPr>
          <w:rFonts w:cstheme="minorHAnsi"/>
        </w:rPr>
        <w:t>Several submissions presented the view that, in contrast to the interim decision, no changes should be made to the scheduling of powders or sachets of granules for similar reasons to those presented for cough and cold products in tablets or capsules. It was argued in submissions that the way in which these formulations are prepared and consumed, and the presentation of the goods, impede or discourage their use in intentional paracetamol overdose. This led me to reassess, pursuant to s 52E(1)(a)</w:t>
      </w:r>
      <w:r>
        <w:rPr>
          <w:rFonts w:cstheme="minorHAnsi"/>
        </w:rPr>
        <w:t xml:space="preserve"> and </w:t>
      </w:r>
      <w:r w:rsidRPr="00694553">
        <w:rPr>
          <w:rFonts w:cstheme="minorHAnsi"/>
        </w:rPr>
        <w:t xml:space="preserve">(d) of the Act, the scheduling of powders or granules in sachets, considering their distinct presentation and formulation. </w:t>
      </w:r>
    </w:p>
    <w:p w14:paraId="71C69D84" w14:textId="77777777" w:rsidR="00101351" w:rsidRDefault="00101351" w:rsidP="00101351">
      <w:pPr>
        <w:rPr>
          <w:rFonts w:cstheme="minorHAnsi"/>
        </w:rPr>
      </w:pPr>
      <w:r>
        <w:rPr>
          <w:rFonts w:cstheme="minorHAnsi"/>
        </w:rPr>
        <w:t xml:space="preserve">In brief, the benefits of tightening the maximum size of packs of these products outweigh the risks for Pharmacy Only products but not general sale products, as follows. </w:t>
      </w:r>
    </w:p>
    <w:p w14:paraId="6B95C7F0" w14:textId="77777777" w:rsidR="00101351" w:rsidRDefault="00101351" w:rsidP="00101351">
      <w:pPr>
        <w:rPr>
          <w:rFonts w:cstheme="minorHAnsi"/>
        </w:rPr>
      </w:pPr>
      <w:r w:rsidRPr="00694553">
        <w:rPr>
          <w:rFonts w:cstheme="minorHAnsi"/>
        </w:rPr>
        <w:lastRenderedPageBreak/>
        <w:t xml:space="preserve">I recognise that the UK excluded these preparations from the tightening of restrictions on maximum pack sizes of paracetamol in general retail </w:t>
      </w:r>
      <w:r w:rsidRPr="004C2D42">
        <w:rPr>
          <w:rFonts w:cstheme="minorHAnsi"/>
        </w:rPr>
        <w:t>in 1998.</w:t>
      </w:r>
      <w:r w:rsidRPr="004C2D42">
        <w:rPr>
          <w:rFonts w:cstheme="minorHAnsi"/>
        </w:rPr>
        <w:fldChar w:fldCharType="begin"/>
      </w:r>
      <w:r w:rsidRPr="004C2D42">
        <w:rPr>
          <w:rFonts w:cstheme="minorHAnsi"/>
        </w:rPr>
        <w:instrText xml:space="preserve"> NOTEREF _Ref133240024 \f \h  \* MERGEFORMAT </w:instrText>
      </w:r>
      <w:r w:rsidRPr="004C2D42">
        <w:rPr>
          <w:rFonts w:cstheme="minorHAnsi"/>
        </w:rPr>
      </w:r>
      <w:r w:rsidRPr="004C2D42">
        <w:rPr>
          <w:rFonts w:cstheme="minorHAnsi"/>
        </w:rPr>
        <w:fldChar w:fldCharType="separate"/>
      </w:r>
      <w:r w:rsidRPr="004C2D42">
        <w:rPr>
          <w:rStyle w:val="FootnoteReference"/>
        </w:rPr>
        <w:t>6</w:t>
      </w:r>
      <w:r w:rsidRPr="004C2D42">
        <w:rPr>
          <w:rFonts w:cstheme="minorHAnsi"/>
        </w:rPr>
        <w:fldChar w:fldCharType="end"/>
      </w:r>
      <w:r w:rsidRPr="00694553">
        <w:rPr>
          <w:rFonts w:cstheme="minorHAnsi"/>
        </w:rPr>
        <w:t xml:space="preserve"> Moreover, NSW PIC</w:t>
      </w:r>
      <w:r>
        <w:rPr>
          <w:rFonts w:cstheme="minorHAnsi"/>
        </w:rPr>
        <w:t xml:space="preserve"> has advised me that these products </w:t>
      </w:r>
      <w:r w:rsidRPr="00694553">
        <w:rPr>
          <w:rFonts w:cstheme="minorHAnsi"/>
        </w:rPr>
        <w:t xml:space="preserve">are rarely </w:t>
      </w:r>
      <w:r>
        <w:rPr>
          <w:rFonts w:cstheme="minorHAnsi"/>
        </w:rPr>
        <w:t>recorded as being involved</w:t>
      </w:r>
      <w:r w:rsidRPr="00694553">
        <w:rPr>
          <w:rFonts w:cstheme="minorHAnsi"/>
        </w:rPr>
        <w:t xml:space="preserve"> in overdose.</w:t>
      </w:r>
      <w:r>
        <w:rPr>
          <w:rFonts w:cstheme="minorHAnsi"/>
        </w:rPr>
        <w:fldChar w:fldCharType="begin"/>
      </w:r>
      <w:r>
        <w:rPr>
          <w:rFonts w:cstheme="minorHAnsi"/>
        </w:rPr>
        <w:instrText xml:space="preserve"> NOTEREF _Ref133477318 \f \h </w:instrText>
      </w:r>
      <w:r>
        <w:rPr>
          <w:rFonts w:cstheme="minorHAnsi"/>
        </w:rPr>
      </w:r>
      <w:r>
        <w:rPr>
          <w:rFonts w:cstheme="minorHAnsi"/>
        </w:rPr>
        <w:fldChar w:fldCharType="separate"/>
      </w:r>
      <w:r w:rsidRPr="004C2D42">
        <w:rPr>
          <w:rStyle w:val="FootnoteReference"/>
        </w:rPr>
        <w:t>9</w:t>
      </w:r>
      <w:r>
        <w:rPr>
          <w:rFonts w:cstheme="minorHAnsi"/>
        </w:rPr>
        <w:fldChar w:fldCharType="end"/>
      </w:r>
      <w:r w:rsidRPr="00694553">
        <w:rPr>
          <w:rFonts w:cstheme="minorHAnsi"/>
        </w:rPr>
        <w:t xml:space="preserve"> </w:t>
      </w:r>
      <w:r>
        <w:rPr>
          <w:rFonts w:cstheme="minorHAnsi"/>
        </w:rPr>
        <w:t xml:space="preserve">In this light, my view is that there is likely to be minimal benefit in addressing the incidence of intentional overdose with paracetamol from reducing pack sizes of these formulations, and less so for general sale than Pharmacy Only products. </w:t>
      </w:r>
    </w:p>
    <w:p w14:paraId="6C242D1C" w14:textId="77777777" w:rsidR="00101351" w:rsidRDefault="00101351" w:rsidP="00101351">
      <w:pPr>
        <w:rPr>
          <w:rFonts w:cstheme="minorHAnsi"/>
        </w:rPr>
      </w:pPr>
      <w:r>
        <w:rPr>
          <w:rFonts w:cstheme="minorHAnsi"/>
        </w:rPr>
        <w:t xml:space="preserve">On the other hand, there will be risks associated with reducing pack sizes, namely the potential for reduced access to these products for legitimate therapeutic use. I note these formulations are typically for the relief of temporary cough or cold and for those otherwise used for pain are likely to attract select individuals, such as those with difficulty swallowing tablets, rather than a need for catering for groups of people such as families where larger quantities may be required. </w:t>
      </w:r>
    </w:p>
    <w:p w14:paraId="42E36CCE" w14:textId="77777777" w:rsidR="00101351" w:rsidRDefault="00101351" w:rsidP="00101351">
      <w:pPr>
        <w:rPr>
          <w:rFonts w:cstheme="minorHAnsi"/>
        </w:rPr>
      </w:pPr>
      <w:r>
        <w:rPr>
          <w:rFonts w:cstheme="minorHAnsi"/>
        </w:rPr>
        <w:t xml:space="preserve">The risks in reducing maximum pack sizes of sachet products available as Pharmacy Only (Schedule 2) medicine in line with tablets and capsules (by paracetamol quantity per pack) are outweighed by the benefits for minimising intentional overdose, as </w:t>
      </w:r>
      <w:r w:rsidRPr="00825310">
        <w:rPr>
          <w:rFonts w:cstheme="minorHAnsi"/>
        </w:rPr>
        <w:t>the products containing paracetamol</w:t>
      </w:r>
      <w:r>
        <w:rPr>
          <w:rFonts w:cstheme="minorHAnsi"/>
        </w:rPr>
        <w:t xml:space="preserve"> currently </w:t>
      </w:r>
      <w:r w:rsidRPr="00825310">
        <w:rPr>
          <w:rFonts w:cstheme="minorHAnsi"/>
        </w:rPr>
        <w:t>on the A</w:t>
      </w:r>
      <w:r>
        <w:rPr>
          <w:rFonts w:cstheme="minorHAnsi"/>
        </w:rPr>
        <w:t>ustralian Register of Therapeutic Goods (A</w:t>
      </w:r>
      <w:r w:rsidRPr="00825310">
        <w:rPr>
          <w:rFonts w:cstheme="minorHAnsi"/>
        </w:rPr>
        <w:t>RTG</w:t>
      </w:r>
      <w:r>
        <w:rPr>
          <w:rFonts w:cstheme="minorHAnsi"/>
        </w:rPr>
        <w:t>)</w:t>
      </w:r>
      <w:r w:rsidRPr="00825310">
        <w:rPr>
          <w:rFonts w:cstheme="minorHAnsi"/>
        </w:rPr>
        <w:t xml:space="preserve"> </w:t>
      </w:r>
      <w:r>
        <w:rPr>
          <w:rFonts w:cstheme="minorHAnsi"/>
        </w:rPr>
        <w:t>in this</w:t>
      </w:r>
      <w:r w:rsidRPr="00825310">
        <w:rPr>
          <w:rFonts w:cstheme="minorHAnsi"/>
        </w:rPr>
        <w:t xml:space="preserve"> form all provide a total amount of paracetamol in </w:t>
      </w:r>
      <w:r>
        <w:rPr>
          <w:rFonts w:cstheme="minorHAnsi"/>
        </w:rPr>
        <w:t>a</w:t>
      </w:r>
      <w:r w:rsidRPr="00825310">
        <w:rPr>
          <w:rFonts w:cstheme="minorHAnsi"/>
        </w:rPr>
        <w:t xml:space="preserve"> pack that is less than 25 g (equivalent to 50 tablets or capsules of 500 mg paracetamol)</w:t>
      </w:r>
      <w:r>
        <w:rPr>
          <w:rFonts w:cstheme="minorHAnsi"/>
        </w:rPr>
        <w:t xml:space="preserve">. That is, it appears there are no sachet products that are currently Schedule 2 medicines that would be affected by changing the maximum permissible pack size. </w:t>
      </w:r>
    </w:p>
    <w:p w14:paraId="01F89639" w14:textId="77777777" w:rsidR="001E00F6" w:rsidRDefault="00101351" w:rsidP="00101351">
      <w:pPr>
        <w:rPr>
          <w:rFonts w:cstheme="minorHAnsi"/>
        </w:rPr>
      </w:pPr>
      <w:r>
        <w:rPr>
          <w:rFonts w:cstheme="minorHAnsi"/>
        </w:rPr>
        <w:t>Conversely, there are sachet products currently available on general sale, access to which may be affected by a change in maximum pack size. In this case, the risks from such a change would outweigh the benefits in relation to minimising harm from intentional overdose.</w:t>
      </w:r>
    </w:p>
    <w:p w14:paraId="74CCF7BA" w14:textId="30C7F46C" w:rsidR="00101351" w:rsidRPr="00694553" w:rsidRDefault="00101351" w:rsidP="00101351">
      <w:pPr>
        <w:rPr>
          <w:rFonts w:cstheme="minorHAnsi"/>
        </w:rPr>
      </w:pPr>
      <w:r>
        <w:rPr>
          <w:rFonts w:cstheme="minorHAnsi"/>
        </w:rPr>
        <w:t xml:space="preserve">Having considered s </w:t>
      </w:r>
      <w:r w:rsidRPr="00694553">
        <w:rPr>
          <w:rFonts w:cstheme="minorHAnsi"/>
        </w:rPr>
        <w:t>52</w:t>
      </w:r>
      <w:proofErr w:type="gramStart"/>
      <w:r w:rsidRPr="00694553">
        <w:rPr>
          <w:rFonts w:cstheme="minorHAnsi"/>
        </w:rPr>
        <w:t>E(</w:t>
      </w:r>
      <w:proofErr w:type="gramEnd"/>
      <w:r w:rsidRPr="00694553">
        <w:rPr>
          <w:rFonts w:cstheme="minorHAnsi"/>
        </w:rPr>
        <w:t>1)</w:t>
      </w:r>
      <w:r>
        <w:rPr>
          <w:rFonts w:cstheme="minorHAnsi"/>
        </w:rPr>
        <w:t xml:space="preserve"> paragraphs (a), </w:t>
      </w:r>
      <w:r w:rsidRPr="00694553">
        <w:rPr>
          <w:rFonts w:cstheme="minorHAnsi"/>
        </w:rPr>
        <w:t>(b)</w:t>
      </w:r>
      <w:r>
        <w:rPr>
          <w:rFonts w:cstheme="minorHAnsi"/>
        </w:rPr>
        <w:t xml:space="preserve"> and </w:t>
      </w:r>
      <w:r w:rsidRPr="00694553">
        <w:rPr>
          <w:rFonts w:cstheme="minorHAnsi"/>
        </w:rPr>
        <w:t xml:space="preserve">(d) </w:t>
      </w:r>
      <w:r>
        <w:rPr>
          <w:rFonts w:cstheme="minorHAnsi"/>
        </w:rPr>
        <w:t xml:space="preserve">of the Act, </w:t>
      </w:r>
      <w:r w:rsidRPr="00694553">
        <w:rPr>
          <w:rFonts w:cstheme="minorHAnsi"/>
        </w:rPr>
        <w:t xml:space="preserve">I </w:t>
      </w:r>
      <w:r>
        <w:rPr>
          <w:rFonts w:cstheme="minorHAnsi"/>
        </w:rPr>
        <w:t xml:space="preserve">am </w:t>
      </w:r>
      <w:r w:rsidRPr="00694553">
        <w:rPr>
          <w:rFonts w:cstheme="minorHAnsi"/>
        </w:rPr>
        <w:t>compelled to exclude these products from tightened restrictions on general sale</w:t>
      </w:r>
      <w:r>
        <w:rPr>
          <w:rFonts w:cstheme="minorHAnsi"/>
        </w:rPr>
        <w:t xml:space="preserve"> only, but</w:t>
      </w:r>
      <w:r w:rsidRPr="00694553">
        <w:rPr>
          <w:rFonts w:cstheme="minorHAnsi"/>
        </w:rPr>
        <w:t xml:space="preserve"> I am content with bringing </w:t>
      </w:r>
      <w:r>
        <w:rPr>
          <w:rFonts w:cstheme="minorHAnsi"/>
        </w:rPr>
        <w:t>Pharmacy Only</w:t>
      </w:r>
      <w:r w:rsidRPr="00694553">
        <w:rPr>
          <w:rFonts w:cstheme="minorHAnsi"/>
        </w:rPr>
        <w:t xml:space="preserve"> products in line with the tightening of restrictions of </w:t>
      </w:r>
      <w:r>
        <w:rPr>
          <w:rFonts w:cstheme="minorHAnsi"/>
        </w:rPr>
        <w:t xml:space="preserve">Pharmacy Only </w:t>
      </w:r>
      <w:r w:rsidRPr="00694553">
        <w:rPr>
          <w:rFonts w:cstheme="minorHAnsi"/>
        </w:rPr>
        <w:t xml:space="preserve">paracetamol tablets or capsules </w:t>
      </w:r>
      <w:r>
        <w:rPr>
          <w:rFonts w:cstheme="minorHAnsi"/>
        </w:rPr>
        <w:t xml:space="preserve">as a precautionary means of reducing future harm. </w:t>
      </w:r>
    </w:p>
    <w:p w14:paraId="76488BA2" w14:textId="0EF46D20" w:rsidR="00101351" w:rsidRPr="00694553" w:rsidRDefault="00D868C1" w:rsidP="00101351">
      <w:pPr>
        <w:rPr>
          <w:rFonts w:eastAsia="Times New Roman" w:cstheme="minorHAnsi"/>
          <w:b/>
          <w:bCs/>
          <w:lang w:eastAsia="en-AU"/>
        </w:rPr>
      </w:pPr>
      <w:r>
        <w:rPr>
          <w:rFonts w:eastAsia="Times New Roman" w:cstheme="minorHAnsi"/>
          <w:b/>
          <w:bCs/>
          <w:lang w:eastAsia="en-AU"/>
        </w:rPr>
        <w:t>R</w:t>
      </w:r>
      <w:r w:rsidR="00E83A51">
        <w:rPr>
          <w:rFonts w:eastAsia="Times New Roman" w:cstheme="minorHAnsi"/>
          <w:b/>
          <w:bCs/>
          <w:lang w:eastAsia="en-AU"/>
        </w:rPr>
        <w:t>eview of submissions in relation to b</w:t>
      </w:r>
      <w:r w:rsidR="00101351" w:rsidRPr="00694553">
        <w:rPr>
          <w:rFonts w:eastAsia="Times New Roman" w:cstheme="minorHAnsi"/>
          <w:b/>
          <w:bCs/>
          <w:lang w:eastAsia="en-AU"/>
        </w:rPr>
        <w:t>lister packaging</w:t>
      </w:r>
    </w:p>
    <w:p w14:paraId="5821C9CD" w14:textId="77777777" w:rsidR="00101351" w:rsidRPr="00694553" w:rsidRDefault="00101351" w:rsidP="00101351">
      <w:pPr>
        <w:rPr>
          <w:rFonts w:eastAsia="Times New Roman" w:cstheme="minorHAnsi"/>
          <w:lang w:eastAsia="en-AU"/>
        </w:rPr>
      </w:pPr>
      <w:r w:rsidRPr="00694553">
        <w:rPr>
          <w:rFonts w:eastAsia="Times New Roman" w:cstheme="minorHAnsi"/>
          <w:lang w:eastAsia="en-AU"/>
        </w:rPr>
        <w:t>I affirm that my reasons for implementing this change are those set out in my interim decision with the following additional comments.</w:t>
      </w:r>
    </w:p>
    <w:p w14:paraId="2347925E" w14:textId="77777777" w:rsidR="00101351" w:rsidRPr="00694553" w:rsidRDefault="00101351" w:rsidP="00101351">
      <w:pPr>
        <w:rPr>
          <w:rFonts w:cstheme="minorHAnsi"/>
          <w:b/>
          <w:bCs/>
        </w:rPr>
      </w:pPr>
      <w:r w:rsidRPr="00694553">
        <w:rPr>
          <w:rFonts w:cstheme="minorHAnsi"/>
        </w:rPr>
        <w:t xml:space="preserve">Overall, blister packs were well supported in the submissions on the interim decision. </w:t>
      </w:r>
      <w:r>
        <w:rPr>
          <w:rFonts w:cstheme="minorHAnsi"/>
        </w:rPr>
        <w:t>However, o</w:t>
      </w:r>
      <w:r w:rsidRPr="00694553">
        <w:rPr>
          <w:rFonts w:cstheme="minorHAnsi"/>
        </w:rPr>
        <w:t>ne industry stakeholder expressed concerns about the lack of effectiveness and evidence of blister packaging</w:t>
      </w:r>
      <w:r>
        <w:rPr>
          <w:rFonts w:cstheme="minorHAnsi"/>
        </w:rPr>
        <w:t xml:space="preserve">, and another </w:t>
      </w:r>
      <w:r w:rsidRPr="00694553">
        <w:rPr>
          <w:rFonts w:cstheme="minorHAnsi"/>
        </w:rPr>
        <w:t xml:space="preserve">questioned the advantage of loose fill products for those with hand mobility issues. </w:t>
      </w:r>
    </w:p>
    <w:p w14:paraId="0BC6F246" w14:textId="77777777" w:rsidR="00101351" w:rsidRPr="001E00F6" w:rsidRDefault="00101351" w:rsidP="00101351">
      <w:pPr>
        <w:rPr>
          <w:rStyle w:val="Hyperlink"/>
          <w:rFonts w:cstheme="minorHAnsi"/>
          <w:color w:val="auto"/>
        </w:rPr>
      </w:pPr>
      <w:r w:rsidRPr="00694553">
        <w:rPr>
          <w:rFonts w:cstheme="minorHAnsi"/>
        </w:rPr>
        <w:t>Consistent with the interim decision and in accordance with s 52E(1)(a) and (d) of the Act, I give significant weight in maintaining my position on blister packaging to the implementation of paracetamol blister packs in the United Kingdom (UK), following which there was a 21% reduction in all paracetamol overdoses and a 64% reduction in severe overdoses. This experience in the UK satisfies me that mandating blister packaging where there is no pharmacist supervision over access is an effective way forward</w:t>
      </w:r>
      <w:r w:rsidRPr="001E00F6">
        <w:rPr>
          <w:rFonts w:cstheme="minorHAnsi"/>
        </w:rPr>
        <w:t>.</w:t>
      </w:r>
      <w:r w:rsidRPr="001E00F6">
        <w:rPr>
          <w:rStyle w:val="FootnoteReference"/>
          <w:rFonts w:cstheme="minorHAnsi"/>
        </w:rPr>
        <w:footnoteReference w:id="11"/>
      </w:r>
      <w:r w:rsidRPr="001E00F6">
        <w:rPr>
          <w:rStyle w:val="Hyperlink"/>
          <w:rFonts w:cstheme="minorHAnsi"/>
          <w:color w:val="auto"/>
        </w:rPr>
        <w:t xml:space="preserve"> </w:t>
      </w:r>
    </w:p>
    <w:p w14:paraId="6A491DE6" w14:textId="77777777" w:rsidR="00101351" w:rsidRPr="00694553" w:rsidRDefault="00101351" w:rsidP="00101351">
      <w:pPr>
        <w:rPr>
          <w:rFonts w:cstheme="minorHAnsi"/>
        </w:rPr>
      </w:pPr>
      <w:r w:rsidRPr="00694553">
        <w:rPr>
          <w:rFonts w:cstheme="minorHAnsi"/>
        </w:rPr>
        <w:t xml:space="preserve">However, I also recognise the limited options in product packaging for those with compromised hand mobility, and the challenge for industry to satisfy opposing objectives—supporting accessibility on the one hand and minimising harm from intentional overdose on the other. In the context of these competing forces and considering s 52E(1)(b) and (d) of the Act, I consider </w:t>
      </w:r>
      <w:r w:rsidRPr="00694553">
        <w:rPr>
          <w:rFonts w:cstheme="minorHAnsi"/>
        </w:rPr>
        <w:lastRenderedPageBreak/>
        <w:t xml:space="preserve">that it is appropriate for loose fill paracetamol products to continue to be available without a prescription, but only as Schedule 3 preparations. </w:t>
      </w:r>
    </w:p>
    <w:p w14:paraId="120D02C8" w14:textId="11C1E26E" w:rsidR="00101351" w:rsidRPr="00694553" w:rsidRDefault="00E83A51" w:rsidP="00101351">
      <w:pPr>
        <w:rPr>
          <w:rFonts w:eastAsia="Times New Roman" w:cstheme="minorHAnsi"/>
          <w:b/>
          <w:bCs/>
          <w:lang w:eastAsia="en-AU"/>
        </w:rPr>
      </w:pPr>
      <w:r>
        <w:rPr>
          <w:rFonts w:eastAsia="Times New Roman" w:cstheme="minorHAnsi"/>
          <w:b/>
          <w:bCs/>
          <w:lang w:eastAsia="en-AU"/>
        </w:rPr>
        <w:t>O</w:t>
      </w:r>
      <w:r w:rsidR="00101351" w:rsidRPr="00694553">
        <w:rPr>
          <w:rFonts w:eastAsia="Times New Roman" w:cstheme="minorHAnsi"/>
          <w:b/>
          <w:bCs/>
          <w:lang w:eastAsia="en-AU"/>
        </w:rPr>
        <w:t>ptions not adopted in my interim or final decisions</w:t>
      </w:r>
    </w:p>
    <w:p w14:paraId="183080A9" w14:textId="77777777" w:rsidR="00101351" w:rsidRPr="00694553" w:rsidRDefault="00101351" w:rsidP="00101351">
      <w:pPr>
        <w:rPr>
          <w:rFonts w:eastAsia="Times New Roman" w:cstheme="minorHAnsi"/>
          <w:lang w:eastAsia="en-AU"/>
        </w:rPr>
      </w:pPr>
      <w:bookmarkStart w:id="38" w:name="_Hlk132882867"/>
      <w:r w:rsidRPr="00694553">
        <w:rPr>
          <w:rFonts w:eastAsia="Times New Roman" w:cstheme="minorHAnsi"/>
          <w:lang w:eastAsia="en-AU"/>
        </w:rPr>
        <w:t xml:space="preserve">Submissions on my interim decision also touched on options that I sought comment on in the first round of consultation but did not incorporate into my interim decision, </w:t>
      </w:r>
      <w:bookmarkEnd w:id="38"/>
      <w:r w:rsidRPr="00694553">
        <w:rPr>
          <w:rFonts w:eastAsia="Times New Roman" w:cstheme="minorHAnsi"/>
          <w:lang w:eastAsia="en-AU"/>
        </w:rPr>
        <w:t xml:space="preserve">but few expressed concerns about my decision to exclude them. </w:t>
      </w:r>
    </w:p>
    <w:p w14:paraId="17C48A3F" w14:textId="7D5E7880" w:rsidR="00101351" w:rsidRPr="00694553" w:rsidRDefault="00101351" w:rsidP="00101351">
      <w:pPr>
        <w:rPr>
          <w:rFonts w:eastAsia="Times New Roman" w:cstheme="minorHAnsi"/>
          <w:lang w:eastAsia="en-AU"/>
        </w:rPr>
      </w:pPr>
      <w:r w:rsidRPr="00694553">
        <w:rPr>
          <w:rFonts w:eastAsia="Times New Roman" w:cstheme="minorHAnsi"/>
          <w:lang w:eastAsia="en-AU"/>
        </w:rPr>
        <w:t>However, there were strongly divergent views on my interim decision to not amend the scheduling of MR paracetamol. For this reason, I will further explain why changes to MR paracetamol scheduling</w:t>
      </w:r>
      <w:r>
        <w:rPr>
          <w:rFonts w:eastAsia="Times New Roman" w:cstheme="minorHAnsi"/>
          <w:lang w:eastAsia="en-AU"/>
        </w:rPr>
        <w:t xml:space="preserve"> are still not warranted</w:t>
      </w:r>
      <w:r w:rsidRPr="00694553">
        <w:rPr>
          <w:rFonts w:eastAsia="Times New Roman" w:cstheme="minorHAnsi"/>
          <w:lang w:eastAsia="en-AU"/>
        </w:rPr>
        <w:t xml:space="preserve"> at this time</w:t>
      </w:r>
      <w:r>
        <w:rPr>
          <w:rFonts w:eastAsia="Times New Roman" w:cstheme="minorHAnsi"/>
          <w:lang w:eastAsia="en-AU"/>
        </w:rPr>
        <w:t xml:space="preserve">, </w:t>
      </w:r>
      <w:r w:rsidRPr="00694553">
        <w:rPr>
          <w:rFonts w:eastAsia="Times New Roman" w:cstheme="minorHAnsi"/>
          <w:lang w:eastAsia="en-AU"/>
        </w:rPr>
        <w:t xml:space="preserve">and then briefly </w:t>
      </w:r>
      <w:r>
        <w:rPr>
          <w:rFonts w:eastAsia="Times New Roman" w:cstheme="minorHAnsi"/>
          <w:lang w:eastAsia="en-AU"/>
        </w:rPr>
        <w:t xml:space="preserve">touch on </w:t>
      </w:r>
      <w:r w:rsidRPr="00694553">
        <w:rPr>
          <w:rFonts w:eastAsia="Times New Roman" w:cstheme="minorHAnsi"/>
          <w:lang w:eastAsia="en-AU"/>
        </w:rPr>
        <w:t xml:space="preserve">why I am not incorporating the remaining options into my final decision. </w:t>
      </w:r>
    </w:p>
    <w:p w14:paraId="69F844DD" w14:textId="2C41D205" w:rsidR="00101351" w:rsidRPr="00D868C1" w:rsidRDefault="00101351" w:rsidP="00101351">
      <w:pPr>
        <w:rPr>
          <w:rFonts w:cstheme="minorHAnsi"/>
          <w:b/>
          <w:bCs/>
          <w:i/>
          <w:iCs/>
        </w:rPr>
      </w:pPr>
      <w:r w:rsidRPr="00694553">
        <w:rPr>
          <w:rFonts w:cstheme="minorHAnsi"/>
          <w:b/>
          <w:bCs/>
          <w:i/>
          <w:iCs/>
        </w:rPr>
        <w:t xml:space="preserve">Modified release paracetamol. </w:t>
      </w:r>
      <w:r w:rsidRPr="00694553">
        <w:rPr>
          <w:rFonts w:cstheme="minorHAnsi"/>
        </w:rPr>
        <w:t xml:space="preserve">Pain Australia supported the interim decision not to up-schedule, citing concerns for the 3.4 million Australians with chronic pain, particularly those in rural areas and with lower incomes. However, the AMA and RACGP were not supportive and suggested consultation with GPs and repeat prescriptions as options to minimise issues concerning access for legitimate use. The RACGP also expressed concerns about the overuse of </w:t>
      </w:r>
      <w:r w:rsidR="00890D61">
        <w:rPr>
          <w:rFonts w:cstheme="minorHAnsi"/>
        </w:rPr>
        <w:t>MR</w:t>
      </w:r>
      <w:r w:rsidRPr="00694553">
        <w:rPr>
          <w:rFonts w:cstheme="minorHAnsi"/>
        </w:rPr>
        <w:t xml:space="preserve"> paracetamol for conditions with little benefit, while another submission raised concerns about children and adolescents continuing to access these formulations for overdose.  </w:t>
      </w:r>
    </w:p>
    <w:p w14:paraId="7476B20A" w14:textId="77777777" w:rsidR="00101351" w:rsidRPr="00694553" w:rsidRDefault="00101351" w:rsidP="00101351">
      <w:pPr>
        <w:rPr>
          <w:rFonts w:cstheme="minorHAnsi"/>
        </w:rPr>
      </w:pPr>
      <w:r w:rsidRPr="00694553">
        <w:rPr>
          <w:rFonts w:cstheme="minorHAnsi"/>
        </w:rPr>
        <w:t xml:space="preserve">As previously stated in my interim decision, I remain of the view that up-scheduling MR paracetamol at this time would be premature and disproportionately impact upon the management of chronic pain. In considering s 52E(1)(f) of the Act, I have </w:t>
      </w:r>
      <w:proofErr w:type="gramStart"/>
      <w:r w:rsidRPr="00694553">
        <w:rPr>
          <w:rFonts w:cstheme="minorHAnsi"/>
        </w:rPr>
        <w:t>taken into account</w:t>
      </w:r>
      <w:proofErr w:type="gramEnd"/>
      <w:r w:rsidRPr="00694553">
        <w:rPr>
          <w:rFonts w:cstheme="minorHAnsi"/>
        </w:rPr>
        <w:t xml:space="preserve"> that the coming into effect of the up-scheduling of MR paracetamol from Schedule 2 to Schedule 3 coincided with the emergence of the COVID-19 pandemic.</w:t>
      </w:r>
      <w:r>
        <w:rPr>
          <w:rFonts w:cstheme="minorHAnsi"/>
        </w:rPr>
        <w:t xml:space="preserve"> While t</w:t>
      </w:r>
      <w:r w:rsidRPr="00694553">
        <w:rPr>
          <w:rFonts w:cstheme="minorHAnsi"/>
        </w:rPr>
        <w:t>here has been a slight reduction in average dose consumed in overdose</w:t>
      </w:r>
      <w:r>
        <w:rPr>
          <w:rFonts w:cstheme="minorHAnsi"/>
        </w:rPr>
        <w:t xml:space="preserve">, </w:t>
      </w:r>
      <w:r w:rsidRPr="00694553">
        <w:rPr>
          <w:rFonts w:cstheme="minorHAnsi"/>
        </w:rPr>
        <w:t>the effects since up-scheduling have not been significant</w:t>
      </w:r>
      <w:r>
        <w:rPr>
          <w:rFonts w:cstheme="minorHAnsi"/>
        </w:rPr>
        <w:t>.</w:t>
      </w:r>
      <w:r w:rsidRPr="00694553">
        <w:rPr>
          <w:rStyle w:val="FootnoteReference"/>
          <w:rFonts w:cstheme="minorHAnsi"/>
        </w:rPr>
        <w:footnoteReference w:id="12"/>
      </w:r>
      <w:r w:rsidRPr="00694553">
        <w:rPr>
          <w:rFonts w:cstheme="minorHAnsi"/>
        </w:rPr>
        <w:t xml:space="preserve"> It is unclear</w:t>
      </w:r>
      <w:r>
        <w:rPr>
          <w:rFonts w:cstheme="minorHAnsi"/>
        </w:rPr>
        <w:t>, however,</w:t>
      </w:r>
      <w:r w:rsidRPr="00694553">
        <w:rPr>
          <w:rFonts w:cstheme="minorHAnsi"/>
        </w:rPr>
        <w:t xml:space="preserve"> to what extent the incidence of overdosing with these preparations since then </w:t>
      </w:r>
      <w:r>
        <w:rPr>
          <w:rFonts w:cstheme="minorHAnsi"/>
        </w:rPr>
        <w:t>has</w:t>
      </w:r>
      <w:r w:rsidRPr="00694553">
        <w:rPr>
          <w:rFonts w:cstheme="minorHAnsi"/>
        </w:rPr>
        <w:t xml:space="preserve"> been influenced by factors such as lockdowns and potential stockpiling of these products.</w:t>
      </w:r>
    </w:p>
    <w:p w14:paraId="08992F15" w14:textId="369B32F8" w:rsidR="00101351" w:rsidRPr="00694553" w:rsidRDefault="00101351" w:rsidP="00101351">
      <w:pPr>
        <w:rPr>
          <w:rFonts w:cstheme="minorHAnsi"/>
        </w:rPr>
      </w:pPr>
      <w:r w:rsidRPr="00694553">
        <w:rPr>
          <w:rFonts w:cstheme="minorHAnsi"/>
        </w:rPr>
        <w:t xml:space="preserve">For this reason, I have carefully considered the proportion of overall poisonings that have occurred due to </w:t>
      </w:r>
      <w:r w:rsidR="00890D61">
        <w:rPr>
          <w:rFonts w:cstheme="minorHAnsi"/>
        </w:rPr>
        <w:t>MR</w:t>
      </w:r>
      <w:r w:rsidRPr="00694553">
        <w:rPr>
          <w:rFonts w:cstheme="minorHAnsi"/>
        </w:rPr>
        <w:t xml:space="preserve"> formulations since up-scheduling. It is important to acknowledge that against the backdrop of large increases in overdose across young age groups, it is evident that these concerning increases are not being driven by </w:t>
      </w:r>
      <w:r w:rsidR="00890D61">
        <w:rPr>
          <w:rFonts w:cstheme="minorHAnsi"/>
        </w:rPr>
        <w:t>MR</w:t>
      </w:r>
      <w:r w:rsidRPr="00694553">
        <w:rPr>
          <w:rFonts w:cstheme="minorHAnsi"/>
        </w:rPr>
        <w:t xml:space="preserve"> ingestions.</w:t>
      </w:r>
      <w:r w:rsidRPr="00694553">
        <w:rPr>
          <w:rStyle w:val="FootnoteReference"/>
          <w:rFonts w:cstheme="minorHAnsi"/>
        </w:rPr>
        <w:footnoteReference w:id="13"/>
      </w:r>
      <w:r w:rsidRPr="00694553">
        <w:rPr>
          <w:rFonts w:cstheme="minorHAnsi"/>
        </w:rPr>
        <w:t xml:space="preserve"> In light of these trends, while I acknowledge that 34% of overdoses with MR paracetamol are still being observed in children and adolescents, the same age groups are more concerningly accounting for approximately 50% of cases involving immediate</w:t>
      </w:r>
      <w:r w:rsidR="00890D61">
        <w:rPr>
          <w:rFonts w:cstheme="minorHAnsi"/>
        </w:rPr>
        <w:t>-</w:t>
      </w:r>
      <w:r w:rsidRPr="00694553">
        <w:rPr>
          <w:rFonts w:cstheme="minorHAnsi"/>
        </w:rPr>
        <w:t>release preparations with rapidly increasing and much higher rates overall.</w:t>
      </w:r>
      <w:r w:rsidRPr="00694553">
        <w:rPr>
          <w:rStyle w:val="FootnoteReference"/>
          <w:rFonts w:cstheme="minorHAnsi"/>
        </w:rPr>
        <w:footnoteReference w:id="14"/>
      </w:r>
      <w:r w:rsidRPr="00694553">
        <w:rPr>
          <w:rFonts w:cstheme="minorHAnsi"/>
        </w:rPr>
        <w:t xml:space="preserve"> </w:t>
      </w:r>
    </w:p>
    <w:p w14:paraId="77AFFF6F" w14:textId="77777777" w:rsidR="00101351" w:rsidRPr="00694553" w:rsidRDefault="00101351" w:rsidP="00101351">
      <w:pPr>
        <w:rPr>
          <w:rFonts w:cstheme="minorHAnsi"/>
        </w:rPr>
      </w:pPr>
      <w:r w:rsidRPr="00694553">
        <w:rPr>
          <w:rFonts w:cstheme="minorHAnsi"/>
        </w:rPr>
        <w:t>While I acknowledge the concerns of the AMA and RACGP, I must emphasise that MR paracetamol remains a first line therapy for certain chronic pain conditions such as osteoarthritis where safe and accessible pharmacological alternatives are lacking.</w:t>
      </w:r>
      <w:r w:rsidRPr="00694553">
        <w:rPr>
          <w:rFonts w:cstheme="minorHAnsi"/>
        </w:rPr>
        <w:fldChar w:fldCharType="begin"/>
      </w:r>
      <w:r w:rsidRPr="00694553">
        <w:rPr>
          <w:rFonts w:cstheme="minorHAnsi"/>
        </w:rPr>
        <w:instrText xml:space="preserve"> NOTEREF _Ref133241081 \f \h  \* MERGEFORMAT </w:instrText>
      </w:r>
      <w:r w:rsidRPr="00694553">
        <w:rPr>
          <w:rFonts w:cstheme="minorHAnsi"/>
        </w:rPr>
      </w:r>
      <w:r w:rsidRPr="00694553">
        <w:rPr>
          <w:rFonts w:cstheme="minorHAnsi"/>
        </w:rPr>
        <w:fldChar w:fldCharType="separate"/>
      </w:r>
      <w:r w:rsidRPr="00694553">
        <w:rPr>
          <w:rStyle w:val="FootnoteReference"/>
        </w:rPr>
        <w:t>2</w:t>
      </w:r>
      <w:r w:rsidRPr="00694553">
        <w:rPr>
          <w:rFonts w:cstheme="minorHAnsi"/>
        </w:rPr>
        <w:fldChar w:fldCharType="end"/>
      </w:r>
      <w:r w:rsidRPr="00694553">
        <w:rPr>
          <w:rFonts w:cstheme="minorHAnsi"/>
        </w:rPr>
        <w:t xml:space="preserve"> Prescription only restrictions would lead to increased costs, wait times and workload, limiting access to those in need. </w:t>
      </w:r>
      <w:r>
        <w:rPr>
          <w:rFonts w:cstheme="minorHAnsi"/>
        </w:rPr>
        <w:t>Given the prevalence of</w:t>
      </w:r>
      <w:r w:rsidRPr="00694553">
        <w:rPr>
          <w:rFonts w:cstheme="minorHAnsi"/>
        </w:rPr>
        <w:t xml:space="preserve"> chronic pain in Australia, there remains a need to prioritise maintaining access to pain management options. </w:t>
      </w:r>
    </w:p>
    <w:p w14:paraId="35E7381E" w14:textId="7AFF30A0" w:rsidR="00101351" w:rsidRPr="00694553" w:rsidRDefault="00101351" w:rsidP="00101351">
      <w:pPr>
        <w:rPr>
          <w:rFonts w:cstheme="minorHAnsi"/>
        </w:rPr>
      </w:pPr>
      <w:r w:rsidRPr="00694553">
        <w:rPr>
          <w:rFonts w:cstheme="minorHAnsi"/>
        </w:rPr>
        <w:t xml:space="preserve">For the reasons outlined above and consistent with the interim decision, I am not persuaded to include further restrictions to </w:t>
      </w:r>
      <w:r w:rsidR="00890D61">
        <w:rPr>
          <w:rFonts w:cstheme="minorHAnsi"/>
        </w:rPr>
        <w:t>MR</w:t>
      </w:r>
      <w:r w:rsidRPr="00694553">
        <w:rPr>
          <w:rFonts w:cstheme="minorHAnsi"/>
        </w:rPr>
        <w:t xml:space="preserve"> formulations at this time. </w:t>
      </w:r>
    </w:p>
    <w:p w14:paraId="026094DE" w14:textId="2AF976D8" w:rsidR="00101351" w:rsidRPr="00694553" w:rsidRDefault="00101351" w:rsidP="00101351">
      <w:pPr>
        <w:rPr>
          <w:rFonts w:cstheme="minorHAnsi"/>
        </w:rPr>
      </w:pPr>
      <w:r w:rsidRPr="00694553">
        <w:rPr>
          <w:rFonts w:cstheme="minorHAnsi"/>
          <w:b/>
          <w:bCs/>
          <w:i/>
          <w:iCs/>
        </w:rPr>
        <w:lastRenderedPageBreak/>
        <w:t>Pack limits, sales behind the counter and age restrictions.</w:t>
      </w:r>
      <w:r w:rsidRPr="00694553">
        <w:rPr>
          <w:rFonts w:cstheme="minorHAnsi"/>
          <w:b/>
          <w:bCs/>
        </w:rPr>
        <w:t xml:space="preserve"> </w:t>
      </w:r>
      <w:r w:rsidRPr="00694553">
        <w:rPr>
          <w:rFonts w:cstheme="minorHAnsi"/>
        </w:rPr>
        <w:t xml:space="preserve">The AMA maintained the view that measures </w:t>
      </w:r>
      <w:r>
        <w:rPr>
          <w:rFonts w:cstheme="minorHAnsi"/>
        </w:rPr>
        <w:t xml:space="preserve">other than these </w:t>
      </w:r>
      <w:r w:rsidRPr="00694553">
        <w:rPr>
          <w:rFonts w:cstheme="minorHAnsi"/>
        </w:rPr>
        <w:t xml:space="preserve">would be more appropriate, and Pain Australia pointed out </w:t>
      </w:r>
      <w:r>
        <w:rPr>
          <w:rFonts w:cstheme="minorHAnsi"/>
        </w:rPr>
        <w:t xml:space="preserve">that excluding them </w:t>
      </w:r>
      <w:r w:rsidRPr="00694553">
        <w:rPr>
          <w:rFonts w:cstheme="minorHAnsi"/>
        </w:rPr>
        <w:t>would continue to enable access for young people that are independent or hold carer responsibilities. There were no major concerns or resistance to exclude both age restrictions and placing paracetamol behind the counter in general sale.</w:t>
      </w:r>
      <w:r w:rsidRPr="00694553" w:rsidDel="004F321A">
        <w:rPr>
          <w:rFonts w:cstheme="minorHAnsi"/>
        </w:rPr>
        <w:t xml:space="preserve"> </w:t>
      </w:r>
      <w:r w:rsidRPr="00694553">
        <w:rPr>
          <w:rFonts w:cstheme="minorHAnsi"/>
        </w:rPr>
        <w:t xml:space="preserve">I am reassured by the absence of concerns and affirm the reasons for excluding these measures are adequately justified by those set out in the interim decision. </w:t>
      </w:r>
    </w:p>
    <w:p w14:paraId="4E3BC471" w14:textId="77777777" w:rsidR="00101351" w:rsidRPr="00694553" w:rsidRDefault="00101351" w:rsidP="00101351">
      <w:pPr>
        <w:rPr>
          <w:rFonts w:cstheme="minorHAnsi"/>
          <w:b/>
          <w:bCs/>
        </w:rPr>
      </w:pPr>
      <w:r w:rsidRPr="00CD5135">
        <w:rPr>
          <w:rFonts w:cstheme="minorHAnsi"/>
          <w:b/>
          <w:bCs/>
        </w:rPr>
        <w:t>Implementation date</w:t>
      </w:r>
    </w:p>
    <w:p w14:paraId="65EBFAF1" w14:textId="77777777" w:rsidR="00101351" w:rsidRPr="00694553" w:rsidRDefault="00101351" w:rsidP="00101351">
      <w:pPr>
        <w:rPr>
          <w:rFonts w:cstheme="minorHAnsi"/>
        </w:rPr>
      </w:pPr>
      <w:r w:rsidRPr="00694553">
        <w:rPr>
          <w:rFonts w:cstheme="minorHAnsi"/>
        </w:rPr>
        <w:t xml:space="preserve">Having reconsidered the potential impact of my decision, I acknowledge the need for an appropriate transition period that does not excessively postpone the implementation of changes aimed at safeguarding vulnerable Australians, while allowing </w:t>
      </w:r>
      <w:r>
        <w:rPr>
          <w:rFonts w:cstheme="minorHAnsi"/>
        </w:rPr>
        <w:t>a reasonable</w:t>
      </w:r>
      <w:r w:rsidRPr="00694553">
        <w:rPr>
          <w:rFonts w:cstheme="minorHAnsi"/>
        </w:rPr>
        <w:t xml:space="preserve"> </w:t>
      </w:r>
      <w:r>
        <w:rPr>
          <w:rFonts w:cstheme="minorHAnsi"/>
        </w:rPr>
        <w:t xml:space="preserve">period </w:t>
      </w:r>
      <w:r w:rsidRPr="00694553">
        <w:rPr>
          <w:rFonts w:cstheme="minorHAnsi"/>
        </w:rPr>
        <w:t xml:space="preserve">for industry to adapt their manufacturing processes. </w:t>
      </w:r>
    </w:p>
    <w:p w14:paraId="2906E2DE" w14:textId="77777777" w:rsidR="00101351" w:rsidRPr="00694553" w:rsidRDefault="00101351" w:rsidP="00101351">
      <w:pPr>
        <w:rPr>
          <w:rFonts w:cstheme="minorHAnsi"/>
        </w:rPr>
      </w:pPr>
      <w:r w:rsidRPr="00694553">
        <w:rPr>
          <w:rFonts w:cstheme="minorHAnsi"/>
        </w:rPr>
        <w:t xml:space="preserve">Based on feedback from industry, I acknowledge the numerous steps involved for end-to-end implementation, including redesign and retooling to accommodate blister reconfigurations. I am satisfied a period of 21 months is sufficient and will ensure supply chains of this essential medicine are not disrupted </w:t>
      </w:r>
      <w:proofErr w:type="gramStart"/>
      <w:r w:rsidRPr="00694553">
        <w:rPr>
          <w:rFonts w:cstheme="minorHAnsi"/>
        </w:rPr>
        <w:t>as a result of</w:t>
      </w:r>
      <w:proofErr w:type="gramEnd"/>
      <w:r w:rsidRPr="00694553">
        <w:rPr>
          <w:rFonts w:cstheme="minorHAnsi"/>
        </w:rPr>
        <w:t xml:space="preserve"> these scheduling changes. </w:t>
      </w:r>
    </w:p>
    <w:p w14:paraId="083A2708" w14:textId="77777777" w:rsidR="00101351" w:rsidRPr="00CD5135" w:rsidRDefault="00101351" w:rsidP="00101351">
      <w:pPr>
        <w:rPr>
          <w:rFonts w:cstheme="minorHAnsi"/>
          <w:b/>
          <w:bCs/>
        </w:rPr>
      </w:pPr>
      <w:r w:rsidRPr="00694553">
        <w:rPr>
          <w:rFonts w:cstheme="minorHAnsi"/>
        </w:rPr>
        <w:t xml:space="preserve">Therefore, I confirm an implementation date of </w:t>
      </w:r>
      <w:r w:rsidRPr="00333358">
        <w:rPr>
          <w:rFonts w:cstheme="minorHAnsi"/>
          <w:b/>
          <w:bCs/>
        </w:rPr>
        <w:t>1 February 2025</w:t>
      </w:r>
      <w:r w:rsidRPr="00694553">
        <w:rPr>
          <w:rFonts w:cstheme="minorHAnsi"/>
        </w:rPr>
        <w:t>.</w:t>
      </w:r>
    </w:p>
    <w:p w14:paraId="39F82337" w14:textId="77777777" w:rsidR="00101351" w:rsidRPr="00694553" w:rsidRDefault="00101351" w:rsidP="00101351">
      <w:pPr>
        <w:rPr>
          <w:rFonts w:cstheme="minorHAnsi"/>
          <w:b/>
          <w:bCs/>
        </w:rPr>
      </w:pPr>
      <w:r w:rsidRPr="00694553">
        <w:rPr>
          <w:rFonts w:cstheme="minorHAnsi"/>
          <w:b/>
          <w:bCs/>
        </w:rPr>
        <w:t>Concluding statements</w:t>
      </w:r>
    </w:p>
    <w:p w14:paraId="7F6BCF7E" w14:textId="77777777" w:rsidR="00101351" w:rsidRPr="00694553" w:rsidRDefault="00101351" w:rsidP="00101351">
      <w:pPr>
        <w:rPr>
          <w:rFonts w:cstheme="minorHAnsi"/>
          <w:b/>
          <w:bCs/>
        </w:rPr>
      </w:pPr>
      <w:r w:rsidRPr="00694553">
        <w:t>In conclusion, my final decision reflects that I am satisfied that there must be changes to access to paracetamol through amending its scheduling in the manner detailed above to address the increasing incidence of deliberate overdose. However, I reiterate the comment</w:t>
      </w:r>
      <w:r>
        <w:t>s</w:t>
      </w:r>
      <w:r w:rsidRPr="00694553">
        <w:t xml:space="preserve"> in my interim decision that measures beyond the remit of scheduling </w:t>
      </w:r>
      <w:r>
        <w:t>can</w:t>
      </w:r>
      <w:r w:rsidRPr="00694553">
        <w:t xml:space="preserve"> have a role in reducing the incidence of deliberate overdosing, including addressing its root causes. </w:t>
      </w:r>
    </w:p>
    <w:p w14:paraId="62D1F954" w14:textId="7379CD42" w:rsidR="00F41DCE" w:rsidRDefault="00B23D7A" w:rsidP="00F41DCE">
      <w:pPr>
        <w:pStyle w:val="Heading5"/>
      </w:pPr>
      <w:r>
        <w:t>Implementation d</w:t>
      </w:r>
      <w:r w:rsidR="00F41DCE">
        <w:t>ate</w:t>
      </w:r>
    </w:p>
    <w:p w14:paraId="2C56F6AA" w14:textId="16ED4CAA" w:rsidR="00F41DCE" w:rsidRPr="0069150F" w:rsidRDefault="00AB18C0" w:rsidP="00F41DCE">
      <w:r w:rsidRPr="0069150F">
        <w:t xml:space="preserve">1 </w:t>
      </w:r>
      <w:r w:rsidR="00101351">
        <w:t>February</w:t>
      </w:r>
      <w:r w:rsidRPr="0069150F">
        <w:t xml:space="preserve"> 202</w:t>
      </w:r>
      <w:r w:rsidR="00101351">
        <w:t>5</w:t>
      </w:r>
    </w:p>
    <w:p w14:paraId="0B892D04" w14:textId="27EE427E" w:rsidR="00927539" w:rsidRDefault="00927539" w:rsidP="00927539">
      <w:pPr>
        <w:pStyle w:val="Heading3"/>
      </w:pPr>
      <w:bookmarkStart w:id="39" w:name="_Toc190165694"/>
      <w:r>
        <w:t>Final decision in relation to ivermectin</w:t>
      </w:r>
      <w:bookmarkEnd w:id="39"/>
    </w:p>
    <w:p w14:paraId="2890B61D" w14:textId="77777777" w:rsidR="00927539" w:rsidRDefault="00927539" w:rsidP="00927539">
      <w:pPr>
        <w:pStyle w:val="Heading5"/>
      </w:pPr>
      <w:r>
        <w:t>Proposal</w:t>
      </w:r>
    </w:p>
    <w:p w14:paraId="52A75133" w14:textId="34BD5CCD" w:rsidR="00927539" w:rsidRPr="00927539" w:rsidRDefault="00927539" w:rsidP="00927539">
      <w:r>
        <w:t xml:space="preserve">The applicant proposed deletion of the Appendix D entry relating to ivermectin (the </w:t>
      </w:r>
      <w:r w:rsidRPr="00AD3D4C">
        <w:rPr>
          <w:b/>
          <w:bCs/>
        </w:rPr>
        <w:t>Proposal</w:t>
      </w:r>
      <w:r>
        <w:t>). This would remove the current restrictions on the prescribing of ivermectin for unapproved indications by medical specialists in nominated fields. The restrictions were originally implemented due to concerns regarding the significant increase in off-label prescribing of ivermectin for the prevention and treatment of COVID-19</w:t>
      </w:r>
      <w:r w:rsidR="00B562A7">
        <w:t xml:space="preserve"> and the risk of shortages of ivermectin for its approved indications</w:t>
      </w:r>
      <w:r>
        <w:t xml:space="preserve">. </w:t>
      </w:r>
    </w:p>
    <w:p w14:paraId="77E2E31F" w14:textId="77777777" w:rsidR="00927539" w:rsidRPr="008036B7" w:rsidRDefault="00927539" w:rsidP="00927539">
      <w:pPr>
        <w:pStyle w:val="Heading5"/>
      </w:pPr>
      <w:r>
        <w:t xml:space="preserve">Final decision </w:t>
      </w:r>
    </w:p>
    <w:p w14:paraId="079E273B" w14:textId="6C608DE7" w:rsidR="00FF3B66" w:rsidRPr="00FF3B66" w:rsidRDefault="00927539" w:rsidP="00FF3B66">
      <w:r>
        <w:t xml:space="preserve">Pursuant to regulation 42ZCZR of the Regulations, the Delegate has made a final decision to </w:t>
      </w:r>
      <w:r w:rsidR="00E04030">
        <w:t>set aside</w:t>
      </w:r>
      <w:r w:rsidR="00162FC2">
        <w:t xml:space="preserve"> the </w:t>
      </w:r>
      <w:r w:rsidRPr="00AB18C0">
        <w:t xml:space="preserve">interim decision and </w:t>
      </w:r>
      <w:r w:rsidR="00162FC2">
        <w:t xml:space="preserve">amend </w:t>
      </w:r>
      <w:r w:rsidRPr="00AB18C0">
        <w:t xml:space="preserve">the current Poisons Standard in relation to </w:t>
      </w:r>
      <w:r w:rsidR="00AB18C0" w:rsidRPr="00AB18C0">
        <w:t>ivermectin</w:t>
      </w:r>
      <w:r w:rsidR="00FF3B66">
        <w:t xml:space="preserve">. </w:t>
      </w:r>
      <w:r w:rsidR="00FF3B66">
        <w:lastRenderedPageBreak/>
        <w:t xml:space="preserve">The final decision is to delete the Appendix D entry, with no changes to the </w:t>
      </w:r>
      <w:r w:rsidR="00FF3B66" w:rsidRPr="00FF3B66">
        <w:t xml:space="preserve">entries for ivermectin in Schedules 4, 5 or 7 </w:t>
      </w:r>
      <w:r w:rsidR="00FF3B66" w:rsidRPr="00264F6E">
        <w:t>as follows:</w:t>
      </w:r>
      <w:r w:rsidR="00FF3B66">
        <w:rPr>
          <w:rStyle w:val="FootnoteReference"/>
        </w:rPr>
        <w:footnoteReference w:id="15"/>
      </w:r>
      <w:r w:rsidR="00312D81" w:rsidRPr="00312D81">
        <w:rPr>
          <w:vertAlign w:val="superscript"/>
        </w:rPr>
        <w:t>,</w:t>
      </w:r>
      <w:r w:rsidR="00312D81">
        <w:rPr>
          <w:rStyle w:val="FootnoteReference"/>
        </w:rPr>
        <w:footnoteReference w:id="16"/>
      </w:r>
    </w:p>
    <w:p w14:paraId="61D2E8D8" w14:textId="69423623" w:rsidR="00FF3B66" w:rsidRDefault="00FF3B66" w:rsidP="00FF3B66">
      <w:pPr>
        <w:pStyle w:val="ListBulleta"/>
        <w:numPr>
          <w:ilvl w:val="0"/>
          <w:numId w:val="0"/>
        </w:numPr>
        <w:ind w:left="426"/>
        <w:rPr>
          <w:b/>
          <w:bCs/>
        </w:rPr>
      </w:pPr>
      <w:r>
        <w:rPr>
          <w:b/>
          <w:bCs/>
        </w:rPr>
        <w:t>Appendix D – delete entry</w:t>
      </w:r>
    </w:p>
    <w:tbl>
      <w:tblPr>
        <w:tblStyle w:val="TableGrid"/>
        <w:tblW w:w="0" w:type="auto"/>
        <w:tblInd w:w="426" w:type="dxa"/>
        <w:tblLook w:val="04A0" w:firstRow="1" w:lastRow="0" w:firstColumn="1" w:lastColumn="0" w:noHBand="0" w:noVBand="1"/>
      </w:tblPr>
      <w:tblGrid>
        <w:gridCol w:w="703"/>
        <w:gridCol w:w="709"/>
        <w:gridCol w:w="7222"/>
      </w:tblGrid>
      <w:tr w:rsidR="00FF3B66" w14:paraId="7F292B62" w14:textId="77777777" w:rsidTr="00B40BDD">
        <w:tc>
          <w:tcPr>
            <w:tcW w:w="703" w:type="dxa"/>
            <w:tcBorders>
              <w:top w:val="single" w:sz="4" w:space="0" w:color="auto"/>
              <w:left w:val="single" w:sz="4" w:space="0" w:color="auto"/>
              <w:bottom w:val="single" w:sz="4" w:space="0" w:color="auto"/>
              <w:right w:val="single" w:sz="4" w:space="0" w:color="auto"/>
            </w:tcBorders>
            <w:hideMark/>
          </w:tcPr>
          <w:p w14:paraId="4CA3133F" w14:textId="77777777" w:rsidR="00FF3B66" w:rsidRPr="00FF3B66" w:rsidRDefault="00FF3B66" w:rsidP="00B40BDD">
            <w:pPr>
              <w:rPr>
                <w:b/>
                <w:bCs/>
                <w:strike/>
                <w:color w:val="FF0000"/>
                <w:sz w:val="21"/>
                <w:szCs w:val="20"/>
                <w:lang w:eastAsia="en-AU"/>
              </w:rPr>
            </w:pPr>
            <w:r w:rsidRPr="00FF3B66">
              <w:rPr>
                <w:b/>
                <w:bCs/>
                <w:strike/>
                <w:color w:val="FF0000"/>
                <w:sz w:val="21"/>
                <w:szCs w:val="20"/>
                <w:lang w:eastAsia="en-AU"/>
              </w:rPr>
              <w:t>10.</w:t>
            </w:r>
          </w:p>
        </w:tc>
        <w:tc>
          <w:tcPr>
            <w:tcW w:w="7931" w:type="dxa"/>
            <w:gridSpan w:val="2"/>
            <w:tcBorders>
              <w:top w:val="single" w:sz="4" w:space="0" w:color="auto"/>
              <w:left w:val="single" w:sz="4" w:space="0" w:color="auto"/>
              <w:bottom w:val="single" w:sz="4" w:space="0" w:color="auto"/>
              <w:right w:val="single" w:sz="4" w:space="0" w:color="auto"/>
            </w:tcBorders>
            <w:hideMark/>
          </w:tcPr>
          <w:p w14:paraId="272630C1" w14:textId="77777777" w:rsidR="00FF3B66" w:rsidRPr="00FF3B66" w:rsidRDefault="00FF3B66" w:rsidP="00B40BDD">
            <w:pPr>
              <w:rPr>
                <w:b/>
                <w:bCs/>
                <w:strike/>
                <w:color w:val="FF0000"/>
                <w:sz w:val="21"/>
                <w:szCs w:val="20"/>
                <w:lang w:eastAsia="en-AU"/>
              </w:rPr>
            </w:pPr>
            <w:r w:rsidRPr="00FF3B66">
              <w:rPr>
                <w:b/>
                <w:bCs/>
                <w:strike/>
                <w:color w:val="FF0000"/>
                <w:sz w:val="21"/>
                <w:szCs w:val="20"/>
                <w:lang w:eastAsia="en-AU"/>
              </w:rPr>
              <w:t>Poisons available only when prescribed or authorised for:</w:t>
            </w:r>
          </w:p>
        </w:tc>
      </w:tr>
      <w:tr w:rsidR="00FF3B66" w14:paraId="7EBBEB2B" w14:textId="77777777" w:rsidTr="00B40BDD">
        <w:tc>
          <w:tcPr>
            <w:tcW w:w="703" w:type="dxa"/>
            <w:tcBorders>
              <w:top w:val="single" w:sz="4" w:space="0" w:color="auto"/>
              <w:left w:val="single" w:sz="4" w:space="0" w:color="auto"/>
              <w:bottom w:val="single" w:sz="4" w:space="0" w:color="auto"/>
              <w:right w:val="single" w:sz="4" w:space="0" w:color="auto"/>
            </w:tcBorders>
          </w:tcPr>
          <w:p w14:paraId="6972558C" w14:textId="77777777" w:rsidR="00FF3B66" w:rsidRPr="00FF3B66" w:rsidRDefault="00FF3B66" w:rsidP="00B40BD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6248BAF1" w14:textId="77777777" w:rsidR="00FF3B66" w:rsidRPr="00FF3B66" w:rsidRDefault="00FF3B66" w:rsidP="00B40BDD">
            <w:pPr>
              <w:rPr>
                <w:strike/>
                <w:color w:val="FF0000"/>
                <w:sz w:val="21"/>
                <w:szCs w:val="20"/>
                <w:lang w:eastAsia="en-AU"/>
              </w:rPr>
            </w:pPr>
            <w:r w:rsidRPr="00FF3B66">
              <w:rPr>
                <w:strike/>
                <w:color w:val="FF0000"/>
                <w:sz w:val="21"/>
                <w:szCs w:val="20"/>
                <w:lang w:eastAsia="en-AU"/>
              </w:rPr>
              <w:t>(1)</w:t>
            </w:r>
          </w:p>
        </w:tc>
        <w:tc>
          <w:tcPr>
            <w:tcW w:w="722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006"/>
            </w:tblGrid>
            <w:tr w:rsidR="00FF3B66" w:rsidRPr="00FF3B66" w14:paraId="1CF38E4B" w14:textId="77777777" w:rsidTr="00B40BDD">
              <w:trPr>
                <w:trHeight w:val="479"/>
              </w:trPr>
              <w:tc>
                <w:tcPr>
                  <w:tcW w:w="0" w:type="auto"/>
                  <w:tcBorders>
                    <w:top w:val="nil"/>
                    <w:left w:val="nil"/>
                    <w:bottom w:val="nil"/>
                    <w:right w:val="nil"/>
                  </w:tcBorders>
                  <w:hideMark/>
                </w:tcPr>
                <w:p w14:paraId="1B389CA6" w14:textId="77777777" w:rsidR="00FF3B66" w:rsidRPr="00FF3B66" w:rsidRDefault="00FF3B66" w:rsidP="00B40BDD">
                  <w:pPr>
                    <w:rPr>
                      <w:strike/>
                      <w:color w:val="FF0000"/>
                      <w:szCs w:val="21"/>
                    </w:rPr>
                  </w:pPr>
                  <w:r w:rsidRPr="00FF3B66">
                    <w:rPr>
                      <w:strike/>
                      <w:color w:val="FF0000"/>
                      <w:szCs w:val="21"/>
                    </w:rPr>
                    <w:t xml:space="preserve">an indication that is accepted by the Secretary of the Australian Government Department of Health in relation to the inclusion of ivermectin in tablet dosage form in the Australian Register of Therapeutic Goods (an </w:t>
                  </w:r>
                  <w:r w:rsidRPr="00FF3B66">
                    <w:rPr>
                      <w:b/>
                      <w:bCs/>
                      <w:i/>
                      <w:iCs/>
                      <w:strike/>
                      <w:color w:val="FF0000"/>
                      <w:szCs w:val="21"/>
                    </w:rPr>
                    <w:t>approved indication</w:t>
                  </w:r>
                  <w:r w:rsidRPr="00FF3B66">
                    <w:rPr>
                      <w:strike/>
                      <w:color w:val="FF0000"/>
                      <w:szCs w:val="21"/>
                    </w:rPr>
                    <w:t xml:space="preserve">); or </w:t>
                  </w:r>
                </w:p>
                <w:p w14:paraId="65DE51C3" w14:textId="77777777" w:rsidR="00FF3B66" w:rsidRPr="00FF3B66" w:rsidRDefault="00FF3B66" w:rsidP="00B40BDD">
                  <w:pPr>
                    <w:pStyle w:val="Default"/>
                    <w:spacing w:after="120" w:line="256" w:lineRule="auto"/>
                    <w:rPr>
                      <w:rFonts w:ascii="Cambria" w:hAnsi="Cambria"/>
                      <w:strike/>
                      <w:color w:val="FF0000"/>
                      <w:sz w:val="18"/>
                      <w:szCs w:val="18"/>
                      <w:lang w:eastAsia="en-US"/>
                    </w:rPr>
                  </w:pPr>
                  <w:r w:rsidRPr="00FF3B66">
                    <w:rPr>
                      <w:rFonts w:ascii="Cambria" w:hAnsi="Cambria"/>
                      <w:strike/>
                      <w:color w:val="FF0000"/>
                      <w:sz w:val="18"/>
                      <w:szCs w:val="18"/>
                      <w:lang w:eastAsia="en-US"/>
                    </w:rPr>
                    <w:t xml:space="preserve">Note: Approved indications are shown in the public summary of the Australian Register of Therapeutic Goods on the Therapeutic Goods Administration website at www.tga.gov.au. </w:t>
                  </w:r>
                </w:p>
              </w:tc>
            </w:tr>
          </w:tbl>
          <w:p w14:paraId="46A68EAA" w14:textId="77777777" w:rsidR="00FF3B66" w:rsidRPr="00FF3B66" w:rsidRDefault="00FF3B66" w:rsidP="00B40BDD">
            <w:pPr>
              <w:rPr>
                <w:strike/>
                <w:color w:val="FF0000"/>
                <w:sz w:val="21"/>
                <w:szCs w:val="20"/>
                <w:lang w:eastAsia="en-AU"/>
              </w:rPr>
            </w:pPr>
          </w:p>
        </w:tc>
      </w:tr>
      <w:tr w:rsidR="00FF3B66" w14:paraId="2BFCAF5E" w14:textId="77777777" w:rsidTr="00B40BDD">
        <w:tc>
          <w:tcPr>
            <w:tcW w:w="703" w:type="dxa"/>
            <w:tcBorders>
              <w:top w:val="single" w:sz="4" w:space="0" w:color="auto"/>
              <w:left w:val="single" w:sz="4" w:space="0" w:color="auto"/>
              <w:bottom w:val="single" w:sz="4" w:space="0" w:color="auto"/>
              <w:right w:val="single" w:sz="4" w:space="0" w:color="auto"/>
            </w:tcBorders>
          </w:tcPr>
          <w:p w14:paraId="0A39C18B" w14:textId="77777777" w:rsidR="00FF3B66" w:rsidRPr="00FF3B66" w:rsidRDefault="00FF3B66" w:rsidP="00B40BD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64C29AC8" w14:textId="77777777" w:rsidR="00FF3B66" w:rsidRPr="00FF3B66" w:rsidRDefault="00FF3B66" w:rsidP="00B40BDD">
            <w:pPr>
              <w:rPr>
                <w:strike/>
                <w:color w:val="FF0000"/>
                <w:sz w:val="21"/>
                <w:szCs w:val="20"/>
                <w:lang w:eastAsia="en-AU"/>
              </w:rPr>
            </w:pPr>
            <w:r w:rsidRPr="00FF3B66">
              <w:rPr>
                <w:strike/>
                <w:color w:val="FF0000"/>
                <w:sz w:val="21"/>
                <w:szCs w:val="20"/>
                <w:lang w:eastAsia="en-AU"/>
              </w:rPr>
              <w:t>(2)</w:t>
            </w:r>
          </w:p>
        </w:tc>
        <w:tc>
          <w:tcPr>
            <w:tcW w:w="7222" w:type="dxa"/>
            <w:tcBorders>
              <w:top w:val="single" w:sz="4" w:space="0" w:color="auto"/>
              <w:left w:val="single" w:sz="4" w:space="0" w:color="auto"/>
              <w:bottom w:val="single" w:sz="4" w:space="0" w:color="auto"/>
              <w:right w:val="single" w:sz="4" w:space="0" w:color="auto"/>
            </w:tcBorders>
            <w:hideMark/>
          </w:tcPr>
          <w:p w14:paraId="18B8C7B8" w14:textId="77777777" w:rsidR="00FF3B66" w:rsidRPr="00FF3B66" w:rsidRDefault="00FF3B66" w:rsidP="00B40BDD">
            <w:pPr>
              <w:rPr>
                <w:strike/>
                <w:color w:val="FF0000"/>
                <w:lang w:eastAsia="en-AU"/>
              </w:rPr>
            </w:pPr>
            <w:r w:rsidRPr="00FF3B66">
              <w:rPr>
                <w:strike/>
                <w:color w:val="FF0000"/>
                <w:lang w:eastAsia="en-AU"/>
              </w:rPr>
              <w:t xml:space="preserve">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 </w:t>
            </w:r>
          </w:p>
          <w:p w14:paraId="03D2A840" w14:textId="77777777" w:rsidR="00FF3B66" w:rsidRPr="00FF3B66" w:rsidRDefault="00FF3B66" w:rsidP="00B40BDD">
            <w:pPr>
              <w:rPr>
                <w:strike/>
                <w:color w:val="FF0000"/>
                <w:lang w:eastAsia="en-AU"/>
              </w:rPr>
            </w:pPr>
            <w:r w:rsidRPr="00FF3B66">
              <w:rPr>
                <w:strike/>
                <w:color w:val="FF0000"/>
                <w:lang w:eastAsia="en-AU"/>
              </w:rPr>
              <w:t xml:space="preserve">(a) </w:t>
            </w:r>
            <w:proofErr w:type="gramStart"/>
            <w:r w:rsidRPr="00FF3B66">
              <w:rPr>
                <w:strike/>
                <w:color w:val="FF0000"/>
                <w:lang w:eastAsia="en-AU"/>
              </w:rPr>
              <w:t>dermatology;</w:t>
            </w:r>
            <w:proofErr w:type="gramEnd"/>
            <w:r w:rsidRPr="00FF3B66">
              <w:rPr>
                <w:strike/>
                <w:color w:val="FF0000"/>
                <w:lang w:eastAsia="en-AU"/>
              </w:rPr>
              <w:t xml:space="preserve"> </w:t>
            </w:r>
          </w:p>
          <w:p w14:paraId="438D60E3" w14:textId="77777777" w:rsidR="00FF3B66" w:rsidRPr="00FF3B66" w:rsidRDefault="00FF3B66" w:rsidP="00B40BDD">
            <w:pPr>
              <w:rPr>
                <w:strike/>
                <w:color w:val="FF0000"/>
                <w:lang w:eastAsia="en-AU"/>
              </w:rPr>
            </w:pPr>
            <w:r w:rsidRPr="00FF3B66">
              <w:rPr>
                <w:strike/>
                <w:color w:val="FF0000"/>
                <w:lang w:eastAsia="en-AU"/>
              </w:rPr>
              <w:t xml:space="preserve">(b) gastroenterology and </w:t>
            </w:r>
            <w:proofErr w:type="gramStart"/>
            <w:r w:rsidRPr="00FF3B66">
              <w:rPr>
                <w:strike/>
                <w:color w:val="FF0000"/>
                <w:lang w:eastAsia="en-AU"/>
              </w:rPr>
              <w:t>hepatology;</w:t>
            </w:r>
            <w:proofErr w:type="gramEnd"/>
            <w:r w:rsidRPr="00FF3B66">
              <w:rPr>
                <w:strike/>
                <w:color w:val="FF0000"/>
                <w:lang w:eastAsia="en-AU"/>
              </w:rPr>
              <w:t xml:space="preserve"> </w:t>
            </w:r>
          </w:p>
          <w:p w14:paraId="21CAC2CD" w14:textId="77777777" w:rsidR="00FF3B66" w:rsidRPr="00FF3B66" w:rsidRDefault="00FF3B66" w:rsidP="00B40BDD">
            <w:pPr>
              <w:rPr>
                <w:strike/>
                <w:color w:val="FF0000"/>
                <w:lang w:eastAsia="en-AU"/>
              </w:rPr>
            </w:pPr>
            <w:r w:rsidRPr="00FF3B66">
              <w:rPr>
                <w:strike/>
                <w:color w:val="FF0000"/>
                <w:lang w:eastAsia="en-AU"/>
              </w:rPr>
              <w:t xml:space="preserve">(c) infectious </w:t>
            </w:r>
            <w:proofErr w:type="gramStart"/>
            <w:r w:rsidRPr="00FF3B66">
              <w:rPr>
                <w:strike/>
                <w:color w:val="FF0000"/>
                <w:lang w:eastAsia="en-AU"/>
              </w:rPr>
              <w:t>diseases;</w:t>
            </w:r>
            <w:proofErr w:type="gramEnd"/>
            <w:r w:rsidRPr="00FF3B66">
              <w:rPr>
                <w:strike/>
                <w:color w:val="FF0000"/>
                <w:lang w:eastAsia="en-AU"/>
              </w:rPr>
              <w:t xml:space="preserve"> </w:t>
            </w:r>
          </w:p>
          <w:p w14:paraId="7AA0003F" w14:textId="77777777" w:rsidR="00FF3B66" w:rsidRPr="00FF3B66" w:rsidRDefault="00FF3B66" w:rsidP="00B40BDD">
            <w:pPr>
              <w:rPr>
                <w:strike/>
                <w:color w:val="FF0000"/>
                <w:lang w:eastAsia="en-AU"/>
              </w:rPr>
            </w:pPr>
            <w:r w:rsidRPr="00FF3B66">
              <w:rPr>
                <w:strike/>
                <w:color w:val="FF0000"/>
                <w:lang w:eastAsia="en-AU"/>
              </w:rPr>
              <w:t xml:space="preserve">(d) paediatric gastroenterology and </w:t>
            </w:r>
            <w:proofErr w:type="gramStart"/>
            <w:r w:rsidRPr="00FF3B66">
              <w:rPr>
                <w:strike/>
                <w:color w:val="FF0000"/>
                <w:lang w:eastAsia="en-AU"/>
              </w:rPr>
              <w:t>hepatology;</w:t>
            </w:r>
            <w:proofErr w:type="gramEnd"/>
            <w:r w:rsidRPr="00FF3B66">
              <w:rPr>
                <w:strike/>
                <w:color w:val="FF0000"/>
                <w:lang w:eastAsia="en-AU"/>
              </w:rPr>
              <w:t xml:space="preserve"> </w:t>
            </w:r>
          </w:p>
          <w:p w14:paraId="67365F8E" w14:textId="77777777" w:rsidR="00FF3B66" w:rsidRPr="00FF3B66" w:rsidRDefault="00FF3B66" w:rsidP="00B40BDD">
            <w:pPr>
              <w:rPr>
                <w:strike/>
                <w:color w:val="FF0000"/>
                <w:sz w:val="21"/>
                <w:szCs w:val="20"/>
                <w:lang w:eastAsia="en-AU"/>
              </w:rPr>
            </w:pPr>
            <w:r w:rsidRPr="00FF3B66">
              <w:rPr>
                <w:strike/>
                <w:color w:val="FF0000"/>
                <w:lang w:eastAsia="en-AU"/>
              </w:rPr>
              <w:t>(e) paediatric infectious diseases; or</w:t>
            </w:r>
            <w:r w:rsidRPr="00FF3B66">
              <w:rPr>
                <w:strike/>
                <w:color w:val="FF0000"/>
                <w:szCs w:val="22"/>
                <w:lang w:eastAsia="en-AU"/>
              </w:rPr>
              <w:t xml:space="preserve"> </w:t>
            </w:r>
          </w:p>
        </w:tc>
      </w:tr>
      <w:tr w:rsidR="00FF3B66" w14:paraId="73993A8F" w14:textId="77777777" w:rsidTr="00B40BDD">
        <w:tc>
          <w:tcPr>
            <w:tcW w:w="703" w:type="dxa"/>
            <w:tcBorders>
              <w:top w:val="single" w:sz="4" w:space="0" w:color="auto"/>
              <w:left w:val="single" w:sz="4" w:space="0" w:color="auto"/>
              <w:bottom w:val="single" w:sz="4" w:space="0" w:color="auto"/>
              <w:right w:val="single" w:sz="4" w:space="0" w:color="auto"/>
            </w:tcBorders>
          </w:tcPr>
          <w:p w14:paraId="17E06864" w14:textId="77777777" w:rsidR="00FF3B66" w:rsidRPr="00FF3B66" w:rsidRDefault="00FF3B66" w:rsidP="00B40BD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1711837F" w14:textId="77777777" w:rsidR="00FF3B66" w:rsidRPr="00FF3B66" w:rsidRDefault="00FF3B66" w:rsidP="00B40BDD">
            <w:pPr>
              <w:rPr>
                <w:strike/>
                <w:color w:val="FF0000"/>
                <w:sz w:val="21"/>
                <w:szCs w:val="20"/>
                <w:lang w:eastAsia="en-AU"/>
              </w:rPr>
            </w:pPr>
            <w:r w:rsidRPr="00FF3B66">
              <w:rPr>
                <w:strike/>
                <w:color w:val="FF0000"/>
                <w:sz w:val="21"/>
                <w:szCs w:val="20"/>
                <w:lang w:eastAsia="en-AU"/>
              </w:rPr>
              <w:t>(3)</w:t>
            </w:r>
          </w:p>
        </w:tc>
        <w:tc>
          <w:tcPr>
            <w:tcW w:w="7222" w:type="dxa"/>
            <w:tcBorders>
              <w:top w:val="single" w:sz="4" w:space="0" w:color="auto"/>
              <w:left w:val="single" w:sz="4" w:space="0" w:color="auto"/>
              <w:bottom w:val="single" w:sz="4" w:space="0" w:color="auto"/>
              <w:right w:val="single" w:sz="4" w:space="0" w:color="auto"/>
            </w:tcBorders>
            <w:hideMark/>
          </w:tcPr>
          <w:p w14:paraId="15EE5756" w14:textId="77777777" w:rsidR="00FF3B66" w:rsidRPr="00FF3B66" w:rsidRDefault="00FF3B66" w:rsidP="00B40BDD">
            <w:pPr>
              <w:rPr>
                <w:strike/>
                <w:color w:val="FF0000"/>
                <w:sz w:val="21"/>
                <w:szCs w:val="20"/>
                <w:lang w:eastAsia="en-AU"/>
              </w:rPr>
            </w:pPr>
            <w:r w:rsidRPr="00FF3B66">
              <w:rPr>
                <w:strike/>
                <w:color w:val="FF0000"/>
                <w:lang w:eastAsia="en-AU"/>
              </w:rPr>
              <w:t xml:space="preserve">use in a clinical trial that is approved by, or notified to, the Secretary of the Australian Government Department of Health under the Therapeutic Goods Act 1989. </w:t>
            </w:r>
          </w:p>
        </w:tc>
      </w:tr>
      <w:tr w:rsidR="00FF3B66" w14:paraId="048A3376" w14:textId="77777777" w:rsidTr="00B40BDD">
        <w:tc>
          <w:tcPr>
            <w:tcW w:w="703" w:type="dxa"/>
            <w:tcBorders>
              <w:top w:val="single" w:sz="4" w:space="0" w:color="auto"/>
              <w:left w:val="single" w:sz="4" w:space="0" w:color="auto"/>
              <w:bottom w:val="single" w:sz="4" w:space="0" w:color="auto"/>
              <w:right w:val="single" w:sz="4" w:space="0" w:color="auto"/>
            </w:tcBorders>
          </w:tcPr>
          <w:p w14:paraId="58686241" w14:textId="77777777" w:rsidR="00FF3B66" w:rsidRPr="00FF3B66" w:rsidRDefault="00FF3B66" w:rsidP="00B40BDD">
            <w:pPr>
              <w:rPr>
                <w:strike/>
                <w:color w:val="FF0000"/>
                <w:szCs w:val="22"/>
                <w:lang w:eastAsia="en-AU"/>
              </w:rPr>
            </w:pPr>
          </w:p>
        </w:tc>
        <w:tc>
          <w:tcPr>
            <w:tcW w:w="709" w:type="dxa"/>
            <w:tcBorders>
              <w:top w:val="single" w:sz="4" w:space="0" w:color="auto"/>
              <w:left w:val="single" w:sz="4" w:space="0" w:color="auto"/>
              <w:bottom w:val="single" w:sz="4" w:space="0" w:color="auto"/>
              <w:right w:val="single" w:sz="4" w:space="0" w:color="auto"/>
            </w:tcBorders>
          </w:tcPr>
          <w:p w14:paraId="378E3D71" w14:textId="77777777" w:rsidR="00FF3B66" w:rsidRPr="00FF3B66" w:rsidRDefault="00FF3B66" w:rsidP="00B40BDD">
            <w:pPr>
              <w:rPr>
                <w:strike/>
                <w:color w:val="FF0000"/>
                <w:szCs w:val="22"/>
                <w:lang w:eastAsia="en-AU"/>
              </w:rPr>
            </w:pPr>
          </w:p>
        </w:tc>
        <w:tc>
          <w:tcPr>
            <w:tcW w:w="7222" w:type="dxa"/>
            <w:tcBorders>
              <w:top w:val="single" w:sz="4" w:space="0" w:color="auto"/>
              <w:left w:val="single" w:sz="4" w:space="0" w:color="auto"/>
              <w:bottom w:val="single" w:sz="4" w:space="0" w:color="auto"/>
              <w:right w:val="single" w:sz="4" w:space="0" w:color="auto"/>
            </w:tcBorders>
            <w:hideMark/>
          </w:tcPr>
          <w:p w14:paraId="66D7EC1E" w14:textId="77777777" w:rsidR="00FF3B66" w:rsidRPr="00FF3B66" w:rsidRDefault="00FF3B66" w:rsidP="00B40BDD">
            <w:pPr>
              <w:rPr>
                <w:strike/>
                <w:color w:val="FF0000"/>
                <w:szCs w:val="22"/>
                <w:lang w:eastAsia="en-AU"/>
              </w:rPr>
            </w:pPr>
            <w:r w:rsidRPr="00FF3B66">
              <w:rPr>
                <w:strike/>
                <w:color w:val="FF0000"/>
                <w:szCs w:val="22"/>
                <w:lang w:eastAsia="en-AU"/>
              </w:rPr>
              <w:t>IVERMECTIN in preparations for oral administration for human use.</w:t>
            </w:r>
          </w:p>
        </w:tc>
      </w:tr>
    </w:tbl>
    <w:p w14:paraId="21269FF3" w14:textId="77777777" w:rsidR="00FF3B66" w:rsidRDefault="00FF3B66" w:rsidP="00FF3B66">
      <w:pPr>
        <w:ind w:left="426"/>
        <w:rPr>
          <w:b/>
        </w:rPr>
      </w:pPr>
    </w:p>
    <w:p w14:paraId="4537B38D" w14:textId="43F82169" w:rsidR="00FF3B66" w:rsidRDefault="00FF3B66" w:rsidP="00FF3B66">
      <w:pPr>
        <w:ind w:left="426"/>
        <w:rPr>
          <w:b/>
        </w:rPr>
      </w:pPr>
      <w:r>
        <w:rPr>
          <w:b/>
        </w:rPr>
        <w:t>Index</w:t>
      </w:r>
    </w:p>
    <w:p w14:paraId="04EFF09B" w14:textId="77777777" w:rsidR="00FF3B66" w:rsidRDefault="00FF3B66" w:rsidP="00FF3B66">
      <w:pPr>
        <w:ind w:left="567"/>
      </w:pPr>
      <w:r>
        <w:t>IVERMECTIN</w:t>
      </w:r>
    </w:p>
    <w:p w14:paraId="03EE2F9F" w14:textId="44E4F34F" w:rsidR="00FF3B66" w:rsidRDefault="00FF3B66" w:rsidP="00FF3B66">
      <w:pPr>
        <w:ind w:left="567"/>
      </w:pPr>
      <w:r>
        <w:t>Schedule 7</w:t>
      </w:r>
      <w:r>
        <w:br/>
        <w:t>Schedule 5</w:t>
      </w:r>
      <w:r>
        <w:br/>
        <w:t>Schedule 4</w:t>
      </w:r>
      <w:r>
        <w:br/>
      </w:r>
      <w:r w:rsidRPr="00FF3B66">
        <w:rPr>
          <w:strike/>
          <w:color w:val="FF0000"/>
        </w:rPr>
        <w:t>Appendix D, Item 10</w:t>
      </w:r>
    </w:p>
    <w:p w14:paraId="1E56F571" w14:textId="77777777" w:rsidR="00FF3B66" w:rsidRDefault="00FF3B66" w:rsidP="00FF3B66">
      <w:pPr>
        <w:ind w:left="567"/>
      </w:pPr>
    </w:p>
    <w:p w14:paraId="0DA43FB5" w14:textId="77777777" w:rsidR="00927539" w:rsidRPr="001E00F6" w:rsidRDefault="00927539" w:rsidP="00927539">
      <w:pPr>
        <w:pStyle w:val="Heading5"/>
        <w:rPr>
          <w:color w:val="auto"/>
        </w:rPr>
      </w:pPr>
      <w:r w:rsidRPr="001E00F6">
        <w:rPr>
          <w:color w:val="auto"/>
        </w:rPr>
        <w:lastRenderedPageBreak/>
        <w:t xml:space="preserve">Materials considered </w:t>
      </w:r>
    </w:p>
    <w:p w14:paraId="5DF8303F" w14:textId="16C7B07D" w:rsidR="00927539" w:rsidRDefault="00927539" w:rsidP="00927539">
      <w:r>
        <w:t>In making this final decision, the Delegate considered the following material:</w:t>
      </w:r>
    </w:p>
    <w:p w14:paraId="35C6D367" w14:textId="532A9C04" w:rsidR="00C20A42" w:rsidRDefault="00C20A42" w:rsidP="00927539">
      <w:pPr>
        <w:pStyle w:val="ListBullet"/>
      </w:pPr>
      <w:r>
        <w:t xml:space="preserve">The reasons </w:t>
      </w:r>
      <w:r w:rsidR="00F017AB">
        <w:t xml:space="preserve">for the amendment </w:t>
      </w:r>
      <w:r>
        <w:t xml:space="preserve">outlined in </w:t>
      </w:r>
      <w:hyperlink r:id="rId30" w:history="1">
        <w:r w:rsidR="00F017AB">
          <w:rPr>
            <w:rStyle w:val="Hyperlink"/>
            <w:rFonts w:asciiTheme="minorHAnsi" w:hAnsiTheme="minorHAnsi"/>
          </w:rPr>
          <w:t>Notice of an amendment to the current Poisons Standard under paragraph 52D(2)(a) of the Therapeutic Goods Act 1989</w:t>
        </w:r>
      </w:hyperlink>
      <w:r w:rsidR="00F017AB">
        <w:t xml:space="preserve"> to create a new Appendix D entry in the Poisons Standard in relation to ivermectin</w:t>
      </w:r>
      <w:r w:rsidR="00F017AB">
        <w:rPr>
          <w:rFonts w:asciiTheme="minorHAnsi" w:hAnsiTheme="minorHAnsi"/>
        </w:rPr>
        <w:t xml:space="preserve"> published on 10 September 2021 (the </w:t>
      </w:r>
      <w:r w:rsidR="00D22EEA">
        <w:rPr>
          <w:rFonts w:asciiTheme="minorHAnsi" w:hAnsiTheme="minorHAnsi"/>
          <w:b/>
          <w:bCs/>
        </w:rPr>
        <w:t>2021 decision</w:t>
      </w:r>
      <w:r w:rsidR="00F017AB">
        <w:rPr>
          <w:rFonts w:asciiTheme="minorHAnsi" w:hAnsiTheme="minorHAnsi"/>
        </w:rPr>
        <w:t>)</w:t>
      </w:r>
      <w:r w:rsidR="00066848">
        <w:rPr>
          <w:rFonts w:asciiTheme="minorHAnsi" w:hAnsiTheme="minorHAnsi"/>
        </w:rPr>
        <w:t>;</w:t>
      </w:r>
    </w:p>
    <w:p w14:paraId="155FCCB6" w14:textId="03A6EC60" w:rsidR="00927539" w:rsidRDefault="00927539" w:rsidP="00927539">
      <w:pPr>
        <w:pStyle w:val="ListBullet"/>
      </w:pPr>
      <w:r>
        <w:t xml:space="preserve">The </w:t>
      </w:r>
      <w:hyperlink r:id="rId31" w:history="1">
        <w:r w:rsidRPr="00AD3D4C">
          <w:rPr>
            <w:rStyle w:val="Hyperlink"/>
          </w:rPr>
          <w:t>application</w:t>
        </w:r>
      </w:hyperlink>
      <w:r>
        <w:t xml:space="preserve"> to amend the current Poisons Standard with respect to ivermectin (the </w:t>
      </w:r>
      <w:r>
        <w:rPr>
          <w:b/>
          <w:bCs/>
        </w:rPr>
        <w:t>Application</w:t>
      </w:r>
      <w:r>
        <w:t>);</w:t>
      </w:r>
    </w:p>
    <w:p w14:paraId="173D2435" w14:textId="77777777" w:rsidR="00927539" w:rsidRDefault="00927539" w:rsidP="00927539">
      <w:pPr>
        <w:pStyle w:val="ListBullet"/>
      </w:pPr>
      <w:r>
        <w:t xml:space="preserve">The 17 </w:t>
      </w:r>
      <w:hyperlink r:id="rId32" w:history="1">
        <w:r w:rsidRPr="00AD3D4C">
          <w:rPr>
            <w:rStyle w:val="Hyperlink"/>
          </w:rPr>
          <w:t>public submissions</w:t>
        </w:r>
      </w:hyperlink>
      <w:r>
        <w:t xml:space="preserve"> received in response to the </w:t>
      </w:r>
      <w:hyperlink r:id="rId33" w:history="1">
        <w:r w:rsidRPr="00AD3D4C">
          <w:rPr>
            <w:rStyle w:val="Hyperlink"/>
          </w:rPr>
          <w:t>pre-meeting consultation</w:t>
        </w:r>
      </w:hyperlink>
      <w:r>
        <w:t xml:space="preserve"> under regulation 42ZCZK of the Regulations (the </w:t>
      </w:r>
      <w:r w:rsidRPr="00212A35">
        <w:rPr>
          <w:b/>
          <w:bCs/>
        </w:rPr>
        <w:t>Submissions</w:t>
      </w:r>
      <w:r>
        <w:t xml:space="preserve">); </w:t>
      </w:r>
    </w:p>
    <w:p w14:paraId="1FA2C0AD" w14:textId="77777777" w:rsidR="00927539" w:rsidRDefault="00927539" w:rsidP="00927539">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20B99A78" w14:textId="100CC23E" w:rsidR="00927539" w:rsidRDefault="00927539" w:rsidP="00927539">
      <w:pPr>
        <w:pStyle w:val="ListBullet"/>
      </w:pPr>
      <w:r>
        <w:t xml:space="preserve">The </w:t>
      </w:r>
      <w:r w:rsidR="000A5A2F">
        <w:t>7</w:t>
      </w:r>
      <w:r>
        <w:t xml:space="preserve"> </w:t>
      </w:r>
      <w:hyperlink r:id="rId34" w:history="1">
        <w:r w:rsidRPr="002141F7">
          <w:rPr>
            <w:rStyle w:val="Hyperlink"/>
          </w:rPr>
          <w:t>public submissions</w:t>
        </w:r>
      </w:hyperlink>
      <w:r>
        <w:t xml:space="preserve"> received in response to the </w:t>
      </w:r>
      <w:hyperlink r:id="rId35" w:history="1">
        <w:r w:rsidRPr="002141F7">
          <w:rPr>
            <w:rStyle w:val="Hyperlink"/>
          </w:rPr>
          <w:t>interim decision consultation</w:t>
        </w:r>
      </w:hyperlink>
      <w:r>
        <w:t xml:space="preserve"> </w:t>
      </w:r>
      <w:r w:rsidRPr="002C1418">
        <w:t>under regulation 42ZCZP of the Regulations</w:t>
      </w:r>
      <w:r>
        <w:t>;</w:t>
      </w:r>
    </w:p>
    <w:p w14:paraId="0B67ACFD" w14:textId="0CC08C01" w:rsidR="00927539" w:rsidRDefault="00927539" w:rsidP="00927539">
      <w:pPr>
        <w:pStyle w:val="ListBullet"/>
      </w:pPr>
      <w:r w:rsidRPr="001169AC">
        <w:t xml:space="preserve">Subsection 52E(1) of </w:t>
      </w:r>
      <w:r>
        <w:rPr>
          <w:iCs/>
        </w:rPr>
        <w:t xml:space="preserve">the </w:t>
      </w:r>
      <w:r w:rsidRPr="00AB18C0">
        <w:rPr>
          <w:iCs/>
        </w:rPr>
        <w:t>Act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0400C42A" w14:textId="3C32C617" w:rsidR="00927539" w:rsidRPr="00BC13B8" w:rsidRDefault="007728F9" w:rsidP="00927539">
      <w:pPr>
        <w:pStyle w:val="ListBullet"/>
      </w:pPr>
      <w:r>
        <w:t>Pursuant to paragraph 52E(2)(a) of the Act, t</w:t>
      </w:r>
      <w:r w:rsidR="00927539" w:rsidRPr="00BC13B8">
        <w:t>he SPF; and</w:t>
      </w:r>
    </w:p>
    <w:p w14:paraId="2C72343C" w14:textId="7FF14254" w:rsidR="00927539" w:rsidRPr="00BC13B8" w:rsidRDefault="00927539" w:rsidP="00927539">
      <w:pPr>
        <w:pStyle w:val="ListBullet"/>
      </w:pPr>
      <w:r w:rsidRPr="00BC13B8">
        <w:t>The Handbook</w:t>
      </w:r>
      <w:r w:rsidR="00AB18C0">
        <w:t>.</w:t>
      </w:r>
    </w:p>
    <w:p w14:paraId="1AE2D011" w14:textId="77777777" w:rsidR="00927539" w:rsidRPr="00324965" w:rsidRDefault="00927539" w:rsidP="00927539">
      <w:pPr>
        <w:pStyle w:val="Heading5"/>
        <w:rPr>
          <w:color w:val="auto"/>
        </w:rPr>
      </w:pPr>
      <w:r w:rsidRPr="00324965">
        <w:rPr>
          <w:color w:val="auto"/>
        </w:rPr>
        <w:t>Reasons for the final decision (including findings on material questions of fact)</w:t>
      </w:r>
    </w:p>
    <w:p w14:paraId="0FDFFB82" w14:textId="547BEDA6" w:rsidR="006477C3" w:rsidRDefault="00927539" w:rsidP="00271EC5">
      <w:pPr>
        <w:rPr>
          <w:rFonts w:asciiTheme="minorHAnsi" w:hAnsiTheme="minorHAnsi"/>
        </w:rPr>
      </w:pPr>
      <w:r w:rsidRPr="000E0A0A">
        <w:rPr>
          <w:rFonts w:asciiTheme="minorHAnsi" w:hAnsiTheme="minorHAnsi"/>
        </w:rPr>
        <w:t xml:space="preserve">I have made a final decision to </w:t>
      </w:r>
      <w:r w:rsidR="00E04030">
        <w:rPr>
          <w:rFonts w:asciiTheme="minorHAnsi" w:hAnsiTheme="minorHAnsi"/>
        </w:rPr>
        <w:t>set aside</w:t>
      </w:r>
      <w:r w:rsidRPr="000E0A0A">
        <w:rPr>
          <w:rFonts w:asciiTheme="minorHAnsi" w:hAnsiTheme="minorHAnsi"/>
        </w:rPr>
        <w:t xml:space="preserve"> my interim decision </w:t>
      </w:r>
      <w:r w:rsidR="00FF3B66">
        <w:rPr>
          <w:rFonts w:asciiTheme="minorHAnsi" w:hAnsiTheme="minorHAnsi"/>
        </w:rPr>
        <w:t>and</w:t>
      </w:r>
      <w:r w:rsidRPr="000E0A0A">
        <w:rPr>
          <w:rFonts w:asciiTheme="minorHAnsi" w:hAnsiTheme="minorHAnsi"/>
        </w:rPr>
        <w:t xml:space="preserve"> amen</w:t>
      </w:r>
      <w:r w:rsidR="00AB18C0" w:rsidRPr="000E0A0A">
        <w:rPr>
          <w:rFonts w:asciiTheme="minorHAnsi" w:hAnsiTheme="minorHAnsi"/>
        </w:rPr>
        <w:t>d</w:t>
      </w:r>
      <w:r w:rsidRPr="000E0A0A">
        <w:rPr>
          <w:rFonts w:asciiTheme="minorHAnsi" w:hAnsiTheme="minorHAnsi"/>
        </w:rPr>
        <w:t xml:space="preserve"> the current Poisons Standard with respect to </w:t>
      </w:r>
      <w:r w:rsidR="00AB18C0" w:rsidRPr="000E0A0A">
        <w:rPr>
          <w:rFonts w:asciiTheme="minorHAnsi" w:hAnsiTheme="minorHAnsi"/>
        </w:rPr>
        <w:t>ivermectin</w:t>
      </w:r>
      <w:r w:rsidRPr="000E0A0A">
        <w:rPr>
          <w:rFonts w:asciiTheme="minorHAnsi" w:hAnsiTheme="minorHAnsi"/>
        </w:rPr>
        <w:t xml:space="preserve">. </w:t>
      </w:r>
      <w:r w:rsidR="004A1CB5">
        <w:rPr>
          <w:rFonts w:asciiTheme="minorHAnsi" w:hAnsiTheme="minorHAnsi"/>
        </w:rPr>
        <w:t xml:space="preserve">Specifically, </w:t>
      </w:r>
      <w:r w:rsidR="005D1F46">
        <w:rPr>
          <w:rFonts w:asciiTheme="minorHAnsi" w:hAnsiTheme="minorHAnsi"/>
        </w:rPr>
        <w:t xml:space="preserve">I have decided </w:t>
      </w:r>
      <w:r w:rsidR="00D22EEA">
        <w:rPr>
          <w:rFonts w:asciiTheme="minorHAnsi" w:hAnsiTheme="minorHAnsi"/>
        </w:rPr>
        <w:t xml:space="preserve">to remove the Appendix D entry as set out above because the </w:t>
      </w:r>
      <w:r w:rsidR="002D2EAD">
        <w:rPr>
          <w:rFonts w:asciiTheme="minorHAnsi" w:hAnsiTheme="minorHAnsi"/>
        </w:rPr>
        <w:t>prescribing of</w:t>
      </w:r>
      <w:r w:rsidR="002D2EAD" w:rsidRPr="001659A7">
        <w:rPr>
          <w:rFonts w:asciiTheme="minorHAnsi" w:hAnsiTheme="minorHAnsi"/>
        </w:rPr>
        <w:t xml:space="preserve"> </w:t>
      </w:r>
      <w:r w:rsidR="002D2EAD">
        <w:rPr>
          <w:rFonts w:asciiTheme="minorHAnsi" w:hAnsiTheme="minorHAnsi"/>
        </w:rPr>
        <w:t xml:space="preserve">ivermectin for </w:t>
      </w:r>
      <w:r w:rsidR="002D2EAD" w:rsidRPr="001659A7">
        <w:rPr>
          <w:rFonts w:asciiTheme="minorHAnsi" w:hAnsiTheme="minorHAnsi"/>
        </w:rPr>
        <w:t>unapproved indications</w:t>
      </w:r>
      <w:r w:rsidR="006477C3">
        <w:rPr>
          <w:rFonts w:asciiTheme="minorHAnsi" w:hAnsiTheme="minorHAnsi"/>
        </w:rPr>
        <w:t xml:space="preserve"> should no longer be restricted to </w:t>
      </w:r>
      <w:r w:rsidR="002D2EAD">
        <w:rPr>
          <w:rFonts w:asciiTheme="minorHAnsi" w:hAnsiTheme="minorHAnsi"/>
        </w:rPr>
        <w:t xml:space="preserve">certain </w:t>
      </w:r>
      <w:r w:rsidR="006477C3" w:rsidRPr="001659A7">
        <w:rPr>
          <w:rFonts w:asciiTheme="minorHAnsi" w:hAnsiTheme="minorHAnsi"/>
        </w:rPr>
        <w:t>specialists</w:t>
      </w:r>
      <w:r w:rsidR="002D2EAD">
        <w:rPr>
          <w:rFonts w:asciiTheme="minorHAnsi" w:hAnsiTheme="minorHAnsi"/>
        </w:rPr>
        <w:t xml:space="preserve"> (</w:t>
      </w:r>
      <w:r w:rsidR="006477C3" w:rsidRPr="001659A7">
        <w:rPr>
          <w:rFonts w:asciiTheme="minorHAnsi" w:hAnsiTheme="minorHAnsi"/>
        </w:rPr>
        <w:t>infectious disease physicians, dermatologists, gastroenterologists and hepatologists</w:t>
      </w:r>
      <w:r w:rsidR="002D2EAD">
        <w:rPr>
          <w:rFonts w:asciiTheme="minorHAnsi" w:hAnsiTheme="minorHAnsi"/>
        </w:rPr>
        <w:t>)</w:t>
      </w:r>
      <w:bookmarkStart w:id="40" w:name="_Hlk132798602"/>
      <w:r w:rsidR="004A1CB5">
        <w:rPr>
          <w:rFonts w:asciiTheme="minorHAnsi" w:hAnsiTheme="minorHAnsi"/>
        </w:rPr>
        <w:t xml:space="preserve">. </w:t>
      </w:r>
      <w:r w:rsidR="00D22EEA">
        <w:rPr>
          <w:rFonts w:asciiTheme="minorHAnsi" w:hAnsiTheme="minorHAnsi"/>
        </w:rPr>
        <w:t xml:space="preserve">In brief, this is because I am satisfied that </w:t>
      </w:r>
      <w:r w:rsidR="006477C3">
        <w:rPr>
          <w:rFonts w:asciiTheme="minorHAnsi" w:hAnsiTheme="minorHAnsi"/>
        </w:rPr>
        <w:t>the risk</w:t>
      </w:r>
      <w:r w:rsidR="00F017AB">
        <w:rPr>
          <w:rFonts w:asciiTheme="minorHAnsi" w:hAnsiTheme="minorHAnsi"/>
        </w:rPr>
        <w:t>s</w:t>
      </w:r>
      <w:r w:rsidR="00D22EEA">
        <w:rPr>
          <w:rFonts w:asciiTheme="minorHAnsi" w:hAnsiTheme="minorHAnsi"/>
        </w:rPr>
        <w:t xml:space="preserve"> to</w:t>
      </w:r>
      <w:r w:rsidR="006477C3">
        <w:rPr>
          <w:rFonts w:asciiTheme="minorHAnsi" w:hAnsiTheme="minorHAnsi"/>
        </w:rPr>
        <w:t xml:space="preserve"> public health</w:t>
      </w:r>
      <w:r w:rsidR="002D2EAD">
        <w:rPr>
          <w:rFonts w:asciiTheme="minorHAnsi" w:hAnsiTheme="minorHAnsi"/>
        </w:rPr>
        <w:t xml:space="preserve"> </w:t>
      </w:r>
      <w:bookmarkEnd w:id="40"/>
      <w:r w:rsidR="00D22EEA">
        <w:rPr>
          <w:rFonts w:asciiTheme="minorHAnsi" w:hAnsiTheme="minorHAnsi"/>
        </w:rPr>
        <w:t>that the Appendix D entry sought to address</w:t>
      </w:r>
      <w:r w:rsidR="002D2EAD">
        <w:rPr>
          <w:rFonts w:asciiTheme="minorHAnsi" w:hAnsiTheme="minorHAnsi"/>
        </w:rPr>
        <w:t xml:space="preserve"> are now </w:t>
      </w:r>
      <w:r w:rsidR="00D22EEA">
        <w:rPr>
          <w:rFonts w:asciiTheme="minorHAnsi" w:hAnsiTheme="minorHAnsi"/>
        </w:rPr>
        <w:t xml:space="preserve">otherwise </w:t>
      </w:r>
      <w:r w:rsidR="002D2EAD">
        <w:rPr>
          <w:rFonts w:asciiTheme="minorHAnsi" w:hAnsiTheme="minorHAnsi"/>
        </w:rPr>
        <w:t xml:space="preserve">mitigated </w:t>
      </w:r>
      <w:r w:rsidR="00D22EEA">
        <w:rPr>
          <w:rFonts w:asciiTheme="minorHAnsi" w:hAnsiTheme="minorHAnsi"/>
        </w:rPr>
        <w:t xml:space="preserve">so there is no longer sufficient justification </w:t>
      </w:r>
      <w:r w:rsidR="002D2EAD">
        <w:rPr>
          <w:rFonts w:asciiTheme="minorHAnsi" w:hAnsiTheme="minorHAnsi"/>
        </w:rPr>
        <w:t xml:space="preserve">to warrant </w:t>
      </w:r>
      <w:r w:rsidR="00D22EEA">
        <w:rPr>
          <w:rFonts w:asciiTheme="minorHAnsi" w:hAnsiTheme="minorHAnsi"/>
        </w:rPr>
        <w:t xml:space="preserve">retaining the </w:t>
      </w:r>
      <w:r w:rsidR="006477C3">
        <w:rPr>
          <w:rFonts w:asciiTheme="minorHAnsi" w:hAnsiTheme="minorHAnsi"/>
        </w:rPr>
        <w:t>entry with respect to ivermectin.</w:t>
      </w:r>
      <w:r w:rsidR="00D22EEA">
        <w:rPr>
          <w:rFonts w:asciiTheme="minorHAnsi" w:hAnsiTheme="minorHAnsi"/>
        </w:rPr>
        <w:t xml:space="preserve"> </w:t>
      </w:r>
    </w:p>
    <w:p w14:paraId="3AE12BCF" w14:textId="6EFAE704" w:rsidR="001403DD" w:rsidRDefault="00E67389" w:rsidP="00271EC5">
      <w:pPr>
        <w:rPr>
          <w:rFonts w:asciiTheme="minorHAnsi" w:hAnsiTheme="minorHAnsi"/>
        </w:rPr>
      </w:pPr>
      <w:r>
        <w:rPr>
          <w:rFonts w:asciiTheme="minorHAnsi" w:hAnsiTheme="minorHAnsi"/>
        </w:rPr>
        <w:t>My final decision departs</w:t>
      </w:r>
      <w:r w:rsidR="00635744">
        <w:rPr>
          <w:rFonts w:asciiTheme="minorHAnsi" w:hAnsiTheme="minorHAnsi"/>
        </w:rPr>
        <w:t xml:space="preserve"> from the recommendation of the Committee and my interim decision. This </w:t>
      </w:r>
      <w:r>
        <w:rPr>
          <w:rFonts w:asciiTheme="minorHAnsi" w:hAnsiTheme="minorHAnsi"/>
        </w:rPr>
        <w:t xml:space="preserve">is not a result of </w:t>
      </w:r>
      <w:r w:rsidR="00635744">
        <w:rPr>
          <w:rFonts w:asciiTheme="minorHAnsi" w:hAnsiTheme="minorHAnsi"/>
        </w:rPr>
        <w:t xml:space="preserve">new data </w:t>
      </w:r>
      <w:r>
        <w:rPr>
          <w:rFonts w:asciiTheme="minorHAnsi" w:hAnsiTheme="minorHAnsi"/>
        </w:rPr>
        <w:t>or issues having come to light. Rather, in reconsidering</w:t>
      </w:r>
      <w:r w:rsidR="00D100BC">
        <w:rPr>
          <w:rFonts w:asciiTheme="minorHAnsi" w:hAnsiTheme="minorHAnsi"/>
        </w:rPr>
        <w:t xml:space="preserve"> the information </w:t>
      </w:r>
      <w:r>
        <w:rPr>
          <w:rFonts w:asciiTheme="minorHAnsi" w:hAnsiTheme="minorHAnsi"/>
        </w:rPr>
        <w:t xml:space="preserve">I </w:t>
      </w:r>
      <w:proofErr w:type="gramStart"/>
      <w:r>
        <w:rPr>
          <w:rFonts w:asciiTheme="minorHAnsi" w:hAnsiTheme="minorHAnsi"/>
        </w:rPr>
        <w:t>took into account</w:t>
      </w:r>
      <w:proofErr w:type="gramEnd"/>
      <w:r w:rsidR="00D100BC">
        <w:rPr>
          <w:rFonts w:asciiTheme="minorHAnsi" w:hAnsiTheme="minorHAnsi"/>
        </w:rPr>
        <w:t xml:space="preserve"> in making the interim decision and the Committee recommendation, I have come to a different conclusion</w:t>
      </w:r>
      <w:r>
        <w:rPr>
          <w:rFonts w:asciiTheme="minorHAnsi" w:hAnsiTheme="minorHAnsi"/>
        </w:rPr>
        <w:t xml:space="preserve"> as to the balance of the risks and benefits of removing the Appendix D controls on ivermectin. My detailed reasoning is as follows</w:t>
      </w:r>
      <w:r w:rsidR="00D100BC">
        <w:rPr>
          <w:rFonts w:asciiTheme="minorHAnsi" w:hAnsiTheme="minorHAnsi"/>
        </w:rPr>
        <w:t>.</w:t>
      </w:r>
    </w:p>
    <w:p w14:paraId="57B457BF" w14:textId="1C6F6162" w:rsidR="00480C4F" w:rsidRDefault="00480C4F" w:rsidP="00271EC5">
      <w:pPr>
        <w:rPr>
          <w:rFonts w:asciiTheme="minorHAnsi" w:hAnsiTheme="minorHAnsi"/>
        </w:rPr>
      </w:pPr>
      <w:r>
        <w:rPr>
          <w:rFonts w:asciiTheme="minorHAnsi" w:hAnsiTheme="minorHAnsi"/>
        </w:rPr>
        <w:t xml:space="preserve">The </w:t>
      </w:r>
      <w:r w:rsidR="00D22EEA">
        <w:rPr>
          <w:rFonts w:asciiTheme="minorHAnsi" w:hAnsiTheme="minorHAnsi"/>
        </w:rPr>
        <w:t xml:space="preserve">2021 decision </w:t>
      </w:r>
      <w:r>
        <w:rPr>
          <w:rFonts w:asciiTheme="minorHAnsi" w:hAnsiTheme="minorHAnsi"/>
        </w:rPr>
        <w:t xml:space="preserve">to create a new Appendix D entry for ivermectin was </w:t>
      </w:r>
      <w:r w:rsidR="005D1F46">
        <w:rPr>
          <w:rFonts w:asciiTheme="minorHAnsi" w:hAnsiTheme="minorHAnsi"/>
        </w:rPr>
        <w:t xml:space="preserve">based </w:t>
      </w:r>
      <w:r>
        <w:rPr>
          <w:rFonts w:asciiTheme="minorHAnsi" w:hAnsiTheme="minorHAnsi"/>
        </w:rPr>
        <w:t xml:space="preserve">on three </w:t>
      </w:r>
      <w:r w:rsidR="005D1F46">
        <w:rPr>
          <w:rFonts w:asciiTheme="minorHAnsi" w:hAnsiTheme="minorHAnsi"/>
        </w:rPr>
        <w:t xml:space="preserve">main </w:t>
      </w:r>
      <w:r>
        <w:rPr>
          <w:rFonts w:asciiTheme="minorHAnsi" w:hAnsiTheme="minorHAnsi"/>
        </w:rPr>
        <w:t xml:space="preserve">concerns of </w:t>
      </w:r>
      <w:proofErr w:type="gramStart"/>
      <w:r>
        <w:rPr>
          <w:rFonts w:asciiTheme="minorHAnsi" w:hAnsiTheme="minorHAnsi"/>
        </w:rPr>
        <w:t>particular urgency</w:t>
      </w:r>
      <w:proofErr w:type="gramEnd"/>
      <w:r>
        <w:rPr>
          <w:rFonts w:asciiTheme="minorHAnsi" w:hAnsiTheme="minorHAnsi"/>
        </w:rPr>
        <w:t xml:space="preserve"> in the face of the COVID-19 pandemic, which I will now address </w:t>
      </w:r>
      <w:r w:rsidR="00D22EEA">
        <w:rPr>
          <w:rFonts w:asciiTheme="minorHAnsi" w:hAnsiTheme="minorHAnsi"/>
        </w:rPr>
        <w:t xml:space="preserve">with regard to </w:t>
      </w:r>
      <w:r>
        <w:rPr>
          <w:rFonts w:asciiTheme="minorHAnsi" w:hAnsiTheme="minorHAnsi"/>
        </w:rPr>
        <w:t>the current health climate</w:t>
      </w:r>
      <w:r w:rsidR="00C20A42">
        <w:rPr>
          <w:rFonts w:asciiTheme="minorHAnsi" w:hAnsiTheme="minorHAnsi"/>
        </w:rPr>
        <w:t>.</w:t>
      </w:r>
    </w:p>
    <w:p w14:paraId="4F1C37D7" w14:textId="77777777" w:rsidR="007A26F3" w:rsidRDefault="00480C4F" w:rsidP="00D2237D">
      <w:r>
        <w:t>Firstly,</w:t>
      </w:r>
      <w:r w:rsidR="00C20A42">
        <w:t xml:space="preserve"> the </w:t>
      </w:r>
      <w:r w:rsidR="00D22EEA">
        <w:t xml:space="preserve">2021 decision </w:t>
      </w:r>
      <w:r w:rsidR="00C20A42">
        <w:t xml:space="preserve">was made following reports of </w:t>
      </w:r>
      <w:r w:rsidR="00C20A42" w:rsidRPr="00C20A42">
        <w:t>increase</w:t>
      </w:r>
      <w:r w:rsidR="00C20A42">
        <w:t xml:space="preserve">d personal importation and </w:t>
      </w:r>
      <w:r w:rsidR="00C20A42" w:rsidRPr="00C20A42">
        <w:t xml:space="preserve">off-label prescribing of oral ivermectin as a potential therapy for prophylaxis </w:t>
      </w:r>
      <w:r w:rsidR="002C4DBC">
        <w:t xml:space="preserve">and </w:t>
      </w:r>
      <w:r w:rsidR="00C20A42" w:rsidRPr="00C20A42">
        <w:t xml:space="preserve">treatment of COVID-19. </w:t>
      </w:r>
      <w:r w:rsidR="00C20A42">
        <w:t xml:space="preserve">There is now an overwhelming </w:t>
      </w:r>
      <w:r w:rsidR="0014073B">
        <w:t>weight</w:t>
      </w:r>
      <w:r w:rsidR="00C20A42">
        <w:t xml:space="preserve"> of evidence </w:t>
      </w:r>
      <w:r w:rsidR="00F017AB">
        <w:t>against the use of ivermectin</w:t>
      </w:r>
      <w:r w:rsidR="00C20A42" w:rsidRPr="000E0A0A">
        <w:rPr>
          <w:rFonts w:asciiTheme="minorHAnsi" w:hAnsiTheme="minorHAnsi"/>
        </w:rPr>
        <w:t xml:space="preserve"> in </w:t>
      </w:r>
      <w:r w:rsidR="00C20A42" w:rsidRPr="000E0A0A">
        <w:rPr>
          <w:rFonts w:asciiTheme="minorHAnsi" w:hAnsiTheme="minorHAnsi"/>
        </w:rPr>
        <w:lastRenderedPageBreak/>
        <w:t xml:space="preserve">patients </w:t>
      </w:r>
      <w:r w:rsidR="00B562A7">
        <w:rPr>
          <w:rFonts w:asciiTheme="minorHAnsi" w:hAnsiTheme="minorHAnsi"/>
        </w:rPr>
        <w:t>either as a proph</w:t>
      </w:r>
      <w:r w:rsidR="002C4DBC">
        <w:rPr>
          <w:rFonts w:asciiTheme="minorHAnsi" w:hAnsiTheme="minorHAnsi"/>
        </w:rPr>
        <w:t>y</w:t>
      </w:r>
      <w:r w:rsidR="00B562A7">
        <w:rPr>
          <w:rFonts w:asciiTheme="minorHAnsi" w:hAnsiTheme="minorHAnsi"/>
        </w:rPr>
        <w:t xml:space="preserve">laxis or as a treatment of patients </w:t>
      </w:r>
      <w:r w:rsidR="00C20A42" w:rsidRPr="000E0A0A">
        <w:rPr>
          <w:rFonts w:asciiTheme="minorHAnsi" w:hAnsiTheme="minorHAnsi"/>
        </w:rPr>
        <w:t>with COVID-19</w:t>
      </w:r>
      <w:r w:rsidR="0014073B">
        <w:rPr>
          <w:rFonts w:asciiTheme="minorHAnsi" w:hAnsiTheme="minorHAnsi"/>
        </w:rPr>
        <w:t xml:space="preserve"> </w:t>
      </w:r>
      <w:r w:rsidR="00B562A7">
        <w:rPr>
          <w:rFonts w:asciiTheme="minorHAnsi" w:hAnsiTheme="minorHAnsi"/>
        </w:rPr>
        <w:t>with</w:t>
      </w:r>
      <w:r w:rsidR="0014073B">
        <w:rPr>
          <w:rFonts w:asciiTheme="minorHAnsi" w:hAnsiTheme="minorHAnsi"/>
        </w:rPr>
        <w:t xml:space="preserve"> </w:t>
      </w:r>
      <w:r w:rsidR="0014073B" w:rsidRPr="000E0A0A">
        <w:rPr>
          <w:rFonts w:asciiTheme="minorHAnsi" w:hAnsiTheme="minorHAnsi"/>
        </w:rPr>
        <w:t>no ben</w:t>
      </w:r>
      <w:r w:rsidR="0014073B">
        <w:rPr>
          <w:rFonts w:asciiTheme="minorHAnsi" w:hAnsiTheme="minorHAnsi"/>
        </w:rPr>
        <w:t>efit</w:t>
      </w:r>
      <w:r w:rsidR="0014073B" w:rsidRPr="000E0A0A">
        <w:rPr>
          <w:rFonts w:asciiTheme="minorHAnsi" w:hAnsiTheme="minorHAnsi"/>
        </w:rPr>
        <w:t xml:space="preserve"> </w:t>
      </w:r>
      <w:r w:rsidR="0014073B">
        <w:rPr>
          <w:rFonts w:asciiTheme="minorHAnsi" w:hAnsiTheme="minorHAnsi"/>
        </w:rPr>
        <w:t>in large clinical studies.</w:t>
      </w:r>
      <w:r w:rsidR="00C20A42" w:rsidRPr="000E0A0A">
        <w:rPr>
          <w:rStyle w:val="FootnoteReference"/>
          <w:rFonts w:asciiTheme="minorHAnsi" w:hAnsiTheme="minorHAnsi"/>
        </w:rPr>
        <w:footnoteReference w:id="17"/>
      </w:r>
      <w:r w:rsidR="00C20A42">
        <w:rPr>
          <w:rFonts w:asciiTheme="minorHAnsi" w:hAnsiTheme="minorHAnsi"/>
          <w:vertAlign w:val="superscript"/>
        </w:rPr>
        <w:t>,</w:t>
      </w:r>
      <w:r w:rsidR="00C20A42" w:rsidRPr="000E0A0A">
        <w:rPr>
          <w:rStyle w:val="FootnoteReference"/>
          <w:rFonts w:asciiTheme="minorHAnsi" w:hAnsiTheme="minorHAnsi"/>
        </w:rPr>
        <w:footnoteReference w:id="18"/>
      </w:r>
      <w:r w:rsidR="00C20A42">
        <w:rPr>
          <w:rFonts w:asciiTheme="minorHAnsi" w:hAnsiTheme="minorHAnsi"/>
          <w:vertAlign w:val="superscript"/>
        </w:rPr>
        <w:t>,</w:t>
      </w:r>
      <w:r w:rsidR="00C20A42" w:rsidRPr="000E0A0A">
        <w:rPr>
          <w:rStyle w:val="FootnoteReference"/>
          <w:rFonts w:asciiTheme="minorHAnsi" w:hAnsiTheme="minorHAnsi"/>
        </w:rPr>
        <w:footnoteReference w:id="19"/>
      </w:r>
      <w:r w:rsidR="0014073B" w:rsidRPr="0014073B">
        <w:rPr>
          <w:rFonts w:asciiTheme="minorHAnsi" w:hAnsiTheme="minorHAnsi"/>
          <w:vertAlign w:val="superscript"/>
        </w:rPr>
        <w:t>,</w:t>
      </w:r>
      <w:r w:rsidR="00C20A42" w:rsidRPr="000E0A0A">
        <w:rPr>
          <w:rStyle w:val="FootnoteReference"/>
          <w:rFonts w:asciiTheme="minorHAnsi" w:hAnsiTheme="minorHAnsi" w:cs="GuardianTextEgypGR-Regular"/>
          <w:szCs w:val="22"/>
          <w:lang w:eastAsia="en-AU"/>
        </w:rPr>
        <w:footnoteReference w:id="20"/>
      </w:r>
      <w:r w:rsidR="00F017AB">
        <w:rPr>
          <w:rFonts w:asciiTheme="minorHAnsi" w:hAnsiTheme="minorHAnsi"/>
          <w:vertAlign w:val="superscript"/>
        </w:rPr>
        <w:t>,</w:t>
      </w:r>
      <w:r w:rsidR="00C20A42" w:rsidRPr="000E0A0A">
        <w:rPr>
          <w:rStyle w:val="FootnoteReference"/>
          <w:rFonts w:asciiTheme="minorHAnsi" w:hAnsiTheme="minorHAnsi" w:cs="GuardianTextEgypGR-Regular"/>
          <w:szCs w:val="22"/>
          <w:lang w:eastAsia="en-AU"/>
        </w:rPr>
        <w:footnoteReference w:id="21"/>
      </w:r>
      <w:r w:rsidR="00F017AB">
        <w:rPr>
          <w:rFonts w:asciiTheme="minorHAnsi" w:hAnsiTheme="minorHAnsi"/>
          <w:vertAlign w:val="superscript"/>
        </w:rPr>
        <w:t>,</w:t>
      </w:r>
      <w:r w:rsidR="00C20A42" w:rsidRPr="000E0A0A">
        <w:rPr>
          <w:rStyle w:val="FootnoteReference"/>
          <w:rFonts w:asciiTheme="minorHAnsi" w:hAnsiTheme="minorHAnsi" w:cs="GuardianTextEgypGR-Regular"/>
          <w:szCs w:val="22"/>
          <w:lang w:eastAsia="en-AU"/>
        </w:rPr>
        <w:footnoteReference w:id="22"/>
      </w:r>
      <w:r w:rsidR="00D2237D" w:rsidRPr="00D2237D">
        <w:rPr>
          <w:rFonts w:asciiTheme="minorHAnsi" w:hAnsiTheme="minorHAnsi"/>
          <w:vertAlign w:val="superscript"/>
        </w:rPr>
        <w:t>,</w:t>
      </w:r>
      <w:bookmarkStart w:id="41" w:name="_Ref132825885"/>
      <w:r w:rsidR="00D2237D" w:rsidRPr="000E0A0A">
        <w:rPr>
          <w:rStyle w:val="FootnoteReference"/>
          <w:rFonts w:asciiTheme="minorHAnsi" w:hAnsiTheme="minorHAnsi"/>
        </w:rPr>
        <w:footnoteReference w:id="23"/>
      </w:r>
      <w:bookmarkEnd w:id="41"/>
      <w:r w:rsidR="00D2237D">
        <w:t xml:space="preserve"> </w:t>
      </w:r>
    </w:p>
    <w:p w14:paraId="7A872F48" w14:textId="79766C0D" w:rsidR="00E67389" w:rsidRDefault="0014073B" w:rsidP="00D2237D">
      <w:pPr>
        <w:rPr>
          <w:vertAlign w:val="superscript"/>
        </w:rPr>
      </w:pPr>
      <w:r>
        <w:rPr>
          <w:rFonts w:asciiTheme="minorHAnsi" w:hAnsiTheme="minorHAnsi"/>
        </w:rPr>
        <w:t xml:space="preserve">As outlined in </w:t>
      </w:r>
      <w:r w:rsidR="00D22EEA">
        <w:rPr>
          <w:rFonts w:asciiTheme="minorHAnsi" w:hAnsiTheme="minorHAnsi"/>
        </w:rPr>
        <w:t xml:space="preserve">my </w:t>
      </w:r>
      <w:r>
        <w:rPr>
          <w:rFonts w:asciiTheme="minorHAnsi" w:hAnsiTheme="minorHAnsi"/>
        </w:rPr>
        <w:t>interim decision</w:t>
      </w:r>
      <w:r w:rsidR="00D2237D">
        <w:rPr>
          <w:rFonts w:asciiTheme="minorHAnsi" w:hAnsiTheme="minorHAnsi"/>
        </w:rPr>
        <w:t>,</w:t>
      </w:r>
      <w:r>
        <w:rPr>
          <w:rFonts w:asciiTheme="minorHAnsi" w:hAnsiTheme="minorHAnsi"/>
        </w:rPr>
        <w:t xml:space="preserve"> </w:t>
      </w:r>
      <w:r w:rsidR="00F017AB">
        <w:t xml:space="preserve">key national and international institutions </w:t>
      </w:r>
      <w:r>
        <w:t xml:space="preserve">strongly advise against </w:t>
      </w:r>
      <w:r w:rsidR="00F017AB">
        <w:t>the use of ivermectin for the treatment and prophylaxis of COVID-19</w:t>
      </w:r>
      <w:r w:rsidR="00D2237D">
        <w:t>.</w:t>
      </w:r>
      <w:r>
        <w:t xml:space="preserve"> </w:t>
      </w:r>
      <w:r w:rsidR="00D2237D">
        <w:t>M</w:t>
      </w:r>
      <w:r>
        <w:t>ost importantly, t</w:t>
      </w:r>
      <w:r w:rsidR="00F017AB">
        <w:t xml:space="preserve">he </w:t>
      </w:r>
      <w:hyperlink r:id="rId36" w:history="1">
        <w:r w:rsidR="00F017AB" w:rsidRPr="00AB26C3">
          <w:rPr>
            <w:rStyle w:val="Hyperlink"/>
          </w:rPr>
          <w:t>National Covid Evidence Taskforce</w:t>
        </w:r>
      </w:hyperlink>
      <w:r w:rsidR="00F017AB">
        <w:t xml:space="preserve"> (NCET) advises against the use of ivermectin for COVID-19 treatment</w:t>
      </w:r>
      <w:r w:rsidR="00D2237D">
        <w:t xml:space="preserve">, </w:t>
      </w:r>
      <w:r w:rsidR="00F017AB">
        <w:t>and strongly discourages the use of ivermectin for the prevention or treatment of COVID-19.</w:t>
      </w:r>
      <w:r>
        <w:rPr>
          <w:rStyle w:val="FootnoteReference"/>
        </w:rPr>
        <w:footnoteReference w:id="24"/>
      </w:r>
      <w:r w:rsidR="00F017AB">
        <w:t xml:space="preserve"> </w:t>
      </w:r>
      <w:r>
        <w:t xml:space="preserve">In addition, </w:t>
      </w:r>
      <w:r w:rsidR="00F017AB">
        <w:t xml:space="preserve">the </w:t>
      </w:r>
      <w:hyperlink r:id="rId37" w:history="1">
        <w:r w:rsidR="00F017AB" w:rsidRPr="00AB26C3">
          <w:rPr>
            <w:rStyle w:val="Hyperlink"/>
          </w:rPr>
          <w:t>Cochrane Collaboration</w:t>
        </w:r>
      </w:hyperlink>
      <w:r w:rsidR="00D2237D">
        <w:t xml:space="preserve"> (</w:t>
      </w:r>
      <w:r w:rsidR="005D1F46">
        <w:t xml:space="preserve">last </w:t>
      </w:r>
      <w:r w:rsidR="00D2237D">
        <w:t>updated in July 2022)</w:t>
      </w:r>
      <w:r w:rsidR="002953B5">
        <w:t xml:space="preserve"> </w:t>
      </w:r>
      <w:r w:rsidR="005D1F46">
        <w:t xml:space="preserve">concluded </w:t>
      </w:r>
      <w:r w:rsidR="002953B5">
        <w:t xml:space="preserve">that </w:t>
      </w:r>
      <w:r w:rsidR="002953B5" w:rsidRPr="002953B5">
        <w:t xml:space="preserve">ivermectin </w:t>
      </w:r>
      <w:r w:rsidR="00BE6BC8">
        <w:t xml:space="preserve">has no demonstrated beneficial effect </w:t>
      </w:r>
      <w:r w:rsidR="002953B5" w:rsidRPr="002953B5">
        <w:t>for treatment or prevention of COVID‐19</w:t>
      </w:r>
      <w:r w:rsidR="002953B5">
        <w:t xml:space="preserve">, as the </w:t>
      </w:r>
      <w:r w:rsidR="002953B5" w:rsidRPr="002953B5">
        <w:t xml:space="preserve">available evidence </w:t>
      </w:r>
      <w:r w:rsidR="00BE6BC8">
        <w:t xml:space="preserve">of efficacy </w:t>
      </w:r>
      <w:r w:rsidR="002953B5" w:rsidRPr="002953B5">
        <w:t>is of low to very low quality</w:t>
      </w:r>
      <w:r w:rsidR="00BE6BC8">
        <w:t>, and remained uncertain whether ivermectin increased adverse events associated with COVID-19</w:t>
      </w:r>
      <w:r w:rsidR="002953B5" w:rsidRPr="002953B5">
        <w:t>.</w:t>
      </w:r>
      <w:r w:rsidR="002953B5" w:rsidRPr="000E0A0A">
        <w:rPr>
          <w:rStyle w:val="FootnoteReference"/>
          <w:rFonts w:asciiTheme="minorHAnsi" w:hAnsiTheme="minorHAnsi"/>
          <w:szCs w:val="22"/>
        </w:rPr>
        <w:footnoteReference w:id="25"/>
      </w:r>
      <w:r w:rsidR="002953B5">
        <w:rPr>
          <w:vertAlign w:val="superscript"/>
        </w:rPr>
        <w:t>,</w:t>
      </w:r>
      <w:r w:rsidR="002953B5">
        <w:rPr>
          <w:rStyle w:val="FootnoteReference"/>
        </w:rPr>
        <w:footnoteReference w:id="26"/>
      </w:r>
      <w:r w:rsidR="00F8107D">
        <w:rPr>
          <w:vertAlign w:val="superscript"/>
        </w:rPr>
        <w:t xml:space="preserve"> </w:t>
      </w:r>
    </w:p>
    <w:p w14:paraId="628B3A43" w14:textId="0F9EE8B7" w:rsidR="00E67389" w:rsidRDefault="00E67389" w:rsidP="00D2237D">
      <w:pPr>
        <w:rPr>
          <w:rFonts w:asciiTheme="minorHAnsi" w:hAnsiTheme="minorHAnsi"/>
        </w:rPr>
      </w:pPr>
      <w:r>
        <w:rPr>
          <w:rFonts w:asciiTheme="minorHAnsi" w:hAnsiTheme="minorHAnsi"/>
        </w:rPr>
        <w:t xml:space="preserve">The Committee advice and my interim decision made the argument that this state of the evidence warranted the retention of the Appendix D restrictions on the prescribing of ivermectin. However, while I am not dismissing this argument, when looking at these data through a different lens, I am now of the view that the consequence of such a body of </w:t>
      </w:r>
      <w:r w:rsidRPr="001403DD">
        <w:rPr>
          <w:rFonts w:asciiTheme="minorHAnsi" w:hAnsiTheme="minorHAnsi"/>
        </w:rPr>
        <w:t xml:space="preserve">clinical evidence </w:t>
      </w:r>
      <w:r>
        <w:rPr>
          <w:rFonts w:asciiTheme="minorHAnsi" w:hAnsiTheme="minorHAnsi"/>
        </w:rPr>
        <w:t xml:space="preserve">is that </w:t>
      </w:r>
      <w:r w:rsidRPr="001403DD">
        <w:rPr>
          <w:rFonts w:asciiTheme="minorHAnsi" w:hAnsiTheme="minorHAnsi"/>
        </w:rPr>
        <w:t xml:space="preserve">medical practitioners are </w:t>
      </w:r>
      <w:r>
        <w:rPr>
          <w:rFonts w:asciiTheme="minorHAnsi" w:hAnsiTheme="minorHAnsi"/>
        </w:rPr>
        <w:t xml:space="preserve">now well </w:t>
      </w:r>
      <w:r w:rsidRPr="001403DD">
        <w:rPr>
          <w:rFonts w:asciiTheme="minorHAnsi" w:hAnsiTheme="minorHAnsi"/>
        </w:rPr>
        <w:t>informed of the risks of prescribing ivermectin for such off-label indication</w:t>
      </w:r>
      <w:r>
        <w:rPr>
          <w:rFonts w:asciiTheme="minorHAnsi" w:hAnsiTheme="minorHAnsi"/>
        </w:rPr>
        <w:t>s</w:t>
      </w:r>
      <w:r w:rsidRPr="001403DD">
        <w:rPr>
          <w:rFonts w:asciiTheme="minorHAnsi" w:hAnsiTheme="minorHAnsi"/>
        </w:rPr>
        <w:t xml:space="preserve">. I have confidence that the volume of published studies demonstrating the lack of efficacy of ivermectin for the </w:t>
      </w:r>
      <w:r w:rsidR="00B562A7">
        <w:rPr>
          <w:rFonts w:asciiTheme="minorHAnsi" w:hAnsiTheme="minorHAnsi"/>
        </w:rPr>
        <w:t xml:space="preserve">prophylaxis and </w:t>
      </w:r>
      <w:r w:rsidRPr="001403DD">
        <w:rPr>
          <w:rFonts w:asciiTheme="minorHAnsi" w:hAnsiTheme="minorHAnsi"/>
        </w:rPr>
        <w:t>treatment of COVID-19 enables all medical practitioners to exercise sound judgement when considering the specific use of ivermectin for COVID-19.</w:t>
      </w:r>
    </w:p>
    <w:p w14:paraId="22B2E7EB" w14:textId="77777777" w:rsidR="00472F4F" w:rsidRDefault="00D2237D" w:rsidP="00A2362C">
      <w:r>
        <w:t xml:space="preserve">The second concern that prompted the </w:t>
      </w:r>
      <w:r w:rsidR="00D22EEA">
        <w:t xml:space="preserve">2021 decision </w:t>
      </w:r>
      <w:r>
        <w:t xml:space="preserve">was the </w:t>
      </w:r>
      <w:r w:rsidRPr="00D2237D">
        <w:t xml:space="preserve">likelihood that </w:t>
      </w:r>
      <w:r w:rsidR="00F8107D">
        <w:t xml:space="preserve">persons </w:t>
      </w:r>
      <w:r w:rsidRPr="00D2237D">
        <w:t xml:space="preserve">prescribed </w:t>
      </w:r>
      <w:r w:rsidR="00F8107D">
        <w:t>ivermectin for COVID-19 would</w:t>
      </w:r>
      <w:r w:rsidRPr="00D2237D">
        <w:t xml:space="preserve"> believe themselves protected and </w:t>
      </w:r>
      <w:r w:rsidR="00F8107D">
        <w:t xml:space="preserve">would </w:t>
      </w:r>
      <w:r w:rsidRPr="00D2237D">
        <w:t xml:space="preserve">not </w:t>
      </w:r>
      <w:r w:rsidR="00B92D77">
        <w:t xml:space="preserve">get </w:t>
      </w:r>
      <w:proofErr w:type="gramStart"/>
      <w:r w:rsidR="00B92D77">
        <w:t>vaccinated, and</w:t>
      </w:r>
      <w:proofErr w:type="gramEnd"/>
      <w:r w:rsidR="00B92D77">
        <w:t xml:space="preserve"> would not </w:t>
      </w:r>
      <w:r w:rsidR="00B92D77" w:rsidRPr="00D2237D">
        <w:t>seek</w:t>
      </w:r>
      <w:r w:rsidR="00B92D77">
        <w:t xml:space="preserve"> the</w:t>
      </w:r>
      <w:r w:rsidR="00B92D77" w:rsidRPr="00D2237D">
        <w:t xml:space="preserve"> appropriate medical care if symptoms</w:t>
      </w:r>
      <w:r w:rsidR="00B92D77">
        <w:t xml:space="preserve"> develope</w:t>
      </w:r>
      <w:r w:rsidR="00D22EEA">
        <w:t>d. This would</w:t>
      </w:r>
      <w:r w:rsidR="00B92D77">
        <w:t xml:space="preserve"> </w:t>
      </w:r>
      <w:r w:rsidR="00D22EEA">
        <w:t xml:space="preserve">pose </w:t>
      </w:r>
      <w:r w:rsidR="00B92D77">
        <w:t xml:space="preserve">a significant </w:t>
      </w:r>
      <w:r w:rsidRPr="00D2237D">
        <w:t xml:space="preserve">risk to the community through the spread of the disease as well as the risks to individuals using </w:t>
      </w:r>
      <w:r w:rsidR="00BE6BC8">
        <w:t xml:space="preserve">ivermectin </w:t>
      </w:r>
      <w:r w:rsidRPr="00D2237D">
        <w:t>for this purpose.</w:t>
      </w:r>
      <w:r w:rsidR="00B92D77">
        <w:t xml:space="preserve"> </w:t>
      </w:r>
    </w:p>
    <w:p w14:paraId="0455D63F" w14:textId="48A85C50" w:rsidR="00D22EEA" w:rsidRPr="00472F4F" w:rsidRDefault="00350E8D" w:rsidP="00A2362C">
      <w:pPr>
        <w:rPr>
          <w:rFonts w:asciiTheme="minorHAnsi" w:hAnsiTheme="minorHAnsi"/>
        </w:rPr>
      </w:pPr>
      <w:r w:rsidRPr="00350E8D">
        <w:rPr>
          <w:rFonts w:asciiTheme="minorHAnsi" w:hAnsiTheme="minorHAnsi"/>
        </w:rPr>
        <w:t xml:space="preserve">Since the making of the interim decision, I note </w:t>
      </w:r>
      <w:r>
        <w:rPr>
          <w:rFonts w:asciiTheme="minorHAnsi" w:hAnsiTheme="minorHAnsi"/>
        </w:rPr>
        <w:t>the recent</w:t>
      </w:r>
      <w:r w:rsidRPr="00350E8D">
        <w:rPr>
          <w:rFonts w:asciiTheme="minorHAnsi" w:hAnsiTheme="minorHAnsi"/>
        </w:rPr>
        <w:t xml:space="preserve"> publication by </w:t>
      </w:r>
      <w:proofErr w:type="spellStart"/>
      <w:r w:rsidRPr="00350E8D">
        <w:rPr>
          <w:rFonts w:asciiTheme="minorHAnsi" w:hAnsiTheme="minorHAnsi"/>
        </w:rPr>
        <w:t>Naggie</w:t>
      </w:r>
      <w:proofErr w:type="spellEnd"/>
      <w:r w:rsidRPr="00350E8D">
        <w:rPr>
          <w:rFonts w:asciiTheme="minorHAnsi" w:hAnsiTheme="minorHAnsi"/>
        </w:rPr>
        <w:t xml:space="preserve"> </w:t>
      </w:r>
      <w:r w:rsidRPr="00350E8D">
        <w:rPr>
          <w:rFonts w:asciiTheme="minorHAnsi" w:hAnsiTheme="minorHAnsi"/>
          <w:i/>
          <w:iCs/>
        </w:rPr>
        <w:t>et al.</w:t>
      </w:r>
      <w:r w:rsidRPr="00350E8D">
        <w:rPr>
          <w:rFonts w:asciiTheme="minorHAnsi" w:hAnsiTheme="minorHAnsi"/>
        </w:rPr>
        <w:t xml:space="preserve"> showing that at higher doses of ivermectin for a longer period of administration than previous clinical studies, </w:t>
      </w:r>
      <w:r w:rsidR="0076778A">
        <w:t>600 ug/kg daily for 6 days</w:t>
      </w:r>
      <w:r w:rsidR="0076778A">
        <w:rPr>
          <w:rFonts w:asciiTheme="minorHAnsi" w:hAnsiTheme="minorHAnsi"/>
        </w:rPr>
        <w:t xml:space="preserve">, </w:t>
      </w:r>
      <w:r>
        <w:rPr>
          <w:rFonts w:asciiTheme="minorHAnsi" w:hAnsiTheme="minorHAnsi"/>
        </w:rPr>
        <w:t>s</w:t>
      </w:r>
      <w:r w:rsidRPr="00350E8D">
        <w:rPr>
          <w:rFonts w:asciiTheme="minorHAnsi" w:hAnsiTheme="minorHAnsi"/>
        </w:rPr>
        <w:t>howed no therapeutic benefit of ivermectin in COVID-19 patients, and did not associate ivermectin with serious adverse events</w:t>
      </w:r>
      <w:r>
        <w:rPr>
          <w:rFonts w:asciiTheme="minorHAnsi" w:hAnsiTheme="minorHAnsi"/>
        </w:rPr>
        <w:t>.</w:t>
      </w:r>
      <w:r w:rsidRPr="00350E8D">
        <w:rPr>
          <w:rFonts w:asciiTheme="minorHAnsi" w:hAnsiTheme="minorHAnsi"/>
        </w:rPr>
        <w:t xml:space="preserve"> </w:t>
      </w:r>
      <w:r w:rsidRPr="00350E8D">
        <w:rPr>
          <w:rFonts w:asciiTheme="minorHAnsi" w:hAnsiTheme="minorHAnsi" w:cs="GuardianTextEgypGR-Regular"/>
          <w:szCs w:val="22"/>
          <w:vertAlign w:val="superscript"/>
          <w:lang w:eastAsia="en-AU"/>
        </w:rPr>
        <w:fldChar w:fldCharType="begin"/>
      </w:r>
      <w:r w:rsidRPr="00350E8D">
        <w:rPr>
          <w:rFonts w:asciiTheme="minorHAnsi" w:hAnsiTheme="minorHAnsi" w:cs="GuardianTextEgypGR-Regular"/>
          <w:szCs w:val="22"/>
          <w:vertAlign w:val="superscript"/>
          <w:lang w:eastAsia="en-AU"/>
        </w:rPr>
        <w:instrText xml:space="preserve"> NOTEREF _Ref132825885 \h  \* MERGEFORMAT </w:instrText>
      </w:r>
      <w:r w:rsidRPr="00350E8D">
        <w:rPr>
          <w:rFonts w:asciiTheme="minorHAnsi" w:hAnsiTheme="minorHAnsi" w:cs="GuardianTextEgypGR-Regular"/>
          <w:szCs w:val="22"/>
          <w:vertAlign w:val="superscript"/>
          <w:lang w:eastAsia="en-AU"/>
        </w:rPr>
      </w:r>
      <w:r w:rsidRPr="00350E8D">
        <w:rPr>
          <w:rFonts w:asciiTheme="minorHAnsi" w:hAnsiTheme="minorHAnsi" w:cs="GuardianTextEgypGR-Regular"/>
          <w:szCs w:val="22"/>
          <w:vertAlign w:val="superscript"/>
          <w:lang w:eastAsia="en-AU"/>
        </w:rPr>
        <w:fldChar w:fldCharType="separate"/>
      </w:r>
      <w:r w:rsidRPr="00350E8D">
        <w:rPr>
          <w:rFonts w:asciiTheme="minorHAnsi" w:hAnsiTheme="minorHAnsi" w:cs="GuardianTextEgypGR-Regular"/>
          <w:szCs w:val="22"/>
          <w:vertAlign w:val="superscript"/>
          <w:lang w:eastAsia="en-AU"/>
        </w:rPr>
        <w:t>9</w:t>
      </w:r>
      <w:r w:rsidRPr="00350E8D">
        <w:rPr>
          <w:rFonts w:asciiTheme="minorHAnsi" w:hAnsiTheme="minorHAnsi" w:cs="GuardianTextEgypGR-Regular"/>
          <w:szCs w:val="22"/>
          <w:vertAlign w:val="superscript"/>
          <w:lang w:eastAsia="en-AU"/>
        </w:rPr>
        <w:fldChar w:fldCharType="end"/>
      </w:r>
      <w:r>
        <w:rPr>
          <w:rFonts w:asciiTheme="minorHAnsi" w:hAnsiTheme="minorHAnsi"/>
        </w:rPr>
        <w:t xml:space="preserve"> </w:t>
      </w:r>
      <w:r w:rsidR="008F55D9">
        <w:t xml:space="preserve">I am of the view that the </w:t>
      </w:r>
      <w:r w:rsidR="008F55D9">
        <w:lastRenderedPageBreak/>
        <w:t>risks to public health that prompted the 2021 decision are now appropriately mitigated through the high vaccination rate</w:t>
      </w:r>
      <w:r w:rsidR="00FF5E47">
        <w:t xml:space="preserve"> and immunity conferred by both prior infection and vaccination (hybrid immunity)</w:t>
      </w:r>
      <w:r w:rsidR="008F55D9">
        <w:t xml:space="preserve"> in Australia, and that the investigated doses, frequency and duration of ivermectin use, demonstrate a </w:t>
      </w:r>
      <w:proofErr w:type="gramStart"/>
      <w:r w:rsidR="008F55D9">
        <w:t>low-risk</w:t>
      </w:r>
      <w:proofErr w:type="gramEnd"/>
      <w:r w:rsidR="008F55D9">
        <w:t xml:space="preserve"> of toxicity.</w:t>
      </w:r>
    </w:p>
    <w:p w14:paraId="3C52BAED" w14:textId="1FC9E050" w:rsidR="00D22EEA" w:rsidRDefault="00A2362C" w:rsidP="00A2362C">
      <w:r>
        <w:t xml:space="preserve">Regarding the risk of </w:t>
      </w:r>
      <w:r w:rsidR="00D22EEA">
        <w:t xml:space="preserve">persons </w:t>
      </w:r>
      <w:r w:rsidR="00BE6BC8">
        <w:t>remaining un</w:t>
      </w:r>
      <w:r>
        <w:t xml:space="preserve">vaccinated, I </w:t>
      </w:r>
      <w:r w:rsidR="00FC492B">
        <w:t xml:space="preserve">have </w:t>
      </w:r>
      <w:r>
        <w:t>reflect</w:t>
      </w:r>
      <w:r w:rsidR="00FC492B">
        <w:t>ed</w:t>
      </w:r>
      <w:r>
        <w:t xml:space="preserve"> on the publicly available data on vaccination rates in Australia</w:t>
      </w:r>
      <w:r w:rsidR="00FC492B">
        <w:t>.</w:t>
      </w:r>
      <w:r>
        <w:t xml:space="preserve"> </w:t>
      </w:r>
      <w:r w:rsidR="00BE6BC8">
        <w:t>W</w:t>
      </w:r>
      <w:r w:rsidR="00FC492B">
        <w:t>ith over 19</w:t>
      </w:r>
      <w:r w:rsidR="00C47290">
        <w:t>.8</w:t>
      </w:r>
      <w:r w:rsidR="00FC492B">
        <w:t xml:space="preserve"> million persons age</w:t>
      </w:r>
      <w:r w:rsidR="00C47290">
        <w:t>d</w:t>
      </w:r>
      <w:r w:rsidR="00FC492B">
        <w:t xml:space="preserve"> 16</w:t>
      </w:r>
      <w:r w:rsidR="00C47290">
        <w:t xml:space="preserve"> and over (of a total population aged 16 and over of 20.6 million)</w:t>
      </w:r>
      <w:r w:rsidR="00FC492B">
        <w:t xml:space="preserve"> hav</w:t>
      </w:r>
      <w:r w:rsidR="00BE6BC8">
        <w:t>ing</w:t>
      </w:r>
      <w:r w:rsidR="00FC492B">
        <w:t xml:space="preserve"> received at least 2 doses of a COVID-19 vaccine</w:t>
      </w:r>
      <w:r w:rsidR="00B562A7">
        <w:t xml:space="preserve"> and over 14 million having received 3</w:t>
      </w:r>
      <w:r w:rsidR="00BE6BC8">
        <w:t xml:space="preserve"> </w:t>
      </w:r>
      <w:r w:rsidR="00C47290">
        <w:t xml:space="preserve">doses </w:t>
      </w:r>
      <w:r w:rsidR="00BE6BC8">
        <w:t>(as of 24 March 2023)</w:t>
      </w:r>
      <w:r w:rsidR="00FC492B">
        <w:t>, I am satisfied that</w:t>
      </w:r>
      <w:r w:rsidR="00CC2865">
        <w:t xml:space="preserve"> the community </w:t>
      </w:r>
      <w:r w:rsidR="00C47290">
        <w:t xml:space="preserve">has been </w:t>
      </w:r>
      <w:r w:rsidR="007A26F3">
        <w:t xml:space="preserve">initially vaccinated to a reasonable level </w:t>
      </w:r>
      <w:r w:rsidR="00CC2865">
        <w:t xml:space="preserve">and that </w:t>
      </w:r>
      <w:r w:rsidR="00C47290">
        <w:t xml:space="preserve">there is low risk of </w:t>
      </w:r>
      <w:r w:rsidR="00FC492B">
        <w:t>individuals seek</w:t>
      </w:r>
      <w:r w:rsidR="00C47290">
        <w:t xml:space="preserve">ing </w:t>
      </w:r>
      <w:r w:rsidR="00FC492B">
        <w:t>ivermectin as an alternative treatment or prophylactic measure.</w:t>
      </w:r>
      <w:r w:rsidR="00FC492B">
        <w:rPr>
          <w:rStyle w:val="FootnoteReference"/>
        </w:rPr>
        <w:footnoteReference w:id="27"/>
      </w:r>
      <w:r w:rsidR="0026274F">
        <w:t xml:space="preserve"> </w:t>
      </w:r>
    </w:p>
    <w:p w14:paraId="6C1F3C58" w14:textId="4557C7C7" w:rsidR="00D2237D" w:rsidRDefault="00B92D77" w:rsidP="00A2362C">
      <w:r>
        <w:t>Regarding risk to the individual</w:t>
      </w:r>
      <w:r w:rsidR="00472F4F">
        <w:t>,</w:t>
      </w:r>
      <w:r w:rsidR="008F55D9">
        <w:t xml:space="preserve"> </w:t>
      </w:r>
      <w:r>
        <w:t>I note that many of the large clinical trials demonstrating no benefit of ivermectin in patients with COVID-19 also show a low risk of adverse reactions resulting from the doses of ivermectin administered in these trials.</w:t>
      </w:r>
      <w:r w:rsidR="00AB26C3">
        <w:t xml:space="preserve"> </w:t>
      </w:r>
      <w:r w:rsidR="00472F4F">
        <w:rPr>
          <w:rFonts w:asciiTheme="minorHAnsi" w:hAnsiTheme="minorHAnsi" w:cs="GuardianTextEgypGR-Regular"/>
          <w:szCs w:val="22"/>
          <w:lang w:eastAsia="en-AU"/>
        </w:rPr>
        <w:t>However, a</w:t>
      </w:r>
      <w:r w:rsidR="00AB26C3" w:rsidRPr="00253470">
        <w:rPr>
          <w:rFonts w:asciiTheme="minorHAnsi" w:hAnsiTheme="minorHAnsi" w:cs="GuardianTextEgypGR-Regular"/>
          <w:szCs w:val="22"/>
          <w:lang w:eastAsia="en-AU"/>
        </w:rPr>
        <w:t xml:space="preserve"> generally well-tolerated therapy that</w:t>
      </w:r>
      <w:r w:rsidR="00AB26C3" w:rsidRPr="00253470">
        <w:rPr>
          <w:rFonts w:asciiTheme="minorHAnsi" w:hAnsiTheme="minorHAnsi"/>
          <w:szCs w:val="22"/>
        </w:rPr>
        <w:t xml:space="preserve"> </w:t>
      </w:r>
      <w:r w:rsidR="00AB26C3" w:rsidRPr="00253470">
        <w:rPr>
          <w:rFonts w:asciiTheme="minorHAnsi" w:hAnsiTheme="minorHAnsi" w:cs="GuardianTextEgypGR-Regular"/>
          <w:szCs w:val="22"/>
          <w:lang w:eastAsia="en-AU"/>
        </w:rPr>
        <w:t xml:space="preserve">lacks efficacy can still </w:t>
      </w:r>
      <w:r w:rsidR="00BE6BC8">
        <w:rPr>
          <w:rFonts w:asciiTheme="minorHAnsi" w:hAnsiTheme="minorHAnsi" w:cs="GuardianTextEgypGR-Regular"/>
          <w:szCs w:val="22"/>
          <w:lang w:eastAsia="en-AU"/>
        </w:rPr>
        <w:t>present risks to patient health</w:t>
      </w:r>
      <w:r w:rsidR="00AB26C3" w:rsidRPr="00253470">
        <w:rPr>
          <w:rFonts w:asciiTheme="minorHAnsi" w:hAnsiTheme="minorHAnsi" w:cs="GuardianTextEgypGR-Regular"/>
          <w:szCs w:val="22"/>
          <w:lang w:eastAsia="en-AU"/>
        </w:rPr>
        <w:t>, particularly if it results</w:t>
      </w:r>
      <w:r w:rsidR="00AB26C3" w:rsidRPr="00253470">
        <w:rPr>
          <w:rFonts w:asciiTheme="minorHAnsi" w:hAnsiTheme="minorHAnsi"/>
          <w:szCs w:val="22"/>
        </w:rPr>
        <w:t xml:space="preserve"> </w:t>
      </w:r>
      <w:r w:rsidR="00AB26C3" w:rsidRPr="00253470">
        <w:rPr>
          <w:rFonts w:asciiTheme="minorHAnsi" w:hAnsiTheme="minorHAnsi" w:cs="GuardianTextEgypGR-Regular"/>
          <w:szCs w:val="22"/>
          <w:lang w:eastAsia="en-AU"/>
        </w:rPr>
        <w:t>in patients forgoing other interventions with proven efficacy</w:t>
      </w:r>
      <w:r w:rsidR="00AB26C3" w:rsidRPr="00253470">
        <w:rPr>
          <w:rFonts w:asciiTheme="minorHAnsi" w:hAnsiTheme="minorHAnsi"/>
          <w:szCs w:val="22"/>
        </w:rPr>
        <w:t xml:space="preserve"> </w:t>
      </w:r>
      <w:r w:rsidR="00AB26C3" w:rsidRPr="00253470">
        <w:rPr>
          <w:rFonts w:asciiTheme="minorHAnsi" w:hAnsiTheme="minorHAnsi" w:cs="GuardianTextEgypGR-Regular"/>
          <w:szCs w:val="22"/>
          <w:lang w:eastAsia="en-AU"/>
        </w:rPr>
        <w:t>such as evidence-based COVID-19 treatments.</w:t>
      </w:r>
      <w:r w:rsidR="00AB26C3">
        <w:rPr>
          <w:rStyle w:val="FootnoteReference"/>
        </w:rPr>
        <w:footnoteReference w:id="28"/>
      </w:r>
      <w:r w:rsidR="00CC2865">
        <w:rPr>
          <w:rFonts w:asciiTheme="minorHAnsi" w:hAnsiTheme="minorHAnsi" w:cs="GuardianTextEgypGR-Regular"/>
          <w:szCs w:val="22"/>
          <w:lang w:eastAsia="en-AU"/>
        </w:rPr>
        <w:t xml:space="preserve"> </w:t>
      </w:r>
      <w:r w:rsidR="00472F4F">
        <w:rPr>
          <w:rFonts w:asciiTheme="minorHAnsi" w:hAnsiTheme="minorHAnsi" w:cs="GuardianTextEgypGR-Regular"/>
          <w:szCs w:val="22"/>
          <w:lang w:eastAsia="en-AU"/>
        </w:rPr>
        <w:t>Moreover</w:t>
      </w:r>
      <w:r w:rsidR="00CC2865">
        <w:rPr>
          <w:rFonts w:asciiTheme="minorHAnsi" w:hAnsiTheme="minorHAnsi" w:cs="GuardianTextEgypGR-Regular"/>
          <w:szCs w:val="22"/>
          <w:lang w:eastAsia="en-AU"/>
        </w:rPr>
        <w:t xml:space="preserve">, </w:t>
      </w:r>
      <w:r w:rsidR="00CC2865">
        <w:t xml:space="preserve">higher doses of ivermectin </w:t>
      </w:r>
      <w:r w:rsidR="008F55D9">
        <w:t xml:space="preserve">still </w:t>
      </w:r>
      <w:r w:rsidR="00CC2865">
        <w:t xml:space="preserve">carry significant risk of adverse effects, </w:t>
      </w:r>
      <w:r w:rsidR="00CC2865" w:rsidRPr="00DD45A0">
        <w:t xml:space="preserve">including severe nausea, vomiting, </w:t>
      </w:r>
      <w:r w:rsidR="00CC2865">
        <w:t xml:space="preserve">and </w:t>
      </w:r>
      <w:r w:rsidR="00CC2865" w:rsidRPr="00DD45A0">
        <w:t>neurological effects such as dizziness, seizures and coma.</w:t>
      </w:r>
      <w:r w:rsidR="00CC2865">
        <w:t xml:space="preserve"> </w:t>
      </w:r>
      <w:r w:rsidR="00AB26C3">
        <w:rPr>
          <w:rFonts w:asciiTheme="minorHAnsi" w:hAnsiTheme="minorHAnsi" w:cs="GuardianTextEgypGR-Regular"/>
          <w:szCs w:val="22"/>
          <w:lang w:eastAsia="en-AU"/>
        </w:rPr>
        <w:t xml:space="preserve">I </w:t>
      </w:r>
      <w:r w:rsidR="00CC2865">
        <w:rPr>
          <w:rFonts w:asciiTheme="minorHAnsi" w:hAnsiTheme="minorHAnsi" w:cs="GuardianTextEgypGR-Regular"/>
          <w:szCs w:val="22"/>
          <w:lang w:eastAsia="en-AU"/>
        </w:rPr>
        <w:t xml:space="preserve">also </w:t>
      </w:r>
      <w:r w:rsidR="00AB26C3">
        <w:rPr>
          <w:rFonts w:asciiTheme="minorHAnsi" w:hAnsiTheme="minorHAnsi" w:cs="GuardianTextEgypGR-Regular"/>
          <w:szCs w:val="22"/>
          <w:lang w:eastAsia="en-AU"/>
        </w:rPr>
        <w:t>note the submission from the Pharmacy Guild of Australia</w:t>
      </w:r>
      <w:r w:rsidR="00BE6BC8">
        <w:rPr>
          <w:rFonts w:asciiTheme="minorHAnsi" w:hAnsiTheme="minorHAnsi" w:cs="GuardianTextEgypGR-Regular"/>
          <w:szCs w:val="22"/>
          <w:lang w:eastAsia="en-AU"/>
        </w:rPr>
        <w:t xml:space="preserve">, which states </w:t>
      </w:r>
      <w:r w:rsidR="00AB26C3">
        <w:rPr>
          <w:rFonts w:asciiTheme="minorHAnsi" w:hAnsiTheme="minorHAnsi" w:cs="GuardianTextEgypGR-Regular"/>
          <w:szCs w:val="22"/>
          <w:lang w:eastAsia="en-AU"/>
        </w:rPr>
        <w:t xml:space="preserve">that </w:t>
      </w:r>
      <w:r w:rsidR="00AB26C3">
        <w:t>it is important to retain the current Appendix D entry for ivermectin to ensure patients continue to utilise vaccination for the prevention of COVID-19 infection</w:t>
      </w:r>
      <w:r w:rsidR="00BE6BC8">
        <w:t>,</w:t>
      </w:r>
      <w:r w:rsidR="00AB26C3">
        <w:t xml:space="preserve"> and access COVID-19 treatments that are safe and effective.</w:t>
      </w:r>
      <w:r>
        <w:t xml:space="preserve"> </w:t>
      </w:r>
      <w:r w:rsidR="00CC2865">
        <w:t xml:space="preserve">However, </w:t>
      </w:r>
      <w:r w:rsidR="008F55D9">
        <w:t xml:space="preserve">in weighing these risks, I am of the </w:t>
      </w:r>
      <w:r w:rsidR="00FB256C">
        <w:t>view</w:t>
      </w:r>
      <w:r w:rsidR="008F55D9">
        <w:t xml:space="preserve"> that the risk of medical professionals prescribing ivermectin at higher doses, or for use against COVID-19, is low given the overwhelming evidence against ivermectin use for this indication.</w:t>
      </w:r>
    </w:p>
    <w:p w14:paraId="511F1D0C" w14:textId="2D54680F" w:rsidR="00FB256C" w:rsidRDefault="0026274F" w:rsidP="0026274F">
      <w:pPr>
        <w:rPr>
          <w:shd w:val="clear" w:color="auto" w:fill="FFFFFF"/>
        </w:rPr>
      </w:pPr>
      <w:r>
        <w:t xml:space="preserve">The final concern outlined in the </w:t>
      </w:r>
      <w:r w:rsidR="00530197">
        <w:t xml:space="preserve">2021 decision </w:t>
      </w:r>
      <w:r>
        <w:t xml:space="preserve">was the </w:t>
      </w:r>
      <w:r w:rsidR="00480C4F" w:rsidRPr="0026274F">
        <w:rPr>
          <w:shd w:val="clear" w:color="auto" w:fill="FFFFFF"/>
        </w:rPr>
        <w:t xml:space="preserve">significant increase in sales of </w:t>
      </w:r>
      <w:r>
        <w:rPr>
          <w:shd w:val="clear" w:color="auto" w:fill="FFFFFF"/>
        </w:rPr>
        <w:t xml:space="preserve">ivermectin products in Australia potentially resulting in </w:t>
      </w:r>
      <w:r w:rsidR="00480C4F" w:rsidRPr="0026274F">
        <w:rPr>
          <w:shd w:val="clear" w:color="auto" w:fill="FFFFFF"/>
        </w:rPr>
        <w:t>shortage</w:t>
      </w:r>
      <w:r>
        <w:rPr>
          <w:shd w:val="clear" w:color="auto" w:fill="FFFFFF"/>
        </w:rPr>
        <w:t>s</w:t>
      </w:r>
      <w:r w:rsidR="00FB256C">
        <w:rPr>
          <w:shd w:val="clear" w:color="auto" w:fill="FFFFFF"/>
        </w:rPr>
        <w:t xml:space="preserve"> in their supply</w:t>
      </w:r>
      <w:r w:rsidR="00DD45A0">
        <w:rPr>
          <w:shd w:val="clear" w:color="auto" w:fill="FFFFFF"/>
        </w:rPr>
        <w:t xml:space="preserve"> and access issues</w:t>
      </w:r>
      <w:r w:rsidR="00DD45A0" w:rsidRPr="00DD45A0">
        <w:t xml:space="preserve">. This was of particular concern in relation to access for </w:t>
      </w:r>
      <w:r w:rsidR="00480C4F" w:rsidRPr="00DD45A0">
        <w:t xml:space="preserve">the treatment of </w:t>
      </w:r>
      <w:r w:rsidRPr="00DD45A0">
        <w:t xml:space="preserve">approved indications </w:t>
      </w:r>
      <w:r w:rsidR="00916BC7">
        <w:t xml:space="preserve">such as </w:t>
      </w:r>
      <w:r w:rsidR="00DD45A0" w:rsidRPr="00DD45A0">
        <w:t>river blindness (onchocerciasis), threadworm of the intestines (intestinal strongyloidiasis) and scabies</w:t>
      </w:r>
      <w:r w:rsidR="00DD45A0">
        <w:t xml:space="preserve">, as </w:t>
      </w:r>
      <w:r w:rsidR="00DD45A0">
        <w:rPr>
          <w:shd w:val="clear" w:color="auto" w:fill="FFFFFF"/>
        </w:rPr>
        <w:t>s</w:t>
      </w:r>
      <w:r w:rsidR="00480C4F" w:rsidRPr="0026274F">
        <w:rPr>
          <w:shd w:val="clear" w:color="auto" w:fill="FFFFFF"/>
        </w:rPr>
        <w:t>uch shortage</w:t>
      </w:r>
      <w:r w:rsidR="00DD45A0">
        <w:rPr>
          <w:shd w:val="clear" w:color="auto" w:fill="FFFFFF"/>
        </w:rPr>
        <w:t>s</w:t>
      </w:r>
      <w:r w:rsidR="00480C4F" w:rsidRPr="0026274F">
        <w:rPr>
          <w:shd w:val="clear" w:color="auto" w:fill="FFFFFF"/>
        </w:rPr>
        <w:t xml:space="preserve"> may disproportionately impact vulnerable communities, including Aboriginal and Torres Strait Islander communities.</w:t>
      </w:r>
      <w:r w:rsidR="00DD45A0">
        <w:rPr>
          <w:shd w:val="clear" w:color="auto" w:fill="FFFFFF"/>
        </w:rPr>
        <w:t xml:space="preserve"> </w:t>
      </w:r>
    </w:p>
    <w:p w14:paraId="3D58BE1F" w14:textId="4F1AC5B2" w:rsidR="00480C4F" w:rsidRPr="0026274F" w:rsidRDefault="00DD45A0" w:rsidP="0026274F">
      <w:r>
        <w:rPr>
          <w:shd w:val="clear" w:color="auto" w:fill="FFFFFF"/>
        </w:rPr>
        <w:t xml:space="preserve">I have reviewed the current supply data of ivermectin </w:t>
      </w:r>
      <w:r w:rsidR="00122181">
        <w:rPr>
          <w:shd w:val="clear" w:color="auto" w:fill="FFFFFF"/>
        </w:rPr>
        <w:t xml:space="preserve">since the making of the </w:t>
      </w:r>
      <w:r w:rsidR="00530197">
        <w:rPr>
          <w:shd w:val="clear" w:color="auto" w:fill="FFFFFF"/>
        </w:rPr>
        <w:t xml:space="preserve">2021 decision </w:t>
      </w:r>
      <w:r>
        <w:rPr>
          <w:shd w:val="clear" w:color="auto" w:fill="FFFFFF"/>
        </w:rPr>
        <w:t xml:space="preserve">and consider that there is now a minimal risk of </w:t>
      </w:r>
      <w:r w:rsidR="00916BC7">
        <w:rPr>
          <w:shd w:val="clear" w:color="auto" w:fill="FFFFFF"/>
        </w:rPr>
        <w:t xml:space="preserve">an </w:t>
      </w:r>
      <w:r>
        <w:rPr>
          <w:shd w:val="clear" w:color="auto" w:fill="FFFFFF"/>
        </w:rPr>
        <w:t>ivermectin shortage</w:t>
      </w:r>
      <w:r w:rsidR="00916BC7">
        <w:rPr>
          <w:shd w:val="clear" w:color="auto" w:fill="FFFFFF"/>
        </w:rPr>
        <w:t>, even with the removal of the Appendix D restrictions on the prescribing of the medicine</w:t>
      </w:r>
      <w:r>
        <w:rPr>
          <w:shd w:val="clear" w:color="auto" w:fill="FFFFFF"/>
        </w:rPr>
        <w:t xml:space="preserve">. </w:t>
      </w:r>
    </w:p>
    <w:p w14:paraId="6A176EB4" w14:textId="4A3A791A" w:rsidR="00AB26C3" w:rsidRDefault="001F6EBF" w:rsidP="001F6EBF">
      <w:pPr>
        <w:rPr>
          <w:rFonts w:asciiTheme="minorHAnsi" w:hAnsiTheme="minorHAnsi"/>
        </w:rPr>
      </w:pPr>
      <w:r w:rsidRPr="000E0A0A">
        <w:rPr>
          <w:rFonts w:asciiTheme="minorHAnsi" w:hAnsiTheme="minorHAnsi"/>
        </w:rPr>
        <w:t xml:space="preserve">In making my final decision, I have </w:t>
      </w:r>
      <w:r w:rsidR="00916BC7">
        <w:rPr>
          <w:rFonts w:asciiTheme="minorHAnsi" w:hAnsiTheme="minorHAnsi"/>
        </w:rPr>
        <w:t xml:space="preserve">considered </w:t>
      </w:r>
      <w:r w:rsidRPr="000E0A0A">
        <w:rPr>
          <w:rFonts w:asciiTheme="minorHAnsi" w:hAnsiTheme="minorHAnsi"/>
        </w:rPr>
        <w:t>the material detailed in the 7 public submissions</w:t>
      </w:r>
      <w:r>
        <w:rPr>
          <w:rFonts w:asciiTheme="minorHAnsi" w:hAnsiTheme="minorHAnsi"/>
        </w:rPr>
        <w:t>, 5 with a written component,</w:t>
      </w:r>
      <w:r w:rsidRPr="000E0A0A">
        <w:rPr>
          <w:rFonts w:asciiTheme="minorHAnsi" w:hAnsiTheme="minorHAnsi"/>
        </w:rPr>
        <w:t xml:space="preserve"> received before the second closing date in response to the call for further submissions published on 3 February 2023 under regulation 42ZCZP of the Regulations.</w:t>
      </w:r>
      <w:r>
        <w:rPr>
          <w:rFonts w:asciiTheme="minorHAnsi" w:hAnsiTheme="minorHAnsi"/>
        </w:rPr>
        <w:t xml:space="preserve"> I gave </w:t>
      </w:r>
      <w:proofErr w:type="gramStart"/>
      <w:r>
        <w:rPr>
          <w:rFonts w:asciiTheme="minorHAnsi" w:hAnsiTheme="minorHAnsi"/>
        </w:rPr>
        <w:t>particular notice</w:t>
      </w:r>
      <w:proofErr w:type="gramEnd"/>
      <w:r>
        <w:rPr>
          <w:rFonts w:asciiTheme="minorHAnsi" w:hAnsiTheme="minorHAnsi"/>
        </w:rPr>
        <w:t xml:space="preserve"> to the submission from the Australian Medical Association, </w:t>
      </w:r>
      <w:r w:rsidR="00916BC7">
        <w:rPr>
          <w:rFonts w:asciiTheme="minorHAnsi" w:hAnsiTheme="minorHAnsi"/>
        </w:rPr>
        <w:t xml:space="preserve">which did </w:t>
      </w:r>
      <w:r>
        <w:rPr>
          <w:rFonts w:asciiTheme="minorHAnsi" w:hAnsiTheme="minorHAnsi"/>
        </w:rPr>
        <w:t>not oppos</w:t>
      </w:r>
      <w:r w:rsidR="00916BC7">
        <w:rPr>
          <w:rFonts w:asciiTheme="minorHAnsi" w:hAnsiTheme="minorHAnsi"/>
        </w:rPr>
        <w:t>e</w:t>
      </w:r>
      <w:r>
        <w:rPr>
          <w:rFonts w:asciiTheme="minorHAnsi" w:hAnsiTheme="minorHAnsi"/>
        </w:rPr>
        <w:t xml:space="preserve"> the </w:t>
      </w:r>
      <w:r w:rsidR="00916BC7">
        <w:rPr>
          <w:rFonts w:asciiTheme="minorHAnsi" w:hAnsiTheme="minorHAnsi"/>
        </w:rPr>
        <w:t xml:space="preserve">interim </w:t>
      </w:r>
      <w:r>
        <w:rPr>
          <w:rFonts w:asciiTheme="minorHAnsi" w:hAnsiTheme="minorHAnsi"/>
        </w:rPr>
        <w:t>decision, but stat</w:t>
      </w:r>
      <w:r w:rsidR="00916BC7">
        <w:rPr>
          <w:rFonts w:asciiTheme="minorHAnsi" w:hAnsiTheme="minorHAnsi"/>
        </w:rPr>
        <w:t>ed</w:t>
      </w:r>
      <w:r>
        <w:rPr>
          <w:rFonts w:asciiTheme="minorHAnsi" w:hAnsiTheme="minorHAnsi"/>
        </w:rPr>
        <w:t xml:space="preserve"> that stronger justification is required to continue the restriction on the prescribing of ivermectin. </w:t>
      </w:r>
    </w:p>
    <w:p w14:paraId="004B79F7" w14:textId="23A1013D" w:rsidR="001F6EBF" w:rsidRDefault="00AB26C3" w:rsidP="001F6EBF">
      <w:pPr>
        <w:rPr>
          <w:rFonts w:asciiTheme="minorHAnsi" w:hAnsiTheme="minorHAnsi"/>
        </w:rPr>
      </w:pPr>
      <w:r>
        <w:rPr>
          <w:rFonts w:asciiTheme="minorHAnsi" w:hAnsiTheme="minorHAnsi"/>
        </w:rPr>
        <w:t xml:space="preserve">To conclude, I would like to emphasise that </w:t>
      </w:r>
      <w:r>
        <w:rPr>
          <w:szCs w:val="22"/>
        </w:rPr>
        <w:t xml:space="preserve">that the decision to remove the </w:t>
      </w:r>
      <w:r w:rsidR="00916BC7">
        <w:rPr>
          <w:szCs w:val="22"/>
        </w:rPr>
        <w:t>A</w:t>
      </w:r>
      <w:r>
        <w:rPr>
          <w:szCs w:val="22"/>
        </w:rPr>
        <w:t xml:space="preserve">ppendix D entry </w:t>
      </w:r>
      <w:r w:rsidR="00916BC7">
        <w:rPr>
          <w:szCs w:val="22"/>
        </w:rPr>
        <w:t xml:space="preserve">is not an endorsement </w:t>
      </w:r>
      <w:r>
        <w:rPr>
          <w:szCs w:val="22"/>
        </w:rPr>
        <w:t xml:space="preserve">of </w:t>
      </w:r>
      <w:r w:rsidR="00916BC7">
        <w:rPr>
          <w:szCs w:val="22"/>
        </w:rPr>
        <w:t xml:space="preserve">the </w:t>
      </w:r>
      <w:r>
        <w:rPr>
          <w:szCs w:val="22"/>
        </w:rPr>
        <w:t xml:space="preserve">off-label </w:t>
      </w:r>
      <w:r w:rsidR="00916BC7">
        <w:rPr>
          <w:szCs w:val="22"/>
        </w:rPr>
        <w:t xml:space="preserve">prescribing of </w:t>
      </w:r>
      <w:r>
        <w:rPr>
          <w:szCs w:val="22"/>
        </w:rPr>
        <w:t xml:space="preserve">ivermectin for </w:t>
      </w:r>
      <w:r w:rsidR="00916BC7">
        <w:rPr>
          <w:szCs w:val="22"/>
        </w:rPr>
        <w:t xml:space="preserve">the treatment or prevention of </w:t>
      </w:r>
      <w:r>
        <w:rPr>
          <w:szCs w:val="22"/>
        </w:rPr>
        <w:t xml:space="preserve">COVID-19. </w:t>
      </w:r>
      <w:r w:rsidR="00FD5282">
        <w:rPr>
          <w:rFonts w:asciiTheme="minorHAnsi" w:hAnsiTheme="minorHAnsi"/>
        </w:rPr>
        <w:t xml:space="preserve">This decision has been made on the </w:t>
      </w:r>
      <w:r w:rsidR="00916BC7">
        <w:rPr>
          <w:rFonts w:asciiTheme="minorHAnsi" w:hAnsiTheme="minorHAnsi"/>
        </w:rPr>
        <w:t xml:space="preserve">consideration of </w:t>
      </w:r>
      <w:r w:rsidR="00FD5282">
        <w:rPr>
          <w:rFonts w:asciiTheme="minorHAnsi" w:hAnsiTheme="minorHAnsi"/>
        </w:rPr>
        <w:t>the risks</w:t>
      </w:r>
      <w:r w:rsidR="00632D88">
        <w:rPr>
          <w:rFonts w:asciiTheme="minorHAnsi" w:hAnsiTheme="minorHAnsi"/>
        </w:rPr>
        <w:t xml:space="preserve"> of ivermectin</w:t>
      </w:r>
      <w:r w:rsidR="00AE3CC3">
        <w:rPr>
          <w:rFonts w:asciiTheme="minorHAnsi" w:hAnsiTheme="minorHAnsi"/>
        </w:rPr>
        <w:t xml:space="preserve"> use</w:t>
      </w:r>
      <w:r w:rsidR="00632D88">
        <w:rPr>
          <w:rFonts w:asciiTheme="minorHAnsi" w:hAnsiTheme="minorHAnsi"/>
        </w:rPr>
        <w:t xml:space="preserve"> in the current health climate in Australia, in particular the high rate of vaccination</w:t>
      </w:r>
      <w:r w:rsidR="00FF5E47">
        <w:rPr>
          <w:rFonts w:asciiTheme="minorHAnsi" w:hAnsiTheme="minorHAnsi"/>
        </w:rPr>
        <w:t xml:space="preserve"> and hybrid immunity</w:t>
      </w:r>
      <w:r w:rsidR="00632D88">
        <w:rPr>
          <w:rFonts w:asciiTheme="minorHAnsi" w:hAnsiTheme="minorHAnsi"/>
        </w:rPr>
        <w:t xml:space="preserve"> against COVID-19 </w:t>
      </w:r>
      <w:r w:rsidR="00FF5E47">
        <w:rPr>
          <w:rFonts w:asciiTheme="minorHAnsi" w:hAnsiTheme="minorHAnsi"/>
        </w:rPr>
        <w:t xml:space="preserve">as well as the </w:t>
      </w:r>
      <w:r w:rsidR="00632D88">
        <w:rPr>
          <w:rFonts w:asciiTheme="minorHAnsi" w:hAnsiTheme="minorHAnsi"/>
        </w:rPr>
        <w:t>large volume of clinical evidence</w:t>
      </w:r>
      <w:r w:rsidR="00530197">
        <w:rPr>
          <w:rFonts w:asciiTheme="minorHAnsi" w:hAnsiTheme="minorHAnsi"/>
        </w:rPr>
        <w:t xml:space="preserve">—which will be </w:t>
      </w:r>
      <w:r w:rsidR="00530197">
        <w:rPr>
          <w:rFonts w:asciiTheme="minorHAnsi" w:hAnsiTheme="minorHAnsi"/>
        </w:rPr>
        <w:lastRenderedPageBreak/>
        <w:t>widely known among medical professionals—</w:t>
      </w:r>
      <w:r w:rsidR="00632D88">
        <w:rPr>
          <w:rFonts w:asciiTheme="minorHAnsi" w:hAnsiTheme="minorHAnsi"/>
        </w:rPr>
        <w:t>that is now available demonstrating the lack of effectiveness of ivermectin in this regard</w:t>
      </w:r>
      <w:r w:rsidR="00FD5282">
        <w:rPr>
          <w:rFonts w:asciiTheme="minorHAnsi" w:hAnsiTheme="minorHAnsi"/>
        </w:rPr>
        <w:t xml:space="preserve">. </w:t>
      </w:r>
    </w:p>
    <w:p w14:paraId="74C5FA7E" w14:textId="77777777" w:rsidR="00AB26C3" w:rsidRDefault="00AB26C3" w:rsidP="00AB26C3">
      <w:pPr>
        <w:pStyle w:val="Heading5"/>
      </w:pPr>
      <w:r>
        <w:t>Implementation date</w:t>
      </w:r>
    </w:p>
    <w:p w14:paraId="749AE166" w14:textId="450BCDA7" w:rsidR="00AB26C3" w:rsidRPr="00AB26C3" w:rsidRDefault="00AB26C3" w:rsidP="00AB26C3">
      <w:pPr>
        <w:spacing w:after="240"/>
        <w:rPr>
          <w:rFonts w:asciiTheme="minorHAnsi" w:hAnsiTheme="minorHAnsi"/>
        </w:rPr>
      </w:pPr>
      <w:r w:rsidRPr="007570EC">
        <w:rPr>
          <w:rFonts w:asciiTheme="minorHAnsi" w:hAnsiTheme="minorHAnsi"/>
        </w:rPr>
        <w:t>1 June 2023</w:t>
      </w:r>
    </w:p>
    <w:p w14:paraId="58D55FB8" w14:textId="202BE2D3" w:rsidR="00927539" w:rsidRDefault="00927539" w:rsidP="00927539">
      <w:pPr>
        <w:pStyle w:val="Heading3"/>
      </w:pPr>
      <w:bookmarkStart w:id="42" w:name="_Toc190165695"/>
      <w:r>
        <w:t>Final decision in relation to brimonidine</w:t>
      </w:r>
      <w:bookmarkEnd w:id="42"/>
    </w:p>
    <w:p w14:paraId="495F2D12" w14:textId="77777777" w:rsidR="00491EF4" w:rsidRDefault="00491EF4" w:rsidP="00491EF4">
      <w:pPr>
        <w:pStyle w:val="Heading5"/>
      </w:pPr>
      <w:r>
        <w:t>Proposal</w:t>
      </w:r>
    </w:p>
    <w:p w14:paraId="6350FA82" w14:textId="77777777" w:rsidR="00491EF4" w:rsidRPr="00A95273" w:rsidRDefault="00491EF4" w:rsidP="00491EF4">
      <w:r>
        <w:t xml:space="preserve">The applicant proposed the creation of a new Schedule 2 entry for ophthalmic preparations containing not more than 0.025 per cent of brimonidine for adult use (the </w:t>
      </w:r>
      <w:r w:rsidRPr="009E0789">
        <w:rPr>
          <w:b/>
          <w:bCs/>
        </w:rPr>
        <w:t>Proposal</w:t>
      </w:r>
      <w:r>
        <w:t>). The new entry would provide pharmacy access to certain ophthalmic products for the treatment of eye redness and minor irritations in adults aged 18 years and over.</w:t>
      </w:r>
    </w:p>
    <w:p w14:paraId="34A72771" w14:textId="77777777" w:rsidR="00491EF4" w:rsidRPr="008036B7" w:rsidRDefault="00491EF4" w:rsidP="00491EF4">
      <w:pPr>
        <w:pStyle w:val="Heading5"/>
      </w:pPr>
      <w:r>
        <w:t xml:space="preserve">Final decision </w:t>
      </w:r>
    </w:p>
    <w:p w14:paraId="0BA0E834" w14:textId="75CDE3D8" w:rsidR="00491EF4" w:rsidRDefault="00491EF4" w:rsidP="00491EF4">
      <w:r w:rsidRPr="00264F6E">
        <w:t>Pursuant to regulation 42ZCZR of the Regulations, the Delegate has made a final decision to confirm the interim decision and amend the current Poisons Standard in relation to brimonidine as follows:</w:t>
      </w:r>
      <w:r w:rsidR="00115645">
        <w:rPr>
          <w:rStyle w:val="FootnoteReference"/>
        </w:rPr>
        <w:footnoteReference w:id="29"/>
      </w:r>
    </w:p>
    <w:p w14:paraId="36F8D7AD" w14:textId="0912BE6E" w:rsidR="00491EF4" w:rsidRDefault="00491EF4" w:rsidP="00491EF4">
      <w:pPr>
        <w:ind w:firstLine="567"/>
        <w:rPr>
          <w:b/>
        </w:rPr>
      </w:pPr>
      <w:r w:rsidRPr="00774DF9">
        <w:rPr>
          <w:b/>
        </w:rPr>
        <w:t xml:space="preserve">Schedule </w:t>
      </w:r>
      <w:r>
        <w:rPr>
          <w:b/>
        </w:rPr>
        <w:t>4</w:t>
      </w:r>
      <w:r w:rsidRPr="00774DF9">
        <w:rPr>
          <w:b/>
        </w:rPr>
        <w:t xml:space="preserve"> </w:t>
      </w:r>
      <w:r>
        <w:rPr>
          <w:b/>
        </w:rPr>
        <w:t>– Amend entry</w:t>
      </w:r>
    </w:p>
    <w:p w14:paraId="0376D7F3" w14:textId="77777777" w:rsidR="00491EF4" w:rsidRDefault="00491EF4" w:rsidP="00491EF4">
      <w:pPr>
        <w:ind w:left="720" w:firstLine="131"/>
        <w:rPr>
          <w:bCs/>
        </w:rPr>
      </w:pPr>
      <w:r w:rsidRPr="009E0789">
        <w:rPr>
          <w:bCs/>
        </w:rPr>
        <w:t>BRIMONIDINE</w:t>
      </w:r>
      <w:r>
        <w:rPr>
          <w:b/>
        </w:rPr>
        <w:t xml:space="preserve"> </w:t>
      </w:r>
      <w:r w:rsidRPr="00CC1125">
        <w:rPr>
          <w:b/>
          <w:color w:val="00B050"/>
          <w:u w:val="single"/>
        </w:rPr>
        <w:t>except</w:t>
      </w:r>
      <w:r w:rsidRPr="00CC1125">
        <w:rPr>
          <w:bCs/>
          <w:color w:val="00B050"/>
          <w:u w:val="single"/>
        </w:rPr>
        <w:t xml:space="preserve"> when included in Schedule 2</w:t>
      </w:r>
      <w:r w:rsidRPr="009E0789">
        <w:rPr>
          <w:bCs/>
        </w:rPr>
        <w:t>.</w:t>
      </w:r>
    </w:p>
    <w:p w14:paraId="01473F6D" w14:textId="77777777" w:rsidR="00491EF4" w:rsidRPr="009E0789" w:rsidRDefault="00491EF4" w:rsidP="00491EF4">
      <w:pPr>
        <w:ind w:left="720" w:hanging="153"/>
        <w:rPr>
          <w:b/>
        </w:rPr>
      </w:pPr>
      <w:r w:rsidRPr="009E0789">
        <w:rPr>
          <w:b/>
        </w:rPr>
        <w:t>Schedule 2 – New entry</w:t>
      </w:r>
    </w:p>
    <w:p w14:paraId="2558EA47" w14:textId="77777777" w:rsidR="00491EF4" w:rsidRPr="00CC1125" w:rsidRDefault="00491EF4" w:rsidP="00491EF4">
      <w:pPr>
        <w:ind w:left="851"/>
        <w:rPr>
          <w:b/>
          <w:color w:val="00B050"/>
          <w:u w:val="single"/>
        </w:rPr>
      </w:pPr>
      <w:r w:rsidRPr="00CC1125">
        <w:rPr>
          <w:bCs/>
          <w:color w:val="00B050"/>
          <w:u w:val="single"/>
        </w:rPr>
        <w:t>BRIMONIDINE i</w:t>
      </w:r>
      <w:r>
        <w:rPr>
          <w:bCs/>
          <w:color w:val="00B050"/>
          <w:u w:val="single"/>
        </w:rPr>
        <w:t>n</w:t>
      </w:r>
      <w:r w:rsidRPr="00CC1125">
        <w:rPr>
          <w:bCs/>
          <w:color w:val="00B050"/>
          <w:u w:val="single"/>
        </w:rPr>
        <w:t xml:space="preserve"> ophthalmic preparations for adult use containing not more than 0.025% of brimonidine.</w:t>
      </w:r>
    </w:p>
    <w:p w14:paraId="5F2069AD" w14:textId="77777777" w:rsidR="00491EF4" w:rsidRDefault="00491EF4" w:rsidP="00491EF4">
      <w:pPr>
        <w:ind w:left="720" w:hanging="153"/>
        <w:rPr>
          <w:b/>
        </w:rPr>
      </w:pPr>
      <w:r w:rsidRPr="00774DF9">
        <w:rPr>
          <w:b/>
        </w:rPr>
        <w:t xml:space="preserve">Index </w:t>
      </w:r>
      <w:r>
        <w:rPr>
          <w:b/>
        </w:rPr>
        <w:t xml:space="preserve">– Amend Entry </w:t>
      </w:r>
    </w:p>
    <w:p w14:paraId="79830CEA" w14:textId="77777777" w:rsidR="00491EF4" w:rsidRDefault="00491EF4" w:rsidP="00491EF4">
      <w:pPr>
        <w:ind w:left="851"/>
        <w:rPr>
          <w:b/>
        </w:rPr>
      </w:pPr>
      <w:r>
        <w:rPr>
          <w:b/>
        </w:rPr>
        <w:t>BRIMONIDINE</w:t>
      </w:r>
    </w:p>
    <w:p w14:paraId="661E88E4" w14:textId="52BEBBA2" w:rsidR="00927539" w:rsidRPr="00491EF4" w:rsidRDefault="00491EF4" w:rsidP="00491EF4">
      <w:pPr>
        <w:ind w:left="851"/>
        <w:rPr>
          <w:bCs/>
        </w:rPr>
      </w:pPr>
      <w:r w:rsidRPr="009E0789">
        <w:rPr>
          <w:bCs/>
        </w:rPr>
        <w:t>Schedule 4</w:t>
      </w:r>
      <w:r w:rsidRPr="009E0789">
        <w:rPr>
          <w:bCs/>
        </w:rPr>
        <w:br/>
      </w:r>
      <w:r w:rsidRPr="00CC1125">
        <w:rPr>
          <w:bCs/>
          <w:color w:val="00B050"/>
          <w:u w:val="single"/>
        </w:rPr>
        <w:t>Schedule 2</w:t>
      </w:r>
    </w:p>
    <w:p w14:paraId="3C7689F7" w14:textId="77777777" w:rsidR="00927539" w:rsidRDefault="00927539" w:rsidP="00927539">
      <w:pPr>
        <w:pStyle w:val="Heading5"/>
      </w:pPr>
      <w:r>
        <w:t xml:space="preserve">Materials considered </w:t>
      </w:r>
    </w:p>
    <w:p w14:paraId="2C47BA12" w14:textId="6BC8FE33" w:rsidR="00927539" w:rsidRDefault="00927539" w:rsidP="00927539">
      <w:r>
        <w:t>In making this final decision, the Delegate considered the following material:</w:t>
      </w:r>
    </w:p>
    <w:p w14:paraId="56B9FD2F" w14:textId="77777777" w:rsidR="00927539" w:rsidRDefault="00927539" w:rsidP="00927539">
      <w:pPr>
        <w:pStyle w:val="ListBullet"/>
      </w:pPr>
      <w:r>
        <w:t xml:space="preserve">The </w:t>
      </w:r>
      <w:hyperlink r:id="rId38" w:history="1">
        <w:r w:rsidRPr="009E0789">
          <w:rPr>
            <w:rStyle w:val="Hyperlink"/>
          </w:rPr>
          <w:t>application</w:t>
        </w:r>
      </w:hyperlink>
      <w:r>
        <w:t xml:space="preserve"> to amend the current Poisons Standard with respect to brimonidine (the </w:t>
      </w:r>
      <w:r>
        <w:rPr>
          <w:b/>
          <w:bCs/>
        </w:rPr>
        <w:t>Application</w:t>
      </w:r>
      <w:r>
        <w:t>);</w:t>
      </w:r>
    </w:p>
    <w:p w14:paraId="3832DA34" w14:textId="77777777" w:rsidR="00927539" w:rsidRDefault="00927539" w:rsidP="00927539">
      <w:pPr>
        <w:pStyle w:val="ListBullet"/>
      </w:pPr>
      <w:r>
        <w:t xml:space="preserve">The 3 </w:t>
      </w:r>
      <w:hyperlink r:id="rId39" w:history="1">
        <w:r w:rsidRPr="009E0789">
          <w:rPr>
            <w:rStyle w:val="Hyperlink"/>
          </w:rPr>
          <w:t>public submissions</w:t>
        </w:r>
      </w:hyperlink>
      <w:r>
        <w:t xml:space="preserve"> received in response to the </w:t>
      </w:r>
      <w:hyperlink r:id="rId40" w:history="1">
        <w:r w:rsidRPr="009E0789">
          <w:rPr>
            <w:rStyle w:val="Hyperlink"/>
          </w:rPr>
          <w:t>pre-meeting consultation</w:t>
        </w:r>
      </w:hyperlink>
      <w:r>
        <w:t xml:space="preserve"> under regulation 42ZCZK of the Regulations (the </w:t>
      </w:r>
      <w:r w:rsidRPr="00212A35">
        <w:rPr>
          <w:b/>
          <w:bCs/>
        </w:rPr>
        <w:t>Submissions</w:t>
      </w:r>
      <w:r>
        <w:t xml:space="preserve">); </w:t>
      </w:r>
    </w:p>
    <w:p w14:paraId="06F88A13" w14:textId="77777777" w:rsidR="00927539" w:rsidRDefault="00927539" w:rsidP="00927539">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2A3653BC" w14:textId="7C317DF4" w:rsidR="00927539" w:rsidRDefault="00927539" w:rsidP="00927539">
      <w:pPr>
        <w:pStyle w:val="ListBullet"/>
      </w:pPr>
      <w:r>
        <w:t xml:space="preserve">The </w:t>
      </w:r>
      <w:r w:rsidR="002141F7">
        <w:t>2</w:t>
      </w:r>
      <w:r>
        <w:t xml:space="preserve"> </w:t>
      </w:r>
      <w:hyperlink r:id="rId41" w:history="1">
        <w:r w:rsidRPr="002141F7">
          <w:rPr>
            <w:rStyle w:val="Hyperlink"/>
          </w:rPr>
          <w:t>public submissions</w:t>
        </w:r>
      </w:hyperlink>
      <w:r>
        <w:t xml:space="preserve"> received in response to the </w:t>
      </w:r>
      <w:hyperlink r:id="rId42" w:history="1">
        <w:r w:rsidRPr="002141F7">
          <w:rPr>
            <w:rStyle w:val="Hyperlink"/>
          </w:rPr>
          <w:t>interim decision consultation</w:t>
        </w:r>
      </w:hyperlink>
      <w:r>
        <w:t xml:space="preserve"> </w:t>
      </w:r>
      <w:r w:rsidRPr="002C1418">
        <w:t>under regulation 42ZCZP of the Regulations</w:t>
      </w:r>
      <w:r>
        <w:t>;</w:t>
      </w:r>
    </w:p>
    <w:p w14:paraId="5EE7D1A6" w14:textId="77777777" w:rsidR="00927539" w:rsidRPr="003E19D5" w:rsidRDefault="00927539" w:rsidP="00927539">
      <w:pPr>
        <w:pStyle w:val="ListBullet"/>
      </w:pPr>
      <w:r w:rsidRPr="001169AC">
        <w:lastRenderedPageBreak/>
        <w:t xml:space="preserve">Subsection 52E(1) of </w:t>
      </w:r>
      <w:r w:rsidRPr="003E19D5">
        <w:rPr>
          <w:iCs/>
        </w:rPr>
        <w:t>the Act</w:t>
      </w:r>
      <w:r w:rsidRPr="003E19D5">
        <w:t>, in parti</w:t>
      </w:r>
      <w:r w:rsidRPr="001169AC">
        <w:t xml:space="preserve">cular (a) the risks and benefits of the use of a substance; (b) the purposes for which a substance is to be used and the extent of use of a substance; (c) the toxicity of a substance; (d) the dosage, formulation, labelling, packaging and presentation of a </w:t>
      </w:r>
      <w:r w:rsidRPr="003E19D5">
        <w:t>substance; and (f) any other matters considered necessary to protect public health;</w:t>
      </w:r>
    </w:p>
    <w:p w14:paraId="7E62C7BC" w14:textId="6574E700" w:rsidR="00927539" w:rsidRPr="003E19D5" w:rsidRDefault="007728F9" w:rsidP="00927539">
      <w:pPr>
        <w:pStyle w:val="ListBullet"/>
      </w:pPr>
      <w:r>
        <w:t>Pursuant to paragraph 52E(2)(a) of the Act, t</w:t>
      </w:r>
      <w:r w:rsidR="00927539" w:rsidRPr="003E19D5">
        <w:t>he SPF; and</w:t>
      </w:r>
    </w:p>
    <w:p w14:paraId="2E956FDC" w14:textId="77777777" w:rsidR="00927539" w:rsidRPr="003E19D5" w:rsidRDefault="00927539" w:rsidP="00927539">
      <w:pPr>
        <w:pStyle w:val="ListBullet"/>
      </w:pPr>
      <w:r w:rsidRPr="003E19D5">
        <w:t>The Handbook.</w:t>
      </w:r>
    </w:p>
    <w:p w14:paraId="07C54586" w14:textId="13A08AA4" w:rsidR="00927539" w:rsidRDefault="00927539" w:rsidP="00B4227C">
      <w:pPr>
        <w:pStyle w:val="ListBullet"/>
        <w:numPr>
          <w:ilvl w:val="0"/>
          <w:numId w:val="0"/>
        </w:numPr>
      </w:pPr>
    </w:p>
    <w:p w14:paraId="3608EB97" w14:textId="77777777" w:rsidR="00927539" w:rsidRDefault="00927539" w:rsidP="00927539">
      <w:pPr>
        <w:pStyle w:val="Heading5"/>
      </w:pPr>
      <w:r w:rsidRPr="00436C41">
        <w:t>Reasons for the final decision (including findings on material questions of fact)</w:t>
      </w:r>
    </w:p>
    <w:p w14:paraId="789624F2" w14:textId="0EF73F4F" w:rsidR="004345BD" w:rsidRPr="00264F6E" w:rsidRDefault="004345BD" w:rsidP="004345BD">
      <w:pPr>
        <w:pStyle w:val="ListBullet"/>
        <w:numPr>
          <w:ilvl w:val="0"/>
          <w:numId w:val="0"/>
        </w:numPr>
      </w:pPr>
      <w:r w:rsidRPr="00264F6E">
        <w:t xml:space="preserve">I have made a final decision to confirm </w:t>
      </w:r>
      <w:r w:rsidR="00094063">
        <w:t xml:space="preserve">my </w:t>
      </w:r>
      <w:r w:rsidRPr="00264F6E">
        <w:t xml:space="preserve">interim decision to amend the current Poisons Standard with respect to brimonidine. My reasons for making the final decision are those set out in the interim decision. </w:t>
      </w:r>
      <w:r w:rsidRPr="00115645">
        <w:t xml:space="preserve">I have noted that </w:t>
      </w:r>
      <w:r w:rsidR="002141F7" w:rsidRPr="00115645">
        <w:t>two</w:t>
      </w:r>
      <w:r w:rsidRPr="00115645">
        <w:t xml:space="preserve"> public submissions wer</w:t>
      </w:r>
      <w:r w:rsidR="00B4227C" w:rsidRPr="00115645">
        <w:t>e</w:t>
      </w:r>
      <w:r w:rsidR="00B4227C">
        <w:t xml:space="preserve"> </w:t>
      </w:r>
      <w:r w:rsidRPr="00264F6E">
        <w:t xml:space="preserve">received before the second closing date in response to the call for further submissions published on </w:t>
      </w:r>
      <w:r w:rsidR="002141F7" w:rsidRPr="002141F7">
        <w:t>3</w:t>
      </w:r>
      <w:r w:rsidR="002F6C92" w:rsidRPr="002141F7">
        <w:t xml:space="preserve"> </w:t>
      </w:r>
      <w:r w:rsidR="002141F7" w:rsidRPr="002141F7">
        <w:t>February</w:t>
      </w:r>
      <w:r w:rsidR="002F6C92" w:rsidRPr="002141F7">
        <w:t xml:space="preserve"> 2023</w:t>
      </w:r>
      <w:r w:rsidR="002F6C92" w:rsidRPr="00F94034">
        <w:t xml:space="preserve"> </w:t>
      </w:r>
      <w:r w:rsidRPr="00264F6E">
        <w:t>under regulation 42ZCZP of the Regulations.</w:t>
      </w:r>
      <w:r w:rsidR="00115645">
        <w:t xml:space="preserve"> One of these submissions supported the interim decision, while the other opposed the decision but did not include any written </w:t>
      </w:r>
      <w:r w:rsidR="00094063">
        <w:t>component</w:t>
      </w:r>
      <w:r w:rsidR="00115645">
        <w:t>.</w:t>
      </w:r>
    </w:p>
    <w:p w14:paraId="05991F83" w14:textId="77777777" w:rsidR="00927539" w:rsidRPr="00587797" w:rsidRDefault="00927539" w:rsidP="00927539">
      <w:pPr>
        <w:pStyle w:val="Heading5"/>
        <w:rPr>
          <w:color w:val="auto"/>
        </w:rPr>
      </w:pPr>
      <w:r w:rsidRPr="00587797">
        <w:rPr>
          <w:color w:val="auto"/>
        </w:rPr>
        <w:t>Implementation date</w:t>
      </w:r>
    </w:p>
    <w:p w14:paraId="6680D044" w14:textId="503C8C0B" w:rsidR="004345BD" w:rsidRPr="007570EC" w:rsidRDefault="004345BD" w:rsidP="004345BD">
      <w:pPr>
        <w:spacing w:after="240"/>
        <w:rPr>
          <w:rFonts w:asciiTheme="minorHAnsi" w:hAnsiTheme="minorHAnsi"/>
        </w:rPr>
      </w:pPr>
      <w:r w:rsidRPr="007570EC">
        <w:rPr>
          <w:rFonts w:asciiTheme="minorHAnsi" w:hAnsiTheme="minorHAnsi"/>
        </w:rPr>
        <w:t>1 June 2023</w:t>
      </w:r>
    </w:p>
    <w:p w14:paraId="16BAB918" w14:textId="7F61D461" w:rsidR="00927539" w:rsidRDefault="00927539" w:rsidP="00927539">
      <w:pPr>
        <w:pStyle w:val="Heading3"/>
      </w:pPr>
      <w:bookmarkStart w:id="43" w:name="_Toc190165696"/>
      <w:r>
        <w:t>Final decision in relation to fexofenadine</w:t>
      </w:r>
      <w:bookmarkEnd w:id="43"/>
    </w:p>
    <w:p w14:paraId="145B9D85" w14:textId="77777777" w:rsidR="00927539" w:rsidRDefault="00927539" w:rsidP="00927539">
      <w:pPr>
        <w:pStyle w:val="Heading5"/>
      </w:pPr>
      <w:r>
        <w:t>Proposal</w:t>
      </w:r>
    </w:p>
    <w:p w14:paraId="2B9B1065" w14:textId="77777777" w:rsidR="00927539" w:rsidRPr="00782237" w:rsidRDefault="00927539" w:rsidP="00927539">
      <w:r>
        <w:t xml:space="preserve">The applicant has proposed an amendment to the Schedule 2 entry for fexofenadine to increase the pack size available for general sale from 5 dosage units to 10 dosage units, when labelled for the treatment of seasonal allergic rhinitis in adults and children aged 12 years and above (the </w:t>
      </w:r>
      <w:r w:rsidRPr="002B2CA6">
        <w:rPr>
          <w:b/>
          <w:bCs/>
        </w:rPr>
        <w:t>Proposal</w:t>
      </w:r>
      <w:r>
        <w:t>).</w:t>
      </w:r>
    </w:p>
    <w:p w14:paraId="125541CE" w14:textId="77777777" w:rsidR="00927539" w:rsidRPr="008036B7" w:rsidRDefault="00927539" w:rsidP="00927539">
      <w:pPr>
        <w:pStyle w:val="Heading5"/>
      </w:pPr>
      <w:r>
        <w:t xml:space="preserve">Final decision </w:t>
      </w:r>
    </w:p>
    <w:p w14:paraId="6BCA3E38" w14:textId="7AE5773C" w:rsidR="00927539" w:rsidRDefault="00927539" w:rsidP="00927539">
      <w:r w:rsidRPr="006C2E25">
        <w:t xml:space="preserve">Pursuant to regulation 42ZCZR of the Regulations, the Delegate has made a final decision to confirm the interim decision and amend the current Poisons Standard in relation to </w:t>
      </w:r>
      <w:r w:rsidR="006C2E25" w:rsidRPr="006C2E25">
        <w:t>fexofenadine</w:t>
      </w:r>
      <w:r w:rsidRPr="006C2E25">
        <w:t xml:space="preserve"> as follows:</w:t>
      </w:r>
      <w:r w:rsidR="005D1F55">
        <w:rPr>
          <w:rStyle w:val="FootnoteReference"/>
        </w:rPr>
        <w:footnoteReference w:id="30"/>
      </w:r>
      <w:r w:rsidR="006C2E25">
        <w:t xml:space="preserve"> </w:t>
      </w:r>
      <w:r>
        <w:t xml:space="preserve"> </w:t>
      </w:r>
    </w:p>
    <w:p w14:paraId="259F14F0" w14:textId="77777777" w:rsidR="006C2E25" w:rsidRDefault="006C2E25" w:rsidP="006C2E25">
      <w:pPr>
        <w:ind w:left="426"/>
        <w:rPr>
          <w:b/>
        </w:rPr>
      </w:pPr>
      <w:r w:rsidRPr="00774DF9">
        <w:rPr>
          <w:b/>
        </w:rPr>
        <w:t xml:space="preserve">Schedule </w:t>
      </w:r>
      <w:r>
        <w:rPr>
          <w:b/>
        </w:rPr>
        <w:t>4</w:t>
      </w:r>
      <w:r w:rsidRPr="00774DF9">
        <w:rPr>
          <w:b/>
        </w:rPr>
        <w:t xml:space="preserve"> </w:t>
      </w:r>
      <w:r>
        <w:rPr>
          <w:b/>
        </w:rPr>
        <w:t>– Amend entry</w:t>
      </w:r>
    </w:p>
    <w:p w14:paraId="62F30181" w14:textId="77777777" w:rsidR="006C2E25" w:rsidRPr="00EF3A07" w:rsidRDefault="006C2E25" w:rsidP="006C2E25">
      <w:pPr>
        <w:ind w:firstLine="720"/>
        <w:rPr>
          <w:bCs/>
        </w:rPr>
      </w:pPr>
      <w:r w:rsidRPr="00EF3A07">
        <w:rPr>
          <w:bCs/>
        </w:rPr>
        <w:t xml:space="preserve">FEXOFENADINE </w:t>
      </w:r>
      <w:r w:rsidRPr="00EF3A07">
        <w:rPr>
          <w:b/>
        </w:rPr>
        <w:t>except</w:t>
      </w:r>
      <w:r w:rsidRPr="00EF3A07">
        <w:rPr>
          <w:bCs/>
        </w:rPr>
        <w:t xml:space="preserve">: </w:t>
      </w:r>
    </w:p>
    <w:p w14:paraId="1F8D99E7" w14:textId="77777777" w:rsidR="006C2E25" w:rsidRDefault="006C2E25" w:rsidP="00442B8F">
      <w:pPr>
        <w:pStyle w:val="ListBulleta"/>
        <w:numPr>
          <w:ilvl w:val="0"/>
          <w:numId w:val="7"/>
        </w:numPr>
      </w:pPr>
      <w:r w:rsidRPr="00EF3A07">
        <w:t xml:space="preserve">when included in Schedule </w:t>
      </w:r>
      <w:proofErr w:type="gramStart"/>
      <w:r w:rsidRPr="00EF3A07">
        <w:t>2;</w:t>
      </w:r>
      <w:proofErr w:type="gramEnd"/>
    </w:p>
    <w:p w14:paraId="16560198" w14:textId="77777777" w:rsidR="006C2E25" w:rsidRPr="00EF3A07" w:rsidRDefault="006C2E25" w:rsidP="006C2E25">
      <w:pPr>
        <w:pStyle w:val="ListBulleta"/>
      </w:pPr>
      <w:r w:rsidRPr="00EF3A07">
        <w:t xml:space="preserve">in divided preparations for the treatment of seasonal allergic rhinitis in adults and children 12 years of age and over when: </w:t>
      </w:r>
    </w:p>
    <w:p w14:paraId="7C87F36A" w14:textId="77777777" w:rsidR="006C2E25" w:rsidRPr="00EF3A07" w:rsidRDefault="006C2E25" w:rsidP="00442B8F">
      <w:pPr>
        <w:pStyle w:val="ListBulleti"/>
        <w:numPr>
          <w:ilvl w:val="0"/>
          <w:numId w:val="8"/>
        </w:numPr>
      </w:pPr>
      <w:r w:rsidRPr="00EF3A07">
        <w:t xml:space="preserve">in a primary pack containing 20 dosage units or less and not more than 10 days’ supply; and </w:t>
      </w:r>
    </w:p>
    <w:p w14:paraId="0692297D" w14:textId="77777777" w:rsidR="006C2E25" w:rsidRPr="00EF3A07" w:rsidRDefault="006C2E25" w:rsidP="006C2E25">
      <w:pPr>
        <w:pStyle w:val="ListBulleti"/>
      </w:pPr>
      <w:r w:rsidRPr="00EF3A07">
        <w:lastRenderedPageBreak/>
        <w:t xml:space="preserve">labelled with a recommended daily dose not exceeding 120 mg of </w:t>
      </w:r>
      <w:proofErr w:type="gramStart"/>
      <w:r w:rsidRPr="00EF3A07">
        <w:t>fexofenadine;</w:t>
      </w:r>
      <w:proofErr w:type="gramEnd"/>
      <w:r w:rsidRPr="00EF3A07">
        <w:t xml:space="preserve"> </w:t>
      </w:r>
    </w:p>
    <w:p w14:paraId="304E5D2E" w14:textId="77777777" w:rsidR="006C2E25" w:rsidRPr="00EF3A07" w:rsidRDefault="006C2E25" w:rsidP="006C2E25">
      <w:pPr>
        <w:pStyle w:val="ListBulleta"/>
      </w:pPr>
      <w:r w:rsidRPr="00EF3A07">
        <w:t xml:space="preserve">for </w:t>
      </w:r>
      <w:r w:rsidRPr="002416C6">
        <w:t>the</w:t>
      </w:r>
      <w:r w:rsidRPr="00EF3A07">
        <w:t xml:space="preserve"> treatment of seasonal allergic rhinitis in adults and children 12 years of age and over when: </w:t>
      </w:r>
    </w:p>
    <w:p w14:paraId="49596D1A" w14:textId="77777777" w:rsidR="006C2E25" w:rsidRPr="00EF3A07" w:rsidRDefault="006C2E25" w:rsidP="00442B8F">
      <w:pPr>
        <w:pStyle w:val="ListBulleti"/>
        <w:numPr>
          <w:ilvl w:val="0"/>
          <w:numId w:val="16"/>
        </w:numPr>
        <w:ind w:left="2127"/>
      </w:pPr>
      <w:r w:rsidRPr="00EF3A07">
        <w:t xml:space="preserve">in a primary pack containing </w:t>
      </w:r>
      <w:r w:rsidRPr="00F01B07">
        <w:rPr>
          <w:color w:val="00B050"/>
          <w:u w:val="single"/>
        </w:rPr>
        <w:t>10</w:t>
      </w:r>
      <w:r w:rsidRPr="00F01B07">
        <w:rPr>
          <w:strike/>
          <w:color w:val="FF0000"/>
        </w:rPr>
        <w:t xml:space="preserve">5 </w:t>
      </w:r>
      <w:r w:rsidRPr="00EF3A07">
        <w:t xml:space="preserve">dosage units or less and not more than </w:t>
      </w:r>
      <w:r w:rsidRPr="00F01B07">
        <w:rPr>
          <w:color w:val="00B050"/>
          <w:u w:val="single"/>
        </w:rPr>
        <w:t>10</w:t>
      </w:r>
      <w:r w:rsidRPr="00F01B07">
        <w:rPr>
          <w:strike/>
          <w:color w:val="FF0000"/>
        </w:rPr>
        <w:t xml:space="preserve">5 </w:t>
      </w:r>
      <w:r w:rsidRPr="00EF3A07">
        <w:t xml:space="preserve">days’ supply; and </w:t>
      </w:r>
    </w:p>
    <w:p w14:paraId="06BB4B8D" w14:textId="77777777" w:rsidR="006C2E25" w:rsidRPr="00EF3A07" w:rsidRDefault="006C2E25" w:rsidP="006C2E25">
      <w:pPr>
        <w:pStyle w:val="ListBulleti"/>
      </w:pPr>
      <w:r w:rsidRPr="00EF3A07">
        <w:t xml:space="preserve">labelled with a recommended daily dose not exceeding 180 mg of </w:t>
      </w:r>
      <w:proofErr w:type="gramStart"/>
      <w:r w:rsidRPr="00EF3A07">
        <w:t>fexofenadine;</w:t>
      </w:r>
      <w:proofErr w:type="gramEnd"/>
      <w:r w:rsidRPr="00EF3A07">
        <w:t xml:space="preserve"> or </w:t>
      </w:r>
    </w:p>
    <w:p w14:paraId="5A4E102D" w14:textId="77777777" w:rsidR="006C2E25" w:rsidRPr="00EF3A07" w:rsidRDefault="006C2E25" w:rsidP="006C2E25">
      <w:pPr>
        <w:pStyle w:val="ListBulleta"/>
      </w:pPr>
      <w:r w:rsidRPr="00EF3A07">
        <w:t xml:space="preserve">for the treatment of seasonal allergic rhinitis and children 6 years of age and over when: </w:t>
      </w:r>
    </w:p>
    <w:p w14:paraId="7FCF71C6" w14:textId="77777777" w:rsidR="006C2E25" w:rsidRPr="00EF3A07" w:rsidRDefault="006C2E25" w:rsidP="00442B8F">
      <w:pPr>
        <w:pStyle w:val="ListBulleti"/>
        <w:numPr>
          <w:ilvl w:val="0"/>
          <w:numId w:val="17"/>
        </w:numPr>
        <w:ind w:left="2127"/>
      </w:pPr>
      <w:r w:rsidRPr="00EF3A07">
        <w:t xml:space="preserve">in a primary pack containing 20 dosage units or less and not more than 10 days’ supply; and </w:t>
      </w:r>
    </w:p>
    <w:p w14:paraId="544CBA8E" w14:textId="77777777" w:rsidR="006C2E25" w:rsidRPr="00C43A50" w:rsidRDefault="006C2E25" w:rsidP="006C2E25">
      <w:pPr>
        <w:pStyle w:val="ListBulleti"/>
      </w:pPr>
      <w:r w:rsidRPr="00EF3A07">
        <w:t xml:space="preserve">labelled with a recommended daily dose not exceeding 60 mg of fexofenadine. </w:t>
      </w:r>
    </w:p>
    <w:p w14:paraId="1E9DBCB8" w14:textId="77777777" w:rsidR="006C2E25" w:rsidRPr="006D5C84" w:rsidRDefault="006C2E25" w:rsidP="006C2E25">
      <w:pPr>
        <w:ind w:left="426"/>
        <w:rPr>
          <w:b/>
        </w:rPr>
      </w:pPr>
      <w:r w:rsidRPr="006D5C84">
        <w:rPr>
          <w:b/>
        </w:rPr>
        <w:t xml:space="preserve">Schedule </w:t>
      </w:r>
      <w:r>
        <w:rPr>
          <w:b/>
        </w:rPr>
        <w:t>2</w:t>
      </w:r>
    </w:p>
    <w:p w14:paraId="245D9E3C" w14:textId="77777777" w:rsidR="006C2E25" w:rsidRPr="00EF3A07" w:rsidRDefault="006C2E25" w:rsidP="006C2E25">
      <w:pPr>
        <w:ind w:left="426" w:firstLine="294"/>
        <w:rPr>
          <w:rFonts w:asciiTheme="minorHAnsi" w:hAnsiTheme="minorHAnsi" w:cstheme="minorHAnsi"/>
        </w:rPr>
      </w:pPr>
      <w:r w:rsidRPr="00EF3A07">
        <w:rPr>
          <w:rFonts w:asciiTheme="minorHAnsi" w:hAnsiTheme="minorHAnsi" w:cstheme="minorHAnsi"/>
        </w:rPr>
        <w:t xml:space="preserve">FEXOFENADINE in preparations for oral use </w:t>
      </w:r>
      <w:r w:rsidRPr="00EF3A07">
        <w:rPr>
          <w:rFonts w:asciiTheme="minorHAnsi" w:hAnsiTheme="minorHAnsi" w:cstheme="minorHAnsi"/>
          <w:b/>
          <w:bCs/>
        </w:rPr>
        <w:t xml:space="preserve">except </w:t>
      </w:r>
      <w:r w:rsidRPr="00EF3A07">
        <w:rPr>
          <w:rFonts w:asciiTheme="minorHAnsi" w:hAnsiTheme="minorHAnsi" w:cstheme="minorHAnsi"/>
        </w:rPr>
        <w:t>in divided preparations:</w:t>
      </w:r>
    </w:p>
    <w:p w14:paraId="368C30E6" w14:textId="77777777" w:rsidR="006C2E25" w:rsidRPr="00EF3A07" w:rsidRDefault="006C2E25" w:rsidP="00442B8F">
      <w:pPr>
        <w:pStyle w:val="ListBulleta"/>
        <w:numPr>
          <w:ilvl w:val="0"/>
          <w:numId w:val="10"/>
        </w:numPr>
      </w:pPr>
      <w:r w:rsidRPr="00EF3A07">
        <w:t xml:space="preserve">for the treatment of seasonal allergic rhinitis in adults and children 12 years of age and over when: </w:t>
      </w:r>
    </w:p>
    <w:p w14:paraId="3B3CBDDF" w14:textId="77777777" w:rsidR="006C2E25" w:rsidRPr="00EF3A07" w:rsidRDefault="006C2E25" w:rsidP="00442B8F">
      <w:pPr>
        <w:pStyle w:val="ListBulleti"/>
        <w:numPr>
          <w:ilvl w:val="0"/>
          <w:numId w:val="11"/>
        </w:numPr>
      </w:pPr>
      <w:r w:rsidRPr="00EF3A07">
        <w:t>in a primary pack containing 20 dosage units or less and not more than 10 days’ supply; and</w:t>
      </w:r>
    </w:p>
    <w:p w14:paraId="244CF772" w14:textId="77777777" w:rsidR="006C2E25" w:rsidRPr="00EF3A07" w:rsidRDefault="006C2E25" w:rsidP="006C2E25">
      <w:pPr>
        <w:pStyle w:val="ListBulleti"/>
      </w:pPr>
      <w:r w:rsidRPr="00EF3A07">
        <w:t xml:space="preserve">labelled with a recommended daily dose not exceeding 120 mg of </w:t>
      </w:r>
      <w:proofErr w:type="gramStart"/>
      <w:r w:rsidRPr="00EF3A07">
        <w:t>fexofenadine;</w:t>
      </w:r>
      <w:proofErr w:type="gramEnd"/>
    </w:p>
    <w:p w14:paraId="37BD8550" w14:textId="77777777" w:rsidR="006C2E25" w:rsidRPr="00EF3A07" w:rsidRDefault="006C2E25" w:rsidP="006C2E25">
      <w:pPr>
        <w:pStyle w:val="ListBulleta"/>
      </w:pPr>
      <w:r w:rsidRPr="00EF3A07">
        <w:t>for the treatment of seasonal allergic rhinitis in adults and children 12 years of age and over when:</w:t>
      </w:r>
    </w:p>
    <w:p w14:paraId="7CB0310A" w14:textId="77777777" w:rsidR="006C2E25" w:rsidRPr="00EF3A07" w:rsidRDefault="006C2E25" w:rsidP="00442B8F">
      <w:pPr>
        <w:pStyle w:val="ListBulleti"/>
        <w:numPr>
          <w:ilvl w:val="0"/>
          <w:numId w:val="12"/>
        </w:numPr>
        <w:jc w:val="both"/>
      </w:pPr>
      <w:r w:rsidRPr="00EF3A07">
        <w:t xml:space="preserve">in a primary pack containing </w:t>
      </w:r>
      <w:r w:rsidRPr="00153E2C">
        <w:rPr>
          <w:color w:val="00B050"/>
          <w:u w:val="single"/>
        </w:rPr>
        <w:t>10</w:t>
      </w:r>
      <w:r w:rsidRPr="008A0642">
        <w:rPr>
          <w:strike/>
          <w:color w:val="FF0000"/>
        </w:rPr>
        <w:t>5</w:t>
      </w:r>
      <w:r w:rsidRPr="008A0642">
        <w:rPr>
          <w:color w:val="FF0000"/>
        </w:rPr>
        <w:t xml:space="preserve"> </w:t>
      </w:r>
      <w:r w:rsidRPr="00EF3A07">
        <w:t xml:space="preserve">dosage units or less and not more than </w:t>
      </w:r>
      <w:r w:rsidRPr="00153E2C">
        <w:rPr>
          <w:color w:val="00B050"/>
          <w:u w:val="single"/>
        </w:rPr>
        <w:t>10</w:t>
      </w:r>
      <w:r w:rsidRPr="008A0642">
        <w:rPr>
          <w:strike/>
          <w:color w:val="FF0000"/>
        </w:rPr>
        <w:t>5</w:t>
      </w:r>
      <w:r w:rsidRPr="008A0642">
        <w:rPr>
          <w:color w:val="FF0000"/>
        </w:rPr>
        <w:t xml:space="preserve"> </w:t>
      </w:r>
      <w:r w:rsidRPr="00EF3A07">
        <w:t>days’ supply; and</w:t>
      </w:r>
    </w:p>
    <w:p w14:paraId="0E564AD1" w14:textId="77777777" w:rsidR="006C2E25" w:rsidRPr="00EF3A07" w:rsidRDefault="006C2E25" w:rsidP="006C2E25">
      <w:pPr>
        <w:pStyle w:val="ListBulleti"/>
      </w:pPr>
      <w:r w:rsidRPr="00EF3A07">
        <w:t xml:space="preserve">labelled with a recommended daily dose not exceeding 180 mg of </w:t>
      </w:r>
      <w:proofErr w:type="gramStart"/>
      <w:r w:rsidRPr="00EF3A07">
        <w:t>fexofenadine;</w:t>
      </w:r>
      <w:proofErr w:type="gramEnd"/>
      <w:r w:rsidRPr="00EF3A07">
        <w:t xml:space="preserve"> or</w:t>
      </w:r>
    </w:p>
    <w:p w14:paraId="1F80E2E8" w14:textId="77777777" w:rsidR="006C2E25" w:rsidRPr="00EF3A07" w:rsidRDefault="006C2E25" w:rsidP="006C2E25">
      <w:pPr>
        <w:pStyle w:val="ListBulleta"/>
      </w:pPr>
      <w:r w:rsidRPr="00EF3A07">
        <w:t>for the treatment of seasonal allergic rhinitis and children 6 years of age and over when:</w:t>
      </w:r>
    </w:p>
    <w:p w14:paraId="2E8DB3DA" w14:textId="77777777" w:rsidR="006C2E25" w:rsidRDefault="006C2E25" w:rsidP="00442B8F">
      <w:pPr>
        <w:pStyle w:val="ListBulleti"/>
        <w:numPr>
          <w:ilvl w:val="0"/>
          <w:numId w:val="13"/>
        </w:numPr>
      </w:pPr>
      <w:r w:rsidRPr="00EF3A07">
        <w:t>in a primary pack containing 20 dosage units or less and not more than 10 days’ supply; and</w:t>
      </w:r>
    </w:p>
    <w:p w14:paraId="0D39764F" w14:textId="77777777" w:rsidR="006C2E25" w:rsidRPr="00D175D0" w:rsidRDefault="006C2E25" w:rsidP="00442B8F">
      <w:pPr>
        <w:pStyle w:val="ListBulleti"/>
        <w:numPr>
          <w:ilvl w:val="0"/>
          <w:numId w:val="13"/>
        </w:numPr>
      </w:pPr>
      <w:r w:rsidRPr="00EF3A07">
        <w:t>labelled with a recommended daily dose not exceeding 60 mg of fexofenadine</w:t>
      </w:r>
      <w:r>
        <w:t>.</w:t>
      </w:r>
    </w:p>
    <w:p w14:paraId="707C6C71" w14:textId="77777777" w:rsidR="006C2E25" w:rsidRDefault="006C2E25" w:rsidP="006C2E25">
      <w:pPr>
        <w:ind w:left="426"/>
        <w:rPr>
          <w:b/>
        </w:rPr>
      </w:pPr>
      <w:r w:rsidRPr="00774DF9">
        <w:rPr>
          <w:b/>
        </w:rPr>
        <w:t>Index</w:t>
      </w:r>
    </w:p>
    <w:p w14:paraId="705930A5" w14:textId="77777777" w:rsidR="006C2E25" w:rsidRDefault="006C2E25" w:rsidP="006C2E25">
      <w:pPr>
        <w:ind w:left="426"/>
        <w:rPr>
          <w:b/>
        </w:rPr>
      </w:pPr>
      <w:r>
        <w:rPr>
          <w:b/>
        </w:rPr>
        <w:tab/>
        <w:t>FEXOFENADINE</w:t>
      </w:r>
    </w:p>
    <w:p w14:paraId="3C1D426E" w14:textId="28F71294" w:rsidR="006C2E25" w:rsidRPr="006C2E25" w:rsidRDefault="006C2E25" w:rsidP="006C2E25">
      <w:pPr>
        <w:ind w:left="426"/>
        <w:rPr>
          <w:bCs/>
        </w:rPr>
      </w:pPr>
      <w:r>
        <w:rPr>
          <w:b/>
        </w:rPr>
        <w:tab/>
      </w:r>
      <w:r w:rsidRPr="00D175D0">
        <w:rPr>
          <w:bCs/>
        </w:rPr>
        <w:t>Schedule 4</w:t>
      </w:r>
      <w:r w:rsidRPr="00D175D0">
        <w:rPr>
          <w:bCs/>
        </w:rPr>
        <w:br/>
      </w:r>
      <w:r w:rsidRPr="00D175D0">
        <w:rPr>
          <w:bCs/>
        </w:rPr>
        <w:tab/>
        <w:t>Schedule 2</w:t>
      </w:r>
    </w:p>
    <w:p w14:paraId="48C1E800" w14:textId="77777777" w:rsidR="00927539" w:rsidRDefault="00927539" w:rsidP="00927539">
      <w:pPr>
        <w:pStyle w:val="Heading5"/>
      </w:pPr>
      <w:r>
        <w:lastRenderedPageBreak/>
        <w:t xml:space="preserve">Materials considered </w:t>
      </w:r>
    </w:p>
    <w:p w14:paraId="66BBDE9E" w14:textId="4194B7FB" w:rsidR="00927539" w:rsidRDefault="00927539" w:rsidP="00927539">
      <w:r>
        <w:t>In making this final decision, the Delegate considered the following material:</w:t>
      </w:r>
    </w:p>
    <w:p w14:paraId="505843F1" w14:textId="77777777" w:rsidR="00927539" w:rsidRDefault="00927539" w:rsidP="00927539">
      <w:pPr>
        <w:pStyle w:val="ListBullet"/>
      </w:pPr>
      <w:r>
        <w:t xml:space="preserve">The </w:t>
      </w:r>
      <w:hyperlink r:id="rId43" w:history="1">
        <w:r w:rsidRPr="00D175D0">
          <w:rPr>
            <w:rStyle w:val="Hyperlink"/>
          </w:rPr>
          <w:t>application</w:t>
        </w:r>
      </w:hyperlink>
      <w:r>
        <w:t xml:space="preserve"> to amend the current Poisons Standard with respect to fexofenadine (the </w:t>
      </w:r>
      <w:r>
        <w:rPr>
          <w:b/>
          <w:bCs/>
        </w:rPr>
        <w:t>Application</w:t>
      </w:r>
      <w:r>
        <w:t>);</w:t>
      </w:r>
    </w:p>
    <w:p w14:paraId="653347A5" w14:textId="77777777" w:rsidR="00927539" w:rsidRDefault="00927539" w:rsidP="00927539">
      <w:pPr>
        <w:pStyle w:val="ListBullet"/>
      </w:pPr>
      <w:r>
        <w:t xml:space="preserve">The 2 </w:t>
      </w:r>
      <w:hyperlink r:id="rId44" w:history="1">
        <w:r w:rsidRPr="00D175D0">
          <w:rPr>
            <w:rStyle w:val="Hyperlink"/>
          </w:rPr>
          <w:t>public submissions</w:t>
        </w:r>
      </w:hyperlink>
      <w:r>
        <w:t xml:space="preserve"> received in response to the </w:t>
      </w:r>
      <w:hyperlink r:id="rId45" w:history="1">
        <w:r w:rsidRPr="00D175D0">
          <w:rPr>
            <w:rStyle w:val="Hyperlink"/>
          </w:rPr>
          <w:t>pre-meeting consultation</w:t>
        </w:r>
      </w:hyperlink>
      <w:r>
        <w:t xml:space="preserve"> under regulation 42ZCZK of the Regulations (the </w:t>
      </w:r>
      <w:r w:rsidRPr="00212A35">
        <w:rPr>
          <w:b/>
          <w:bCs/>
        </w:rPr>
        <w:t>Submissions</w:t>
      </w:r>
      <w:r>
        <w:t xml:space="preserve">); </w:t>
      </w:r>
    </w:p>
    <w:p w14:paraId="7B506FA3" w14:textId="77777777" w:rsidR="00927539" w:rsidRDefault="00927539" w:rsidP="00927539">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0154DD2B" w14:textId="0810A3E3" w:rsidR="00927539" w:rsidRDefault="00927539" w:rsidP="00927539">
      <w:pPr>
        <w:pStyle w:val="ListBullet"/>
      </w:pPr>
      <w:r>
        <w:t xml:space="preserve">The </w:t>
      </w:r>
      <w:r w:rsidR="00115645">
        <w:t>2</w:t>
      </w:r>
      <w:r>
        <w:t xml:space="preserve"> </w:t>
      </w:r>
      <w:hyperlink r:id="rId46" w:history="1">
        <w:r w:rsidRPr="00115645">
          <w:rPr>
            <w:rStyle w:val="Hyperlink"/>
          </w:rPr>
          <w:t>public submissions</w:t>
        </w:r>
      </w:hyperlink>
      <w:r>
        <w:t xml:space="preserve"> received in response to the </w:t>
      </w:r>
      <w:hyperlink r:id="rId47" w:history="1">
        <w:r w:rsidRPr="00115645">
          <w:rPr>
            <w:rStyle w:val="Hyperlink"/>
          </w:rPr>
          <w:t>interim decision consultation</w:t>
        </w:r>
      </w:hyperlink>
      <w:r>
        <w:t xml:space="preserve"> </w:t>
      </w:r>
      <w:r w:rsidRPr="002C1418">
        <w:t>under regulation 42ZCZP of the Regulations</w:t>
      </w:r>
      <w:r>
        <w:t>;</w:t>
      </w:r>
    </w:p>
    <w:p w14:paraId="357EC367" w14:textId="77777777" w:rsidR="00927539" w:rsidRDefault="00927539" w:rsidP="00927539">
      <w:pPr>
        <w:pStyle w:val="ListBullet"/>
      </w:pPr>
      <w:r w:rsidRPr="001169AC">
        <w:t>Subsection 52</w:t>
      </w:r>
      <w:proofErr w:type="gramStart"/>
      <w:r w:rsidRPr="001169AC">
        <w:t>E(</w:t>
      </w:r>
      <w:proofErr w:type="gramEnd"/>
      <w:r w:rsidRPr="001169AC">
        <w:t xml:space="preserve">1) of </w:t>
      </w:r>
      <w:r>
        <w:rPr>
          <w:iCs/>
        </w:rPr>
        <w:t xml:space="preserve">the </w:t>
      </w:r>
      <w:r w:rsidRPr="00C50FDE">
        <w:rPr>
          <w:iCs/>
        </w:rPr>
        <w:t>Act</w:t>
      </w:r>
      <w:r w:rsidRPr="00C50FDE">
        <w:t>, in</w:t>
      </w:r>
      <w:r w:rsidRPr="001169AC">
        <w:t xml:space="preserve"> particular (a) the risks and benefits of the use of a substance; (b) the purposes for which a substance is to be used and the extent of use of a substance; (c) the toxicity of a substance; </w:t>
      </w:r>
      <w:r>
        <w:t xml:space="preserve">and </w:t>
      </w:r>
      <w:r w:rsidRPr="001169AC">
        <w:t>(d) the dosage, formulation, labelling, packaging and presentation of a substance</w:t>
      </w:r>
      <w:r>
        <w:t>;</w:t>
      </w:r>
    </w:p>
    <w:p w14:paraId="5B1B1BC3" w14:textId="2755FE74" w:rsidR="00927539" w:rsidRDefault="007728F9" w:rsidP="00927539">
      <w:pPr>
        <w:pStyle w:val="ListBullet"/>
      </w:pPr>
      <w:r>
        <w:t>Pursuant to paragraph 52E(2)(a) of the Act, t</w:t>
      </w:r>
      <w:r w:rsidR="00927539" w:rsidRPr="00C50FDE">
        <w:t>he SPF;</w:t>
      </w:r>
      <w:r w:rsidR="00927539">
        <w:t xml:space="preserve"> </w:t>
      </w:r>
      <w:r w:rsidR="00927539" w:rsidRPr="00C262D5">
        <w:t>and</w:t>
      </w:r>
    </w:p>
    <w:p w14:paraId="3A04DD69" w14:textId="77777777" w:rsidR="00927539" w:rsidRDefault="00927539" w:rsidP="00927539">
      <w:pPr>
        <w:pStyle w:val="ListBullet"/>
      </w:pPr>
      <w:r>
        <w:t xml:space="preserve">The </w:t>
      </w:r>
      <w:r w:rsidRPr="00C50FDE">
        <w:t>Handbook.</w:t>
      </w:r>
    </w:p>
    <w:p w14:paraId="2B306ACF" w14:textId="77777777" w:rsidR="00927539" w:rsidRDefault="00927539" w:rsidP="00927539">
      <w:pPr>
        <w:pStyle w:val="Heading5"/>
      </w:pPr>
      <w:r w:rsidRPr="00436C41">
        <w:t>Reasons for the final decision (including findings on material questions of fact)</w:t>
      </w:r>
    </w:p>
    <w:p w14:paraId="0338223E" w14:textId="4E022231" w:rsidR="00094063" w:rsidRPr="00403557" w:rsidRDefault="00927539" w:rsidP="00403557">
      <w:r w:rsidRPr="006C2E25">
        <w:t xml:space="preserve">I have made a final decision to confirm my interim decision to </w:t>
      </w:r>
      <w:r w:rsidR="006C2E25" w:rsidRPr="006C2E25">
        <w:t xml:space="preserve">amend </w:t>
      </w:r>
      <w:r w:rsidRPr="006C2E25">
        <w:t xml:space="preserve">the current Poisons Standard with respect to </w:t>
      </w:r>
      <w:r w:rsidR="006C2E25" w:rsidRPr="006C2E25">
        <w:t>fexofenadine</w:t>
      </w:r>
      <w:r w:rsidRPr="006C2E25">
        <w:t xml:space="preserve">. My reasons for making the final decision are those set out in the </w:t>
      </w:r>
      <w:r w:rsidRPr="00403557">
        <w:t>interim decision</w:t>
      </w:r>
      <w:r w:rsidR="006C2E25" w:rsidRPr="00403557">
        <w:t>.</w:t>
      </w:r>
      <w:r w:rsidRPr="00403557">
        <w:t xml:space="preserve"> </w:t>
      </w:r>
      <w:r w:rsidR="00094063" w:rsidRPr="00115645">
        <w:t>I have noted that two public submissions were</w:t>
      </w:r>
      <w:r w:rsidR="00094063">
        <w:t xml:space="preserve"> </w:t>
      </w:r>
      <w:r w:rsidR="00094063" w:rsidRPr="00264F6E">
        <w:t xml:space="preserve">received before the second closing date in response to the call for further submissions published on </w:t>
      </w:r>
      <w:r w:rsidR="00094063" w:rsidRPr="002141F7">
        <w:t>3 February 2023</w:t>
      </w:r>
      <w:r w:rsidR="00094063" w:rsidRPr="00F94034">
        <w:t xml:space="preserve"> </w:t>
      </w:r>
      <w:r w:rsidR="00094063" w:rsidRPr="00264F6E">
        <w:t>under regulation 42ZCZP of the Regulations.</w:t>
      </w:r>
      <w:r w:rsidR="00094063">
        <w:t xml:space="preserve"> </w:t>
      </w:r>
      <w:r w:rsidR="003B1D6C">
        <w:t>Both</w:t>
      </w:r>
      <w:r w:rsidR="00094063">
        <w:t xml:space="preserve"> submissions opposed the interim decision, however, only one submission included a written component.</w:t>
      </w:r>
    </w:p>
    <w:p w14:paraId="26D8CDA7" w14:textId="15C47A94" w:rsidR="00627C05" w:rsidRDefault="00403557" w:rsidP="00627C05">
      <w:r w:rsidRPr="00403557">
        <w:t xml:space="preserve">I have considered the opposing submission </w:t>
      </w:r>
      <w:r w:rsidR="00C05017">
        <w:t xml:space="preserve">from the Pharmacy Guild of Australia stating that </w:t>
      </w:r>
      <w:r w:rsidRPr="00403557">
        <w:t xml:space="preserve">fexofenadine may not be appropriate for use </w:t>
      </w:r>
      <w:r w:rsidR="00122C10">
        <w:t>by all</w:t>
      </w:r>
      <w:r w:rsidRPr="00403557">
        <w:t xml:space="preserve"> individuals</w:t>
      </w:r>
      <w:r w:rsidR="00122C10">
        <w:t xml:space="preserve">, </w:t>
      </w:r>
      <w:r w:rsidR="003B1D6C">
        <w:t xml:space="preserve">and </w:t>
      </w:r>
      <w:r w:rsidR="00122C10">
        <w:t>thus health professional advice should be available due to the associated risks</w:t>
      </w:r>
      <w:r w:rsidR="003B1D6C">
        <w:t xml:space="preserve">, </w:t>
      </w:r>
      <w:proofErr w:type="gramStart"/>
      <w:r w:rsidR="003B1D6C">
        <w:t>making reference</w:t>
      </w:r>
      <w:proofErr w:type="gramEnd"/>
      <w:r w:rsidR="003B1D6C">
        <w:t xml:space="preserve"> to the </w:t>
      </w:r>
      <w:r w:rsidR="00F777C2">
        <w:t>B2 pregnancy category for the substanc</w:t>
      </w:r>
      <w:r w:rsidR="00627C05">
        <w:t xml:space="preserve">e. </w:t>
      </w:r>
      <w:r w:rsidR="00627C05" w:rsidRPr="00403557">
        <w:t>I note</w:t>
      </w:r>
      <w:r w:rsidR="003B1D6C">
        <w:t>,</w:t>
      </w:r>
      <w:r w:rsidR="00627C05" w:rsidRPr="00403557">
        <w:t xml:space="preserve"> however</w:t>
      </w:r>
      <w:r w:rsidR="00627C05">
        <w:t>,</w:t>
      </w:r>
      <w:r w:rsidR="00627C05" w:rsidRPr="00403557">
        <w:t xml:space="preserve"> that</w:t>
      </w:r>
      <w:r w:rsidR="00627C05">
        <w:t xml:space="preserve"> numerous preparations of</w:t>
      </w:r>
      <w:r w:rsidR="00627C05" w:rsidRPr="00403557">
        <w:t xml:space="preserve"> fexofenadine are already available as unscheduled medicines</w:t>
      </w:r>
      <w:r w:rsidR="00627C05">
        <w:t xml:space="preserve"> on the basis that the substance </w:t>
      </w:r>
      <w:r w:rsidR="003B1D6C">
        <w:t>can be accessed with</w:t>
      </w:r>
      <w:r w:rsidR="00627C05">
        <w:t xml:space="preserve"> ‘reasonable safety’ </w:t>
      </w:r>
      <w:r w:rsidR="003B1D6C">
        <w:t>as outlined in the Handbook</w:t>
      </w:r>
      <w:r w:rsidR="00627C05" w:rsidRPr="00403557">
        <w:t xml:space="preserve">. I have also </w:t>
      </w:r>
      <w:proofErr w:type="gramStart"/>
      <w:r w:rsidR="00627C05" w:rsidRPr="00403557">
        <w:t>taken into account</w:t>
      </w:r>
      <w:proofErr w:type="gramEnd"/>
      <w:r w:rsidR="00627C05" w:rsidRPr="00403557">
        <w:t xml:space="preserve"> how this amendment aligns with the scheduling of cetirizine, another antihistamine in the B2 pregnancy category, which is al</w:t>
      </w:r>
      <w:r w:rsidR="003B1D6C">
        <w:t>so</w:t>
      </w:r>
      <w:r w:rsidR="00627C05" w:rsidRPr="00403557">
        <w:t xml:space="preserve"> available </w:t>
      </w:r>
      <w:r w:rsidR="003B1D6C">
        <w:t>for general sale in preparations containing 10 dosage units or less in the primary pack.</w:t>
      </w:r>
    </w:p>
    <w:p w14:paraId="56E022B7" w14:textId="32062850" w:rsidR="00C05017" w:rsidRPr="00403557" w:rsidRDefault="003B1D6C" w:rsidP="00403557">
      <w:r w:rsidRPr="00403557">
        <w:t xml:space="preserve">I therefore </w:t>
      </w:r>
      <w:r>
        <w:t xml:space="preserve">of the view that the amendment to the Schedule 2 entry for fexofenadine has minimal impact on the </w:t>
      </w:r>
      <w:r w:rsidRPr="00403557">
        <w:t>overall risk profile</w:t>
      </w:r>
      <w:r>
        <w:t xml:space="preserve"> of the substance</w:t>
      </w:r>
      <w:r w:rsidR="00183B1A">
        <w:t xml:space="preserve"> whilst providing benefit to the public through increased pack sizes at general sale. </w:t>
      </w:r>
    </w:p>
    <w:p w14:paraId="08DE314D" w14:textId="77777777" w:rsidR="00927539" w:rsidRDefault="00927539" w:rsidP="00927539">
      <w:pPr>
        <w:pStyle w:val="Heading5"/>
      </w:pPr>
      <w:r>
        <w:t>Implementation date</w:t>
      </w:r>
    </w:p>
    <w:p w14:paraId="4F161E14" w14:textId="6F24830B" w:rsidR="00927539" w:rsidRDefault="00DE317A" w:rsidP="00927539">
      <w:r>
        <w:t>1 June 2023</w:t>
      </w:r>
    </w:p>
    <w:p w14:paraId="12F8A755" w14:textId="3CA3ED69" w:rsidR="00927539" w:rsidRDefault="00927539" w:rsidP="00927539">
      <w:pPr>
        <w:pStyle w:val="Heading3"/>
      </w:pPr>
      <w:bookmarkStart w:id="44" w:name="_Toc190165697"/>
      <w:r>
        <w:lastRenderedPageBreak/>
        <w:t>Final decision in relation to ibuprofen</w:t>
      </w:r>
      <w:bookmarkEnd w:id="44"/>
    </w:p>
    <w:p w14:paraId="68381C40" w14:textId="77777777" w:rsidR="00927539" w:rsidRDefault="00927539" w:rsidP="00927539">
      <w:pPr>
        <w:pStyle w:val="Heading5"/>
      </w:pPr>
      <w:r>
        <w:t>Proposal</w:t>
      </w:r>
    </w:p>
    <w:p w14:paraId="2E089D90" w14:textId="1B9167DE" w:rsidR="00B64710" w:rsidRPr="00B64710" w:rsidRDefault="00927539" w:rsidP="00B64710">
      <w:pPr>
        <w:rPr>
          <w:b/>
          <w:bCs/>
        </w:rPr>
      </w:pPr>
      <w:r w:rsidRPr="00D175D0">
        <w:t>The applicant proposed the rescheduling from Schedule 3 to Schedule 2</w:t>
      </w:r>
      <w:r>
        <w:t xml:space="preserve"> </w:t>
      </w:r>
      <w:r w:rsidRPr="00D175D0">
        <w:t>of modified release ibuprofen</w:t>
      </w:r>
      <w:r>
        <w:t xml:space="preserve"> in</w:t>
      </w:r>
      <w:r w:rsidRPr="00D175D0">
        <w:t xml:space="preserve"> divided preparations containing </w:t>
      </w:r>
      <w:r>
        <w:t>4</w:t>
      </w:r>
      <w:r w:rsidRPr="00D175D0">
        <w:t>00 mg or less of ibuprofen, in a primary pack containing not more than 12 dosage units, when labelled with a recommended daily dose of 1200 mg or less of ibuprofen</w:t>
      </w:r>
      <w:r>
        <w:t xml:space="preserve"> (the </w:t>
      </w:r>
      <w:r w:rsidRPr="00DA6C72">
        <w:rPr>
          <w:b/>
          <w:bCs/>
        </w:rPr>
        <w:t>Proposal</w:t>
      </w:r>
      <w:r>
        <w:t>)</w:t>
      </w:r>
      <w:r w:rsidRPr="00D175D0">
        <w:t xml:space="preserve">. This </w:t>
      </w:r>
      <w:r>
        <w:t>would</w:t>
      </w:r>
      <w:r w:rsidRPr="00D175D0">
        <w:t xml:space="preserve"> enable patients over 12 years of age to access some preparations of modified release ibuprofen without prior consultation with a pharmacist.</w:t>
      </w:r>
    </w:p>
    <w:p w14:paraId="71462D02" w14:textId="76F19C5D" w:rsidR="00927539" w:rsidRPr="008036B7" w:rsidRDefault="00927539" w:rsidP="00927539">
      <w:pPr>
        <w:pStyle w:val="Heading5"/>
      </w:pPr>
      <w:r>
        <w:t xml:space="preserve">Final decision </w:t>
      </w:r>
    </w:p>
    <w:p w14:paraId="1B18C84F" w14:textId="344A7F39" w:rsidR="00E851FA" w:rsidRDefault="00E851FA" w:rsidP="00E851FA">
      <w:r w:rsidRPr="00264F6E">
        <w:t>Pursuant to regulation 42ZCZR of the Regulations, the Delegate has made a final decision to confirm the interim decision to not amend the current Poisons Standard in relation to ibuprofen.</w:t>
      </w:r>
    </w:p>
    <w:p w14:paraId="6D701DFF" w14:textId="77777777" w:rsidR="00B64710" w:rsidRPr="00B64710" w:rsidRDefault="00B64710" w:rsidP="00B64710">
      <w:pPr>
        <w:pStyle w:val="Heading4"/>
        <w:rPr>
          <w:rFonts w:ascii="Cambria" w:hAnsi="Cambria" w:cs="Calibri"/>
          <w:i/>
          <w:iCs/>
          <w:sz w:val="22"/>
          <w:szCs w:val="22"/>
        </w:rPr>
      </w:pPr>
      <w:bookmarkStart w:id="45" w:name="_Toc112833622"/>
      <w:r w:rsidRPr="00B64710">
        <w:rPr>
          <w:rFonts w:ascii="Cambria" w:hAnsi="Cambria" w:cs="Calibri"/>
          <w:i/>
          <w:iCs/>
          <w:sz w:val="22"/>
          <w:szCs w:val="22"/>
        </w:rPr>
        <w:t>Current scheduling</w:t>
      </w:r>
      <w:bookmarkEnd w:id="45"/>
    </w:p>
    <w:p w14:paraId="013BA744" w14:textId="5397F1F6" w:rsidR="00B64710" w:rsidRPr="00B64710" w:rsidRDefault="00B64710" w:rsidP="00B64710">
      <w:pPr>
        <w:pStyle w:val="ListBullet"/>
        <w:numPr>
          <w:ilvl w:val="0"/>
          <w:numId w:val="0"/>
        </w:numPr>
      </w:pPr>
      <w:r w:rsidRPr="004019FB">
        <w:rPr>
          <w:b/>
          <w:bCs/>
        </w:rPr>
        <w:t>Editorial note:</w:t>
      </w:r>
      <w:r>
        <w:t xml:space="preserve"> </w:t>
      </w:r>
      <w:r>
        <w:rPr>
          <w:rFonts w:cstheme="minorHAnsi"/>
        </w:rPr>
        <w:t>IBUPROFEN</w:t>
      </w:r>
      <w:r w:rsidRPr="003C4DAA">
        <w:rPr>
          <w:rFonts w:cstheme="minorHAnsi"/>
        </w:rPr>
        <w:t xml:space="preserve"> is currently listed in Schedules </w:t>
      </w:r>
      <w:r>
        <w:rPr>
          <w:rFonts w:cstheme="minorHAnsi"/>
        </w:rPr>
        <w:t>2, 3 and 4</w:t>
      </w:r>
      <w:r w:rsidRPr="003C4DAA">
        <w:rPr>
          <w:rFonts w:cstheme="minorHAnsi"/>
        </w:rPr>
        <w:t xml:space="preserve"> of the Poisons Standard as follows</w:t>
      </w:r>
      <w:r>
        <w:t>.</w:t>
      </w:r>
      <w:r>
        <w:rPr>
          <w:rStyle w:val="FootnoteReference"/>
        </w:rPr>
        <w:footnoteReference w:id="31"/>
      </w:r>
      <w:r>
        <w:t xml:space="preserve"> An error in the previous Poisons Standard update was noted that excludes &gt;400 mg and &lt; 600 mg of ibuprofen from Schedule 3</w:t>
      </w:r>
      <w:r w:rsidR="0069150F">
        <w:t xml:space="preserve"> through the omission of “or less” from the scheduling entry</w:t>
      </w:r>
      <w:r>
        <w:t>. No substantive change will be made</w:t>
      </w:r>
      <w:r w:rsidR="0069150F">
        <w:t xml:space="preserve"> to the scheduling entry in relation to the proposal, however,</w:t>
      </w:r>
      <w:r>
        <w:t xml:space="preserve"> a minor editorial change </w:t>
      </w:r>
      <w:r w:rsidR="0069150F">
        <w:t xml:space="preserve">will be implemented in the upcoming </w:t>
      </w:r>
      <w:r>
        <w:t>Standard update in June 2023</w:t>
      </w:r>
      <w:r w:rsidRPr="003C4DAA">
        <w:rPr>
          <w:rFonts w:cstheme="minorHAnsi"/>
        </w:rPr>
        <w:t>:</w:t>
      </w:r>
    </w:p>
    <w:p w14:paraId="688C9745" w14:textId="77777777" w:rsidR="00B64710" w:rsidRDefault="00B64710" w:rsidP="00B64710">
      <w:pPr>
        <w:ind w:left="426"/>
        <w:rPr>
          <w:rFonts w:cstheme="minorHAnsi"/>
          <w:b/>
          <w:bCs/>
        </w:rPr>
      </w:pPr>
      <w:r>
        <w:rPr>
          <w:rFonts w:cstheme="minorHAnsi"/>
          <w:b/>
          <w:bCs/>
        </w:rPr>
        <w:t xml:space="preserve">Schedule 4 </w:t>
      </w:r>
    </w:p>
    <w:p w14:paraId="74941B6A" w14:textId="77777777" w:rsidR="00B64710" w:rsidRPr="00F82056" w:rsidRDefault="00B64710" w:rsidP="00B64710">
      <w:pPr>
        <w:shd w:val="clear" w:color="auto" w:fill="FFFFFF"/>
        <w:spacing w:before="240" w:after="240"/>
        <w:ind w:firstLine="720"/>
        <w:rPr>
          <w:rFonts w:eastAsia="Times New Roman"/>
          <w:color w:val="000000"/>
          <w:szCs w:val="22"/>
          <w:lang w:eastAsia="en-AU"/>
        </w:rPr>
      </w:pPr>
      <w:r w:rsidRPr="00F82056">
        <w:rPr>
          <w:rFonts w:eastAsia="Times New Roman"/>
          <w:color w:val="000000"/>
          <w:szCs w:val="22"/>
          <w:lang w:eastAsia="en-AU"/>
        </w:rPr>
        <w:t>IBUPROFEN </w:t>
      </w:r>
      <w:r w:rsidRPr="00F82056">
        <w:rPr>
          <w:rFonts w:eastAsia="Times New Roman"/>
          <w:b/>
          <w:bCs/>
          <w:color w:val="000000"/>
          <w:szCs w:val="22"/>
          <w:lang w:eastAsia="en-AU"/>
        </w:rPr>
        <w:t>except</w:t>
      </w:r>
      <w:r w:rsidRPr="00F82056">
        <w:rPr>
          <w:rFonts w:eastAsia="Times New Roman"/>
          <w:color w:val="000000"/>
          <w:szCs w:val="22"/>
          <w:lang w:eastAsia="en-AU"/>
        </w:rPr>
        <w:t>:</w:t>
      </w:r>
    </w:p>
    <w:p w14:paraId="70ECA5A5" w14:textId="77777777" w:rsidR="00B64710" w:rsidRPr="00F82056" w:rsidRDefault="00B64710" w:rsidP="00B64710">
      <w:pPr>
        <w:pStyle w:val="ListBulleta"/>
        <w:numPr>
          <w:ilvl w:val="0"/>
          <w:numId w:val="24"/>
        </w:numPr>
        <w:rPr>
          <w:lang w:eastAsia="en-AU"/>
        </w:rPr>
      </w:pPr>
      <w:r w:rsidRPr="00F82056">
        <w:rPr>
          <w:lang w:eastAsia="en-AU"/>
        </w:rPr>
        <w:t xml:space="preserve">when included in or </w:t>
      </w:r>
      <w:r w:rsidRPr="00AB252D">
        <w:t>expressly</w:t>
      </w:r>
      <w:r w:rsidRPr="00F82056">
        <w:rPr>
          <w:lang w:eastAsia="en-AU"/>
        </w:rPr>
        <w:t xml:space="preserve"> excluded from Schedule 2 or 3; or</w:t>
      </w:r>
    </w:p>
    <w:p w14:paraId="419B99C3" w14:textId="77777777" w:rsidR="00B64710" w:rsidRDefault="00B64710" w:rsidP="00B64710">
      <w:pPr>
        <w:pStyle w:val="ListBulleta"/>
        <w:rPr>
          <w:lang w:eastAsia="en-AU"/>
        </w:rPr>
      </w:pPr>
      <w:r w:rsidRPr="00F82056">
        <w:rPr>
          <w:lang w:eastAsia="en-AU"/>
        </w:rPr>
        <w:t>in preparations for dermal use.</w:t>
      </w:r>
    </w:p>
    <w:p w14:paraId="09669A32" w14:textId="77777777" w:rsidR="00B64710" w:rsidRPr="00F82056" w:rsidRDefault="00B64710" w:rsidP="00B64710">
      <w:pPr>
        <w:shd w:val="clear" w:color="auto" w:fill="FFFFFF"/>
        <w:spacing w:before="0" w:after="120" w:line="240" w:lineRule="auto"/>
        <w:ind w:left="928" w:hanging="360"/>
        <w:rPr>
          <w:rFonts w:eastAsia="Times New Roman"/>
          <w:color w:val="000000"/>
          <w:szCs w:val="22"/>
          <w:lang w:eastAsia="en-AU"/>
        </w:rPr>
      </w:pPr>
    </w:p>
    <w:p w14:paraId="40362729" w14:textId="77777777" w:rsidR="00B64710" w:rsidRDefault="00B64710" w:rsidP="00B64710">
      <w:pPr>
        <w:ind w:left="426"/>
        <w:rPr>
          <w:rFonts w:cstheme="minorHAnsi"/>
          <w:b/>
          <w:bCs/>
        </w:rPr>
      </w:pPr>
      <w:r w:rsidRPr="00F82056">
        <w:rPr>
          <w:rFonts w:cstheme="minorHAnsi"/>
          <w:b/>
          <w:bCs/>
        </w:rPr>
        <w:t>Schedule 3</w:t>
      </w:r>
    </w:p>
    <w:p w14:paraId="7889362B" w14:textId="77777777" w:rsidR="00B64710" w:rsidRPr="00277B9C" w:rsidRDefault="00B64710" w:rsidP="00B64710">
      <w:pPr>
        <w:ind w:left="426" w:firstLine="294"/>
        <w:rPr>
          <w:rFonts w:cstheme="minorHAnsi"/>
          <w:b/>
          <w:bCs/>
        </w:rPr>
      </w:pPr>
      <w:r w:rsidRPr="00F82056">
        <w:rPr>
          <w:rFonts w:eastAsia="Times New Roman"/>
          <w:color w:val="000000"/>
          <w:szCs w:val="22"/>
          <w:lang w:eastAsia="en-AU"/>
        </w:rPr>
        <w:t>IBUPROFEN:</w:t>
      </w:r>
    </w:p>
    <w:p w14:paraId="42F00D80" w14:textId="77777777" w:rsidR="00B64710" w:rsidRPr="00F82056" w:rsidRDefault="00B64710" w:rsidP="00B64710">
      <w:pPr>
        <w:pStyle w:val="ListBulleta"/>
        <w:numPr>
          <w:ilvl w:val="0"/>
          <w:numId w:val="25"/>
        </w:numPr>
        <w:rPr>
          <w:lang w:eastAsia="en-AU"/>
        </w:rPr>
      </w:pPr>
      <w:r w:rsidRPr="00F82056">
        <w:rPr>
          <w:lang w:eastAsia="en-AU"/>
        </w:rPr>
        <w:t>in divided preparations, each containing 400 mg or less of ibuprofen in a primary pack containing not more than 50 dosage units, when labelled:</w:t>
      </w:r>
    </w:p>
    <w:p w14:paraId="0E42C756" w14:textId="77777777" w:rsidR="00B64710" w:rsidRPr="00F82056" w:rsidRDefault="00B64710" w:rsidP="00B64710">
      <w:pPr>
        <w:pStyle w:val="ListBulleti"/>
        <w:numPr>
          <w:ilvl w:val="0"/>
          <w:numId w:val="26"/>
        </w:numPr>
        <w:rPr>
          <w:lang w:eastAsia="en-AU"/>
        </w:rPr>
      </w:pPr>
      <w:r w:rsidRPr="00F82056">
        <w:rPr>
          <w:lang w:eastAsia="en-AU"/>
        </w:rPr>
        <w:t xml:space="preserve">with a </w:t>
      </w:r>
      <w:r w:rsidRPr="00AB252D">
        <w:t>recommended</w:t>
      </w:r>
      <w:r w:rsidRPr="00F82056">
        <w:rPr>
          <w:lang w:eastAsia="en-AU"/>
        </w:rPr>
        <w:t xml:space="preserve"> daily dose of 1200 mg or less of ibuprofen; and</w:t>
      </w:r>
    </w:p>
    <w:p w14:paraId="32E5EDEF" w14:textId="77777777" w:rsidR="00B64710" w:rsidRPr="00F82056" w:rsidRDefault="00B64710" w:rsidP="00B64710">
      <w:pPr>
        <w:pStyle w:val="ListBulleti"/>
        <w:rPr>
          <w:lang w:eastAsia="en-AU"/>
        </w:rPr>
      </w:pPr>
      <w:r w:rsidRPr="00F82056">
        <w:rPr>
          <w:lang w:eastAsia="en-AU"/>
        </w:rPr>
        <w:t>not for the treatment of children under 12 years of age; or</w:t>
      </w:r>
    </w:p>
    <w:p w14:paraId="39E5AC70" w14:textId="5A4D8DD2" w:rsidR="00B64710" w:rsidRPr="00F82056" w:rsidRDefault="00B64710" w:rsidP="00B64710">
      <w:pPr>
        <w:pStyle w:val="ListBulleta"/>
        <w:rPr>
          <w:lang w:eastAsia="en-AU"/>
        </w:rPr>
      </w:pPr>
      <w:r w:rsidRPr="00F82056">
        <w:rPr>
          <w:lang w:val="en-GB" w:eastAsia="en-AU"/>
        </w:rPr>
        <w:t xml:space="preserve">in a modified release dosage form, each containing 600 mg </w:t>
      </w:r>
      <w:r>
        <w:rPr>
          <w:color w:val="00B050"/>
          <w:u w:val="single"/>
          <w:lang w:val="en-GB" w:eastAsia="en-AU"/>
        </w:rPr>
        <w:t xml:space="preserve">or less </w:t>
      </w:r>
      <w:r w:rsidRPr="00F82056">
        <w:rPr>
          <w:lang w:val="en-GB" w:eastAsia="en-AU"/>
        </w:rPr>
        <w:t>of ibuprofen </w:t>
      </w:r>
      <w:r w:rsidRPr="00F82056">
        <w:rPr>
          <w:lang w:eastAsia="en-AU"/>
        </w:rPr>
        <w:t>in a primary pack containing not more than 32 dosage units, when labelled:</w:t>
      </w:r>
    </w:p>
    <w:p w14:paraId="3B150A85" w14:textId="77777777" w:rsidR="00B64710" w:rsidRPr="00F82056" w:rsidRDefault="00B64710" w:rsidP="00B64710">
      <w:pPr>
        <w:pStyle w:val="ListBulleti"/>
        <w:numPr>
          <w:ilvl w:val="0"/>
          <w:numId w:val="27"/>
        </w:numPr>
        <w:rPr>
          <w:lang w:eastAsia="en-AU"/>
        </w:rPr>
      </w:pPr>
      <w:r w:rsidRPr="00F82056">
        <w:rPr>
          <w:lang w:eastAsia="en-AU"/>
        </w:rPr>
        <w:t>with a recommended daily dose of 1200 mg or less of ibuprofen; and</w:t>
      </w:r>
    </w:p>
    <w:p w14:paraId="3141753F" w14:textId="77777777" w:rsidR="00B64710" w:rsidRPr="00F82056" w:rsidRDefault="00B64710" w:rsidP="00B64710">
      <w:pPr>
        <w:pStyle w:val="ListBulleti"/>
        <w:rPr>
          <w:lang w:eastAsia="en-AU"/>
        </w:rPr>
      </w:pPr>
      <w:r w:rsidRPr="00F82056">
        <w:rPr>
          <w:lang w:eastAsia="en-AU"/>
        </w:rPr>
        <w:t xml:space="preserve">not for the treatment of children under 12 years of </w:t>
      </w:r>
      <w:proofErr w:type="gramStart"/>
      <w:r w:rsidRPr="00F82056">
        <w:rPr>
          <w:lang w:eastAsia="en-AU"/>
        </w:rPr>
        <w:t>age;</w:t>
      </w:r>
      <w:proofErr w:type="gramEnd"/>
    </w:p>
    <w:p w14:paraId="373BBF10" w14:textId="77777777" w:rsidR="00B64710" w:rsidRDefault="00B64710" w:rsidP="00B64710">
      <w:pPr>
        <w:shd w:val="clear" w:color="auto" w:fill="FFFFFF"/>
        <w:spacing w:before="240" w:after="240"/>
        <w:ind w:firstLine="720"/>
        <w:rPr>
          <w:rFonts w:eastAsia="Times New Roman"/>
          <w:color w:val="000000"/>
          <w:szCs w:val="22"/>
          <w:lang w:eastAsia="en-AU"/>
        </w:rPr>
      </w:pPr>
      <w:r w:rsidRPr="00F82056">
        <w:rPr>
          <w:rFonts w:eastAsia="Times New Roman"/>
          <w:b/>
          <w:bCs/>
          <w:color w:val="000000"/>
          <w:szCs w:val="22"/>
          <w:lang w:eastAsia="en-AU"/>
        </w:rPr>
        <w:lastRenderedPageBreak/>
        <w:t>except</w:t>
      </w:r>
      <w:r w:rsidRPr="00F82056">
        <w:rPr>
          <w:rFonts w:eastAsia="Times New Roman"/>
          <w:color w:val="000000"/>
          <w:szCs w:val="22"/>
          <w:lang w:eastAsia="en-AU"/>
        </w:rPr>
        <w:t> when included in or expressly excluded from Schedule 2.</w:t>
      </w:r>
    </w:p>
    <w:p w14:paraId="0A1DA61A" w14:textId="77777777" w:rsidR="00B64710" w:rsidRPr="00F53485" w:rsidRDefault="00B64710" w:rsidP="00B64710">
      <w:pPr>
        <w:shd w:val="clear" w:color="auto" w:fill="FFFFFF"/>
        <w:spacing w:before="240" w:after="240"/>
        <w:ind w:left="426"/>
        <w:rPr>
          <w:rFonts w:eastAsia="Times New Roman"/>
          <w:color w:val="000000"/>
          <w:szCs w:val="22"/>
          <w:lang w:eastAsia="en-AU"/>
        </w:rPr>
      </w:pPr>
      <w:r w:rsidRPr="00F82056">
        <w:rPr>
          <w:rFonts w:cstheme="minorHAnsi"/>
          <w:b/>
          <w:bCs/>
        </w:rPr>
        <w:t>Schedule 2</w:t>
      </w:r>
    </w:p>
    <w:p w14:paraId="2E79EC64" w14:textId="77777777" w:rsidR="00B64710" w:rsidRPr="00F82056" w:rsidRDefault="00B64710" w:rsidP="00B64710">
      <w:pPr>
        <w:shd w:val="clear" w:color="auto" w:fill="FFFFFF"/>
        <w:spacing w:before="240" w:after="240"/>
        <w:ind w:left="720"/>
        <w:rPr>
          <w:rFonts w:eastAsia="Times New Roman"/>
          <w:color w:val="000000"/>
          <w:szCs w:val="22"/>
          <w:lang w:eastAsia="en-AU"/>
        </w:rPr>
      </w:pPr>
      <w:r w:rsidRPr="00F82056">
        <w:rPr>
          <w:rFonts w:eastAsia="Times New Roman"/>
          <w:color w:val="000000"/>
          <w:szCs w:val="22"/>
          <w:lang w:eastAsia="en-AU"/>
        </w:rPr>
        <w:t>IBUPROFEN in preparations for oral use when labelled with a recommended daily dose of 1200 mg or less of ibuprofen:</w:t>
      </w:r>
    </w:p>
    <w:p w14:paraId="166E93F8" w14:textId="77777777" w:rsidR="00B64710" w:rsidRPr="00F82056" w:rsidRDefault="00B64710" w:rsidP="00B64710">
      <w:pPr>
        <w:pStyle w:val="ListBulleta"/>
        <w:numPr>
          <w:ilvl w:val="0"/>
          <w:numId w:val="28"/>
        </w:numPr>
        <w:rPr>
          <w:lang w:eastAsia="en-AU"/>
        </w:rPr>
      </w:pPr>
      <w:r w:rsidRPr="00F82056">
        <w:rPr>
          <w:lang w:eastAsia="en-AU"/>
        </w:rPr>
        <w:t xml:space="preserve">in liquid preparations when sold in the manufacturer’s original pack containing 8 g or less of </w:t>
      </w:r>
      <w:proofErr w:type="gramStart"/>
      <w:r w:rsidRPr="00F82056">
        <w:rPr>
          <w:lang w:eastAsia="en-AU"/>
        </w:rPr>
        <w:t>ibuprofen;</w:t>
      </w:r>
      <w:proofErr w:type="gramEnd"/>
      <w:r w:rsidRPr="00F82056">
        <w:rPr>
          <w:lang w:eastAsia="en-AU"/>
        </w:rPr>
        <w:t xml:space="preserve"> or</w:t>
      </w:r>
    </w:p>
    <w:p w14:paraId="2B2F4A31" w14:textId="77777777" w:rsidR="00B64710" w:rsidRPr="00F82056" w:rsidRDefault="00B64710" w:rsidP="00B64710">
      <w:pPr>
        <w:pStyle w:val="ListBulleta"/>
        <w:rPr>
          <w:lang w:eastAsia="en-AU"/>
        </w:rPr>
      </w:pPr>
      <w:r w:rsidRPr="00F82056">
        <w:rPr>
          <w:lang w:eastAsia="en-AU"/>
        </w:rPr>
        <w:t>in divided preparations, each containing 200 mg or less of ibuprofen, in packs of not more than 100 dosage units </w:t>
      </w:r>
      <w:r w:rsidRPr="00F82056">
        <w:rPr>
          <w:b/>
          <w:bCs/>
          <w:lang w:eastAsia="en-AU"/>
        </w:rPr>
        <w:t>except</w:t>
      </w:r>
      <w:r w:rsidRPr="00F82056">
        <w:rPr>
          <w:lang w:eastAsia="en-AU"/>
        </w:rPr>
        <w:t> when:</w:t>
      </w:r>
    </w:p>
    <w:p w14:paraId="503DFD03" w14:textId="77777777" w:rsidR="00B64710" w:rsidRPr="00F82056" w:rsidRDefault="00B64710" w:rsidP="00B64710">
      <w:pPr>
        <w:pStyle w:val="ListBulleti"/>
        <w:numPr>
          <w:ilvl w:val="0"/>
          <w:numId w:val="29"/>
        </w:numPr>
        <w:rPr>
          <w:lang w:eastAsia="en-AU"/>
        </w:rPr>
      </w:pPr>
      <w:r w:rsidRPr="00F82056">
        <w:rPr>
          <w:lang w:eastAsia="en-AU"/>
        </w:rPr>
        <w:t>as the only therapeutically active constituent (other than phenylephrine or when combined with an effervescent agent</w:t>
      </w:r>
      <w:proofErr w:type="gramStart"/>
      <w:r w:rsidRPr="00F82056">
        <w:rPr>
          <w:lang w:eastAsia="en-AU"/>
        </w:rPr>
        <w:t>);</w:t>
      </w:r>
      <w:proofErr w:type="gramEnd"/>
    </w:p>
    <w:p w14:paraId="7520334E" w14:textId="77777777" w:rsidR="00B64710" w:rsidRPr="00F82056" w:rsidRDefault="00B64710" w:rsidP="00B64710">
      <w:pPr>
        <w:pStyle w:val="ListBulleti"/>
        <w:rPr>
          <w:lang w:eastAsia="en-AU"/>
        </w:rPr>
      </w:pPr>
      <w:r w:rsidRPr="00F82056">
        <w:rPr>
          <w:lang w:eastAsia="en-AU"/>
        </w:rPr>
        <w:t xml:space="preserve">packed in blister or strip packaging or in a container with a child-resistant </w:t>
      </w:r>
      <w:proofErr w:type="gramStart"/>
      <w:r w:rsidRPr="00F82056">
        <w:rPr>
          <w:lang w:eastAsia="en-AU"/>
        </w:rPr>
        <w:t>closure;</w:t>
      </w:r>
      <w:proofErr w:type="gramEnd"/>
    </w:p>
    <w:p w14:paraId="6F5D21A8" w14:textId="77777777" w:rsidR="00B64710" w:rsidRPr="00F82056" w:rsidRDefault="00B64710" w:rsidP="00B64710">
      <w:pPr>
        <w:pStyle w:val="ListBulleti"/>
        <w:rPr>
          <w:lang w:eastAsia="en-AU"/>
        </w:rPr>
      </w:pPr>
      <w:r w:rsidRPr="00F82056">
        <w:rPr>
          <w:lang w:eastAsia="en-AU"/>
        </w:rPr>
        <w:t xml:space="preserve">in a primary pack containing not more than 25 dosage </w:t>
      </w:r>
      <w:proofErr w:type="gramStart"/>
      <w:r w:rsidRPr="00F82056">
        <w:rPr>
          <w:lang w:eastAsia="en-AU"/>
        </w:rPr>
        <w:t>units;</w:t>
      </w:r>
      <w:proofErr w:type="gramEnd"/>
    </w:p>
    <w:p w14:paraId="62E120A4" w14:textId="77777777" w:rsidR="00B64710" w:rsidRPr="00F82056" w:rsidRDefault="00B64710" w:rsidP="00B64710">
      <w:pPr>
        <w:pStyle w:val="ListBulleti"/>
        <w:rPr>
          <w:lang w:eastAsia="en-AU"/>
        </w:rPr>
      </w:pPr>
      <w:r w:rsidRPr="00F82056">
        <w:rPr>
          <w:lang w:eastAsia="en-AU"/>
        </w:rPr>
        <w:t xml:space="preserve">compliant with the requirements of the Required Advisory Statements for Medicine </w:t>
      </w:r>
      <w:proofErr w:type="gramStart"/>
      <w:r w:rsidRPr="00F82056">
        <w:rPr>
          <w:lang w:eastAsia="en-AU"/>
        </w:rPr>
        <w:t>Labels;</w:t>
      </w:r>
      <w:proofErr w:type="gramEnd"/>
    </w:p>
    <w:p w14:paraId="71AE2218" w14:textId="77777777" w:rsidR="00B64710" w:rsidRPr="00F82056" w:rsidRDefault="00B64710" w:rsidP="00B64710">
      <w:pPr>
        <w:pStyle w:val="ListBulleti"/>
        <w:rPr>
          <w:lang w:eastAsia="en-AU"/>
        </w:rPr>
      </w:pPr>
      <w:r w:rsidRPr="00F82056">
        <w:rPr>
          <w:lang w:eastAsia="en-AU"/>
        </w:rPr>
        <w:t>not labelled for the treatment of children 6 years of age or less; and</w:t>
      </w:r>
    </w:p>
    <w:p w14:paraId="405EEFD9" w14:textId="77777777" w:rsidR="00B64710" w:rsidRPr="00F82056" w:rsidRDefault="00B64710" w:rsidP="00B64710">
      <w:pPr>
        <w:pStyle w:val="ListBulleti"/>
        <w:rPr>
          <w:lang w:eastAsia="en-AU"/>
        </w:rPr>
      </w:pPr>
      <w:r w:rsidRPr="00F82056">
        <w:rPr>
          <w:lang w:eastAsia="en-AU"/>
        </w:rPr>
        <w:t>not labelled for the treatment of children under 12 years of age when combined with phenylephrine; or</w:t>
      </w:r>
    </w:p>
    <w:p w14:paraId="15243EDD" w14:textId="77777777" w:rsidR="00B64710" w:rsidRPr="00F82056" w:rsidRDefault="00B64710" w:rsidP="00B64710">
      <w:pPr>
        <w:pStyle w:val="ListBulleta"/>
        <w:rPr>
          <w:lang w:eastAsia="en-AU"/>
        </w:rPr>
      </w:pPr>
      <w:r w:rsidRPr="00F82056">
        <w:rPr>
          <w:lang w:val="en" w:eastAsia="en-AU"/>
        </w:rPr>
        <w:t>in divided immediate release preparations, each containing 400 mg or less of ibuprofen in a primary pack containing not more than 12 dosage units, when labelled not for the treatment of children under 12 years of age.</w:t>
      </w:r>
    </w:p>
    <w:p w14:paraId="2CF12110" w14:textId="77777777" w:rsidR="00B64710" w:rsidRDefault="00B64710" w:rsidP="00B64710">
      <w:pPr>
        <w:rPr>
          <w:color w:val="000000"/>
          <w:szCs w:val="22"/>
          <w:shd w:val="clear" w:color="auto" w:fill="FFFFFF"/>
        </w:rPr>
      </w:pPr>
      <w:r>
        <w:rPr>
          <w:color w:val="000000"/>
          <w:szCs w:val="22"/>
          <w:shd w:val="clear" w:color="auto" w:fill="FFFFFF"/>
        </w:rPr>
        <w:t xml:space="preserve">It is also included under the entry IBUPROFEN in </w:t>
      </w:r>
      <w:r w:rsidRPr="003A6A95">
        <w:rPr>
          <w:color w:val="000000"/>
          <w:szCs w:val="22"/>
          <w:shd w:val="clear" w:color="auto" w:fill="FFFFFF"/>
        </w:rPr>
        <w:t>Appendix F</w:t>
      </w:r>
      <w:r>
        <w:rPr>
          <w:color w:val="000000"/>
          <w:szCs w:val="22"/>
          <w:shd w:val="clear" w:color="auto" w:fill="FFFFFF"/>
        </w:rPr>
        <w:t xml:space="preserve">, </w:t>
      </w:r>
      <w:r w:rsidRPr="003A6A95">
        <w:rPr>
          <w:color w:val="000000"/>
          <w:szCs w:val="22"/>
          <w:shd w:val="clear" w:color="auto" w:fill="FFFFFF"/>
        </w:rPr>
        <w:t xml:space="preserve">part 3 </w:t>
      </w:r>
      <w:r>
        <w:rPr>
          <w:color w:val="000000"/>
          <w:szCs w:val="22"/>
          <w:shd w:val="clear" w:color="auto" w:fill="FFFFFF"/>
        </w:rPr>
        <w:t>as follows:</w:t>
      </w:r>
    </w:p>
    <w:p w14:paraId="398E40C6" w14:textId="77777777" w:rsidR="00B64710" w:rsidRPr="00277B9C" w:rsidRDefault="00B64710" w:rsidP="00B64710">
      <w:pPr>
        <w:shd w:val="clear" w:color="auto" w:fill="FFFFFF"/>
        <w:spacing w:before="240" w:after="240"/>
        <w:ind w:left="720"/>
        <w:rPr>
          <w:rFonts w:eastAsia="Times New Roman"/>
          <w:b/>
          <w:bCs/>
          <w:color w:val="000000"/>
          <w:szCs w:val="22"/>
          <w:u w:val="single"/>
          <w:lang w:eastAsia="en-AU"/>
        </w:rPr>
      </w:pPr>
      <w:r w:rsidRPr="00277B9C">
        <w:rPr>
          <w:rFonts w:eastAsia="Times New Roman"/>
          <w:b/>
          <w:bCs/>
          <w:color w:val="000000"/>
          <w:szCs w:val="22"/>
          <w:u w:val="single"/>
          <w:lang w:eastAsia="en-AU"/>
        </w:rPr>
        <w:t xml:space="preserve">Warning statements </w:t>
      </w:r>
    </w:p>
    <w:p w14:paraId="2157BD3B" w14:textId="77777777" w:rsidR="00B64710" w:rsidRDefault="00B64710" w:rsidP="00B64710">
      <w:pPr>
        <w:shd w:val="clear" w:color="auto" w:fill="FFFFFF"/>
        <w:spacing w:before="240" w:after="240"/>
        <w:ind w:left="720"/>
        <w:rPr>
          <w:rFonts w:eastAsia="Times New Roman"/>
          <w:color w:val="000000"/>
          <w:szCs w:val="22"/>
          <w:lang w:eastAsia="en-AU"/>
        </w:rPr>
      </w:pPr>
      <w:r w:rsidRPr="00277B9C">
        <w:rPr>
          <w:rFonts w:eastAsia="Times New Roman"/>
          <w:b/>
          <w:bCs/>
          <w:color w:val="000000"/>
          <w:szCs w:val="22"/>
          <w:lang w:eastAsia="en-AU"/>
        </w:rPr>
        <w:t>101</w:t>
      </w:r>
      <w:r w:rsidRPr="00277B9C">
        <w:rPr>
          <w:rFonts w:eastAsia="Times New Roman"/>
          <w:color w:val="000000"/>
          <w:szCs w:val="22"/>
          <w:lang w:eastAsia="en-AU"/>
        </w:rPr>
        <w:t>. Don’t use [this product/name of the product]:</w:t>
      </w:r>
    </w:p>
    <w:p w14:paraId="3E0336FB" w14:textId="77777777" w:rsidR="00B64710" w:rsidRDefault="00B64710" w:rsidP="00B64710">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If you have a stomach ulcer.</w:t>
      </w:r>
    </w:p>
    <w:p w14:paraId="1C611E04" w14:textId="77777777" w:rsidR="00B64710" w:rsidRDefault="00B64710" w:rsidP="00B64710">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In the last 3 months of pregnancy. [This statement may be omitted in preparations used exclusively for the treatment of dysmenorrhoea.]</w:t>
      </w:r>
    </w:p>
    <w:p w14:paraId="54C94955" w14:textId="77777777" w:rsidR="00B64710" w:rsidRPr="00277B9C" w:rsidRDefault="00B64710" w:rsidP="00B64710">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If you are allergic to (name of substance) or anti-inflammatory medicines.</w:t>
      </w:r>
    </w:p>
    <w:p w14:paraId="490F1F77" w14:textId="77777777" w:rsidR="00B64710" w:rsidRDefault="00B64710" w:rsidP="00B64710">
      <w:pPr>
        <w:shd w:val="clear" w:color="auto" w:fill="FFFFFF"/>
        <w:spacing w:before="240" w:after="240"/>
        <w:ind w:left="720"/>
        <w:rPr>
          <w:rFonts w:eastAsia="Times New Roman"/>
          <w:color w:val="000000"/>
          <w:szCs w:val="22"/>
          <w:lang w:eastAsia="en-AU"/>
        </w:rPr>
      </w:pPr>
      <w:r w:rsidRPr="00277B9C">
        <w:rPr>
          <w:rFonts w:eastAsia="Times New Roman"/>
          <w:b/>
          <w:bCs/>
          <w:color w:val="000000"/>
          <w:szCs w:val="22"/>
          <w:lang w:eastAsia="en-AU"/>
        </w:rPr>
        <w:t>104</w:t>
      </w:r>
      <w:r w:rsidRPr="00277B9C">
        <w:rPr>
          <w:rFonts w:eastAsia="Times New Roman"/>
          <w:color w:val="000000"/>
          <w:szCs w:val="22"/>
          <w:lang w:eastAsia="en-AU"/>
        </w:rPr>
        <w:t>. Unless a doctor has told you to, don’t use [this product/name of the product]:</w:t>
      </w:r>
    </w:p>
    <w:p w14:paraId="6436ED0C" w14:textId="77777777" w:rsidR="00B64710" w:rsidRDefault="00B64710" w:rsidP="00B64710">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For more than a few days at a time.</w:t>
      </w:r>
    </w:p>
    <w:p w14:paraId="2A30D6E1" w14:textId="77777777" w:rsidR="00B64710" w:rsidRDefault="00B64710" w:rsidP="00B64710">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With other medicines containing (name of substance) or other anti-inflammatory medicines.</w:t>
      </w:r>
    </w:p>
    <w:p w14:paraId="2EB03055" w14:textId="77777777" w:rsidR="00B64710" w:rsidRDefault="00B64710" w:rsidP="00B64710">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If you have asthma.</w:t>
      </w:r>
    </w:p>
    <w:p w14:paraId="28FF83CD" w14:textId="67623AA7" w:rsidR="00B64710" w:rsidRDefault="00B64710" w:rsidP="003D6BA2">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If you are pregnant. [This statement may be omitted in preparations used exclusively for the treatment of dysmenorrhoea.]</w:t>
      </w:r>
    </w:p>
    <w:p w14:paraId="12CE6075" w14:textId="77777777" w:rsidR="0077168B" w:rsidRDefault="0077168B" w:rsidP="0077168B">
      <w:pPr>
        <w:ind w:left="426"/>
        <w:rPr>
          <w:b/>
        </w:rPr>
      </w:pPr>
      <w:r>
        <w:rPr>
          <w:b/>
        </w:rPr>
        <w:lastRenderedPageBreak/>
        <w:t>Index</w:t>
      </w:r>
    </w:p>
    <w:p w14:paraId="125712EB" w14:textId="77777777" w:rsidR="0077168B" w:rsidRPr="00F82056" w:rsidRDefault="0077168B" w:rsidP="0077168B">
      <w:pPr>
        <w:shd w:val="clear" w:color="auto" w:fill="FFFFFF"/>
        <w:spacing w:before="240" w:after="240"/>
        <w:ind w:left="720"/>
        <w:rPr>
          <w:rFonts w:eastAsia="Times New Roman"/>
          <w:color w:val="000000"/>
          <w:szCs w:val="22"/>
          <w:lang w:eastAsia="en-AU"/>
        </w:rPr>
      </w:pPr>
      <w:r w:rsidRPr="00F53485">
        <w:rPr>
          <w:rFonts w:eastAsia="Times New Roman"/>
          <w:b/>
          <w:bCs/>
          <w:color w:val="000000"/>
          <w:szCs w:val="22"/>
          <w:lang w:eastAsia="en-AU"/>
        </w:rPr>
        <w:t>IBUPROFEN</w:t>
      </w:r>
      <w:r w:rsidRPr="00F82056">
        <w:rPr>
          <w:rFonts w:eastAsia="Times New Roman"/>
          <w:b/>
          <w:bCs/>
          <w:color w:val="000000"/>
          <w:szCs w:val="22"/>
          <w:lang w:eastAsia="en-AU"/>
        </w:rPr>
        <w:br/>
      </w:r>
      <w:r w:rsidRPr="00F82056">
        <w:rPr>
          <w:rFonts w:eastAsia="Times New Roman"/>
          <w:color w:val="000000"/>
          <w:szCs w:val="22"/>
          <w:lang w:eastAsia="en-AU"/>
        </w:rPr>
        <w:t>cross reference: PARACETAMOL</w:t>
      </w:r>
    </w:p>
    <w:p w14:paraId="317D6D81" w14:textId="77777777" w:rsidR="0077168B" w:rsidRPr="005133F7" w:rsidRDefault="0077168B" w:rsidP="0077168B">
      <w:pPr>
        <w:shd w:val="clear" w:color="auto" w:fill="FFFFFF"/>
        <w:spacing w:before="240" w:after="240"/>
        <w:ind w:left="720"/>
        <w:rPr>
          <w:b/>
        </w:rPr>
      </w:pPr>
      <w:r w:rsidRPr="00F82056">
        <w:rPr>
          <w:rFonts w:eastAsia="Times New Roman"/>
          <w:color w:val="000000"/>
          <w:szCs w:val="22"/>
          <w:lang w:eastAsia="en-AU"/>
        </w:rPr>
        <w:t>Schedule 4</w:t>
      </w:r>
      <w:r w:rsidRPr="00F82056">
        <w:rPr>
          <w:rFonts w:eastAsia="Times New Roman"/>
          <w:color w:val="000000"/>
          <w:szCs w:val="22"/>
          <w:lang w:eastAsia="en-AU"/>
        </w:rPr>
        <w:br/>
        <w:t>Schedule 3</w:t>
      </w:r>
      <w:r w:rsidRPr="00F82056">
        <w:rPr>
          <w:rFonts w:eastAsia="Times New Roman"/>
          <w:color w:val="000000"/>
          <w:szCs w:val="22"/>
          <w:lang w:eastAsia="en-AU"/>
        </w:rPr>
        <w:br/>
        <w:t>Schedule 2</w:t>
      </w:r>
      <w:r w:rsidRPr="00F82056">
        <w:rPr>
          <w:rFonts w:eastAsia="Times New Roman"/>
          <w:color w:val="000000"/>
          <w:szCs w:val="22"/>
          <w:lang w:eastAsia="en-AU"/>
        </w:rPr>
        <w:br/>
        <w:t>Appendix F, Part 3</w:t>
      </w:r>
      <w:r w:rsidRPr="00F82056">
        <w:rPr>
          <w:rFonts w:eastAsia="Times New Roman"/>
          <w:color w:val="000000"/>
          <w:szCs w:val="22"/>
          <w:lang w:eastAsia="en-AU"/>
        </w:rPr>
        <w:br/>
        <w:t>App</w:t>
      </w:r>
      <w:r>
        <w:rPr>
          <w:rFonts w:eastAsia="Times New Roman"/>
          <w:color w:val="000000"/>
          <w:szCs w:val="22"/>
          <w:lang w:eastAsia="en-AU"/>
        </w:rPr>
        <w:t>e</w:t>
      </w:r>
      <w:r w:rsidRPr="00F82056">
        <w:rPr>
          <w:rFonts w:eastAsia="Times New Roman"/>
          <w:color w:val="000000"/>
          <w:szCs w:val="22"/>
          <w:lang w:eastAsia="en-AU"/>
        </w:rPr>
        <w:t>ndix H</w:t>
      </w:r>
    </w:p>
    <w:p w14:paraId="3E71120D" w14:textId="77777777" w:rsidR="0077168B" w:rsidRPr="003D6BA2" w:rsidRDefault="0077168B" w:rsidP="00472F4F">
      <w:pPr>
        <w:shd w:val="clear" w:color="auto" w:fill="FFFFFF"/>
        <w:spacing w:before="240" w:after="240"/>
        <w:rPr>
          <w:rFonts w:eastAsia="Times New Roman"/>
          <w:color w:val="000000"/>
          <w:szCs w:val="22"/>
          <w:lang w:eastAsia="en-AU"/>
        </w:rPr>
      </w:pPr>
    </w:p>
    <w:p w14:paraId="398E596B" w14:textId="77777777" w:rsidR="00927539" w:rsidRDefault="00927539" w:rsidP="00927539">
      <w:pPr>
        <w:pStyle w:val="Heading5"/>
      </w:pPr>
      <w:r>
        <w:t xml:space="preserve">Materials considered </w:t>
      </w:r>
    </w:p>
    <w:p w14:paraId="522754DB" w14:textId="40716980" w:rsidR="00927539" w:rsidRDefault="00927539" w:rsidP="00927539">
      <w:r>
        <w:t>In making this final decision, the Delegate considered the following material:</w:t>
      </w:r>
    </w:p>
    <w:p w14:paraId="49EF3D72" w14:textId="77777777" w:rsidR="00927539" w:rsidRDefault="00927539" w:rsidP="00927539">
      <w:pPr>
        <w:pStyle w:val="ListBullet"/>
      </w:pPr>
      <w:r>
        <w:t xml:space="preserve">The </w:t>
      </w:r>
      <w:hyperlink r:id="rId48" w:history="1">
        <w:r w:rsidRPr="00D175D0">
          <w:rPr>
            <w:rStyle w:val="Hyperlink"/>
          </w:rPr>
          <w:t>application</w:t>
        </w:r>
      </w:hyperlink>
      <w:r>
        <w:t xml:space="preserve"> to amend the current Poisons Standard with respect to ibuprofen (the </w:t>
      </w:r>
      <w:r>
        <w:rPr>
          <w:b/>
          <w:bCs/>
        </w:rPr>
        <w:t>Application</w:t>
      </w:r>
      <w:r>
        <w:t>);</w:t>
      </w:r>
    </w:p>
    <w:p w14:paraId="7A152583" w14:textId="77777777" w:rsidR="00927539" w:rsidRDefault="00927539" w:rsidP="00927539">
      <w:pPr>
        <w:pStyle w:val="ListBullet"/>
      </w:pPr>
      <w:r>
        <w:t xml:space="preserve">The 5 </w:t>
      </w:r>
      <w:hyperlink r:id="rId49" w:history="1">
        <w:r w:rsidRPr="00D175D0">
          <w:rPr>
            <w:rStyle w:val="Hyperlink"/>
          </w:rPr>
          <w:t>public submissions</w:t>
        </w:r>
      </w:hyperlink>
      <w:r>
        <w:t xml:space="preserve"> received in response to the </w:t>
      </w:r>
      <w:hyperlink r:id="rId50" w:history="1">
        <w:r w:rsidRPr="00D175D0">
          <w:rPr>
            <w:rStyle w:val="Hyperlink"/>
          </w:rPr>
          <w:t>pre-meeting consultation</w:t>
        </w:r>
      </w:hyperlink>
      <w:r>
        <w:t xml:space="preserve"> under regulation 42ZCZK of the Regulations (the </w:t>
      </w:r>
      <w:r w:rsidRPr="00212A35">
        <w:rPr>
          <w:b/>
          <w:bCs/>
        </w:rPr>
        <w:t>Submissions</w:t>
      </w:r>
      <w:r>
        <w:t xml:space="preserve">); </w:t>
      </w:r>
    </w:p>
    <w:p w14:paraId="184D1066" w14:textId="77777777" w:rsidR="00927539" w:rsidRDefault="00927539" w:rsidP="00927539">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04384DE5" w14:textId="7530C541" w:rsidR="00927539" w:rsidRDefault="00927539" w:rsidP="00927539">
      <w:pPr>
        <w:pStyle w:val="ListBullet"/>
      </w:pPr>
      <w:r>
        <w:t xml:space="preserve">The </w:t>
      </w:r>
      <w:r w:rsidR="00101161">
        <w:t>6</w:t>
      </w:r>
      <w:r>
        <w:t xml:space="preserve"> </w:t>
      </w:r>
      <w:hyperlink r:id="rId51" w:history="1">
        <w:r w:rsidRPr="00101161">
          <w:rPr>
            <w:rStyle w:val="Hyperlink"/>
          </w:rPr>
          <w:t>public submissions</w:t>
        </w:r>
      </w:hyperlink>
      <w:r>
        <w:t xml:space="preserve"> received in response to the </w:t>
      </w:r>
      <w:hyperlink r:id="rId52" w:history="1">
        <w:r w:rsidRPr="00101161">
          <w:rPr>
            <w:rStyle w:val="Hyperlink"/>
          </w:rPr>
          <w:t>interim decision consultation</w:t>
        </w:r>
      </w:hyperlink>
      <w:r>
        <w:t xml:space="preserve"> </w:t>
      </w:r>
      <w:r w:rsidRPr="002C1418">
        <w:t>under regulation 42ZCZP of the Regulations</w:t>
      </w:r>
      <w:r>
        <w:t>;</w:t>
      </w:r>
    </w:p>
    <w:p w14:paraId="3B4772CD" w14:textId="77777777" w:rsidR="00927539" w:rsidRPr="00EA3F7D" w:rsidRDefault="00927539" w:rsidP="00927539">
      <w:pPr>
        <w:pStyle w:val="ListBullet"/>
      </w:pPr>
      <w:r w:rsidRPr="001169AC">
        <w:t xml:space="preserve">Subsection 52E(1) of </w:t>
      </w:r>
      <w:r w:rsidRPr="00EA3F7D">
        <w:rPr>
          <w:iCs/>
        </w:rPr>
        <w:t>the Act</w:t>
      </w:r>
      <w:r w:rsidRPr="00EA3F7D">
        <w:t>, in</w:t>
      </w:r>
      <w:r w:rsidRPr="001169AC">
        <w:t xml:space="preserve"> particular (a) the risks and benefits of the use of a substance; (b) the purposes for which a substance is to be used and the extent of use of a substance; (c) the toxicity of a substance; (d) the dosage, formulation, labelling, packaging and presentation of </w:t>
      </w:r>
      <w:r w:rsidRPr="00EA3F7D">
        <w:t>a substance; and (f) any other matters considered necessary to protect public health;</w:t>
      </w:r>
    </w:p>
    <w:p w14:paraId="3F0C07ED" w14:textId="2C99B5A5" w:rsidR="00927539" w:rsidRPr="00EA3F7D" w:rsidRDefault="007728F9" w:rsidP="00927539">
      <w:pPr>
        <w:pStyle w:val="ListBullet"/>
      </w:pPr>
      <w:r>
        <w:t>Pursuant to paragraph 52E(2)(a) of the Act, t</w:t>
      </w:r>
      <w:r w:rsidR="00927539" w:rsidRPr="00EA3F7D">
        <w:t>he SPF; and</w:t>
      </w:r>
    </w:p>
    <w:p w14:paraId="5DFE232F" w14:textId="13ACF875" w:rsidR="00927539" w:rsidRDefault="00927539" w:rsidP="00DE317A">
      <w:pPr>
        <w:pStyle w:val="ListBullet"/>
      </w:pPr>
      <w:r w:rsidRPr="00EA3F7D">
        <w:t>The Handbook.</w:t>
      </w:r>
    </w:p>
    <w:p w14:paraId="799899AA" w14:textId="2ADADBB2" w:rsidR="00927539" w:rsidRDefault="00927539" w:rsidP="00927539">
      <w:pPr>
        <w:pStyle w:val="Heading5"/>
      </w:pPr>
      <w:r w:rsidRPr="00436C41">
        <w:t>Reasons for the final decision (including findings on material questions of fact)</w:t>
      </w:r>
    </w:p>
    <w:p w14:paraId="369D1C83" w14:textId="6D6545E8" w:rsidR="00751AFD" w:rsidRDefault="00751AFD" w:rsidP="00751AFD">
      <w:pPr>
        <w:pStyle w:val="ListBullet"/>
        <w:numPr>
          <w:ilvl w:val="0"/>
          <w:numId w:val="0"/>
        </w:numPr>
      </w:pPr>
      <w:r w:rsidRPr="00264F6E">
        <w:t>I have made a final decision to confirm</w:t>
      </w:r>
      <w:r w:rsidR="0069150F">
        <w:t xml:space="preserve"> my</w:t>
      </w:r>
      <w:r w:rsidRPr="00264F6E">
        <w:t xml:space="preserve"> interim decision</w:t>
      </w:r>
      <w:r>
        <w:t xml:space="preserve"> not</w:t>
      </w:r>
      <w:r w:rsidRPr="00264F6E">
        <w:t xml:space="preserve"> to amend the current Poisons Standard with respect to </w:t>
      </w:r>
      <w:r>
        <w:t>ibuprofen</w:t>
      </w:r>
      <w:r w:rsidRPr="00264F6E">
        <w:t xml:space="preserve">. My reasons for making the final decision are those set out in the interim decision. In making my final decision, I have </w:t>
      </w:r>
      <w:proofErr w:type="gramStart"/>
      <w:r w:rsidRPr="00264F6E">
        <w:t>taken into account</w:t>
      </w:r>
      <w:proofErr w:type="gramEnd"/>
      <w:r w:rsidRPr="00264F6E">
        <w:t xml:space="preserve"> the material detailed in the interim </w:t>
      </w:r>
      <w:r w:rsidRPr="008452E1">
        <w:t>decision and the 6 public submissions received</w:t>
      </w:r>
      <w:r w:rsidRPr="00264F6E">
        <w:t xml:space="preserve"> before the second closing date in response to the </w:t>
      </w:r>
      <w:r w:rsidR="0054666F" w:rsidRPr="00264F6E">
        <w:t xml:space="preserve">call for further submissions published on </w:t>
      </w:r>
      <w:r w:rsidR="0054666F" w:rsidRPr="002141F7">
        <w:t>3 February 2023</w:t>
      </w:r>
      <w:r w:rsidR="0054666F" w:rsidRPr="00F94034">
        <w:t xml:space="preserve"> </w:t>
      </w:r>
      <w:r w:rsidR="0054666F" w:rsidRPr="00264F6E">
        <w:t>under regulation 42ZCZP of the Regulations.</w:t>
      </w:r>
      <w:r w:rsidR="0054666F">
        <w:t xml:space="preserve"> Of the submissions received, 3 submissions were supportive and three were opposed to </w:t>
      </w:r>
      <w:r w:rsidR="00375988">
        <w:t xml:space="preserve">the interim decision. One submission in opposition to the interim decision did not provide a </w:t>
      </w:r>
      <w:r w:rsidR="0054666F">
        <w:t>written component</w:t>
      </w:r>
      <w:r w:rsidRPr="00264F6E">
        <w:t>.</w:t>
      </w:r>
    </w:p>
    <w:p w14:paraId="51E8AA63" w14:textId="4D659CCE" w:rsidR="008F7D4B" w:rsidRDefault="00751AFD" w:rsidP="00751AFD">
      <w:pPr>
        <w:pStyle w:val="ListBullet"/>
        <w:numPr>
          <w:ilvl w:val="0"/>
          <w:numId w:val="0"/>
        </w:numPr>
      </w:pPr>
      <w:r>
        <w:t xml:space="preserve">I acknowledge the amended wording proposed by the applicant </w:t>
      </w:r>
      <w:r w:rsidR="00375988">
        <w:t>through the interim decision consultation to amend the proposal to preparations containing</w:t>
      </w:r>
      <w:r>
        <w:t xml:space="preserve"> 300 mg modified release (MR) </w:t>
      </w:r>
      <w:r w:rsidR="00375988">
        <w:t xml:space="preserve">ibuprofen on the basis that this would address </w:t>
      </w:r>
      <w:r>
        <w:t xml:space="preserve">the concern raised </w:t>
      </w:r>
      <w:r w:rsidR="00375988">
        <w:t xml:space="preserve">regarding the </w:t>
      </w:r>
      <w:r>
        <w:t xml:space="preserve">lack of safety data for preparations containing </w:t>
      </w:r>
      <w:r w:rsidR="001B5A34">
        <w:t xml:space="preserve">more than </w:t>
      </w:r>
      <w:r>
        <w:t>300 mg of MR ibuprofen.</w:t>
      </w:r>
      <w:r w:rsidR="00412184">
        <w:t xml:space="preserve"> </w:t>
      </w:r>
      <w:r w:rsidR="00B64710">
        <w:t xml:space="preserve">Despite this, I have chosen to not amend the Poisons Standard </w:t>
      </w:r>
      <w:r w:rsidR="00412184">
        <w:t xml:space="preserve">to </w:t>
      </w:r>
      <w:r>
        <w:t>down</w:t>
      </w:r>
      <w:r w:rsidR="00412184">
        <w:t>-</w:t>
      </w:r>
      <w:r>
        <w:t>schedul</w:t>
      </w:r>
      <w:r w:rsidR="00412184">
        <w:t>e</w:t>
      </w:r>
      <w:r>
        <w:t xml:space="preserve"> 300 mg MR preparations</w:t>
      </w:r>
      <w:r w:rsidR="008B735E">
        <w:t xml:space="preserve">, as </w:t>
      </w:r>
      <w:r w:rsidR="00E72C5A">
        <w:t xml:space="preserve">my </w:t>
      </w:r>
      <w:r w:rsidR="008B735E">
        <w:t xml:space="preserve">key concern regarding toxicity </w:t>
      </w:r>
      <w:r w:rsidR="00E72C5A">
        <w:t xml:space="preserve">relates also to the </w:t>
      </w:r>
      <w:r w:rsidR="00F24DB3">
        <w:t>recommended</w:t>
      </w:r>
      <w:r w:rsidR="008B735E">
        <w:t xml:space="preserve"> </w:t>
      </w:r>
      <w:r>
        <w:t>daily dose of 1200 mg</w:t>
      </w:r>
      <w:r w:rsidR="00F24DB3">
        <w:t>, as proposed</w:t>
      </w:r>
      <w:r w:rsidR="00E72C5A">
        <w:t xml:space="preserve"> by the applicant</w:t>
      </w:r>
      <w:r w:rsidR="008B735E">
        <w:t xml:space="preserve">. </w:t>
      </w:r>
    </w:p>
    <w:p w14:paraId="0BCEFFB5" w14:textId="44F3D831" w:rsidR="008B0EE1" w:rsidRDefault="008B735E" w:rsidP="00751AFD">
      <w:pPr>
        <w:pStyle w:val="ListBullet"/>
        <w:numPr>
          <w:ilvl w:val="0"/>
          <w:numId w:val="0"/>
        </w:numPr>
      </w:pPr>
      <w:r>
        <w:lastRenderedPageBreak/>
        <w:t xml:space="preserve">To permit </w:t>
      </w:r>
      <w:r w:rsidR="00E72C5A">
        <w:t xml:space="preserve">a Schedule 2 entry for preparations with a </w:t>
      </w:r>
      <w:r w:rsidR="00F24DB3">
        <w:t>recommended</w:t>
      </w:r>
      <w:r>
        <w:t xml:space="preserve"> daily dose of 1200 mg </w:t>
      </w:r>
      <w:r w:rsidR="00F24DB3">
        <w:t xml:space="preserve">of MR ibuprofen </w:t>
      </w:r>
      <w:r>
        <w:t>would</w:t>
      </w:r>
      <w:r w:rsidR="00F24DB3">
        <w:t xml:space="preserve"> contradict</w:t>
      </w:r>
      <w:r w:rsidR="00412184">
        <w:t xml:space="preserve"> </w:t>
      </w:r>
      <w:r w:rsidR="00751AFD">
        <w:t xml:space="preserve">the </w:t>
      </w:r>
      <w:hyperlink r:id="rId53" w:history="1">
        <w:r w:rsidR="00901B1D">
          <w:rPr>
            <w:rStyle w:val="Hyperlink"/>
          </w:rPr>
          <w:t>final decision</w:t>
        </w:r>
      </w:hyperlink>
      <w:r w:rsidR="00751AFD">
        <w:t xml:space="preserve"> </w:t>
      </w:r>
      <w:r w:rsidR="00901B1D">
        <w:t>published in December 2021</w:t>
      </w:r>
      <w:r w:rsidR="00F24DB3">
        <w:t>,</w:t>
      </w:r>
      <w:r w:rsidR="00901B1D">
        <w:t xml:space="preserve"> </w:t>
      </w:r>
      <w:r w:rsidR="00E72C5A">
        <w:t xml:space="preserve">which was in relation to a proposal to </w:t>
      </w:r>
      <w:r w:rsidR="00751AFD">
        <w:t xml:space="preserve">down schedule </w:t>
      </w:r>
      <w:r w:rsidR="00F24DB3">
        <w:t>6</w:t>
      </w:r>
      <w:r w:rsidR="00751AFD">
        <w:t xml:space="preserve">00 mg MR ibuprofen with a recommended daily dose of 1200 mg from Schedule 3 to Schedule 2. </w:t>
      </w:r>
    </w:p>
    <w:p w14:paraId="3FDB1926" w14:textId="1235DB70" w:rsidR="008F7D4B" w:rsidRDefault="00F24DB3" w:rsidP="00751AFD">
      <w:pPr>
        <w:pStyle w:val="ListBullet"/>
        <w:numPr>
          <w:ilvl w:val="0"/>
          <w:numId w:val="0"/>
        </w:numPr>
      </w:pPr>
      <w:r>
        <w:t xml:space="preserve">I retain the view that the </w:t>
      </w:r>
      <w:r w:rsidRPr="00F24DB3">
        <w:t xml:space="preserve">risks of adverse events and concerns of inappropriate use associated with the </w:t>
      </w:r>
      <w:r w:rsidR="008B0EE1">
        <w:t>MR</w:t>
      </w:r>
      <w:r w:rsidRPr="00F24DB3">
        <w:t xml:space="preserve"> pre</w:t>
      </w:r>
      <w:r w:rsidR="008B0EE1">
        <w:t>parations</w:t>
      </w:r>
      <w:r w:rsidRPr="00F24DB3">
        <w:t xml:space="preserve"> require the intervention of a pharmacist, consistent with the Scheduling Factors of a Schedule 3 classification</w:t>
      </w:r>
      <w:r w:rsidR="008F7D4B">
        <w:t>.</w:t>
      </w:r>
      <w:r>
        <w:t xml:space="preserve"> </w:t>
      </w:r>
      <w:r w:rsidR="008F7D4B">
        <w:t xml:space="preserve">Consultation with a pharmacist to </w:t>
      </w:r>
      <w:r w:rsidR="008F7D4B" w:rsidRPr="008F7D4B">
        <w:t xml:space="preserve">assist </w:t>
      </w:r>
      <w:r w:rsidR="00751AFD" w:rsidRPr="008F7D4B">
        <w:t>the consumer</w:t>
      </w:r>
      <w:r w:rsidR="008F7D4B" w:rsidRPr="008F7D4B">
        <w:t xml:space="preserve"> </w:t>
      </w:r>
      <w:r w:rsidR="00E72C5A">
        <w:t>in</w:t>
      </w:r>
      <w:r w:rsidR="008F7D4B" w:rsidRPr="008F7D4B">
        <w:t xml:space="preserve"> identifying their pain a</w:t>
      </w:r>
      <w:r w:rsidR="00751AFD" w:rsidRPr="008F7D4B">
        <w:t xml:space="preserve">s either </w:t>
      </w:r>
      <w:r w:rsidRPr="008F7D4B">
        <w:t>‘</w:t>
      </w:r>
      <w:r w:rsidR="00751AFD" w:rsidRPr="008F7D4B">
        <w:t>chronic</w:t>
      </w:r>
      <w:r w:rsidRPr="008F7D4B">
        <w:t>’</w:t>
      </w:r>
      <w:r w:rsidR="00751AFD" w:rsidRPr="008F7D4B">
        <w:t xml:space="preserve"> or </w:t>
      </w:r>
      <w:r w:rsidRPr="008F7D4B">
        <w:t>‘</w:t>
      </w:r>
      <w:r w:rsidR="00751AFD" w:rsidRPr="008F7D4B">
        <w:t>persistent</w:t>
      </w:r>
      <w:r w:rsidRPr="008F7D4B">
        <w:t>’</w:t>
      </w:r>
      <w:r w:rsidR="00751AFD" w:rsidRPr="008F7D4B">
        <w:t xml:space="preserve"> continues to be the safest way to mitigate accidental misuse of the substance and provides the best quality use of </w:t>
      </w:r>
      <w:r w:rsidR="00E72C5A">
        <w:t xml:space="preserve">the </w:t>
      </w:r>
      <w:r w:rsidR="00751AFD" w:rsidRPr="008F7D4B">
        <w:t xml:space="preserve">medicine, as per factors 1, 3 and 4 for Schedule 3 of the SPF. </w:t>
      </w:r>
      <w:r w:rsidR="008F7D4B">
        <w:t>Again, I find that the MR ibuprofen 300 mg formulation does not fit the Schedule 2 scheduling factors set out in the SPF, as:</w:t>
      </w:r>
    </w:p>
    <w:p w14:paraId="24E59131" w14:textId="77777777" w:rsidR="008F7D4B" w:rsidRPr="008F7D4B" w:rsidRDefault="008F7D4B" w:rsidP="008F7D4B">
      <w:pPr>
        <w:pStyle w:val="ListBullet"/>
      </w:pPr>
      <w:r w:rsidRPr="008F7D4B">
        <w:t>The quality use of the medicine cannot be achieved by labelling, packaging, or provision of other information; advice from a pharmacist is required.</w:t>
      </w:r>
    </w:p>
    <w:p w14:paraId="76D9B52C" w14:textId="77777777" w:rsidR="008F7D4B" w:rsidRPr="008F7D4B" w:rsidRDefault="008F7D4B" w:rsidP="008F7D4B">
      <w:pPr>
        <w:pStyle w:val="ListBullet"/>
      </w:pPr>
      <w:r w:rsidRPr="008F7D4B">
        <w:t>Risks of dosing errors cannot be managed by a consumer through appropriate packaging and labelling.</w:t>
      </w:r>
    </w:p>
    <w:p w14:paraId="4073C9B5" w14:textId="77777777" w:rsidR="008F7D4B" w:rsidRPr="008F7D4B" w:rsidRDefault="008F7D4B" w:rsidP="008F7D4B">
      <w:pPr>
        <w:pStyle w:val="ListBullet"/>
      </w:pPr>
      <w:r w:rsidRPr="008F7D4B">
        <w:t xml:space="preserve">The use of the medicine is substantially safe for short term use. However, modified release formulations may facilitate longer term use of the substance, for the treatment of ailments that would require pharmacist or, more commonly, medical practitioner oversight. </w:t>
      </w:r>
    </w:p>
    <w:p w14:paraId="5ED0AC11" w14:textId="77777777" w:rsidR="00784A64" w:rsidRDefault="00751AFD" w:rsidP="008E1FF3">
      <w:pPr>
        <w:pStyle w:val="ListBullet"/>
        <w:numPr>
          <w:ilvl w:val="0"/>
          <w:numId w:val="0"/>
        </w:numPr>
      </w:pPr>
      <w:r>
        <w:t xml:space="preserve">My concerns regarding administration and dosage errors have not been assuaged by data provided </w:t>
      </w:r>
      <w:r w:rsidR="002C3E84">
        <w:t xml:space="preserve">by the applicant through the interim decision consultation. </w:t>
      </w:r>
      <w:r w:rsidR="00665A83">
        <w:t xml:space="preserve">In contrast to the consumer statistics provided, </w:t>
      </w:r>
      <w:r w:rsidR="009345DE">
        <w:t>t</w:t>
      </w:r>
      <w:r w:rsidR="00665A83">
        <w:t xml:space="preserve">he Consumers Health Forum of Australia </w:t>
      </w:r>
      <w:r w:rsidR="009345DE">
        <w:t>published</w:t>
      </w:r>
      <w:r w:rsidR="00665A83">
        <w:t xml:space="preserve"> in 2020</w:t>
      </w:r>
      <w:r w:rsidR="009345DE">
        <w:t xml:space="preserve"> a report on the Health Literacy and Quality Use of Medicines in Australia.</w:t>
      </w:r>
      <w:r w:rsidR="009345DE">
        <w:rPr>
          <w:rStyle w:val="FootnoteReference"/>
        </w:rPr>
        <w:footnoteReference w:id="32"/>
      </w:r>
      <w:r w:rsidR="009345DE">
        <w:t xml:space="preserve"> In this literature review, they referred to published literature demonstrating that a significant cohort of patients are unable to accurately dose out a medication regime, and more than two million Australians may have exceeded the recommended daily dose of widely used medicines, including ibuprofen, and specifically, as many as 1.5 million Australians </w:t>
      </w:r>
      <w:r w:rsidR="00730A2F">
        <w:t xml:space="preserve">exceed the </w:t>
      </w:r>
      <w:r w:rsidR="00730A2F" w:rsidRPr="00730A2F">
        <w:t xml:space="preserve">recommended dosage of six tablets in a 24-hour period </w:t>
      </w:r>
      <w:r w:rsidR="00730A2F">
        <w:t>for i</w:t>
      </w:r>
      <w:r w:rsidR="009345DE">
        <w:t>buprofen + codeine tablets.</w:t>
      </w:r>
      <w:r w:rsidR="009345DE">
        <w:rPr>
          <w:rStyle w:val="FootnoteReference"/>
        </w:rPr>
        <w:footnoteReference w:id="33"/>
      </w:r>
      <w:r w:rsidR="009345DE">
        <w:rPr>
          <w:vertAlign w:val="superscript"/>
        </w:rPr>
        <w:t>,</w:t>
      </w:r>
      <w:r w:rsidR="009345DE">
        <w:rPr>
          <w:rStyle w:val="FootnoteReference"/>
        </w:rPr>
        <w:footnoteReference w:id="34"/>
      </w:r>
      <w:r w:rsidR="009345DE">
        <w:t xml:space="preserve"> </w:t>
      </w:r>
    </w:p>
    <w:p w14:paraId="0D6307B7" w14:textId="77777777" w:rsidR="00784A64" w:rsidRDefault="00730A2F" w:rsidP="008E1FF3">
      <w:pPr>
        <w:pStyle w:val="ListBullet"/>
        <w:numPr>
          <w:ilvl w:val="0"/>
          <w:numId w:val="0"/>
        </w:numPr>
      </w:pPr>
      <w:r>
        <w:t>Another</w:t>
      </w:r>
      <w:r w:rsidR="00751AFD" w:rsidRPr="00C83855">
        <w:t xml:space="preserve"> independent study published in the Australian and New Zealand Journal of </w:t>
      </w:r>
      <w:r>
        <w:t>P</w:t>
      </w:r>
      <w:r w:rsidR="00751AFD" w:rsidRPr="00C83855">
        <w:t xml:space="preserve">ublic </w:t>
      </w:r>
      <w:r>
        <w:t>H</w:t>
      </w:r>
      <w:r w:rsidR="00751AFD" w:rsidRPr="00C83855">
        <w:t xml:space="preserve">ealth found that only 60.4% of participants </w:t>
      </w:r>
      <w:r>
        <w:t xml:space="preserve">could </w:t>
      </w:r>
      <w:r w:rsidR="00751AFD" w:rsidRPr="00C83855">
        <w:t>accurately identif</w:t>
      </w:r>
      <w:r>
        <w:t>y</w:t>
      </w:r>
      <w:r w:rsidR="00751AFD" w:rsidRPr="00C83855">
        <w:t xml:space="preserve"> the correct dose for ibuprofen containing products</w:t>
      </w:r>
      <w:r>
        <w:t>.</w:t>
      </w:r>
      <w:r w:rsidRPr="00730A2F">
        <w:rPr>
          <w:rStyle w:val="FootnoteReference"/>
        </w:rPr>
        <w:t xml:space="preserve"> </w:t>
      </w:r>
      <w:r w:rsidRPr="00C83855">
        <w:rPr>
          <w:rStyle w:val="FootnoteReference"/>
        </w:rPr>
        <w:footnoteReference w:id="35"/>
      </w:r>
      <w:r w:rsidR="00751AFD" w:rsidRPr="00C83855">
        <w:t xml:space="preserve"> </w:t>
      </w:r>
      <w:r>
        <w:t xml:space="preserve">In addition, of those consumers that could not identify the correct dose of ibuprofen, 18% believed that administration of more than 10 ibuprofen tablets in a 24-hour period was safe. </w:t>
      </w:r>
    </w:p>
    <w:p w14:paraId="4613819F" w14:textId="77777777" w:rsidR="00784A64" w:rsidRDefault="00751AFD" w:rsidP="008E1FF3">
      <w:pPr>
        <w:pStyle w:val="ListBullet"/>
        <w:numPr>
          <w:ilvl w:val="0"/>
          <w:numId w:val="0"/>
        </w:numPr>
      </w:pPr>
      <w:r w:rsidRPr="00C83855">
        <w:t xml:space="preserve">Another study performed in South Australia and the Northern Territory found that 66% of participants rarely, or never read the manufacturers printed warning instructions on the potential drug interactions or adverse effects associated with the use of </w:t>
      </w:r>
      <w:r w:rsidR="008E1FF3">
        <w:t>ibuprofen</w:t>
      </w:r>
      <w:r w:rsidRPr="00C83855">
        <w:t xml:space="preserve"> product</w:t>
      </w:r>
      <w:r w:rsidR="008E1FF3">
        <w:t>s</w:t>
      </w:r>
      <w:r w:rsidRPr="00C83855">
        <w:t>.</w:t>
      </w:r>
      <w:r w:rsidRPr="00C83855">
        <w:rPr>
          <w:rStyle w:val="FootnoteReference"/>
        </w:rPr>
        <w:footnoteReference w:id="36"/>
      </w:r>
      <w:r w:rsidRPr="00C83855">
        <w:t xml:space="preserve"> </w:t>
      </w:r>
    </w:p>
    <w:p w14:paraId="67B7B8BE" w14:textId="2B2BB034" w:rsidR="00751AFD" w:rsidRPr="00C83855" w:rsidRDefault="00A6328A" w:rsidP="008E1FF3">
      <w:pPr>
        <w:pStyle w:val="ListBullet"/>
        <w:numPr>
          <w:ilvl w:val="0"/>
          <w:numId w:val="0"/>
        </w:numPr>
      </w:pPr>
      <w:r>
        <w:t>I am therefore of the opinion that the current state of Australian consumer health literacy, specifically in relation to recommended daily dosages for ibuprofen products, requires that pharmacist oversight is available when selecting MR ibuprofen.</w:t>
      </w:r>
    </w:p>
    <w:p w14:paraId="0E373A73" w14:textId="25E538A5" w:rsidR="00751AFD" w:rsidRDefault="008E1FF3" w:rsidP="00751AFD">
      <w:pPr>
        <w:pStyle w:val="ListBullet"/>
        <w:numPr>
          <w:ilvl w:val="0"/>
          <w:numId w:val="0"/>
        </w:numPr>
      </w:pPr>
      <w:r>
        <w:t>I have also reflected on the statement provided in opposition to the interim decision that cons</w:t>
      </w:r>
      <w:r w:rsidR="00751AFD" w:rsidRPr="00C83855">
        <w:t xml:space="preserve">umers are able to determine the difference between </w:t>
      </w:r>
      <w:r>
        <w:t>‘</w:t>
      </w:r>
      <w:r w:rsidR="00751AFD" w:rsidRPr="00C83855">
        <w:t>chronic pain</w:t>
      </w:r>
      <w:r>
        <w:t>’</w:t>
      </w:r>
      <w:r w:rsidR="00751AFD" w:rsidRPr="00C83855">
        <w:t xml:space="preserve"> and </w:t>
      </w:r>
      <w:r>
        <w:t>‘</w:t>
      </w:r>
      <w:r w:rsidR="00751AFD" w:rsidRPr="00C83855">
        <w:t>persistent pain</w:t>
      </w:r>
      <w:r>
        <w:t>’</w:t>
      </w:r>
      <w:r w:rsidR="00751AFD" w:rsidRPr="00C83855">
        <w:t>.</w:t>
      </w:r>
      <w:r>
        <w:t xml:space="preserve"> I </w:t>
      </w:r>
      <w:r w:rsidR="00A6328A">
        <w:lastRenderedPageBreak/>
        <w:t>strongly disagree with this view</w:t>
      </w:r>
      <w:r w:rsidR="004A03D8">
        <w:t>. There a</w:t>
      </w:r>
      <w:r w:rsidR="00784A64">
        <w:t>re</w:t>
      </w:r>
      <w:r w:rsidR="004A03D8">
        <w:t xml:space="preserve"> numerous publications emphasising the clinical use of the term ‘chronic pain’, and highlighting the inappropriate use of the term.</w:t>
      </w:r>
      <w:r w:rsidR="004A03D8">
        <w:rPr>
          <w:rStyle w:val="FootnoteReference"/>
        </w:rPr>
        <w:footnoteReference w:id="37"/>
      </w:r>
      <w:r w:rsidR="004A03D8">
        <w:t xml:space="preserve"> T</w:t>
      </w:r>
      <w:r w:rsidR="00751AFD" w:rsidRPr="00C83855">
        <w:t xml:space="preserve">he International Association for the Study of Pain defines chronic pain as </w:t>
      </w:r>
      <w:r>
        <w:t>‘</w:t>
      </w:r>
      <w:r w:rsidR="004A03D8" w:rsidRPr="004A03D8">
        <w:t xml:space="preserve">pain that </w:t>
      </w:r>
      <w:r w:rsidR="004A03D8" w:rsidRPr="004A03D8">
        <w:rPr>
          <w:u w:val="single"/>
        </w:rPr>
        <w:t>persists</w:t>
      </w:r>
      <w:r w:rsidR="004A03D8">
        <w:rPr>
          <w:rStyle w:val="FootnoteReference"/>
          <w:u w:val="single"/>
        </w:rPr>
        <w:footnoteReference w:id="38"/>
      </w:r>
      <w:r w:rsidR="004A03D8" w:rsidRPr="004A03D8">
        <w:t xml:space="preserve"> or recurs for longer than 3 months</w:t>
      </w:r>
      <w:r>
        <w:t>’</w:t>
      </w:r>
      <w:r w:rsidR="00751AFD" w:rsidRPr="00C83855">
        <w:t>.</w:t>
      </w:r>
      <w:r w:rsidR="00A6328A">
        <w:rPr>
          <w:rStyle w:val="FootnoteReference"/>
        </w:rPr>
        <w:footnoteReference w:id="39"/>
      </w:r>
      <w:r w:rsidR="00751AFD" w:rsidRPr="00C83855">
        <w:t xml:space="preserve"> Additionally, </w:t>
      </w:r>
      <w:r w:rsidR="004A03D8">
        <w:t>‘</w:t>
      </w:r>
      <w:r w:rsidR="00751AFD" w:rsidRPr="00C83855">
        <w:t>chronic pain</w:t>
      </w:r>
      <w:r w:rsidR="004A03D8">
        <w:t>’</w:t>
      </w:r>
      <w:r w:rsidR="00751AFD" w:rsidRPr="00C83855">
        <w:t xml:space="preserve"> and </w:t>
      </w:r>
      <w:r w:rsidR="004A03D8">
        <w:t>‘</w:t>
      </w:r>
      <w:r w:rsidR="00751AFD" w:rsidRPr="00C83855">
        <w:t>persistent pain</w:t>
      </w:r>
      <w:r w:rsidR="004A03D8">
        <w:t>’</w:t>
      </w:r>
      <w:r w:rsidR="00751AFD" w:rsidRPr="00C83855">
        <w:t xml:space="preserve"> is </w:t>
      </w:r>
      <w:r w:rsidR="004A03D8">
        <w:t xml:space="preserve">used interchangeably </w:t>
      </w:r>
      <w:r w:rsidR="00751AFD" w:rsidRPr="00C83855">
        <w:t xml:space="preserve">on several </w:t>
      </w:r>
      <w:r w:rsidR="00784A64">
        <w:t xml:space="preserve">government health </w:t>
      </w:r>
      <w:r w:rsidR="00751AFD" w:rsidRPr="00C83855">
        <w:t>websites</w:t>
      </w:r>
      <w:r w:rsidR="00784A64">
        <w:t>,</w:t>
      </w:r>
      <w:r w:rsidR="004A03D8" w:rsidRPr="00C83855">
        <w:rPr>
          <w:rStyle w:val="FootnoteReference"/>
        </w:rPr>
        <w:footnoteReference w:id="40"/>
      </w:r>
      <w:r w:rsidR="004A03D8">
        <w:rPr>
          <w:vertAlign w:val="superscript"/>
        </w:rPr>
        <w:t>,</w:t>
      </w:r>
      <w:r w:rsidR="004A03D8" w:rsidRPr="00C83855">
        <w:rPr>
          <w:rStyle w:val="FootnoteReference"/>
        </w:rPr>
        <w:footnoteReference w:id="41"/>
      </w:r>
      <w:r w:rsidR="004A03D8">
        <w:rPr>
          <w:vertAlign w:val="superscript"/>
        </w:rPr>
        <w:t>,</w:t>
      </w:r>
      <w:r w:rsidR="004A03D8" w:rsidRPr="00C83855">
        <w:rPr>
          <w:rStyle w:val="FootnoteReference"/>
        </w:rPr>
        <w:footnoteReference w:id="42"/>
      </w:r>
      <w:r w:rsidR="00751AFD" w:rsidRPr="00C83855">
        <w:t xml:space="preserve"> international health websites</w:t>
      </w:r>
      <w:r w:rsidR="00784A64">
        <w:t>,</w:t>
      </w:r>
      <w:r w:rsidR="00751AFD" w:rsidRPr="00C83855">
        <w:rPr>
          <w:rStyle w:val="FootnoteReference"/>
        </w:rPr>
        <w:footnoteReference w:id="43"/>
      </w:r>
      <w:r w:rsidR="00751AFD" w:rsidRPr="00C83855">
        <w:t xml:space="preserve"> and private organisations pages, including Pain Australia.</w:t>
      </w:r>
      <w:r w:rsidR="00751AFD" w:rsidRPr="00C83855">
        <w:rPr>
          <w:rStyle w:val="FootnoteReference"/>
        </w:rPr>
        <w:footnoteReference w:id="44"/>
      </w:r>
      <w:r w:rsidR="008B0EE1">
        <w:t xml:space="preserve"> Consequently, I consider that my concern regarding consumers</w:t>
      </w:r>
      <w:r w:rsidR="00784A64">
        <w:t>’</w:t>
      </w:r>
      <w:r w:rsidR="008B0EE1">
        <w:t xml:space="preserve"> ability to determine the difference between chronic and persistent pain is legitimate.</w:t>
      </w:r>
    </w:p>
    <w:p w14:paraId="33B3893B" w14:textId="53F4DC0C" w:rsidR="008E1FF3" w:rsidRDefault="00751AFD" w:rsidP="00751AFD">
      <w:pPr>
        <w:pStyle w:val="ListBullet"/>
        <w:numPr>
          <w:ilvl w:val="0"/>
          <w:numId w:val="0"/>
        </w:numPr>
      </w:pPr>
      <w:r>
        <w:t xml:space="preserve">On balance, I acknowledge that the use of the </w:t>
      </w:r>
      <w:r w:rsidR="00784A64">
        <w:t xml:space="preserve">MR ibuprofen </w:t>
      </w:r>
      <w:r>
        <w:t>is safe for short-term use</w:t>
      </w:r>
      <w:r w:rsidR="00784A64">
        <w:t>.</w:t>
      </w:r>
      <w:r>
        <w:t xml:space="preserve"> </w:t>
      </w:r>
      <w:r w:rsidR="00784A64">
        <w:t>H</w:t>
      </w:r>
      <w:r>
        <w:t>owever</w:t>
      </w:r>
      <w:r w:rsidR="008B0EE1">
        <w:t xml:space="preserve">, dosage and administration errors </w:t>
      </w:r>
      <w:r w:rsidR="00B35CED">
        <w:t xml:space="preserve">pose </w:t>
      </w:r>
      <w:r w:rsidR="008B0EE1">
        <w:t>a significant risk</w:t>
      </w:r>
      <w:r w:rsidR="00B35CED">
        <w:t xml:space="preserve"> to public health</w:t>
      </w:r>
      <w:r w:rsidR="008B0EE1">
        <w:t>, particularly for the elderly and those with cardiovascular disease, renal disease, and asthma. These concerns are shared by several peak bodies including the Pharmacy Guild of Australia and the Pharmaceutical Society of Australia</w:t>
      </w:r>
      <w:r w:rsidR="00CF6BC7">
        <w:t xml:space="preserve">. </w:t>
      </w:r>
      <w:r w:rsidR="008E1FF3">
        <w:t xml:space="preserve">I therefore remain of the opinion that </w:t>
      </w:r>
      <w:r w:rsidR="00CF6BC7">
        <w:t xml:space="preserve">the risk of down-scheduling </w:t>
      </w:r>
      <w:r w:rsidR="008E1FF3">
        <w:t xml:space="preserve">300 mg MR ibuprofen, with different indications and patterns of use to immediate-release ibuprofen, </w:t>
      </w:r>
      <w:r w:rsidR="00CF6BC7">
        <w:t>greatly outweighs the benefit of increased access to these formulations.</w:t>
      </w:r>
    </w:p>
    <w:p w14:paraId="417AB174" w14:textId="2E69BCBD" w:rsidR="00927539" w:rsidRDefault="00927539" w:rsidP="00927539">
      <w:pPr>
        <w:pStyle w:val="Heading3"/>
      </w:pPr>
      <w:bookmarkStart w:id="46" w:name="_Toc190165698"/>
      <w:r>
        <w:t>Final decision in relation to melatonin</w:t>
      </w:r>
      <w:bookmarkEnd w:id="46"/>
    </w:p>
    <w:p w14:paraId="1AF677D3" w14:textId="77777777" w:rsidR="00927539" w:rsidRDefault="00927539" w:rsidP="00927539">
      <w:pPr>
        <w:pStyle w:val="Heading5"/>
      </w:pPr>
      <w:r>
        <w:t>Proposal</w:t>
      </w:r>
    </w:p>
    <w:p w14:paraId="7C5F9478" w14:textId="1EAB26CF" w:rsidR="00927539" w:rsidRPr="00927539" w:rsidRDefault="00927539" w:rsidP="00927539">
      <w:r>
        <w:t>The applicant proposed the rescheduling of immediate</w:t>
      </w:r>
      <w:r w:rsidR="00632B5A">
        <w:t xml:space="preserve"> </w:t>
      </w:r>
      <w:r>
        <w:t xml:space="preserve">release melatonin from Schedule 4 to Schedule 3 for the treatment of jetlag. The rescheduling would apply to divided preparations containing 5 mg or less of melatonin, in packs of no more than 10 dosage units, for adults aged 18 and over (the </w:t>
      </w:r>
      <w:r w:rsidRPr="00FE3036">
        <w:rPr>
          <w:b/>
          <w:bCs/>
        </w:rPr>
        <w:t>Proposal</w:t>
      </w:r>
      <w:r>
        <w:t>). This would allow access to melatonin for this indication, without a prescription, after consulting with a pharmacist.</w:t>
      </w:r>
    </w:p>
    <w:p w14:paraId="79CFAFFC" w14:textId="77777777" w:rsidR="00927539" w:rsidRPr="008036B7" w:rsidRDefault="00927539" w:rsidP="00927539">
      <w:pPr>
        <w:pStyle w:val="Heading5"/>
      </w:pPr>
      <w:r>
        <w:t xml:space="preserve">Final decision </w:t>
      </w:r>
    </w:p>
    <w:p w14:paraId="2F9F4212" w14:textId="20A6592D" w:rsidR="00927539" w:rsidRDefault="00927539" w:rsidP="00927539">
      <w:r w:rsidRPr="00FA361B">
        <w:t xml:space="preserve">Pursuant to regulation 42ZCZR of the Regulations, the Delegate has made a final decision to confirm the interim decision and amend the current Poisons Standard in relation to </w:t>
      </w:r>
      <w:r w:rsidR="00FA361B" w:rsidRPr="00FA361B">
        <w:t>melatonin</w:t>
      </w:r>
      <w:r w:rsidRPr="00FA361B">
        <w:t xml:space="preserve"> as follows:</w:t>
      </w:r>
      <w:r w:rsidR="005D1F55">
        <w:rPr>
          <w:rStyle w:val="FootnoteReference"/>
        </w:rPr>
        <w:footnoteReference w:id="45"/>
      </w:r>
    </w:p>
    <w:p w14:paraId="7D069FBC" w14:textId="77777777" w:rsidR="00FA361B" w:rsidRDefault="00FA361B" w:rsidP="00FA361B">
      <w:pPr>
        <w:ind w:left="426"/>
        <w:rPr>
          <w:b/>
        </w:rPr>
      </w:pPr>
      <w:r w:rsidRPr="006D5C84">
        <w:rPr>
          <w:b/>
        </w:rPr>
        <w:t xml:space="preserve">Schedule </w:t>
      </w:r>
      <w:r>
        <w:rPr>
          <w:b/>
        </w:rPr>
        <w:t>4</w:t>
      </w:r>
    </w:p>
    <w:p w14:paraId="022AF054" w14:textId="77777777" w:rsidR="00FA361B" w:rsidRPr="00E76FF3" w:rsidRDefault="00FA361B" w:rsidP="00FA361B">
      <w:pPr>
        <w:ind w:left="426" w:firstLine="294"/>
      </w:pPr>
      <w:r>
        <w:rPr>
          <w:color w:val="000000"/>
          <w:szCs w:val="22"/>
          <w:shd w:val="clear" w:color="auto" w:fill="FFFFFF"/>
        </w:rPr>
        <w:t>MELATONIN for human use </w:t>
      </w:r>
      <w:r>
        <w:rPr>
          <w:b/>
          <w:bCs/>
          <w:color w:val="000000"/>
          <w:szCs w:val="22"/>
          <w:shd w:val="clear" w:color="auto" w:fill="FFFFFF"/>
        </w:rPr>
        <w:t>except</w:t>
      </w:r>
      <w:r>
        <w:rPr>
          <w:color w:val="000000"/>
          <w:szCs w:val="22"/>
          <w:shd w:val="clear" w:color="auto" w:fill="FFFFFF"/>
        </w:rPr>
        <w:t> when included in Schedule 3.</w:t>
      </w:r>
    </w:p>
    <w:p w14:paraId="445271E6" w14:textId="77777777" w:rsidR="00FA361B" w:rsidRPr="00CD40FB" w:rsidRDefault="00FA361B" w:rsidP="00FA361B">
      <w:pPr>
        <w:ind w:left="426"/>
        <w:rPr>
          <w:b/>
        </w:rPr>
      </w:pPr>
      <w:r w:rsidRPr="00CD40FB">
        <w:rPr>
          <w:b/>
        </w:rPr>
        <w:t xml:space="preserve">Schedule </w:t>
      </w:r>
      <w:r w:rsidRPr="008A5566">
        <w:rPr>
          <w:b/>
        </w:rPr>
        <w:t>3 – Amend Entry</w:t>
      </w:r>
    </w:p>
    <w:p w14:paraId="29E864EB" w14:textId="77777777" w:rsidR="00FA361B" w:rsidRDefault="00FA361B" w:rsidP="00FA361B">
      <w:pPr>
        <w:ind w:left="426" w:firstLine="294"/>
        <w:rPr>
          <w:color w:val="000000"/>
          <w:szCs w:val="22"/>
          <w:shd w:val="clear" w:color="auto" w:fill="FFFFFF"/>
        </w:rPr>
      </w:pPr>
      <w:r>
        <w:rPr>
          <w:color w:val="000000"/>
          <w:szCs w:val="22"/>
          <w:shd w:val="clear" w:color="auto" w:fill="FFFFFF"/>
        </w:rPr>
        <w:t xml:space="preserve">MELATONIN in: </w:t>
      </w:r>
    </w:p>
    <w:p w14:paraId="5374461D" w14:textId="77777777" w:rsidR="00FA361B" w:rsidRPr="00FA361B" w:rsidRDefault="00FA361B" w:rsidP="00442B8F">
      <w:pPr>
        <w:pStyle w:val="ListBulleta"/>
        <w:numPr>
          <w:ilvl w:val="0"/>
          <w:numId w:val="15"/>
        </w:numPr>
        <w:rPr>
          <w:color w:val="00B050"/>
          <w:shd w:val="clear" w:color="auto" w:fill="FFFFFF"/>
        </w:rPr>
      </w:pPr>
      <w:r w:rsidRPr="00183C06">
        <w:t>modified</w:t>
      </w:r>
      <w:r w:rsidRPr="00FA361B">
        <w:rPr>
          <w:shd w:val="clear" w:color="auto" w:fill="FFFFFF"/>
        </w:rPr>
        <w:t xml:space="preserve"> release tablets containing 2 mg or less of melatonin for monotherapy for the short-term treatment of primary insomnia </w:t>
      </w:r>
      <w:r w:rsidRPr="00FA361B">
        <w:rPr>
          <w:shd w:val="clear" w:color="auto" w:fill="FFFFFF"/>
        </w:rPr>
        <w:lastRenderedPageBreak/>
        <w:t xml:space="preserve">characterised by poor quality of sleep for adults aged 55 or over, in packs containing not more than 30 </w:t>
      </w:r>
      <w:proofErr w:type="gramStart"/>
      <w:r w:rsidRPr="00FA361B">
        <w:rPr>
          <w:shd w:val="clear" w:color="auto" w:fill="FFFFFF"/>
        </w:rPr>
        <w:t>tablets</w:t>
      </w:r>
      <w:r w:rsidRPr="00FA361B">
        <w:rPr>
          <w:color w:val="00B050"/>
          <w:u w:val="single"/>
          <w:shd w:val="clear" w:color="auto" w:fill="FFFFFF"/>
        </w:rPr>
        <w:t>;</w:t>
      </w:r>
      <w:proofErr w:type="gramEnd"/>
      <w:r w:rsidRPr="00FA361B">
        <w:rPr>
          <w:u w:val="single"/>
          <w:shd w:val="clear" w:color="auto" w:fill="FFFFFF"/>
        </w:rPr>
        <w:t xml:space="preserve"> </w:t>
      </w:r>
      <w:r w:rsidRPr="00FA361B">
        <w:rPr>
          <w:color w:val="00B050"/>
          <w:u w:val="single"/>
          <w:shd w:val="clear" w:color="auto" w:fill="FFFFFF"/>
        </w:rPr>
        <w:t>or</w:t>
      </w:r>
      <w:r w:rsidRPr="00FA361B">
        <w:rPr>
          <w:color w:val="00B050"/>
          <w:shd w:val="clear" w:color="auto" w:fill="FFFFFF"/>
        </w:rPr>
        <w:t xml:space="preserve"> </w:t>
      </w:r>
    </w:p>
    <w:p w14:paraId="2EB2AFF6" w14:textId="77777777" w:rsidR="00FA361B" w:rsidRPr="00FA361B" w:rsidRDefault="00FA361B" w:rsidP="00FA361B">
      <w:pPr>
        <w:pStyle w:val="ListBulleta"/>
        <w:rPr>
          <w:color w:val="00B050"/>
          <w:szCs w:val="22"/>
          <w:u w:val="single"/>
          <w:shd w:val="clear" w:color="auto" w:fill="FFFFFF"/>
        </w:rPr>
      </w:pPr>
      <w:r w:rsidRPr="00FA361B">
        <w:rPr>
          <w:color w:val="00B050"/>
          <w:u w:val="single"/>
          <w:lang w:eastAsia="en-AU"/>
        </w:rPr>
        <w:t xml:space="preserve">immediate </w:t>
      </w:r>
      <w:r w:rsidRPr="00FA361B">
        <w:rPr>
          <w:color w:val="00B050"/>
          <w:u w:val="single"/>
        </w:rPr>
        <w:t>release</w:t>
      </w:r>
      <w:r w:rsidRPr="00FA361B">
        <w:rPr>
          <w:color w:val="00B050"/>
          <w:u w:val="single"/>
          <w:lang w:eastAsia="en-AU"/>
        </w:rPr>
        <w:t xml:space="preserve"> preparations containing 5 mg or less of melatonin for the treatment of jet lag in adults aged 18 or over, in a primary pack containing no more than 10 dosage units.</w:t>
      </w:r>
    </w:p>
    <w:p w14:paraId="181539A6" w14:textId="77777777" w:rsidR="00FA361B" w:rsidRPr="005133F7" w:rsidRDefault="00FA361B" w:rsidP="00BA1ED5">
      <w:pPr>
        <w:keepNext/>
        <w:ind w:left="425"/>
        <w:rPr>
          <w:b/>
        </w:rPr>
      </w:pPr>
      <w:r>
        <w:rPr>
          <w:b/>
        </w:rPr>
        <w:t>Index</w:t>
      </w:r>
    </w:p>
    <w:p w14:paraId="01516183" w14:textId="77777777" w:rsidR="00FA361B" w:rsidRDefault="00FA361B" w:rsidP="00BA1ED5">
      <w:pPr>
        <w:keepNext/>
        <w:ind w:left="720"/>
        <w:rPr>
          <w:rFonts w:asciiTheme="minorHAnsi" w:hAnsiTheme="minorHAnsi" w:cstheme="minorHAnsi"/>
          <w:b/>
          <w:bCs/>
        </w:rPr>
      </w:pPr>
      <w:r w:rsidRPr="00FE3036">
        <w:rPr>
          <w:rFonts w:asciiTheme="minorHAnsi" w:hAnsiTheme="minorHAnsi" w:cstheme="minorHAnsi"/>
          <w:b/>
          <w:bCs/>
        </w:rPr>
        <w:t>MELATONIN</w:t>
      </w:r>
    </w:p>
    <w:p w14:paraId="5861F9BC" w14:textId="2A1687A7" w:rsidR="00FA361B" w:rsidRPr="00335BEC" w:rsidRDefault="00FA361B" w:rsidP="00BA1ED5">
      <w:pPr>
        <w:ind w:left="720"/>
      </w:pPr>
      <w:r w:rsidRPr="006238B1">
        <w:rPr>
          <w:rFonts w:asciiTheme="minorHAnsi" w:hAnsiTheme="minorHAnsi" w:cstheme="minorHAnsi"/>
        </w:rPr>
        <w:t>Schedule 4</w:t>
      </w:r>
      <w:r>
        <w:rPr>
          <w:rFonts w:asciiTheme="minorHAnsi" w:hAnsiTheme="minorHAnsi" w:cstheme="minorHAnsi"/>
        </w:rPr>
        <w:br/>
      </w:r>
      <w:r w:rsidRPr="006238B1">
        <w:rPr>
          <w:rFonts w:asciiTheme="minorHAnsi" w:hAnsiTheme="minorHAnsi" w:cstheme="minorHAnsi"/>
        </w:rPr>
        <w:t>Schedule 3</w:t>
      </w:r>
      <w:r>
        <w:rPr>
          <w:rFonts w:asciiTheme="minorHAnsi" w:hAnsiTheme="minorHAnsi" w:cstheme="minorHAnsi"/>
        </w:rPr>
        <w:br/>
      </w:r>
      <w:r w:rsidRPr="006238B1">
        <w:rPr>
          <w:rFonts w:asciiTheme="minorHAnsi" w:hAnsiTheme="minorHAnsi" w:cstheme="minorHAnsi"/>
        </w:rPr>
        <w:t>Appendix H</w:t>
      </w:r>
    </w:p>
    <w:p w14:paraId="0BB67932" w14:textId="77777777" w:rsidR="00927539" w:rsidRDefault="00927539" w:rsidP="00927539">
      <w:pPr>
        <w:pStyle w:val="Heading5"/>
      </w:pPr>
      <w:r>
        <w:t xml:space="preserve">Materials considered </w:t>
      </w:r>
    </w:p>
    <w:p w14:paraId="72541FAB" w14:textId="77777777" w:rsidR="00927539" w:rsidRDefault="00927539" w:rsidP="00927539">
      <w:r>
        <w:t>In making this final decision, the Delegate considered the following material:</w:t>
      </w:r>
    </w:p>
    <w:p w14:paraId="242F3C10" w14:textId="77777777" w:rsidR="00927539" w:rsidRDefault="00927539" w:rsidP="00927539">
      <w:pPr>
        <w:pStyle w:val="ListBullet"/>
      </w:pPr>
      <w:r>
        <w:t xml:space="preserve">The </w:t>
      </w:r>
      <w:hyperlink r:id="rId54" w:history="1">
        <w:r w:rsidRPr="00FE3036">
          <w:rPr>
            <w:rStyle w:val="Hyperlink"/>
          </w:rPr>
          <w:t>application</w:t>
        </w:r>
      </w:hyperlink>
      <w:r>
        <w:t xml:space="preserve"> to amend the current Poisons Standard with respect to melatonin (the </w:t>
      </w:r>
      <w:r>
        <w:rPr>
          <w:b/>
          <w:bCs/>
        </w:rPr>
        <w:t>Application</w:t>
      </w:r>
      <w:r>
        <w:t>);</w:t>
      </w:r>
    </w:p>
    <w:p w14:paraId="431FF3C0" w14:textId="5F6A0C41" w:rsidR="00927539" w:rsidRDefault="00927539" w:rsidP="00927539">
      <w:pPr>
        <w:pStyle w:val="ListBullet"/>
      </w:pPr>
      <w:r>
        <w:t xml:space="preserve">The </w:t>
      </w:r>
      <w:r w:rsidR="005D1F55">
        <w:t>6</w:t>
      </w:r>
      <w:r>
        <w:t xml:space="preserve"> </w:t>
      </w:r>
      <w:hyperlink r:id="rId55" w:history="1">
        <w:r w:rsidRPr="00FE3036">
          <w:rPr>
            <w:rStyle w:val="Hyperlink"/>
          </w:rPr>
          <w:t>public submissions</w:t>
        </w:r>
      </w:hyperlink>
      <w:r>
        <w:t xml:space="preserve"> received in response to the </w:t>
      </w:r>
      <w:hyperlink r:id="rId56" w:history="1">
        <w:r w:rsidRPr="00FE3036">
          <w:rPr>
            <w:rStyle w:val="Hyperlink"/>
          </w:rPr>
          <w:t>pre-meeting consultation</w:t>
        </w:r>
      </w:hyperlink>
      <w:r>
        <w:t xml:space="preserve"> under regulation 42ZCZK of the Regulations (the </w:t>
      </w:r>
      <w:r w:rsidRPr="00212A35">
        <w:rPr>
          <w:b/>
          <w:bCs/>
        </w:rPr>
        <w:t>Submissions</w:t>
      </w:r>
      <w:r>
        <w:t xml:space="preserve">); </w:t>
      </w:r>
    </w:p>
    <w:p w14:paraId="3BD6E098" w14:textId="77777777" w:rsidR="00927539" w:rsidRDefault="00927539" w:rsidP="00927539">
      <w:pPr>
        <w:pStyle w:val="ListBullet"/>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5EEC0329" w14:textId="307ECB1E" w:rsidR="00927539" w:rsidRDefault="00927539" w:rsidP="00927539">
      <w:pPr>
        <w:pStyle w:val="ListBullet"/>
      </w:pPr>
      <w:r>
        <w:t xml:space="preserve">The </w:t>
      </w:r>
      <w:r w:rsidR="00101161">
        <w:t>5</w:t>
      </w:r>
      <w:r>
        <w:t xml:space="preserve"> </w:t>
      </w:r>
      <w:hyperlink r:id="rId57" w:history="1">
        <w:r w:rsidRPr="00101161">
          <w:rPr>
            <w:rStyle w:val="Hyperlink"/>
          </w:rPr>
          <w:t>public submissions</w:t>
        </w:r>
      </w:hyperlink>
      <w:r>
        <w:t xml:space="preserve"> received in response to the </w:t>
      </w:r>
      <w:hyperlink r:id="rId58" w:history="1">
        <w:r w:rsidRPr="00101161">
          <w:rPr>
            <w:rStyle w:val="Hyperlink"/>
          </w:rPr>
          <w:t>interim decision consultation</w:t>
        </w:r>
      </w:hyperlink>
      <w:r>
        <w:t xml:space="preserve"> </w:t>
      </w:r>
      <w:r w:rsidRPr="002C1418">
        <w:t>under regulation 42ZCZP of the Regulations</w:t>
      </w:r>
      <w:r>
        <w:t>;</w:t>
      </w:r>
    </w:p>
    <w:p w14:paraId="6E3092E6" w14:textId="77777777" w:rsidR="00927539" w:rsidRDefault="00927539" w:rsidP="00927539">
      <w:pPr>
        <w:pStyle w:val="ListBullet"/>
      </w:pPr>
      <w:r w:rsidRPr="001169AC">
        <w:t xml:space="preserve">Subsection 52E(1) of </w:t>
      </w:r>
      <w:r>
        <w:rPr>
          <w:iCs/>
        </w:rPr>
        <w:t xml:space="preserve">the </w:t>
      </w:r>
      <w:r w:rsidRPr="004C18AF">
        <w:rPr>
          <w:iCs/>
        </w:rPr>
        <w:t>Act</w:t>
      </w:r>
      <w:r w:rsidRPr="004C18AF">
        <w:t>, in particular</w:t>
      </w:r>
      <w:r w:rsidRPr="001169AC">
        <w:t xml:space="preserve">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588083A1" w14:textId="61E6335C" w:rsidR="00927539" w:rsidRDefault="007728F9" w:rsidP="00927539">
      <w:pPr>
        <w:pStyle w:val="ListBullet"/>
      </w:pPr>
      <w:r>
        <w:t>Pursuant to paragraph 52E(2)(a) of the Act, t</w:t>
      </w:r>
      <w:r w:rsidR="00927539" w:rsidRPr="004C18AF">
        <w:t>he SPF;</w:t>
      </w:r>
      <w:r w:rsidR="00927539">
        <w:t xml:space="preserve"> </w:t>
      </w:r>
      <w:r w:rsidR="00927539" w:rsidRPr="002577C7">
        <w:t>and</w:t>
      </w:r>
    </w:p>
    <w:p w14:paraId="55469DEA" w14:textId="77777777" w:rsidR="00927539" w:rsidRDefault="00927539" w:rsidP="00927539">
      <w:pPr>
        <w:pStyle w:val="ListBullet"/>
      </w:pPr>
      <w:r>
        <w:t>The Handbook.</w:t>
      </w:r>
    </w:p>
    <w:p w14:paraId="6468F776" w14:textId="77777777" w:rsidR="00927539" w:rsidRDefault="00927539" w:rsidP="00927539">
      <w:pPr>
        <w:pStyle w:val="Heading5"/>
      </w:pPr>
      <w:r w:rsidRPr="00436C41">
        <w:t>Reasons for the final decision (including findings on material questions of fact)</w:t>
      </w:r>
    </w:p>
    <w:p w14:paraId="0D07ADDD" w14:textId="2838F583" w:rsidR="00632410" w:rsidRDefault="00403557" w:rsidP="00403557">
      <w:r>
        <w:t xml:space="preserve">I </w:t>
      </w:r>
      <w:r w:rsidRPr="00403557">
        <w:t xml:space="preserve">have made a final decision to confirm my interim decision to amend the current Poisons Standard with respect to melatonin. My reasons for making the final decision are those set out in the interim decision. </w:t>
      </w:r>
      <w:r w:rsidRPr="00F94034">
        <w:t xml:space="preserve">In making my final decision, I have </w:t>
      </w:r>
      <w:proofErr w:type="gramStart"/>
      <w:r w:rsidRPr="00F94034">
        <w:t>taken into account</w:t>
      </w:r>
      <w:proofErr w:type="gramEnd"/>
      <w:r w:rsidRPr="00F94034">
        <w:t xml:space="preserve"> the material detailed in the interim decision</w:t>
      </w:r>
      <w:r>
        <w:t xml:space="preserve"> and </w:t>
      </w:r>
      <w:r w:rsidRPr="00F94034">
        <w:t>th</w:t>
      </w:r>
      <w:r>
        <w:t>e</w:t>
      </w:r>
      <w:r w:rsidRPr="00F94034">
        <w:t xml:space="preserve"> </w:t>
      </w:r>
      <w:r>
        <w:t>5</w:t>
      </w:r>
      <w:r w:rsidRPr="00F94034">
        <w:t xml:space="preserve"> public submissions </w:t>
      </w:r>
      <w:r>
        <w:t xml:space="preserve">that </w:t>
      </w:r>
      <w:r w:rsidRPr="00F94034">
        <w:t xml:space="preserve">were received in response to the call for further submissions published on </w:t>
      </w:r>
      <w:r w:rsidRPr="00686CD1">
        <w:t>3 February 2023</w:t>
      </w:r>
      <w:r w:rsidRPr="00F94034">
        <w:t xml:space="preserve"> under regulation 42ZCZP of the Regulations.</w:t>
      </w:r>
      <w:r w:rsidRPr="00403557">
        <w:t xml:space="preserve"> </w:t>
      </w:r>
      <w:r w:rsidR="00632410">
        <w:t xml:space="preserve">I note that of the submissions received in response to the interim decision 2 were supportive, 2 were partially supportive, and one was opposed </w:t>
      </w:r>
      <w:r w:rsidR="00784A64">
        <w:t>(</w:t>
      </w:r>
      <w:r w:rsidR="00632410">
        <w:t xml:space="preserve">however, </w:t>
      </w:r>
      <w:r w:rsidR="005053F9">
        <w:t>this submission had no written component</w:t>
      </w:r>
      <w:r w:rsidR="00784A64">
        <w:t>)</w:t>
      </w:r>
      <w:r w:rsidR="005053F9">
        <w:t>.</w:t>
      </w:r>
    </w:p>
    <w:p w14:paraId="1DCF6FA1" w14:textId="645ED2C1" w:rsidR="008540A6" w:rsidRPr="00403557" w:rsidRDefault="005E45CD" w:rsidP="008540A6">
      <w:r>
        <w:t xml:space="preserve">I have made this decision on the basis </w:t>
      </w:r>
      <w:r w:rsidR="008540A6">
        <w:t xml:space="preserve">that </w:t>
      </w:r>
      <w:r w:rsidR="00B7075E">
        <w:t xml:space="preserve">the proposed Schedule 3 </w:t>
      </w:r>
      <w:r w:rsidR="008540A6">
        <w:t xml:space="preserve">entry for </w:t>
      </w:r>
      <w:r w:rsidR="00B7075E">
        <w:t>melatonin immediate-release</w:t>
      </w:r>
      <w:r w:rsidR="008540A6">
        <w:t xml:space="preserve"> preparations</w:t>
      </w:r>
      <w:r w:rsidR="00403557" w:rsidRPr="00403557">
        <w:t xml:space="preserve"> is consistent with the Australian Therapeutic </w:t>
      </w:r>
      <w:proofErr w:type="gramStart"/>
      <w:r w:rsidR="00403557" w:rsidRPr="00403557">
        <w:t>Guidelines</w:t>
      </w:r>
      <w:r w:rsidR="009F5D20">
        <w:t>, and</w:t>
      </w:r>
      <w:proofErr w:type="gramEnd"/>
      <w:r w:rsidR="009F5D20">
        <w:t xml:space="preserve"> note that the 5 mg dose is also consistent with the therapeutic guidelines in the United Kingdom</w:t>
      </w:r>
      <w:r w:rsidR="00403557" w:rsidRPr="00403557">
        <w:t xml:space="preserve">. </w:t>
      </w:r>
    </w:p>
    <w:p w14:paraId="0CF50589" w14:textId="332FF936" w:rsidR="00AC77B8" w:rsidRDefault="008540A6" w:rsidP="008540A6">
      <w:r>
        <w:t xml:space="preserve">I note the two partially supportive submissions suggesting that the proposed melatonin preparations for jet lag could be further </w:t>
      </w:r>
      <w:proofErr w:type="gramStart"/>
      <w:r>
        <w:t>down-scheduled</w:t>
      </w:r>
      <w:proofErr w:type="gramEnd"/>
      <w:r>
        <w:t xml:space="preserve"> to Schedule 2. While I acknowledge that there is minimal toxicity at recommended dosages, </w:t>
      </w:r>
      <w:r w:rsidR="009F5D20">
        <w:t>and that j</w:t>
      </w:r>
      <w:r w:rsidR="009F5D20" w:rsidRPr="00403557">
        <w:t xml:space="preserve">et lag is a condition that can be </w:t>
      </w:r>
      <w:r w:rsidR="009F5D20" w:rsidRPr="00403557">
        <w:lastRenderedPageBreak/>
        <w:t>easily self-diagnosed and managed safely with the advice from a pharmacist</w:t>
      </w:r>
      <w:r w:rsidR="009F5D20">
        <w:t xml:space="preserve">, </w:t>
      </w:r>
      <w:r>
        <w:t xml:space="preserve">availability of </w:t>
      </w:r>
      <w:r w:rsidR="003F6342">
        <w:t xml:space="preserve">these formulations at </w:t>
      </w:r>
      <w:r>
        <w:t>Schedule 3 under pharmacist oversight is needed to prevent use of these melatonin preparations with benzodiazepines</w:t>
      </w:r>
      <w:r w:rsidR="003F6342">
        <w:t>, and to reduce the risk of use for other indications other than jet lag</w:t>
      </w:r>
      <w:r>
        <w:t xml:space="preserve">. </w:t>
      </w:r>
      <w:r w:rsidR="00AC77B8" w:rsidRPr="00403557">
        <w:t xml:space="preserve">Schedule 3 is the appropriate schedule for melatonin to support the quality use of medicines and patient safety, </w:t>
      </w:r>
      <w:proofErr w:type="gramStart"/>
      <w:r w:rsidR="00AC77B8" w:rsidRPr="00403557">
        <w:t>taking into account</w:t>
      </w:r>
      <w:proofErr w:type="gramEnd"/>
      <w:r w:rsidR="00AC77B8">
        <w:t xml:space="preserve"> </w:t>
      </w:r>
      <w:r w:rsidR="00AC77B8" w:rsidRPr="00403557">
        <w:t>the relatively low risk when used for treatment of jet lag in adults.</w:t>
      </w:r>
      <w:r w:rsidR="00AC77B8">
        <w:t xml:space="preserve"> </w:t>
      </w:r>
    </w:p>
    <w:p w14:paraId="68FBE0CC" w14:textId="305F7A81" w:rsidR="008540A6" w:rsidRDefault="008540A6" w:rsidP="008540A6">
      <w:r>
        <w:t xml:space="preserve">I am of the </w:t>
      </w:r>
      <w:r w:rsidR="00AC77B8">
        <w:t xml:space="preserve">view </w:t>
      </w:r>
      <w:r>
        <w:t xml:space="preserve">that, as these preparations will be available to the public for the first time outside of Schedule 4 (Prescription Only Medicines), it is important to allow consumers and pharmacists time to adjust and assess the impact of this scheduling change, and therefore </w:t>
      </w:r>
      <w:r w:rsidR="00AC77B8">
        <w:t xml:space="preserve">my </w:t>
      </w:r>
      <w:r>
        <w:t>final decision is</w:t>
      </w:r>
      <w:r w:rsidR="00AC77B8">
        <w:t xml:space="preserve"> to down-schedule to </w:t>
      </w:r>
      <w:r>
        <w:t>Schedule 3</w:t>
      </w:r>
      <w:r w:rsidR="00AC77B8">
        <w:t>, not Schedule 2</w:t>
      </w:r>
      <w:r>
        <w:t xml:space="preserve">. </w:t>
      </w:r>
      <w:r w:rsidR="003F6342">
        <w:rPr>
          <w:rStyle w:val="normaltextrun"/>
          <w:color w:val="000000"/>
          <w:szCs w:val="22"/>
          <w:shd w:val="clear" w:color="auto" w:fill="FFFFFF"/>
        </w:rPr>
        <w:t>If there is emerging evidence that supports the use of melatonin for a broader range of indications that considers it suitable for inclusion in Schedule 2, such evidence should be presented in a proposal that is the subject of a separate application to amend the Poisons Standard.</w:t>
      </w:r>
    </w:p>
    <w:p w14:paraId="1D238946" w14:textId="77777777" w:rsidR="00927539" w:rsidRDefault="00927539" w:rsidP="00927539">
      <w:pPr>
        <w:pStyle w:val="Heading5"/>
      </w:pPr>
      <w:r>
        <w:t>Implementation date</w:t>
      </w:r>
    </w:p>
    <w:p w14:paraId="77561153" w14:textId="0B2A1657" w:rsidR="00927539" w:rsidRPr="007517C9" w:rsidRDefault="007517C9" w:rsidP="00044C96">
      <w:r w:rsidRPr="007517C9">
        <w:t>1 June 2023</w:t>
      </w:r>
      <w:r w:rsidR="00927539" w:rsidRPr="007517C9">
        <w:t xml:space="preserve"> </w:t>
      </w:r>
    </w:p>
    <w:p w14:paraId="53F62431" w14:textId="1F248322" w:rsidR="00927511" w:rsidRDefault="00927511" w:rsidP="00927511">
      <w:pPr>
        <w:pStyle w:val="Heading2"/>
      </w:pPr>
      <w:bookmarkStart w:id="47" w:name="_Toc190165699"/>
      <w:r>
        <w:t>Final</w:t>
      </w:r>
      <w:r w:rsidRPr="00FA029A">
        <w:t xml:space="preserve"> decisions on proposed amendments referred to the </w:t>
      </w:r>
      <w:r w:rsidRPr="0065237C">
        <w:t xml:space="preserve">Advisory Committee on </w:t>
      </w:r>
      <w:r>
        <w:t xml:space="preserve">Medicines and </w:t>
      </w:r>
      <w:r w:rsidRPr="0065237C">
        <w:t>Chemic</w:t>
      </w:r>
      <w:r>
        <w:t>als Scheduling (ACMS-ACCS #32, November 2022</w:t>
      </w:r>
      <w:r w:rsidRPr="0065237C">
        <w:t>)</w:t>
      </w:r>
      <w:bookmarkEnd w:id="47"/>
    </w:p>
    <w:p w14:paraId="70D6DEEA" w14:textId="1A4FB12B" w:rsidR="00927511" w:rsidRPr="00927511" w:rsidRDefault="00927511" w:rsidP="00927511">
      <w:r>
        <w:rPr>
          <w:shd w:val="clear" w:color="auto" w:fill="FFFFFF"/>
        </w:rPr>
        <w:t>The final decision</w:t>
      </w:r>
      <w:r w:rsidR="00C9556E">
        <w:rPr>
          <w:shd w:val="clear" w:color="auto" w:fill="FFFFFF"/>
        </w:rPr>
        <w:t xml:space="preserve"> on the proposal for a new Schedule 2 entry in the Poisons Standard for </w:t>
      </w:r>
      <w:r>
        <w:rPr>
          <w:shd w:val="clear" w:color="auto" w:fill="FFFFFF"/>
        </w:rPr>
        <w:t xml:space="preserve">green tea extract </w:t>
      </w:r>
      <w:r w:rsidR="00C9556E">
        <w:rPr>
          <w:shd w:val="clear" w:color="auto" w:fill="FFFFFF"/>
        </w:rPr>
        <w:t xml:space="preserve">that was </w:t>
      </w:r>
      <w:r>
        <w:rPr>
          <w:shd w:val="clear" w:color="auto" w:fill="FFFFFF"/>
        </w:rPr>
        <w:t xml:space="preserve">considered at the </w:t>
      </w:r>
      <w:r w:rsidR="00C9556E">
        <w:rPr>
          <w:shd w:val="clear" w:color="auto" w:fill="FFFFFF"/>
        </w:rPr>
        <w:t>November</w:t>
      </w:r>
      <w:r>
        <w:rPr>
          <w:shd w:val="clear" w:color="auto" w:fill="FFFFFF"/>
        </w:rPr>
        <w:t xml:space="preserve"> 2022 meeting of the </w:t>
      </w:r>
      <w:r w:rsidR="00C9556E">
        <w:rPr>
          <w:shd w:val="clear" w:color="auto" w:fill="FFFFFF"/>
        </w:rPr>
        <w:t xml:space="preserve">Joint </w:t>
      </w:r>
      <w:r>
        <w:rPr>
          <w:shd w:val="clear" w:color="auto" w:fill="FFFFFF"/>
        </w:rPr>
        <w:t>Advisory Committee on Medicines</w:t>
      </w:r>
      <w:r w:rsidR="00C9556E">
        <w:rPr>
          <w:shd w:val="clear" w:color="auto" w:fill="FFFFFF"/>
        </w:rPr>
        <w:t xml:space="preserve"> and Chemicals</w:t>
      </w:r>
      <w:r>
        <w:rPr>
          <w:shd w:val="clear" w:color="auto" w:fill="FFFFFF"/>
        </w:rPr>
        <w:t xml:space="preserve"> Scheduling </w:t>
      </w:r>
      <w:r w:rsidR="00C9556E">
        <w:rPr>
          <w:shd w:val="clear" w:color="auto" w:fill="FFFFFF"/>
        </w:rPr>
        <w:t xml:space="preserve">is </w:t>
      </w:r>
      <w:r>
        <w:rPr>
          <w:shd w:val="clear" w:color="auto" w:fill="FFFFFF"/>
        </w:rPr>
        <w:t xml:space="preserve">not published in this notice. </w:t>
      </w:r>
      <w:r>
        <w:t>The decision has been deferred</w:t>
      </w:r>
      <w:r w:rsidRPr="00DA44D5">
        <w:t xml:space="preserve"> </w:t>
      </w:r>
      <w:r>
        <w:t>pending</w:t>
      </w:r>
      <w:r w:rsidRPr="00DA44D5">
        <w:t xml:space="preserve"> </w:t>
      </w:r>
      <w:r w:rsidRPr="00086408">
        <w:t xml:space="preserve">further consultation </w:t>
      </w:r>
      <w:r>
        <w:t>and consideration by the Delegate</w:t>
      </w:r>
      <w:r w:rsidRPr="00086408">
        <w:t>.</w:t>
      </w:r>
    </w:p>
    <w:p w14:paraId="211AB904" w14:textId="286F6158" w:rsidR="00B23D7A" w:rsidRDefault="00B23D7A" w:rsidP="00B23D7A">
      <w:pPr>
        <w:pStyle w:val="Heading2"/>
      </w:pPr>
      <w:bookmarkStart w:id="48" w:name="_Toc190165700"/>
      <w:r>
        <w:t>Final</w:t>
      </w:r>
      <w:r w:rsidRPr="00FA029A">
        <w:t xml:space="preserve"> decisions on proposed amendments referred to the </w:t>
      </w:r>
      <w:r w:rsidRPr="0065237C">
        <w:t>Advisory Committee on Chemic</w:t>
      </w:r>
      <w:r>
        <w:t>als Scheduling (ACCS #</w:t>
      </w:r>
      <w:r w:rsidR="00927539">
        <w:t>35</w:t>
      </w:r>
      <w:r>
        <w:t xml:space="preserve">, </w:t>
      </w:r>
      <w:r w:rsidR="00927539">
        <w:t>November</w:t>
      </w:r>
      <w:r>
        <w:t> 20</w:t>
      </w:r>
      <w:r w:rsidR="00927539">
        <w:t>22</w:t>
      </w:r>
      <w:r w:rsidRPr="0065237C">
        <w:t>)</w:t>
      </w:r>
      <w:bookmarkEnd w:id="48"/>
    </w:p>
    <w:p w14:paraId="2A54C909" w14:textId="0DB272B7" w:rsidR="00A71386" w:rsidRDefault="00A71386" w:rsidP="00A71386">
      <w:pPr>
        <w:pStyle w:val="Heading3"/>
      </w:pPr>
      <w:bookmarkStart w:id="49" w:name="_Toc190165701"/>
      <w:r>
        <w:t xml:space="preserve">Final decision in relation to </w:t>
      </w:r>
      <w:proofErr w:type="spellStart"/>
      <w:r>
        <w:t>ethalfluralin</w:t>
      </w:r>
      <w:bookmarkEnd w:id="49"/>
      <w:proofErr w:type="spellEnd"/>
    </w:p>
    <w:p w14:paraId="11B12036" w14:textId="77777777" w:rsidR="00A71386" w:rsidRDefault="00A71386" w:rsidP="00A71386">
      <w:pPr>
        <w:pStyle w:val="Heading5"/>
      </w:pPr>
      <w:r>
        <w:t>Proposal</w:t>
      </w:r>
    </w:p>
    <w:p w14:paraId="27BFD444" w14:textId="77777777" w:rsidR="00A71386" w:rsidRDefault="00A71386" w:rsidP="00A71386">
      <w:r>
        <w:t xml:space="preserve">The applicant proposed new entries in Schedule 6 and Schedule 7 of the Poisons Standard for </w:t>
      </w:r>
      <w:proofErr w:type="spellStart"/>
      <w:r>
        <w:t>ethalfluralin</w:t>
      </w:r>
      <w:proofErr w:type="spellEnd"/>
      <w:r>
        <w:t xml:space="preserve"> (the </w:t>
      </w:r>
      <w:r w:rsidRPr="00DA6C72">
        <w:rPr>
          <w:b/>
          <w:bCs/>
        </w:rPr>
        <w:t>Proposal</w:t>
      </w:r>
      <w:r>
        <w:t xml:space="preserve">). Specifically, the Proposal includes: </w:t>
      </w:r>
    </w:p>
    <w:p w14:paraId="053EF825" w14:textId="77777777" w:rsidR="00A71386" w:rsidRDefault="00A71386" w:rsidP="00442B8F">
      <w:pPr>
        <w:pStyle w:val="ListParagraph"/>
        <w:numPr>
          <w:ilvl w:val="0"/>
          <w:numId w:val="9"/>
        </w:numPr>
      </w:pPr>
      <w:r>
        <w:t xml:space="preserve">A Schedule 6 entry for preparations containing </w:t>
      </w:r>
      <w:proofErr w:type="spellStart"/>
      <w:r>
        <w:t>ethalfluralin</w:t>
      </w:r>
      <w:proofErr w:type="spellEnd"/>
      <w:r>
        <w:t xml:space="preserve"> that are packed in bulk containers for specific use in closed mixing and loading agricultural equipment with a nominal capacity of 400 L or more; and</w:t>
      </w:r>
    </w:p>
    <w:p w14:paraId="5BC24E56" w14:textId="77777777" w:rsidR="00A71386" w:rsidRDefault="00A71386" w:rsidP="00442B8F">
      <w:pPr>
        <w:pStyle w:val="ListParagraph"/>
        <w:numPr>
          <w:ilvl w:val="0"/>
          <w:numId w:val="9"/>
        </w:numPr>
      </w:pPr>
      <w:r>
        <w:t>A Schedule 7 entry for all other preparations.</w:t>
      </w:r>
    </w:p>
    <w:p w14:paraId="0F8C53BD" w14:textId="77777777" w:rsidR="00A71386" w:rsidRPr="008036B7" w:rsidRDefault="00A71386" w:rsidP="00A71386">
      <w:pPr>
        <w:pStyle w:val="Heading5"/>
      </w:pPr>
      <w:r>
        <w:lastRenderedPageBreak/>
        <w:t xml:space="preserve">Final decision </w:t>
      </w:r>
    </w:p>
    <w:p w14:paraId="36424A76" w14:textId="57768C4D" w:rsidR="007517C9" w:rsidRDefault="00A71386" w:rsidP="00A71386">
      <w:r>
        <w:t xml:space="preserve">Pursuant to regulation 42ZCZR of the Regulations, the Delegate has made a final decision to </w:t>
      </w:r>
      <w:r w:rsidRPr="005D1F55">
        <w:t xml:space="preserve">confirm the interim decision and amend the current Poisons Standard in relation to </w:t>
      </w:r>
      <w:proofErr w:type="spellStart"/>
      <w:r w:rsidR="007517C9" w:rsidRPr="005D1F55">
        <w:t>ethalfluralin</w:t>
      </w:r>
      <w:proofErr w:type="spellEnd"/>
      <w:r w:rsidRPr="005D1F55">
        <w:t xml:space="preserve"> as follows:</w:t>
      </w:r>
      <w:r w:rsidR="007517C9" w:rsidRPr="005D1F55">
        <w:rPr>
          <w:rStyle w:val="FootnoteReference"/>
        </w:rPr>
        <w:footnoteReference w:id="46"/>
      </w:r>
    </w:p>
    <w:p w14:paraId="53CA4DD5" w14:textId="77777777" w:rsidR="007517C9" w:rsidRDefault="007517C9" w:rsidP="007517C9">
      <w:pPr>
        <w:ind w:left="426"/>
        <w:rPr>
          <w:b/>
        </w:rPr>
      </w:pPr>
      <w:r w:rsidRPr="00774DF9">
        <w:rPr>
          <w:b/>
        </w:rPr>
        <w:t xml:space="preserve">Schedule </w:t>
      </w:r>
      <w:r>
        <w:rPr>
          <w:b/>
        </w:rPr>
        <w:t>7</w:t>
      </w:r>
      <w:r w:rsidRPr="00774DF9">
        <w:rPr>
          <w:b/>
        </w:rPr>
        <w:t xml:space="preserve"> </w:t>
      </w:r>
      <w:r>
        <w:rPr>
          <w:b/>
        </w:rPr>
        <w:t>– New entry</w:t>
      </w:r>
    </w:p>
    <w:p w14:paraId="1318B42E" w14:textId="77777777" w:rsidR="007517C9" w:rsidRPr="00516DAB" w:rsidRDefault="007517C9" w:rsidP="007517C9">
      <w:pPr>
        <w:ind w:left="720"/>
        <w:rPr>
          <w:bCs/>
          <w:color w:val="00B050"/>
        </w:rPr>
      </w:pPr>
      <w:r w:rsidRPr="00DA6C72">
        <w:rPr>
          <w:bCs/>
          <w:color w:val="00B050"/>
          <w:u w:val="single"/>
        </w:rPr>
        <w:t>ETHALFLURALIN</w:t>
      </w:r>
      <w:r w:rsidRPr="00516DAB">
        <w:rPr>
          <w:bCs/>
          <w:color w:val="00B050"/>
        </w:rPr>
        <w:t>.</w:t>
      </w:r>
    </w:p>
    <w:p w14:paraId="35C50D59" w14:textId="77777777" w:rsidR="007517C9" w:rsidRDefault="007517C9" w:rsidP="007517C9">
      <w:pPr>
        <w:ind w:left="426"/>
        <w:rPr>
          <w:b/>
        </w:rPr>
      </w:pPr>
      <w:r w:rsidRPr="00774DF9">
        <w:rPr>
          <w:b/>
        </w:rPr>
        <w:t xml:space="preserve">Index </w:t>
      </w:r>
      <w:r>
        <w:rPr>
          <w:b/>
        </w:rPr>
        <w:t xml:space="preserve">– New Entry </w:t>
      </w:r>
    </w:p>
    <w:p w14:paraId="639DD17E" w14:textId="77777777" w:rsidR="007517C9" w:rsidRPr="00DA6C72" w:rsidRDefault="007517C9" w:rsidP="007517C9">
      <w:pPr>
        <w:ind w:left="720"/>
        <w:rPr>
          <w:b/>
          <w:color w:val="00B050"/>
          <w:u w:val="single"/>
        </w:rPr>
      </w:pPr>
      <w:r w:rsidRPr="00DA6C72">
        <w:rPr>
          <w:b/>
          <w:color w:val="00B050"/>
          <w:u w:val="single"/>
        </w:rPr>
        <w:t>ETHALFLURALIN</w:t>
      </w:r>
    </w:p>
    <w:p w14:paraId="15754378" w14:textId="1495162F" w:rsidR="00A71386" w:rsidRPr="007517C9" w:rsidRDefault="007517C9" w:rsidP="007517C9">
      <w:pPr>
        <w:ind w:left="720"/>
        <w:rPr>
          <w:bCs/>
          <w:u w:val="single"/>
        </w:rPr>
      </w:pPr>
      <w:r w:rsidRPr="00DA6C72">
        <w:rPr>
          <w:bCs/>
          <w:color w:val="00B050"/>
          <w:u w:val="single"/>
        </w:rPr>
        <w:t>Schedule 7</w:t>
      </w:r>
      <w:r w:rsidR="00A71386">
        <w:t xml:space="preserve"> </w:t>
      </w:r>
    </w:p>
    <w:p w14:paraId="4EAA02D9" w14:textId="77777777" w:rsidR="00A71386" w:rsidRDefault="00A71386" w:rsidP="00A71386">
      <w:pPr>
        <w:pStyle w:val="Heading5"/>
      </w:pPr>
      <w:r>
        <w:t xml:space="preserve">Materials considered </w:t>
      </w:r>
    </w:p>
    <w:p w14:paraId="6B3C17C5" w14:textId="77777777" w:rsidR="00A71386" w:rsidRDefault="00A71386" w:rsidP="00A71386">
      <w:r>
        <w:t>In making this final decision, the Delegate considered the following material:</w:t>
      </w:r>
    </w:p>
    <w:p w14:paraId="50BC0D9D" w14:textId="77777777" w:rsidR="00A71386" w:rsidRDefault="00A71386" w:rsidP="00A71386">
      <w:pPr>
        <w:pStyle w:val="ListBullet"/>
      </w:pPr>
      <w:r>
        <w:t xml:space="preserve">The </w:t>
      </w:r>
      <w:hyperlink r:id="rId59" w:history="1">
        <w:r w:rsidRPr="00516DAB">
          <w:rPr>
            <w:rStyle w:val="Hyperlink"/>
          </w:rPr>
          <w:t>application</w:t>
        </w:r>
      </w:hyperlink>
      <w:r>
        <w:t xml:space="preserve"> to amend the current Poisons Standard with respect to </w:t>
      </w:r>
      <w:proofErr w:type="spellStart"/>
      <w:r>
        <w:t>ethalfluralin</w:t>
      </w:r>
      <w:proofErr w:type="spellEnd"/>
      <w:r>
        <w:t xml:space="preserve"> (the </w:t>
      </w:r>
      <w:r>
        <w:rPr>
          <w:b/>
          <w:bCs/>
        </w:rPr>
        <w:t>Application</w:t>
      </w:r>
      <w:r>
        <w:t>);</w:t>
      </w:r>
    </w:p>
    <w:p w14:paraId="5963214A" w14:textId="77777777" w:rsidR="00A71386" w:rsidRDefault="00A71386" w:rsidP="00A71386">
      <w:pPr>
        <w:pStyle w:val="ListBullet"/>
      </w:pPr>
      <w:r w:rsidRPr="00A4605B">
        <w:t xml:space="preserve">The </w:t>
      </w:r>
      <w:hyperlink r:id="rId60" w:history="1">
        <w:r w:rsidRPr="00A4605B">
          <w:rPr>
            <w:rStyle w:val="Hyperlink"/>
          </w:rPr>
          <w:t>public submission</w:t>
        </w:r>
      </w:hyperlink>
      <w:r>
        <w:t xml:space="preserve"> received in response to the </w:t>
      </w:r>
      <w:hyperlink r:id="rId61" w:history="1">
        <w:r w:rsidRPr="00516DAB">
          <w:rPr>
            <w:rStyle w:val="Hyperlink"/>
          </w:rPr>
          <w:t>pre-meeting consultation</w:t>
        </w:r>
      </w:hyperlink>
      <w:r>
        <w:t xml:space="preserve"> under regulation 42ZCZK of the Regulations (the </w:t>
      </w:r>
      <w:r w:rsidRPr="00212A35">
        <w:rPr>
          <w:b/>
          <w:bCs/>
        </w:rPr>
        <w:t>Submissions</w:t>
      </w:r>
      <w:r>
        <w:t xml:space="preserve">); </w:t>
      </w:r>
    </w:p>
    <w:p w14:paraId="4B010B3E" w14:textId="77777777" w:rsidR="00A71386" w:rsidRDefault="00A71386" w:rsidP="00A71386">
      <w:pPr>
        <w:pStyle w:val="ListBullet"/>
      </w:pPr>
      <w:r>
        <w:t>The advice received from th</w:t>
      </w:r>
      <w:r w:rsidRPr="00C51001">
        <w:t xml:space="preserve">e </w:t>
      </w:r>
      <w:r>
        <w:t>35</w:t>
      </w:r>
      <w:r w:rsidRPr="0019365C">
        <w:rPr>
          <w:vertAlign w:val="superscript"/>
        </w:rPr>
        <w:t>th</w:t>
      </w:r>
      <w:r>
        <w:t xml:space="preserve"> </w:t>
      </w:r>
      <w:r w:rsidRPr="00C51001">
        <w:t>Meeting of th</w:t>
      </w:r>
      <w:r>
        <w:t xml:space="preserve">e Advisory Committee on Chemicals Scheduling (the </w:t>
      </w:r>
      <w:r w:rsidRPr="00212A35">
        <w:rPr>
          <w:b/>
          <w:bCs/>
        </w:rPr>
        <w:t>Committee</w:t>
      </w:r>
      <w:proofErr w:type="gramStart"/>
      <w:r w:rsidRPr="00C51001">
        <w:t>);</w:t>
      </w:r>
      <w:proofErr w:type="gramEnd"/>
    </w:p>
    <w:p w14:paraId="72D7426A" w14:textId="0DC985A3" w:rsidR="00A71386" w:rsidRDefault="00A71386" w:rsidP="00A71386">
      <w:pPr>
        <w:pStyle w:val="ListBullet"/>
      </w:pPr>
      <w:r>
        <w:t xml:space="preserve">The </w:t>
      </w:r>
      <w:r w:rsidR="005D1F55">
        <w:t>2</w:t>
      </w:r>
      <w:r>
        <w:t xml:space="preserve"> </w:t>
      </w:r>
      <w:hyperlink r:id="rId62" w:history="1">
        <w:r w:rsidRPr="005D1F55">
          <w:rPr>
            <w:rStyle w:val="Hyperlink"/>
          </w:rPr>
          <w:t>public submissions</w:t>
        </w:r>
      </w:hyperlink>
      <w:r>
        <w:t xml:space="preserve"> received in response to the </w:t>
      </w:r>
      <w:hyperlink r:id="rId63" w:history="1">
        <w:r w:rsidRPr="005D1F55">
          <w:rPr>
            <w:rStyle w:val="Hyperlink"/>
          </w:rPr>
          <w:t>interim decision consultation</w:t>
        </w:r>
      </w:hyperlink>
      <w:r>
        <w:t xml:space="preserve"> </w:t>
      </w:r>
      <w:r w:rsidRPr="002C1418">
        <w:t>under regulation 42ZCZP of the Regulations</w:t>
      </w:r>
      <w:r>
        <w:t>;</w:t>
      </w:r>
    </w:p>
    <w:p w14:paraId="3C2A9F41" w14:textId="77777777" w:rsidR="00A71386" w:rsidRDefault="00A71386" w:rsidP="00A71386">
      <w:pPr>
        <w:pStyle w:val="ListBullet"/>
      </w:pPr>
      <w:r w:rsidRPr="001169AC">
        <w:t xml:space="preserve">Subsection 52E(1) of </w:t>
      </w:r>
      <w:r w:rsidRPr="0019365C">
        <w:rPr>
          <w:iCs/>
        </w:rPr>
        <w:t>the Act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4A2C622B" w14:textId="0E7358CB" w:rsidR="00A71386" w:rsidRDefault="007728F9" w:rsidP="00A71386">
      <w:pPr>
        <w:pStyle w:val="ListBullet"/>
      </w:pPr>
      <w:r>
        <w:t>Pursuant to paragraph 52E(2)(a) of the Act, t</w:t>
      </w:r>
      <w:r w:rsidR="00A71386" w:rsidRPr="002C1418">
        <w:t>he</w:t>
      </w:r>
      <w:r w:rsidR="00A71386">
        <w:t xml:space="preserve"> SPF; </w:t>
      </w:r>
      <w:r w:rsidR="00A71386" w:rsidRPr="00A4605B">
        <w:t>and</w:t>
      </w:r>
    </w:p>
    <w:p w14:paraId="23BEF87E" w14:textId="77777777" w:rsidR="00A71386" w:rsidRDefault="00A71386" w:rsidP="00A71386">
      <w:pPr>
        <w:pStyle w:val="ListBullet"/>
      </w:pPr>
      <w:r>
        <w:t>The Handbook.</w:t>
      </w:r>
    </w:p>
    <w:p w14:paraId="4765E845" w14:textId="77777777" w:rsidR="00A71386" w:rsidRDefault="00A71386" w:rsidP="00A71386">
      <w:pPr>
        <w:pStyle w:val="Heading5"/>
      </w:pPr>
      <w:r w:rsidRPr="00436C41">
        <w:t>Reasons for the final decision (including findings on material questions of fact)</w:t>
      </w:r>
    </w:p>
    <w:p w14:paraId="2B8C68B9" w14:textId="42656B22" w:rsidR="00A71386" w:rsidRPr="00686CD1" w:rsidRDefault="00A71386" w:rsidP="00A71386">
      <w:r w:rsidRPr="00686CD1">
        <w:t>I have made a final decision to confirm my interim decision to amend</w:t>
      </w:r>
      <w:r w:rsidR="00F94034" w:rsidRPr="00686CD1">
        <w:t xml:space="preserve"> </w:t>
      </w:r>
      <w:r w:rsidRPr="00686CD1">
        <w:t xml:space="preserve">the current Poisons Standard with respect to </w:t>
      </w:r>
      <w:proofErr w:type="spellStart"/>
      <w:r w:rsidR="00F94034" w:rsidRPr="00686CD1">
        <w:t>ethalfluralin</w:t>
      </w:r>
      <w:proofErr w:type="spellEnd"/>
      <w:r w:rsidRPr="00686CD1">
        <w:t>. My reasons for making the final decision are those set out in the interim decision. In making my final</w:t>
      </w:r>
      <w:r w:rsidR="00F94034" w:rsidRPr="00686CD1">
        <w:t xml:space="preserve"> decision</w:t>
      </w:r>
      <w:r w:rsidRPr="00686CD1">
        <w:t xml:space="preserve"> I have </w:t>
      </w:r>
      <w:proofErr w:type="gramStart"/>
      <w:r w:rsidRPr="00686CD1">
        <w:t>taken into account</w:t>
      </w:r>
      <w:proofErr w:type="gramEnd"/>
      <w:r w:rsidRPr="00686CD1">
        <w:t xml:space="preserve"> the material detailed in the interim decision</w:t>
      </w:r>
      <w:r w:rsidR="00603EDD">
        <w:t xml:space="preserve"> and the </w:t>
      </w:r>
      <w:r w:rsidR="005D1F55" w:rsidRPr="00686CD1">
        <w:t>2</w:t>
      </w:r>
      <w:r w:rsidRPr="00686CD1">
        <w:t xml:space="preserve"> public submissions received before the second closing date in response to the call for further submissions published on </w:t>
      </w:r>
      <w:r w:rsidR="005D1F55" w:rsidRPr="00686CD1">
        <w:t>3</w:t>
      </w:r>
      <w:r w:rsidR="00F94034" w:rsidRPr="00686CD1">
        <w:t xml:space="preserve"> </w:t>
      </w:r>
      <w:r w:rsidR="005D1F55" w:rsidRPr="00686CD1">
        <w:t>February</w:t>
      </w:r>
      <w:r w:rsidR="00F94034" w:rsidRPr="00686CD1">
        <w:t xml:space="preserve"> 2023 </w:t>
      </w:r>
      <w:r w:rsidRPr="00686CD1">
        <w:t>under regulation 42ZCZP of the Regulations.</w:t>
      </w:r>
      <w:r w:rsidR="005D1F55" w:rsidRPr="00686CD1">
        <w:t xml:space="preserve"> One of these submissions was supportive of the interim decision, while the other was opposed </w:t>
      </w:r>
      <w:r w:rsidR="00686CD1">
        <w:t>to the interim decision</w:t>
      </w:r>
      <w:r w:rsidR="00603EDD">
        <w:t>, however, neither submission provided a</w:t>
      </w:r>
      <w:r w:rsidR="00686CD1" w:rsidRPr="00686CD1">
        <w:t xml:space="preserve"> </w:t>
      </w:r>
      <w:r w:rsidR="005D1F55" w:rsidRPr="00686CD1">
        <w:t xml:space="preserve">written </w:t>
      </w:r>
      <w:r w:rsidR="00603EDD">
        <w:t>component to their submission</w:t>
      </w:r>
      <w:r w:rsidR="00686CD1" w:rsidRPr="00686CD1">
        <w:t xml:space="preserve"> </w:t>
      </w:r>
      <w:r w:rsidR="005D1F55" w:rsidRPr="00686CD1">
        <w:t>to support</w:t>
      </w:r>
      <w:r w:rsidR="00686CD1" w:rsidRPr="00686CD1">
        <w:t xml:space="preserve"> their stance.</w:t>
      </w:r>
    </w:p>
    <w:p w14:paraId="292BBFC6" w14:textId="77777777" w:rsidR="00A71386" w:rsidRDefault="00A71386" w:rsidP="00A71386">
      <w:pPr>
        <w:pStyle w:val="Heading5"/>
      </w:pPr>
      <w:r>
        <w:t>Implementation date</w:t>
      </w:r>
    </w:p>
    <w:p w14:paraId="0E68CCC0" w14:textId="07FCAAD2" w:rsidR="00A71386" w:rsidRPr="007517C9" w:rsidRDefault="007517C9" w:rsidP="007728F9">
      <w:r w:rsidRPr="007517C9">
        <w:t>1 June 2023</w:t>
      </w:r>
      <w:r w:rsidR="00A71386" w:rsidRPr="007517C9">
        <w:t xml:space="preserve"> </w:t>
      </w:r>
    </w:p>
    <w:p w14:paraId="01D8307B" w14:textId="16B168BA" w:rsidR="00A71386" w:rsidRDefault="00A71386" w:rsidP="00A71386">
      <w:pPr>
        <w:pStyle w:val="Heading3"/>
      </w:pPr>
      <w:bookmarkStart w:id="50" w:name="_Toc190165702"/>
      <w:r>
        <w:lastRenderedPageBreak/>
        <w:t xml:space="preserve">Final decision in relation to </w:t>
      </w:r>
      <w:proofErr w:type="spellStart"/>
      <w:r>
        <w:t>tigolaner</w:t>
      </w:r>
      <w:bookmarkEnd w:id="50"/>
      <w:proofErr w:type="spellEnd"/>
    </w:p>
    <w:p w14:paraId="5DC882B9" w14:textId="77777777" w:rsidR="00A71386" w:rsidRDefault="00A71386" w:rsidP="00A71386">
      <w:pPr>
        <w:pStyle w:val="Heading5"/>
      </w:pPr>
      <w:r>
        <w:t>Proposal</w:t>
      </w:r>
    </w:p>
    <w:p w14:paraId="65BB7E79" w14:textId="77777777" w:rsidR="00A71386" w:rsidRPr="00D658AA" w:rsidRDefault="00A71386" w:rsidP="00A71386">
      <w:r w:rsidRPr="00035267">
        <w:t xml:space="preserve">The applicant has proposed the creation of two new entries in the Poisons Standard for the new veterinary pest control agent </w:t>
      </w:r>
      <w:proofErr w:type="spellStart"/>
      <w:r w:rsidRPr="00035267">
        <w:t>tigolaner</w:t>
      </w:r>
      <w:proofErr w:type="spellEnd"/>
      <w:r>
        <w:t xml:space="preserve"> (the </w:t>
      </w:r>
      <w:r w:rsidRPr="00DA6C72">
        <w:rPr>
          <w:b/>
          <w:bCs/>
        </w:rPr>
        <w:t>Proposal</w:t>
      </w:r>
      <w:r>
        <w:t>)</w:t>
      </w:r>
      <w:r w:rsidRPr="00035267">
        <w:t xml:space="preserve">. </w:t>
      </w:r>
      <w:r>
        <w:t>The Proposal is specifically comprised of a</w:t>
      </w:r>
      <w:r w:rsidRPr="00035267">
        <w:t xml:space="preserve"> new Schedule 5 entry for preparations containing 10</w:t>
      </w:r>
      <w:r>
        <w:t xml:space="preserve"> per cent </w:t>
      </w:r>
      <w:r w:rsidRPr="00035267">
        <w:t xml:space="preserve">or less of </w:t>
      </w:r>
      <w:proofErr w:type="spellStart"/>
      <w:r w:rsidRPr="00035267">
        <w:t>tigolaner</w:t>
      </w:r>
      <w:proofErr w:type="spellEnd"/>
      <w:r>
        <w:t>, and a</w:t>
      </w:r>
      <w:r w:rsidRPr="00035267">
        <w:t xml:space="preserve"> Schedule 6 entry for all other preparations.</w:t>
      </w:r>
    </w:p>
    <w:p w14:paraId="7E8B8F54" w14:textId="77777777" w:rsidR="00A71386" w:rsidRPr="008036B7" w:rsidRDefault="00A71386" w:rsidP="00A71386">
      <w:pPr>
        <w:pStyle w:val="Heading5"/>
      </w:pPr>
      <w:r>
        <w:t xml:space="preserve">Final decision </w:t>
      </w:r>
    </w:p>
    <w:p w14:paraId="0EA539C2" w14:textId="694B244F" w:rsidR="007517C9" w:rsidRDefault="00A71386" w:rsidP="00A71386">
      <w:r>
        <w:t xml:space="preserve">Pursuant to regulation 42ZCZR of the Regulations, the Delegate has made a final decision to </w:t>
      </w:r>
      <w:r w:rsidRPr="00A312F1">
        <w:t xml:space="preserve">confirm the interim decision and amend the current Poisons Standard in relation to </w:t>
      </w:r>
      <w:proofErr w:type="spellStart"/>
      <w:r w:rsidR="007517C9" w:rsidRPr="00A312F1">
        <w:t>tigolaner</w:t>
      </w:r>
      <w:proofErr w:type="spellEnd"/>
      <w:r w:rsidRPr="00A312F1">
        <w:t xml:space="preserve"> as follows:</w:t>
      </w:r>
      <w:r w:rsidR="007517C9" w:rsidRPr="00A312F1">
        <w:rPr>
          <w:rStyle w:val="FootnoteReference"/>
        </w:rPr>
        <w:footnoteReference w:id="47"/>
      </w:r>
    </w:p>
    <w:p w14:paraId="6CBC7DA4" w14:textId="77777777" w:rsidR="007517C9" w:rsidRPr="007570EC" w:rsidRDefault="007517C9" w:rsidP="007517C9">
      <w:pPr>
        <w:ind w:left="426"/>
        <w:rPr>
          <w:rFonts w:asciiTheme="minorHAnsi" w:hAnsiTheme="minorHAnsi" w:cstheme="minorHAnsi"/>
          <w:b/>
          <w:szCs w:val="22"/>
        </w:rPr>
      </w:pPr>
      <w:r w:rsidRPr="007570EC">
        <w:rPr>
          <w:rFonts w:asciiTheme="minorHAnsi" w:hAnsiTheme="minorHAnsi" w:cstheme="minorHAnsi"/>
          <w:b/>
          <w:szCs w:val="22"/>
        </w:rPr>
        <w:t>Schedule 6 – New Entry</w:t>
      </w:r>
    </w:p>
    <w:p w14:paraId="162CE974" w14:textId="77777777" w:rsidR="007517C9" w:rsidRPr="007570EC" w:rsidRDefault="007517C9" w:rsidP="007517C9">
      <w:pPr>
        <w:ind w:left="426" w:firstLine="294"/>
        <w:rPr>
          <w:rFonts w:asciiTheme="minorHAnsi" w:hAnsiTheme="minorHAnsi" w:cstheme="minorHAnsi"/>
          <w:color w:val="00B050"/>
          <w:szCs w:val="22"/>
          <w:u w:val="single"/>
        </w:rPr>
      </w:pPr>
      <w:r w:rsidRPr="007570EC">
        <w:rPr>
          <w:rFonts w:asciiTheme="minorHAnsi" w:hAnsiTheme="minorHAnsi" w:cstheme="minorHAnsi"/>
          <w:color w:val="00B050"/>
          <w:szCs w:val="22"/>
          <w:u w:val="single"/>
        </w:rPr>
        <w:t xml:space="preserve">TIGOLANER </w:t>
      </w:r>
      <w:r w:rsidRPr="007570EC">
        <w:rPr>
          <w:rFonts w:asciiTheme="minorHAnsi" w:hAnsiTheme="minorHAnsi" w:cstheme="minorHAnsi"/>
          <w:b/>
          <w:bCs/>
          <w:color w:val="00B050"/>
          <w:szCs w:val="22"/>
          <w:u w:val="single"/>
        </w:rPr>
        <w:t>except</w:t>
      </w:r>
      <w:r w:rsidRPr="007570EC">
        <w:rPr>
          <w:rFonts w:asciiTheme="minorHAnsi" w:hAnsiTheme="minorHAnsi" w:cstheme="minorHAnsi"/>
          <w:color w:val="00B050"/>
          <w:szCs w:val="22"/>
          <w:u w:val="single"/>
        </w:rPr>
        <w:t xml:space="preserve"> when in Schedule 5.</w:t>
      </w:r>
    </w:p>
    <w:p w14:paraId="5404B7C5" w14:textId="77777777" w:rsidR="007517C9" w:rsidRPr="007570EC" w:rsidRDefault="007517C9" w:rsidP="007517C9">
      <w:pPr>
        <w:ind w:left="426"/>
        <w:rPr>
          <w:rFonts w:asciiTheme="minorHAnsi" w:hAnsiTheme="minorHAnsi" w:cstheme="minorHAnsi"/>
          <w:b/>
          <w:szCs w:val="22"/>
        </w:rPr>
      </w:pPr>
      <w:r w:rsidRPr="007570EC">
        <w:rPr>
          <w:rFonts w:asciiTheme="minorHAnsi" w:hAnsiTheme="minorHAnsi" w:cstheme="minorHAnsi"/>
          <w:b/>
          <w:szCs w:val="22"/>
        </w:rPr>
        <w:t>Schedule 5 – New Entry</w:t>
      </w:r>
    </w:p>
    <w:p w14:paraId="540AD5FC" w14:textId="77777777" w:rsidR="007517C9" w:rsidRPr="007570EC" w:rsidRDefault="007517C9" w:rsidP="007517C9">
      <w:pPr>
        <w:ind w:left="426" w:firstLine="294"/>
        <w:rPr>
          <w:rFonts w:asciiTheme="minorHAnsi" w:hAnsiTheme="minorHAnsi" w:cstheme="minorHAnsi"/>
          <w:color w:val="00B050"/>
          <w:szCs w:val="22"/>
          <w:u w:val="single"/>
        </w:rPr>
      </w:pPr>
      <w:r w:rsidRPr="007570EC">
        <w:rPr>
          <w:rFonts w:asciiTheme="minorHAnsi" w:hAnsiTheme="minorHAnsi" w:cstheme="minorHAnsi"/>
          <w:color w:val="00B050"/>
          <w:szCs w:val="22"/>
          <w:u w:val="single"/>
        </w:rPr>
        <w:t xml:space="preserve">TIGOLANER in preparations containing 10% or less of </w:t>
      </w:r>
      <w:proofErr w:type="spellStart"/>
      <w:r w:rsidRPr="007570EC">
        <w:rPr>
          <w:rFonts w:asciiTheme="minorHAnsi" w:hAnsiTheme="minorHAnsi" w:cstheme="minorHAnsi"/>
          <w:color w:val="00B050"/>
          <w:szCs w:val="22"/>
          <w:u w:val="single"/>
        </w:rPr>
        <w:t>tigolaner</w:t>
      </w:r>
      <w:proofErr w:type="spellEnd"/>
      <w:r w:rsidRPr="007570EC">
        <w:rPr>
          <w:rFonts w:asciiTheme="minorHAnsi" w:hAnsiTheme="minorHAnsi" w:cstheme="minorHAnsi"/>
          <w:color w:val="00B050"/>
          <w:szCs w:val="22"/>
          <w:u w:val="single"/>
        </w:rPr>
        <w:t>.</w:t>
      </w:r>
    </w:p>
    <w:p w14:paraId="3EC00115" w14:textId="77777777" w:rsidR="007517C9" w:rsidRPr="007570EC" w:rsidRDefault="007517C9" w:rsidP="007517C9">
      <w:pPr>
        <w:ind w:left="426" w:hanging="10"/>
        <w:rPr>
          <w:rFonts w:asciiTheme="minorHAnsi" w:hAnsiTheme="minorHAnsi" w:cstheme="minorHAnsi"/>
          <w:b/>
          <w:szCs w:val="22"/>
        </w:rPr>
      </w:pPr>
      <w:r w:rsidRPr="007570EC">
        <w:rPr>
          <w:rFonts w:asciiTheme="minorHAnsi" w:hAnsiTheme="minorHAnsi" w:cstheme="minorHAnsi"/>
          <w:b/>
          <w:szCs w:val="22"/>
        </w:rPr>
        <w:t>Index – New Entry</w:t>
      </w:r>
    </w:p>
    <w:p w14:paraId="66F668FB" w14:textId="77777777" w:rsidR="007517C9" w:rsidRPr="007570EC" w:rsidRDefault="007517C9" w:rsidP="007517C9">
      <w:pPr>
        <w:ind w:left="426" w:firstLine="294"/>
        <w:rPr>
          <w:rFonts w:asciiTheme="minorHAnsi" w:hAnsiTheme="minorHAnsi" w:cstheme="minorHAnsi"/>
          <w:color w:val="00B050"/>
          <w:szCs w:val="22"/>
          <w:u w:val="single"/>
        </w:rPr>
      </w:pPr>
      <w:r w:rsidRPr="007570EC">
        <w:rPr>
          <w:rFonts w:asciiTheme="minorHAnsi" w:hAnsiTheme="minorHAnsi" w:cstheme="minorHAnsi"/>
          <w:color w:val="00B050"/>
          <w:szCs w:val="22"/>
          <w:u w:val="single"/>
        </w:rPr>
        <w:t>TIGOLANER</w:t>
      </w:r>
    </w:p>
    <w:p w14:paraId="162643AC" w14:textId="77777777" w:rsidR="007517C9" w:rsidRPr="007570EC" w:rsidRDefault="007517C9" w:rsidP="007517C9">
      <w:pPr>
        <w:ind w:left="720"/>
        <w:rPr>
          <w:rFonts w:asciiTheme="minorHAnsi" w:hAnsiTheme="minorHAnsi" w:cstheme="minorHAnsi"/>
          <w:color w:val="00B050"/>
          <w:szCs w:val="22"/>
          <w:u w:val="single"/>
        </w:rPr>
      </w:pPr>
      <w:r w:rsidRPr="007570EC">
        <w:rPr>
          <w:rFonts w:asciiTheme="minorHAnsi" w:hAnsiTheme="minorHAnsi" w:cstheme="minorHAnsi"/>
          <w:color w:val="00B050"/>
          <w:szCs w:val="22"/>
          <w:u w:val="single"/>
        </w:rPr>
        <w:t>Schedule 6</w:t>
      </w:r>
      <w:r w:rsidRPr="007570EC">
        <w:rPr>
          <w:rFonts w:asciiTheme="minorHAnsi" w:hAnsiTheme="minorHAnsi" w:cstheme="minorHAnsi"/>
          <w:color w:val="00B050"/>
          <w:szCs w:val="22"/>
          <w:u w:val="single"/>
        </w:rPr>
        <w:br/>
        <w:t>Schedule 5</w:t>
      </w:r>
    </w:p>
    <w:p w14:paraId="4B068C44" w14:textId="47CBCC2C" w:rsidR="00A71386" w:rsidRPr="00335BEC" w:rsidRDefault="00A71386" w:rsidP="00A71386"/>
    <w:p w14:paraId="553FE531" w14:textId="77777777" w:rsidR="00A71386" w:rsidRDefault="00A71386" w:rsidP="00A71386">
      <w:pPr>
        <w:pStyle w:val="Heading5"/>
      </w:pPr>
      <w:r>
        <w:t xml:space="preserve">Materials considered </w:t>
      </w:r>
    </w:p>
    <w:p w14:paraId="0F487680" w14:textId="77777777" w:rsidR="00A71386" w:rsidRDefault="00A71386" w:rsidP="00A71386">
      <w:r>
        <w:t>In making this final decision, the Delegate considered the following material:</w:t>
      </w:r>
    </w:p>
    <w:p w14:paraId="69F6BCFA" w14:textId="3E86E963" w:rsidR="00A71386" w:rsidRDefault="00A71386" w:rsidP="00A71386">
      <w:pPr>
        <w:pStyle w:val="ListBullet"/>
      </w:pPr>
      <w:r>
        <w:t xml:space="preserve">The </w:t>
      </w:r>
      <w:hyperlink r:id="rId64" w:history="1">
        <w:r w:rsidRPr="00516DAB">
          <w:rPr>
            <w:rStyle w:val="Hyperlink"/>
          </w:rPr>
          <w:t>application</w:t>
        </w:r>
      </w:hyperlink>
      <w:r>
        <w:t xml:space="preserve"> to amend the current Poisons Standard with respect to </w:t>
      </w:r>
      <w:proofErr w:type="spellStart"/>
      <w:r w:rsidR="00603EDD">
        <w:t>tigolaner</w:t>
      </w:r>
      <w:proofErr w:type="spellEnd"/>
      <w:r>
        <w:t xml:space="preserve"> (the </w:t>
      </w:r>
      <w:r>
        <w:rPr>
          <w:b/>
          <w:bCs/>
        </w:rPr>
        <w:t>Application</w:t>
      </w:r>
      <w:r>
        <w:t>);</w:t>
      </w:r>
    </w:p>
    <w:p w14:paraId="39BCB0AA" w14:textId="77777777" w:rsidR="00A71386" w:rsidRDefault="00A71386" w:rsidP="00A71386">
      <w:pPr>
        <w:pStyle w:val="ListBullet"/>
      </w:pPr>
      <w:r w:rsidRPr="00A4605B">
        <w:t xml:space="preserve">The </w:t>
      </w:r>
      <w:hyperlink r:id="rId65" w:history="1">
        <w:r w:rsidRPr="00A4605B">
          <w:rPr>
            <w:rStyle w:val="Hyperlink"/>
          </w:rPr>
          <w:t>public submission</w:t>
        </w:r>
      </w:hyperlink>
      <w:r>
        <w:t xml:space="preserve"> received in response to the </w:t>
      </w:r>
      <w:hyperlink r:id="rId66" w:history="1">
        <w:r w:rsidRPr="00516DAB">
          <w:rPr>
            <w:rStyle w:val="Hyperlink"/>
          </w:rPr>
          <w:t>pre-meeting consultation</w:t>
        </w:r>
      </w:hyperlink>
      <w:r>
        <w:t xml:space="preserve"> under regulation 42ZCZK of the Regulations (the </w:t>
      </w:r>
      <w:r w:rsidRPr="00212A35">
        <w:rPr>
          <w:b/>
          <w:bCs/>
        </w:rPr>
        <w:t>Submissions</w:t>
      </w:r>
      <w:r>
        <w:t xml:space="preserve">); </w:t>
      </w:r>
    </w:p>
    <w:p w14:paraId="16D24E8A" w14:textId="77777777" w:rsidR="00A71386" w:rsidRDefault="00A71386" w:rsidP="00A71386">
      <w:pPr>
        <w:pStyle w:val="ListBullet"/>
      </w:pPr>
      <w:r>
        <w:t>The advice received from th</w:t>
      </w:r>
      <w:r w:rsidRPr="00C51001">
        <w:t xml:space="preserve">e </w:t>
      </w:r>
      <w:r>
        <w:t>35</w:t>
      </w:r>
      <w:r w:rsidRPr="0019365C">
        <w:rPr>
          <w:vertAlign w:val="superscript"/>
        </w:rPr>
        <w:t>th</w:t>
      </w:r>
      <w:r>
        <w:t xml:space="preserve"> </w:t>
      </w:r>
      <w:r w:rsidRPr="00C51001">
        <w:t>Meeting of th</w:t>
      </w:r>
      <w:r>
        <w:t xml:space="preserve">e Advisory Committee on Chemicals Scheduling (the </w:t>
      </w:r>
      <w:r w:rsidRPr="00212A35">
        <w:rPr>
          <w:b/>
          <w:bCs/>
        </w:rPr>
        <w:t>Committee</w:t>
      </w:r>
      <w:proofErr w:type="gramStart"/>
      <w:r w:rsidRPr="00C51001">
        <w:t>);</w:t>
      </w:r>
      <w:proofErr w:type="gramEnd"/>
    </w:p>
    <w:p w14:paraId="1D1BC360" w14:textId="61902005" w:rsidR="00A71386" w:rsidRDefault="00A71386" w:rsidP="00A71386">
      <w:pPr>
        <w:pStyle w:val="ListBullet"/>
      </w:pPr>
      <w:r>
        <w:t xml:space="preserve">The </w:t>
      </w:r>
      <w:hyperlink r:id="rId67" w:history="1">
        <w:r w:rsidRPr="00686CD1">
          <w:rPr>
            <w:rStyle w:val="Hyperlink"/>
          </w:rPr>
          <w:t>public submission</w:t>
        </w:r>
      </w:hyperlink>
      <w:r>
        <w:t xml:space="preserve"> received in response to the </w:t>
      </w:r>
      <w:hyperlink r:id="rId68" w:history="1">
        <w:r w:rsidRPr="00686CD1">
          <w:rPr>
            <w:rStyle w:val="Hyperlink"/>
          </w:rPr>
          <w:t>interim decision consultation</w:t>
        </w:r>
      </w:hyperlink>
      <w:r>
        <w:t xml:space="preserve"> </w:t>
      </w:r>
      <w:r w:rsidRPr="002C1418">
        <w:t>under regulation 42ZCZP of the Regulations</w:t>
      </w:r>
      <w:r>
        <w:t>;</w:t>
      </w:r>
    </w:p>
    <w:p w14:paraId="4D22F90A" w14:textId="0685BF27" w:rsidR="00A71386" w:rsidRDefault="00A71386" w:rsidP="00A71386">
      <w:pPr>
        <w:pStyle w:val="ListBullet"/>
      </w:pPr>
      <w:r w:rsidRPr="001169AC">
        <w:t>Subsection 52</w:t>
      </w:r>
      <w:proofErr w:type="gramStart"/>
      <w:r w:rsidRPr="001169AC">
        <w:t>E(</w:t>
      </w:r>
      <w:proofErr w:type="gramEnd"/>
      <w:r w:rsidRPr="001169AC">
        <w:t xml:space="preserve">1) of </w:t>
      </w:r>
      <w:r w:rsidRPr="0019365C">
        <w:rPr>
          <w:iCs/>
        </w:rPr>
        <w:t>the Act</w:t>
      </w:r>
      <w:r w:rsidRPr="001169AC">
        <w:t xml:space="preserve">, in particular (a) the risks and benefits of the use of a substance; (b) the purposes for which a substance is to be used and the extent of use of a substance; (c) the toxicity of a substance; </w:t>
      </w:r>
      <w:r w:rsidR="00603EDD">
        <w:t xml:space="preserve">and </w:t>
      </w:r>
      <w:r w:rsidRPr="001169AC">
        <w:t>(d) the dosage, formulation, labelling, packaging and presentation of a substance</w:t>
      </w:r>
      <w:r>
        <w:t>;</w:t>
      </w:r>
    </w:p>
    <w:p w14:paraId="51B8D331" w14:textId="43F3D099" w:rsidR="00A71386" w:rsidRDefault="007728F9" w:rsidP="00A71386">
      <w:pPr>
        <w:pStyle w:val="ListBullet"/>
      </w:pPr>
      <w:r>
        <w:t>Pursuant to paragraph 52E(2)(a) of the Act, t</w:t>
      </w:r>
      <w:r w:rsidR="00A71386" w:rsidRPr="002C1418">
        <w:t>he</w:t>
      </w:r>
      <w:r w:rsidR="00A71386">
        <w:t xml:space="preserve"> SPF; </w:t>
      </w:r>
      <w:r w:rsidR="00A71386" w:rsidRPr="00A4605B">
        <w:t>and</w:t>
      </w:r>
    </w:p>
    <w:p w14:paraId="3A8AE17B" w14:textId="77777777" w:rsidR="00A71386" w:rsidRDefault="00A71386" w:rsidP="00A71386">
      <w:pPr>
        <w:pStyle w:val="ListBullet"/>
      </w:pPr>
      <w:r>
        <w:lastRenderedPageBreak/>
        <w:t>The Handbook.</w:t>
      </w:r>
    </w:p>
    <w:p w14:paraId="799A88BC" w14:textId="77777777" w:rsidR="00A71386" w:rsidRDefault="00A71386" w:rsidP="00A71386">
      <w:pPr>
        <w:pStyle w:val="Heading5"/>
      </w:pPr>
      <w:r w:rsidRPr="00436C41">
        <w:t>Reasons for the final decision (including findings on material questions of fact)</w:t>
      </w:r>
    </w:p>
    <w:p w14:paraId="4F7DD799" w14:textId="4696BB7F" w:rsidR="00A71386" w:rsidRPr="00686CD1" w:rsidRDefault="00A71386" w:rsidP="00A312F1">
      <w:r w:rsidRPr="00686CD1">
        <w:t xml:space="preserve">I have made a final decision to confirm my interim decision to amend the current Poisons Standard with respect to </w:t>
      </w:r>
      <w:proofErr w:type="spellStart"/>
      <w:r w:rsidR="00A312F1" w:rsidRPr="00686CD1">
        <w:t>tigolaner</w:t>
      </w:r>
      <w:proofErr w:type="spellEnd"/>
      <w:r w:rsidRPr="00686CD1">
        <w:t xml:space="preserve">. My reasons for making the final decision are those set out in the interim decision. In making my final decision, I have </w:t>
      </w:r>
      <w:proofErr w:type="gramStart"/>
      <w:r w:rsidRPr="00686CD1">
        <w:t>taken into account</w:t>
      </w:r>
      <w:proofErr w:type="gramEnd"/>
      <w:r w:rsidRPr="00686CD1">
        <w:t xml:space="preserve"> the material detailed in the interim decision</w:t>
      </w:r>
      <w:r w:rsidR="00A312F1" w:rsidRPr="00686CD1">
        <w:t xml:space="preserve">. </w:t>
      </w:r>
      <w:r w:rsidRPr="00686CD1">
        <w:t xml:space="preserve">I have noted </w:t>
      </w:r>
      <w:r w:rsidR="00686CD1" w:rsidRPr="00686CD1">
        <w:t>the</w:t>
      </w:r>
      <w:r w:rsidRPr="00686CD1">
        <w:t xml:space="preserve"> </w:t>
      </w:r>
      <w:r w:rsidR="00686CD1">
        <w:t xml:space="preserve">single </w:t>
      </w:r>
      <w:r w:rsidRPr="00686CD1">
        <w:t xml:space="preserve">public submission received before the second closing date in response to the call for further submissions published on </w:t>
      </w:r>
      <w:r w:rsidR="00686CD1" w:rsidRPr="00686CD1">
        <w:t>3</w:t>
      </w:r>
      <w:r w:rsidR="002F6C92" w:rsidRPr="00686CD1">
        <w:t xml:space="preserve"> </w:t>
      </w:r>
      <w:r w:rsidR="00686CD1" w:rsidRPr="00686CD1">
        <w:t>February</w:t>
      </w:r>
      <w:r w:rsidR="002F6C92" w:rsidRPr="00686CD1">
        <w:t xml:space="preserve"> 2023 </w:t>
      </w:r>
      <w:r w:rsidRPr="00686CD1">
        <w:t>under regulation 42ZCZP of the Regulations</w:t>
      </w:r>
      <w:r w:rsidR="00686CD1" w:rsidRPr="00686CD1">
        <w:t xml:space="preserve"> was opposed to the interim decision, but did not include any written reasoning to support their stance.</w:t>
      </w:r>
    </w:p>
    <w:p w14:paraId="29C4F408" w14:textId="77777777" w:rsidR="00A71386" w:rsidRDefault="00A71386" w:rsidP="00A71386">
      <w:pPr>
        <w:pStyle w:val="Heading5"/>
      </w:pPr>
      <w:r>
        <w:t>Implementation date</w:t>
      </w:r>
    </w:p>
    <w:p w14:paraId="640E582A" w14:textId="18D871E8" w:rsidR="00A71386" w:rsidRPr="00A312F1" w:rsidRDefault="00A312F1" w:rsidP="00603EDD">
      <w:r w:rsidRPr="00A312F1">
        <w:t>1 June 2023</w:t>
      </w:r>
    </w:p>
    <w:p w14:paraId="60A73191" w14:textId="2A3862C6" w:rsidR="00E06A1B" w:rsidRPr="00BC2009" w:rsidRDefault="007F682F" w:rsidP="005F3EA0">
      <w:pPr>
        <w:pStyle w:val="Heading2"/>
      </w:pPr>
      <w:bookmarkStart w:id="51" w:name="_Toc190165703"/>
      <w:r>
        <w:t>A</w:t>
      </w:r>
      <w:r w:rsidR="00E06A1B" w:rsidRPr="00B41852">
        <w:t xml:space="preserve">mendments to the Poisons Standard </w:t>
      </w:r>
      <w:r>
        <w:t>made as delegate-only decisions</w:t>
      </w:r>
      <w:bookmarkEnd w:id="51"/>
    </w:p>
    <w:p w14:paraId="6FE7E1B3" w14:textId="5A7EB593" w:rsidR="00E06A1B" w:rsidRDefault="00E06A1B" w:rsidP="00E06A1B">
      <w:pPr>
        <w:pStyle w:val="Heading3"/>
      </w:pPr>
      <w:bookmarkStart w:id="52" w:name="_Toc190165704"/>
      <w:r>
        <w:t xml:space="preserve">Final decision in relation to </w:t>
      </w:r>
      <w:proofErr w:type="spellStart"/>
      <w:r w:rsidR="00A312F1">
        <w:t>spiromesifen</w:t>
      </w:r>
      <w:bookmarkEnd w:id="52"/>
      <w:proofErr w:type="spellEnd"/>
    </w:p>
    <w:p w14:paraId="2DCA8824" w14:textId="77777777" w:rsidR="00E06A1B" w:rsidRPr="00E951D8" w:rsidRDefault="00E06A1B" w:rsidP="00E951D8">
      <w:pPr>
        <w:pStyle w:val="Heading5"/>
      </w:pPr>
      <w:r w:rsidRPr="00E951D8">
        <w:t xml:space="preserve">Final Decision </w:t>
      </w:r>
    </w:p>
    <w:p w14:paraId="4DD58726" w14:textId="172DF8C8" w:rsidR="00E06A1B" w:rsidRDefault="00E06A1B" w:rsidP="00E06A1B">
      <w:r w:rsidRPr="00C546F4">
        <w:t xml:space="preserve">Pursuant to regulation </w:t>
      </w:r>
      <w:r w:rsidR="005F3EA0" w:rsidRPr="005F3EA0">
        <w:t>42ZCZU</w:t>
      </w:r>
      <w:r w:rsidR="005F3EA0" w:rsidRPr="005F3EA0" w:rsidDel="005F3EA0">
        <w:t xml:space="preserve"> </w:t>
      </w:r>
      <w:r w:rsidRPr="00C546F4">
        <w:t xml:space="preserve">of the Regulations, a Delegate of the Secretary has made a final </w:t>
      </w:r>
      <w:r w:rsidRPr="007570EC">
        <w:t xml:space="preserve">decision to amend the current Poisons Standard in relation to </w:t>
      </w:r>
      <w:proofErr w:type="spellStart"/>
      <w:r w:rsidR="00A312F1" w:rsidRPr="007570EC">
        <w:t>spiromesifen</w:t>
      </w:r>
      <w:proofErr w:type="spellEnd"/>
      <w:r w:rsidRPr="007570EC">
        <w:t xml:space="preserve"> as follows:</w:t>
      </w:r>
    </w:p>
    <w:p w14:paraId="461C36A1" w14:textId="416AFC2F" w:rsidR="00A312F1" w:rsidRDefault="00A312F1" w:rsidP="00A312F1">
      <w:pPr>
        <w:ind w:left="426"/>
        <w:rPr>
          <w:b/>
        </w:rPr>
      </w:pPr>
      <w:r w:rsidRPr="00774DF9">
        <w:rPr>
          <w:b/>
        </w:rPr>
        <w:t xml:space="preserve">Schedule </w:t>
      </w:r>
      <w:r>
        <w:rPr>
          <w:b/>
        </w:rPr>
        <w:t>5</w:t>
      </w:r>
      <w:r w:rsidRPr="00774DF9">
        <w:rPr>
          <w:b/>
        </w:rPr>
        <w:t xml:space="preserve"> </w:t>
      </w:r>
      <w:r>
        <w:rPr>
          <w:b/>
        </w:rPr>
        <w:t>– New entry</w:t>
      </w:r>
    </w:p>
    <w:p w14:paraId="4368922F" w14:textId="088F0292" w:rsidR="00A312F1" w:rsidRPr="00516DAB" w:rsidRDefault="00A312F1" w:rsidP="00A312F1">
      <w:pPr>
        <w:ind w:left="720"/>
        <w:rPr>
          <w:bCs/>
          <w:color w:val="00B050"/>
        </w:rPr>
      </w:pPr>
      <w:r>
        <w:rPr>
          <w:bCs/>
          <w:color w:val="00B050"/>
          <w:u w:val="single"/>
        </w:rPr>
        <w:t>SPIROMESIFEN for agricultural use</w:t>
      </w:r>
      <w:r w:rsidRPr="00516DAB">
        <w:rPr>
          <w:bCs/>
          <w:color w:val="00B050"/>
        </w:rPr>
        <w:t>.</w:t>
      </w:r>
    </w:p>
    <w:p w14:paraId="1DBCEACB" w14:textId="77777777" w:rsidR="00A312F1" w:rsidRDefault="00A312F1" w:rsidP="00A312F1">
      <w:pPr>
        <w:ind w:left="426"/>
        <w:rPr>
          <w:b/>
        </w:rPr>
      </w:pPr>
      <w:r w:rsidRPr="00774DF9">
        <w:rPr>
          <w:b/>
        </w:rPr>
        <w:t xml:space="preserve">Index </w:t>
      </w:r>
      <w:r>
        <w:rPr>
          <w:b/>
        </w:rPr>
        <w:t xml:space="preserve">– New Entry </w:t>
      </w:r>
    </w:p>
    <w:p w14:paraId="73883FCA" w14:textId="34A616BC" w:rsidR="00A312F1" w:rsidRPr="00DA6C72" w:rsidRDefault="00A312F1" w:rsidP="00A312F1">
      <w:pPr>
        <w:ind w:left="720"/>
        <w:rPr>
          <w:b/>
          <w:color w:val="00B050"/>
          <w:u w:val="single"/>
        </w:rPr>
      </w:pPr>
      <w:r>
        <w:rPr>
          <w:b/>
          <w:color w:val="00B050"/>
          <w:u w:val="single"/>
        </w:rPr>
        <w:t>SPIROMESIFEN</w:t>
      </w:r>
    </w:p>
    <w:p w14:paraId="59ADCF38" w14:textId="2DB36FA4" w:rsidR="00A312F1" w:rsidRPr="004D4148" w:rsidRDefault="00A312F1" w:rsidP="004D4148">
      <w:pPr>
        <w:ind w:left="720"/>
        <w:rPr>
          <w:bCs/>
          <w:u w:val="single"/>
        </w:rPr>
      </w:pPr>
      <w:r w:rsidRPr="00DA6C72">
        <w:rPr>
          <w:bCs/>
          <w:color w:val="00B050"/>
          <w:u w:val="single"/>
        </w:rPr>
        <w:t xml:space="preserve">Schedule </w:t>
      </w:r>
      <w:r>
        <w:rPr>
          <w:bCs/>
          <w:color w:val="00B050"/>
          <w:u w:val="single"/>
        </w:rPr>
        <w:t>5</w:t>
      </w:r>
      <w:r>
        <w:t xml:space="preserve"> </w:t>
      </w:r>
    </w:p>
    <w:p w14:paraId="13AE8DE1" w14:textId="77777777" w:rsidR="00E06A1B" w:rsidRDefault="00E06A1B" w:rsidP="00E951D8">
      <w:pPr>
        <w:pStyle w:val="Heading5"/>
      </w:pPr>
      <w:r>
        <w:t xml:space="preserve">Materials considered </w:t>
      </w:r>
    </w:p>
    <w:p w14:paraId="42F9A1E1" w14:textId="77777777" w:rsidR="004D4148" w:rsidRDefault="004D4148" w:rsidP="004D4148">
      <w:r>
        <w:t>In making this final decision, the Delegate considered the following material:</w:t>
      </w:r>
    </w:p>
    <w:p w14:paraId="7DC3FB04" w14:textId="477F8567" w:rsidR="004D4148" w:rsidRDefault="004D4148" w:rsidP="004D4148">
      <w:pPr>
        <w:pStyle w:val="ListParagraph"/>
        <w:numPr>
          <w:ilvl w:val="0"/>
          <w:numId w:val="21"/>
        </w:numPr>
        <w:ind w:left="714" w:hanging="357"/>
        <w:contextualSpacing w:val="0"/>
      </w:pPr>
      <w:r>
        <w:t xml:space="preserve">The application to amend the current Poisons Standard with respect to </w:t>
      </w:r>
      <w:proofErr w:type="spellStart"/>
      <w:r>
        <w:t>spiromesifen</w:t>
      </w:r>
      <w:proofErr w:type="spellEnd"/>
      <w:r w:rsidR="007728F9">
        <w:t xml:space="preserve"> (the </w:t>
      </w:r>
      <w:r w:rsidR="007728F9" w:rsidRPr="007728F9">
        <w:rPr>
          <w:b/>
          <w:bCs/>
        </w:rPr>
        <w:t>Application</w:t>
      </w:r>
      <w:proofErr w:type="gramStart"/>
      <w:r w:rsidR="007728F9">
        <w:t>)</w:t>
      </w:r>
      <w:r>
        <w:t>;</w:t>
      </w:r>
      <w:proofErr w:type="gramEnd"/>
    </w:p>
    <w:p w14:paraId="6281D731" w14:textId="5D8F6B99" w:rsidR="004D4148" w:rsidRDefault="004D4148" w:rsidP="004D4148">
      <w:pPr>
        <w:pStyle w:val="ListParagraph"/>
        <w:numPr>
          <w:ilvl w:val="0"/>
          <w:numId w:val="21"/>
        </w:numPr>
        <w:ind w:left="714" w:hanging="357"/>
        <w:contextualSpacing w:val="0"/>
      </w:pPr>
      <w:r>
        <w:t xml:space="preserve">Subsection 52E(1) of the </w:t>
      </w:r>
      <w:r w:rsidRPr="007728F9">
        <w:t>Act</w:t>
      </w:r>
      <w:r>
        <w:t xml:space="preserve">, in particular </w:t>
      </w:r>
      <w:r w:rsidRPr="00061F55">
        <w:t xml:space="preserve">(a) the risks and benefits of the use of a substance; (b) the purposes for which a substance is to be used and the extent of use of a substance; (c) the toxicity of a substance; (d) the dosage, formulation, labelling, packaging and presentation of a substance; </w:t>
      </w:r>
      <w:r>
        <w:t>(e) the potential for abuse of a substance; and (f) any other matters that the Secretary considers necessary to protect public health.</w:t>
      </w:r>
    </w:p>
    <w:p w14:paraId="72ACBFA2" w14:textId="73F15EB3" w:rsidR="007728F9" w:rsidRDefault="007728F9" w:rsidP="007728F9">
      <w:pPr>
        <w:pStyle w:val="ListBullet"/>
        <w:numPr>
          <w:ilvl w:val="0"/>
          <w:numId w:val="21"/>
        </w:numPr>
      </w:pPr>
      <w:r>
        <w:t>Pursuant to paragraph 52E(2)(a) of the Act, t</w:t>
      </w:r>
      <w:r w:rsidRPr="002C1418">
        <w:t>he</w:t>
      </w:r>
      <w:r>
        <w:t xml:space="preserve"> SPF; </w:t>
      </w:r>
      <w:r w:rsidRPr="00A4605B">
        <w:t>and</w:t>
      </w:r>
    </w:p>
    <w:p w14:paraId="294112BC" w14:textId="2B2C8497" w:rsidR="007728F9" w:rsidRDefault="007728F9" w:rsidP="007728F9">
      <w:pPr>
        <w:pStyle w:val="ListBullet"/>
        <w:numPr>
          <w:ilvl w:val="0"/>
          <w:numId w:val="21"/>
        </w:numPr>
      </w:pPr>
      <w:r>
        <w:t>The Handbook.</w:t>
      </w:r>
    </w:p>
    <w:p w14:paraId="580C981C" w14:textId="77777777" w:rsidR="004D4148" w:rsidRDefault="004D4148" w:rsidP="004D4148">
      <w:pPr>
        <w:pStyle w:val="Heading4"/>
        <w:rPr>
          <w:rFonts w:asciiTheme="minorHAnsi" w:hAnsiTheme="minorHAnsi"/>
          <w:i/>
          <w:iCs/>
          <w:sz w:val="22"/>
          <w:szCs w:val="22"/>
        </w:rPr>
      </w:pPr>
      <w:r w:rsidRPr="00061F55">
        <w:rPr>
          <w:rFonts w:asciiTheme="minorHAnsi" w:hAnsiTheme="minorHAnsi"/>
          <w:i/>
          <w:iCs/>
          <w:sz w:val="22"/>
          <w:szCs w:val="22"/>
        </w:rPr>
        <w:lastRenderedPageBreak/>
        <w:t>Reasons for the final decision (including findings on material questions of fact)</w:t>
      </w:r>
    </w:p>
    <w:p w14:paraId="76343DA4" w14:textId="2CA478FF" w:rsidR="004D4148" w:rsidRDefault="004D4148" w:rsidP="004D4148">
      <w:r>
        <w:t xml:space="preserve">In determining that this matter will be a delegate-only decision I have </w:t>
      </w:r>
      <w:proofErr w:type="gramStart"/>
      <w:r>
        <w:t>taken into account</w:t>
      </w:r>
      <w:proofErr w:type="gramEnd"/>
      <w:r>
        <w:t xml:space="preserve"> the information provided in the application from the Applicant</w:t>
      </w:r>
      <w:r w:rsidR="00DA2EDE">
        <w:t xml:space="preserve">, the </w:t>
      </w:r>
      <w:r>
        <w:t>Australian Veterinary and Pesticides Authority</w:t>
      </w:r>
      <w:r w:rsidR="00DA2EDE">
        <w:t xml:space="preserve"> </w:t>
      </w:r>
      <w:r>
        <w:t xml:space="preserve">(APVMA), and the matters outlined under </w:t>
      </w:r>
      <w:r w:rsidR="00DA2EDE">
        <w:t xml:space="preserve">s </w:t>
      </w:r>
      <w:r>
        <w:t xml:space="preserve">52E of the Act and the SPF. </w:t>
      </w:r>
      <w:proofErr w:type="gramStart"/>
      <w:r>
        <w:t>In particular</w:t>
      </w:r>
      <w:r w:rsidR="00DA2EDE">
        <w:t>,</w:t>
      </w:r>
      <w:r>
        <w:t xml:space="preserve"> I</w:t>
      </w:r>
      <w:proofErr w:type="gramEnd"/>
      <w:r>
        <w:t xml:space="preserve"> note:</w:t>
      </w:r>
    </w:p>
    <w:p w14:paraId="4D2DA3C1" w14:textId="3CC2A448" w:rsidR="004D4148" w:rsidRDefault="004D4148" w:rsidP="004D4148">
      <w:pPr>
        <w:pStyle w:val="ListBullet2"/>
        <w:numPr>
          <w:ilvl w:val="1"/>
          <w:numId w:val="22"/>
        </w:numPr>
      </w:pPr>
      <w:r>
        <w:t xml:space="preserve">In relation to </w:t>
      </w:r>
      <w:r w:rsidR="00DA2EDE">
        <w:t xml:space="preserve">s </w:t>
      </w:r>
      <w:r>
        <w:t xml:space="preserve">52E(1)(a) of the Act, the proposed amendment </w:t>
      </w:r>
      <w:r w:rsidR="00DA2EDE">
        <w:t xml:space="preserve">of </w:t>
      </w:r>
      <w:r>
        <w:t xml:space="preserve">the Poisons Standard is to include a new entry for </w:t>
      </w:r>
      <w:proofErr w:type="spellStart"/>
      <w:r>
        <w:t>spiromesifen</w:t>
      </w:r>
      <w:proofErr w:type="spellEnd"/>
      <w:r>
        <w:t xml:space="preserve"> in Schedule 5, based upon benefits to the agricultural industry as a miticide and insecticide.</w:t>
      </w:r>
    </w:p>
    <w:p w14:paraId="6AF00198" w14:textId="09BE0406" w:rsidR="004D4148" w:rsidRDefault="004D4148" w:rsidP="004D4148">
      <w:pPr>
        <w:pStyle w:val="ListBullet2"/>
        <w:numPr>
          <w:ilvl w:val="1"/>
          <w:numId w:val="22"/>
        </w:numPr>
      </w:pPr>
      <w:r>
        <w:t xml:space="preserve">Regarding </w:t>
      </w:r>
      <w:r w:rsidR="00DA2EDE">
        <w:t xml:space="preserve">s </w:t>
      </w:r>
      <w:r>
        <w:t xml:space="preserve">52E(1)(b) of the Act, the intended use of the substance is to control mites, specifically two spotted mites, </w:t>
      </w:r>
      <w:proofErr w:type="spellStart"/>
      <w:r w:rsidR="001970BD">
        <w:t>B</w:t>
      </w:r>
      <w:r>
        <w:t>yrobia</w:t>
      </w:r>
      <w:proofErr w:type="spellEnd"/>
      <w:r>
        <w:t xml:space="preserve"> mite and </w:t>
      </w:r>
      <w:r w:rsidR="001970BD">
        <w:t>E</w:t>
      </w:r>
      <w:r>
        <w:t xml:space="preserve">uropean red mite in pome and stone fruits in a suspension concentrate (SC) formulation. The intended formulation will contain 240 g/L of </w:t>
      </w:r>
      <w:proofErr w:type="spellStart"/>
      <w:r>
        <w:t>spiromesifen</w:t>
      </w:r>
      <w:proofErr w:type="spellEnd"/>
      <w:r>
        <w:t xml:space="preserve"> as the technical grade active constituent (TGAC).</w:t>
      </w:r>
      <w:r w:rsidRPr="00EA4254">
        <w:t xml:space="preserve"> </w:t>
      </w:r>
    </w:p>
    <w:p w14:paraId="147A264C" w14:textId="59AD0975" w:rsidR="004D4148" w:rsidRDefault="004D4148" w:rsidP="004D4148">
      <w:pPr>
        <w:pStyle w:val="ListParagraph"/>
        <w:numPr>
          <w:ilvl w:val="1"/>
          <w:numId w:val="22"/>
        </w:numPr>
      </w:pPr>
      <w:r>
        <w:t xml:space="preserve">In relation to </w:t>
      </w:r>
      <w:r w:rsidR="00DA2EDE">
        <w:t xml:space="preserve">s </w:t>
      </w:r>
      <w:r>
        <w:t xml:space="preserve">52E(1)(c) of the Act, </w:t>
      </w:r>
      <w:r w:rsidRPr="00D052A2">
        <w:t xml:space="preserve">the APVMA provided a Human Health Risk Assessment (HHRA) </w:t>
      </w:r>
      <w:r>
        <w:t xml:space="preserve">for the TGAC and the intended formulation containing </w:t>
      </w:r>
      <w:proofErr w:type="spellStart"/>
      <w:r>
        <w:t>spiromesifen</w:t>
      </w:r>
      <w:proofErr w:type="spellEnd"/>
      <w:r>
        <w:t xml:space="preserve"> at 240 g/L. </w:t>
      </w:r>
      <w:r w:rsidRPr="00D052A2">
        <w:t>The findings from the HHRA</w:t>
      </w:r>
      <w:r w:rsidR="001970BD">
        <w:t xml:space="preserve"> indicat</w:t>
      </w:r>
      <w:r w:rsidRPr="00D052A2">
        <w:t xml:space="preserve">ed that there </w:t>
      </w:r>
      <w:proofErr w:type="gramStart"/>
      <w:r w:rsidRPr="00D052A2">
        <w:t>was</w:t>
      </w:r>
      <w:proofErr w:type="gramEnd"/>
      <w:r w:rsidRPr="00D052A2">
        <w:t xml:space="preserve"> no known </w:t>
      </w:r>
      <w:r w:rsidR="001970BD">
        <w:t xml:space="preserve">exposure </w:t>
      </w:r>
      <w:r w:rsidRPr="00D052A2">
        <w:t>scenario</w:t>
      </w:r>
      <w:r w:rsidR="001970BD">
        <w:t>s</w:t>
      </w:r>
      <w:r w:rsidRPr="00D052A2">
        <w:t xml:space="preserve"> which would result in an unacceptable occupational exposure.</w:t>
      </w:r>
      <w:r>
        <w:t xml:space="preserve"> The APVMA concluded </w:t>
      </w:r>
      <w:r w:rsidRPr="00D052A2">
        <w:t xml:space="preserve">that the risks to human health and safety posed by this substance are acceptable according to the criteria stipulated in Section 5A of the </w:t>
      </w:r>
      <w:r w:rsidRPr="007E3089">
        <w:rPr>
          <w:i/>
          <w:iCs/>
        </w:rPr>
        <w:t xml:space="preserve">Agricultural and Veterinary Chemicals Code Act </w:t>
      </w:r>
      <w:r w:rsidRPr="00D052A2">
        <w:t xml:space="preserve">(1994). </w:t>
      </w:r>
      <w:r w:rsidR="003F1659">
        <w:t>The application for Scheduling consideration did not request or provide information in support of a concentration cut-off for the substance to be unscheduled.</w:t>
      </w:r>
    </w:p>
    <w:p w14:paraId="2D1BF1AD" w14:textId="6CEB507E" w:rsidR="004D4148" w:rsidRDefault="004D4148" w:rsidP="004D4148">
      <w:pPr>
        <w:pStyle w:val="ListBullet2"/>
        <w:numPr>
          <w:ilvl w:val="1"/>
          <w:numId w:val="22"/>
        </w:numPr>
      </w:pPr>
      <w:r>
        <w:t xml:space="preserve">In review of the HHRA, I find that the levels for acute oral, dermal and inhalational toxicity align with the SPF factors for inclusion in Schedule 5. </w:t>
      </w:r>
      <w:proofErr w:type="spellStart"/>
      <w:r>
        <w:t>Spiromesifen</w:t>
      </w:r>
      <w:proofErr w:type="spellEnd"/>
      <w:r>
        <w:t xml:space="preserve"> has low acute oral (LD</w:t>
      </w:r>
      <w:r w:rsidRPr="007F04FA">
        <w:rPr>
          <w:vertAlign w:val="subscript"/>
        </w:rPr>
        <w:t>50</w:t>
      </w:r>
      <w:r>
        <w:t xml:space="preserve"> &gt;2000 mg/kg </w:t>
      </w:r>
      <w:proofErr w:type="spellStart"/>
      <w:r>
        <w:t>bw</w:t>
      </w:r>
      <w:proofErr w:type="spellEnd"/>
      <w:r>
        <w:t>), low acute dermal (LD</w:t>
      </w:r>
      <w:r w:rsidRPr="007F04FA">
        <w:rPr>
          <w:vertAlign w:val="subscript"/>
        </w:rPr>
        <w:t>50</w:t>
      </w:r>
      <w:r>
        <w:t xml:space="preserve"> &gt;2000 mg/kg </w:t>
      </w:r>
      <w:proofErr w:type="spellStart"/>
      <w:r>
        <w:t>bw</w:t>
      </w:r>
      <w:proofErr w:type="spellEnd"/>
      <w:r>
        <w:t>) and low acute inhalational toxicity levels (LC</w:t>
      </w:r>
      <w:r w:rsidRPr="007F04FA">
        <w:rPr>
          <w:vertAlign w:val="subscript"/>
        </w:rPr>
        <w:t>50</w:t>
      </w:r>
      <w:r>
        <w:t xml:space="preserve"> &gt;4.9 mg/L). I note that the acute inhalational toxicity data provided for the</w:t>
      </w:r>
      <w:r w:rsidR="001970BD">
        <w:t xml:space="preserve"> proposed</w:t>
      </w:r>
      <w:r>
        <w:t xml:space="preserve"> SC formulation aligns with the SPF factors for Schedule 6</w:t>
      </w:r>
      <w:r w:rsidR="001970BD">
        <w:t xml:space="preserve"> with and LC</w:t>
      </w:r>
      <w:r w:rsidR="001970BD" w:rsidRPr="00E73238">
        <w:rPr>
          <w:vertAlign w:val="subscript"/>
        </w:rPr>
        <w:t>50</w:t>
      </w:r>
      <w:r w:rsidR="001970BD">
        <w:t xml:space="preserve"> &gt;2500 mg/m</w:t>
      </w:r>
      <w:r w:rsidR="001970BD" w:rsidRPr="00E73238">
        <w:rPr>
          <w:vertAlign w:val="superscript"/>
        </w:rPr>
        <w:t>3</w:t>
      </w:r>
      <w:r w:rsidR="001970BD">
        <w:t>/4h). H</w:t>
      </w:r>
      <w:r>
        <w:t>owever</w:t>
      </w:r>
      <w:r w:rsidR="001970BD">
        <w:t>,</w:t>
      </w:r>
      <w:r>
        <w:t xml:space="preserve"> I am of the mind that </w:t>
      </w:r>
      <w:r w:rsidR="001970BD">
        <w:t xml:space="preserve">an </w:t>
      </w:r>
      <w:r>
        <w:t xml:space="preserve">adequate review of the </w:t>
      </w:r>
      <w:r w:rsidR="002640A7">
        <w:t xml:space="preserve">TGAC and proposed </w:t>
      </w:r>
      <w:r>
        <w:t xml:space="preserve">product has been conducted by the product regulator, and that </w:t>
      </w:r>
      <w:r w:rsidR="001970BD">
        <w:t>the toxicity profile in general is more aligned with Schedule 5.</w:t>
      </w:r>
      <w:r w:rsidR="003F1659">
        <w:t xml:space="preserve"> </w:t>
      </w:r>
    </w:p>
    <w:p w14:paraId="241338F0" w14:textId="77777777" w:rsidR="004D4148" w:rsidRDefault="004D4148" w:rsidP="004D4148">
      <w:pPr>
        <w:pStyle w:val="ListBullet2"/>
        <w:numPr>
          <w:ilvl w:val="1"/>
          <w:numId w:val="22"/>
        </w:numPr>
      </w:pPr>
      <w:proofErr w:type="spellStart"/>
      <w:r>
        <w:t>Spiromesifen</w:t>
      </w:r>
      <w:proofErr w:type="spellEnd"/>
      <w:r>
        <w:t xml:space="preserve"> is not a skin or eye irritant in rabbits, however, the substance demonstrated positive Magnusson and Kligman tests for skin sensitisation in guinea pigs. I also note that the SC formulation did not produce evidence of skin irritation, eye irritation or skin sensitisation. Consequently, I am of the view that the substance meets SPF factor 2 for Schedule 5, and that the risk of skin sensitisation can be mitigated through appropriate packaging and labelling. </w:t>
      </w:r>
    </w:p>
    <w:p w14:paraId="107C26C8" w14:textId="091BC446" w:rsidR="004D4148" w:rsidRDefault="004D4148" w:rsidP="004D4148">
      <w:pPr>
        <w:pStyle w:val="ListBullet2"/>
        <w:numPr>
          <w:ilvl w:val="1"/>
          <w:numId w:val="22"/>
        </w:numPr>
      </w:pPr>
      <w:r>
        <w:t xml:space="preserve">I note that </w:t>
      </w:r>
      <w:proofErr w:type="spellStart"/>
      <w:r>
        <w:t>spiromesifen</w:t>
      </w:r>
      <w:proofErr w:type="spellEnd"/>
      <w:r>
        <w:t xml:space="preserve"> is unlikely to pose a carcinogenic risk to humans as </w:t>
      </w:r>
      <w:r w:rsidR="003F1659">
        <w:t>ch</w:t>
      </w:r>
      <w:r w:rsidR="002640A7">
        <w:t>r</w:t>
      </w:r>
      <w:r w:rsidR="003F1659">
        <w:t xml:space="preserve">onic </w:t>
      </w:r>
      <w:r>
        <w:t xml:space="preserve">repeat dose toxicity studies found no evidence </w:t>
      </w:r>
      <w:r w:rsidR="00DA2EDE">
        <w:t xml:space="preserve">of </w:t>
      </w:r>
      <w:r>
        <w:t xml:space="preserve">carcinogenicity in rats or mice. In reference to reproductive and developmental toxicity in rats and rabbits, </w:t>
      </w:r>
      <w:proofErr w:type="spellStart"/>
      <w:r>
        <w:t>spiromesifen</w:t>
      </w:r>
      <w:proofErr w:type="spellEnd"/>
      <w:r>
        <w:t xml:space="preserve"> did not adversely affect reproduction or offspring survival and development at doses that induced adverse effects in the maternal animal. On this basis, </w:t>
      </w:r>
      <w:proofErr w:type="spellStart"/>
      <w:r>
        <w:t>spiromesifen</w:t>
      </w:r>
      <w:proofErr w:type="spellEnd"/>
      <w:r>
        <w:t xml:space="preserve"> is not</w:t>
      </w:r>
      <w:r w:rsidR="002640A7">
        <w:t xml:space="preserve"> considered</w:t>
      </w:r>
      <w:r>
        <w:t xml:space="preserve"> a reproductive toxicant </w:t>
      </w:r>
      <w:r w:rsidR="002640A7">
        <w:t>or a</w:t>
      </w:r>
      <w:r>
        <w:t xml:space="preserve"> teratogen. In addition, there was no evidence that </w:t>
      </w:r>
      <w:proofErr w:type="spellStart"/>
      <w:r>
        <w:t>spiromesifen</w:t>
      </w:r>
      <w:proofErr w:type="spellEnd"/>
      <w:r>
        <w:t xml:space="preserve"> had effects on neurotoxicity or immunotoxicity. </w:t>
      </w:r>
    </w:p>
    <w:p w14:paraId="05E88719" w14:textId="7DBEFCB7" w:rsidR="004D4148" w:rsidRPr="00993022" w:rsidRDefault="00DA2EDE" w:rsidP="004D4148">
      <w:pPr>
        <w:pStyle w:val="ListParagraph"/>
        <w:numPr>
          <w:ilvl w:val="1"/>
          <w:numId w:val="22"/>
        </w:numPr>
      </w:pPr>
      <w:r>
        <w:t>Pursuant to s</w:t>
      </w:r>
      <w:r w:rsidRPr="00993022">
        <w:t xml:space="preserve"> 52E(1)(</w:t>
      </w:r>
      <w:r>
        <w:t>f</w:t>
      </w:r>
      <w:r w:rsidRPr="00993022">
        <w:t>) of the Act</w:t>
      </w:r>
      <w:r>
        <w:t xml:space="preserve">, </w:t>
      </w:r>
      <w:r w:rsidR="004D4148">
        <w:t>I have considered the statement made by the applicant that t</w:t>
      </w:r>
      <w:r w:rsidR="004D4148" w:rsidRPr="00993022">
        <w:t xml:space="preserve">he toxicological database of </w:t>
      </w:r>
      <w:proofErr w:type="spellStart"/>
      <w:r w:rsidR="004D4148" w:rsidRPr="00993022">
        <w:t>spiromesifen</w:t>
      </w:r>
      <w:proofErr w:type="spellEnd"/>
      <w:r w:rsidR="004D4148" w:rsidRPr="00993022">
        <w:t xml:space="preserve"> has been evaluated by the </w:t>
      </w:r>
      <w:r w:rsidR="004D4148" w:rsidRPr="002A55FD">
        <w:t xml:space="preserve">United States Environmental Protection Agency </w:t>
      </w:r>
      <w:r w:rsidR="004D4148">
        <w:t>(</w:t>
      </w:r>
      <w:r w:rsidR="004D4148" w:rsidRPr="00993022">
        <w:t>US EPA</w:t>
      </w:r>
      <w:r w:rsidR="004D4148">
        <w:t>)</w:t>
      </w:r>
      <w:r w:rsidR="004D4148" w:rsidRPr="00993022">
        <w:t xml:space="preserve">, </w:t>
      </w:r>
      <w:r w:rsidR="004D4148" w:rsidRPr="002A55FD">
        <w:t xml:space="preserve">Joint FAO/WHO Meeting on Pesticide Residues </w:t>
      </w:r>
      <w:r w:rsidR="004D4148">
        <w:t>(</w:t>
      </w:r>
      <w:r w:rsidR="004D4148" w:rsidRPr="00993022">
        <w:t>JMPR</w:t>
      </w:r>
      <w:r w:rsidR="004D4148">
        <w:t>)</w:t>
      </w:r>
      <w:r w:rsidR="004D4148" w:rsidRPr="00993022">
        <w:t xml:space="preserve">, European Food Safety Authority (EFSA) and Health Canada </w:t>
      </w:r>
      <w:r w:rsidR="004D4148" w:rsidRPr="002A55FD">
        <w:t xml:space="preserve">Pest Management Regulatory Agency </w:t>
      </w:r>
      <w:r w:rsidR="004D4148">
        <w:t>(</w:t>
      </w:r>
      <w:r w:rsidR="004D4148" w:rsidRPr="00993022">
        <w:t>PMRA</w:t>
      </w:r>
      <w:r w:rsidR="004D4148">
        <w:t>)</w:t>
      </w:r>
      <w:r w:rsidR="004D4148" w:rsidRPr="00993022">
        <w:t xml:space="preserve">. </w:t>
      </w:r>
      <w:proofErr w:type="gramStart"/>
      <w:r w:rsidR="004D4148" w:rsidRPr="00993022">
        <w:t>Similar to</w:t>
      </w:r>
      <w:proofErr w:type="gramEnd"/>
      <w:r w:rsidR="004D4148" w:rsidRPr="00993022">
        <w:t xml:space="preserve"> </w:t>
      </w:r>
      <w:r>
        <w:t xml:space="preserve">the </w:t>
      </w:r>
      <w:r w:rsidR="004D4148" w:rsidRPr="00993022">
        <w:t xml:space="preserve">APVMA, these international regulatory agencies have considered that </w:t>
      </w:r>
      <w:proofErr w:type="spellStart"/>
      <w:r w:rsidR="004D4148" w:rsidRPr="00993022">
        <w:t>spiromesifen</w:t>
      </w:r>
      <w:proofErr w:type="spellEnd"/>
      <w:r w:rsidR="004D4148" w:rsidRPr="00993022">
        <w:t xml:space="preserve"> containing product</w:t>
      </w:r>
      <w:r>
        <w:t>s</w:t>
      </w:r>
      <w:r w:rsidR="004D4148" w:rsidRPr="00993022">
        <w:t xml:space="preserve"> can be used </w:t>
      </w:r>
      <w:r w:rsidR="004D4148" w:rsidRPr="00993022">
        <w:lastRenderedPageBreak/>
        <w:t>safely in agricultural applications, by adherence to product label instructions.</w:t>
      </w:r>
      <w:r w:rsidR="002640A7">
        <w:t xml:space="preserve"> The APVMA has established an Acceptable Daily Intake (ADI) for </w:t>
      </w:r>
      <w:proofErr w:type="spellStart"/>
      <w:r w:rsidR="002640A7">
        <w:t>spiromesifen</w:t>
      </w:r>
      <w:proofErr w:type="spellEnd"/>
      <w:r w:rsidR="002640A7">
        <w:t xml:space="preserve"> (0.03 mg/kg </w:t>
      </w:r>
      <w:proofErr w:type="spellStart"/>
      <w:r w:rsidR="002640A7">
        <w:t>bw</w:t>
      </w:r>
      <w:proofErr w:type="spellEnd"/>
      <w:r w:rsidR="002640A7">
        <w:t>/d) consistent with the JMPR.</w:t>
      </w:r>
    </w:p>
    <w:p w14:paraId="449385A6" w14:textId="6A01B4AC" w:rsidR="004D4148" w:rsidRDefault="004D4148" w:rsidP="004D4148">
      <w:pPr>
        <w:pStyle w:val="ListBullet2"/>
        <w:numPr>
          <w:ilvl w:val="1"/>
          <w:numId w:val="22"/>
        </w:numPr>
      </w:pPr>
      <w:r>
        <w:t xml:space="preserve">I am satisfied that, for the purposes of </w:t>
      </w:r>
      <w:r w:rsidR="00DA2EDE">
        <w:t xml:space="preserve">s </w:t>
      </w:r>
      <w:r>
        <w:t>52E(1)(d) of the Act, the APVMA, as the product regulator of any commercial products, will consider their dosage (application rate), formulation, labelling, packaging, and presentation.</w:t>
      </w:r>
    </w:p>
    <w:p w14:paraId="6A7B1AA7" w14:textId="5E7D24FE" w:rsidR="004D4148" w:rsidRDefault="004D4148" w:rsidP="004D4148">
      <w:pPr>
        <w:pStyle w:val="ListBullet2"/>
        <w:numPr>
          <w:ilvl w:val="1"/>
          <w:numId w:val="22"/>
        </w:numPr>
      </w:pPr>
      <w:r>
        <w:t xml:space="preserve">In relation to </w:t>
      </w:r>
      <w:r w:rsidR="00DA2EDE">
        <w:t xml:space="preserve">s </w:t>
      </w:r>
      <w:r>
        <w:t xml:space="preserve">52E(1)(e) of the Act, the substance has no human therapeutic value or significant pharmacological effect that would indicate a risk for diversion, misuse, or abuse. </w:t>
      </w:r>
    </w:p>
    <w:p w14:paraId="0FBA6159" w14:textId="7F43FAF1" w:rsidR="004D4148" w:rsidRDefault="004D4148" w:rsidP="004D4148">
      <w:proofErr w:type="gramStart"/>
      <w:r>
        <w:t>On the basis of</w:t>
      </w:r>
      <w:proofErr w:type="gramEnd"/>
      <w:r>
        <w:t xml:space="preserve"> the above considerations and the information provided in the application, I have decided to amend the current Poisons Standard in the manner set out </w:t>
      </w:r>
      <w:r w:rsidR="007C46D0">
        <w:t>in the application</w:t>
      </w:r>
      <w:r>
        <w:t>. The proposed amendment was not referred to an expert advisory committee</w:t>
      </w:r>
      <w:r w:rsidR="002640A7">
        <w:t xml:space="preserve"> for their advice.</w:t>
      </w:r>
    </w:p>
    <w:p w14:paraId="7FF768CC" w14:textId="56E3ADFA" w:rsidR="00E06A1B" w:rsidRDefault="000A3085" w:rsidP="00E951D8">
      <w:pPr>
        <w:pStyle w:val="Heading5"/>
      </w:pPr>
      <w:r>
        <w:t>Implementation d</w:t>
      </w:r>
      <w:r w:rsidR="00E06A1B">
        <w:t xml:space="preserve">ate </w:t>
      </w:r>
    </w:p>
    <w:p w14:paraId="29F50892" w14:textId="387E899D" w:rsidR="00E06A1B" w:rsidRDefault="00A312F1" w:rsidP="00E06A1B">
      <w:pPr>
        <w:rPr>
          <w:b/>
          <w:bCs/>
        </w:rPr>
      </w:pPr>
      <w:r w:rsidRPr="00A312F1">
        <w:rPr>
          <w:b/>
          <w:bCs/>
        </w:rPr>
        <w:t>1 June 2023</w:t>
      </w:r>
    </w:p>
    <w:p w14:paraId="31D3587F" w14:textId="77777777" w:rsidR="004D4148" w:rsidRDefault="004D4148" w:rsidP="004D4148">
      <w:pPr>
        <w:pStyle w:val="Heading2"/>
      </w:pPr>
      <w:bookmarkStart w:id="53" w:name="_Toc127193448"/>
      <w:bookmarkStart w:id="54" w:name="_Toc190165705"/>
      <w:r>
        <w:t>Amendments to the</w:t>
      </w:r>
      <w:r w:rsidRPr="00AD2969">
        <w:t xml:space="preserve"> </w:t>
      </w:r>
      <w:r>
        <w:t>Poison Standard</w:t>
      </w:r>
      <w:r w:rsidRPr="00AD2969">
        <w:t xml:space="preserve"> </w:t>
      </w:r>
      <w:r>
        <w:t>in relation to New Chemical Entities (NCEs)</w:t>
      </w:r>
      <w:bookmarkEnd w:id="53"/>
      <w:bookmarkEnd w:id="54"/>
    </w:p>
    <w:p w14:paraId="13F6D33C" w14:textId="730772D6" w:rsidR="004D4148" w:rsidRDefault="004D4148" w:rsidP="004D4148">
      <w:r>
        <w:t xml:space="preserve">The NCEs listed below will be included in the new Poisons Standard that </w:t>
      </w:r>
      <w:r w:rsidR="007F682F">
        <w:t>will come</w:t>
      </w:r>
      <w:r>
        <w:t xml:space="preserve"> into effect on 1 June 2023.</w:t>
      </w:r>
    </w:p>
    <w:p w14:paraId="1CBF01D9" w14:textId="2C14F93C" w:rsidR="00460ACC" w:rsidRPr="00A044FD" w:rsidRDefault="002469B5" w:rsidP="00460ACC">
      <w:pPr>
        <w:pStyle w:val="Heading3"/>
        <w:rPr>
          <w:rFonts w:asciiTheme="minorHAnsi" w:hAnsiTheme="minorHAnsi"/>
        </w:rPr>
      </w:pPr>
      <w:bookmarkStart w:id="55" w:name="_Toc190165706"/>
      <w:bookmarkStart w:id="56" w:name="_Toc127193449"/>
      <w:r>
        <w:rPr>
          <w:rFonts w:asciiTheme="minorHAnsi" w:hAnsiTheme="minorHAnsi"/>
        </w:rPr>
        <w:t>Andexanet alfa</w:t>
      </w:r>
      <w:bookmarkEnd w:id="55"/>
    </w:p>
    <w:tbl>
      <w:tblPr>
        <w:tblStyle w:val="TableGrid"/>
        <w:tblW w:w="0" w:type="auto"/>
        <w:tblInd w:w="988" w:type="dxa"/>
        <w:tblLook w:val="04A0" w:firstRow="1" w:lastRow="0" w:firstColumn="1" w:lastColumn="0" w:noHBand="0" w:noVBand="1"/>
      </w:tblPr>
      <w:tblGrid>
        <w:gridCol w:w="8072"/>
      </w:tblGrid>
      <w:tr w:rsidR="00460ACC" w:rsidRPr="00A044FD" w14:paraId="018FA7A3" w14:textId="77777777" w:rsidTr="00C04F85">
        <w:tc>
          <w:tcPr>
            <w:tcW w:w="8072" w:type="dxa"/>
          </w:tcPr>
          <w:p w14:paraId="66B691B6" w14:textId="77777777" w:rsidR="00460ACC" w:rsidRPr="00A044FD" w:rsidRDefault="00460ACC" w:rsidP="00C04F85">
            <w:pPr>
              <w:rPr>
                <w:rFonts w:asciiTheme="minorHAnsi" w:hAnsiTheme="minorHAnsi"/>
              </w:rPr>
            </w:pPr>
            <w:r w:rsidRPr="00A044FD">
              <w:rPr>
                <w:rStyle w:val="Strong"/>
                <w:rFonts w:asciiTheme="minorHAnsi" w:hAnsiTheme="minorHAnsi"/>
                <w:color w:val="000000"/>
                <w:szCs w:val="22"/>
              </w:rPr>
              <w:t>Schedule 4 – New Entry</w:t>
            </w:r>
          </w:p>
          <w:p w14:paraId="0500CF95" w14:textId="2D624599" w:rsidR="00460ACC" w:rsidRPr="004B576F" w:rsidRDefault="00C16B17" w:rsidP="00C04F85">
            <w:pPr>
              <w:ind w:left="720"/>
              <w:rPr>
                <w:rFonts w:asciiTheme="minorHAnsi" w:hAnsiTheme="minorHAnsi" w:cs="Calibri Light"/>
                <w:color w:val="00B050"/>
                <w:u w:val="single"/>
                <w:lang w:eastAsia="en-AU"/>
              </w:rPr>
            </w:pPr>
            <w:r w:rsidRPr="00C16B17">
              <w:rPr>
                <w:rFonts w:asciiTheme="minorHAnsi" w:hAnsiTheme="minorHAnsi" w:cs="Calibri Light"/>
                <w:color w:val="00B050"/>
                <w:u w:val="single"/>
                <w:lang w:eastAsia="en-AU"/>
              </w:rPr>
              <w:t>ANDEXANET ALFA</w:t>
            </w:r>
          </w:p>
          <w:p w14:paraId="0B284027" w14:textId="77777777" w:rsidR="00460ACC" w:rsidRPr="00A044FD" w:rsidRDefault="00460ACC" w:rsidP="00C04F85">
            <w:pPr>
              <w:rPr>
                <w:rFonts w:asciiTheme="minorHAnsi" w:hAnsiTheme="minorHAnsi"/>
              </w:rPr>
            </w:pPr>
            <w:r w:rsidRPr="00A044FD">
              <w:rPr>
                <w:rStyle w:val="Strong"/>
                <w:rFonts w:asciiTheme="minorHAnsi" w:hAnsiTheme="minorHAnsi"/>
                <w:color w:val="000000"/>
                <w:szCs w:val="22"/>
              </w:rPr>
              <w:t>Index – New Entry</w:t>
            </w:r>
          </w:p>
          <w:p w14:paraId="0006D634" w14:textId="77777777" w:rsidR="00C16B17" w:rsidRDefault="00C16B17" w:rsidP="00C04F85">
            <w:pPr>
              <w:ind w:left="720"/>
              <w:rPr>
                <w:rFonts w:asciiTheme="minorHAnsi" w:hAnsiTheme="minorHAnsi"/>
                <w:b/>
                <w:bCs/>
                <w:color w:val="00B050"/>
                <w:u w:val="single"/>
              </w:rPr>
            </w:pPr>
            <w:r w:rsidRPr="00C16B17">
              <w:rPr>
                <w:rFonts w:asciiTheme="minorHAnsi" w:hAnsiTheme="minorHAnsi"/>
                <w:b/>
                <w:bCs/>
                <w:color w:val="00B050"/>
                <w:u w:val="single"/>
              </w:rPr>
              <w:t>ANDEXANET ALFA</w:t>
            </w:r>
          </w:p>
          <w:p w14:paraId="6CAE9B7B" w14:textId="11839564" w:rsidR="00460ACC" w:rsidRPr="00A044FD" w:rsidRDefault="00460ACC" w:rsidP="00C04F85">
            <w:pPr>
              <w:ind w:left="720"/>
              <w:rPr>
                <w:rFonts w:asciiTheme="minorHAnsi" w:hAnsiTheme="minorHAnsi"/>
                <w:color w:val="00B050"/>
              </w:rPr>
            </w:pPr>
            <w:r w:rsidRPr="004B576F">
              <w:rPr>
                <w:rFonts w:asciiTheme="minorHAnsi" w:hAnsiTheme="minorHAnsi"/>
                <w:color w:val="00B050"/>
                <w:u w:val="single"/>
              </w:rPr>
              <w:t>Schedule 4</w:t>
            </w:r>
          </w:p>
        </w:tc>
      </w:tr>
    </w:tbl>
    <w:p w14:paraId="7F126921" w14:textId="60BF3438" w:rsidR="004D4148" w:rsidRPr="00A044FD" w:rsidRDefault="004D4148" w:rsidP="004D4148">
      <w:pPr>
        <w:pStyle w:val="Heading3"/>
        <w:rPr>
          <w:rFonts w:asciiTheme="minorHAnsi" w:hAnsiTheme="minorHAnsi"/>
        </w:rPr>
      </w:pPr>
      <w:bookmarkStart w:id="57" w:name="_Toc190165707"/>
      <w:proofErr w:type="spellStart"/>
      <w:r w:rsidRPr="00A044FD">
        <w:rPr>
          <w:rFonts w:asciiTheme="minorHAnsi" w:hAnsiTheme="minorHAnsi" w:cs="Calibri Light"/>
          <w:lang w:eastAsia="en-AU"/>
        </w:rPr>
        <w:t>Avatrombopag</w:t>
      </w:r>
      <w:bookmarkEnd w:id="56"/>
      <w:bookmarkEnd w:id="57"/>
      <w:proofErr w:type="spellEnd"/>
    </w:p>
    <w:tbl>
      <w:tblPr>
        <w:tblStyle w:val="TableGrid"/>
        <w:tblW w:w="0" w:type="auto"/>
        <w:tblInd w:w="988" w:type="dxa"/>
        <w:tblLook w:val="04A0" w:firstRow="1" w:lastRow="0" w:firstColumn="1" w:lastColumn="0" w:noHBand="0" w:noVBand="1"/>
      </w:tblPr>
      <w:tblGrid>
        <w:gridCol w:w="8072"/>
      </w:tblGrid>
      <w:tr w:rsidR="004D4148" w:rsidRPr="00A044FD" w14:paraId="0961AC37" w14:textId="77777777" w:rsidTr="002178A6">
        <w:tc>
          <w:tcPr>
            <w:tcW w:w="8072" w:type="dxa"/>
          </w:tcPr>
          <w:p w14:paraId="00580A02"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Schedule 4 – New Entry</w:t>
            </w:r>
          </w:p>
          <w:p w14:paraId="4C849B4F" w14:textId="77777777" w:rsidR="004D4148" w:rsidRPr="004B576F" w:rsidRDefault="004D4148" w:rsidP="002178A6">
            <w:pPr>
              <w:ind w:left="720"/>
              <w:rPr>
                <w:rFonts w:asciiTheme="minorHAnsi" w:hAnsiTheme="minorHAnsi" w:cs="Calibri Light"/>
                <w:color w:val="00B050"/>
                <w:u w:val="single"/>
                <w:lang w:eastAsia="en-AU"/>
              </w:rPr>
            </w:pPr>
            <w:r w:rsidRPr="004B576F">
              <w:rPr>
                <w:rFonts w:asciiTheme="minorHAnsi" w:hAnsiTheme="minorHAnsi" w:cs="Calibri Light"/>
                <w:color w:val="00B050"/>
                <w:u w:val="single"/>
                <w:lang w:eastAsia="en-AU"/>
              </w:rPr>
              <w:t>AVATROMBOPAG</w:t>
            </w:r>
          </w:p>
          <w:p w14:paraId="16470277"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Index – New Entry</w:t>
            </w:r>
          </w:p>
          <w:p w14:paraId="3D364C26" w14:textId="77777777" w:rsidR="004D4148" w:rsidRPr="004B576F" w:rsidRDefault="004D4148" w:rsidP="002178A6">
            <w:pPr>
              <w:ind w:left="720"/>
              <w:rPr>
                <w:rFonts w:asciiTheme="minorHAnsi" w:hAnsiTheme="minorHAnsi"/>
                <w:b/>
                <w:bCs/>
                <w:color w:val="00B050"/>
                <w:u w:val="single"/>
              </w:rPr>
            </w:pPr>
            <w:r w:rsidRPr="004B576F">
              <w:rPr>
                <w:rFonts w:asciiTheme="minorHAnsi" w:hAnsiTheme="minorHAnsi"/>
                <w:b/>
                <w:bCs/>
                <w:color w:val="00B050"/>
                <w:u w:val="single"/>
              </w:rPr>
              <w:t>AVATROMBOPAG</w:t>
            </w:r>
          </w:p>
          <w:p w14:paraId="67141B21" w14:textId="77777777" w:rsidR="004D4148" w:rsidRPr="00A044FD" w:rsidRDefault="004D4148" w:rsidP="002178A6">
            <w:pPr>
              <w:ind w:left="720"/>
              <w:rPr>
                <w:rFonts w:asciiTheme="minorHAnsi" w:hAnsiTheme="minorHAnsi"/>
                <w:color w:val="00B050"/>
              </w:rPr>
            </w:pPr>
            <w:r w:rsidRPr="004B576F">
              <w:rPr>
                <w:rFonts w:asciiTheme="minorHAnsi" w:hAnsiTheme="minorHAnsi"/>
                <w:color w:val="00B050"/>
                <w:u w:val="single"/>
              </w:rPr>
              <w:t>Schedule 4</w:t>
            </w:r>
          </w:p>
        </w:tc>
      </w:tr>
    </w:tbl>
    <w:p w14:paraId="35D68B22" w14:textId="77777777" w:rsidR="004D4148" w:rsidRPr="00A044FD" w:rsidRDefault="004D4148" w:rsidP="004D4148">
      <w:pPr>
        <w:pStyle w:val="Heading3"/>
        <w:rPr>
          <w:rFonts w:asciiTheme="minorHAnsi" w:hAnsiTheme="minorHAnsi"/>
        </w:rPr>
      </w:pPr>
      <w:bookmarkStart w:id="58" w:name="_Toc127193451"/>
      <w:bookmarkStart w:id="59" w:name="_Toc190165708"/>
      <w:proofErr w:type="spellStart"/>
      <w:r w:rsidRPr="00A044FD">
        <w:rPr>
          <w:rFonts w:asciiTheme="minorHAnsi" w:hAnsiTheme="minorHAnsi" w:cs="Calibri Light"/>
          <w:lang w:eastAsia="en-AU"/>
        </w:rPr>
        <w:lastRenderedPageBreak/>
        <w:t>Difelikefalin</w:t>
      </w:r>
      <w:bookmarkEnd w:id="58"/>
      <w:bookmarkEnd w:id="59"/>
      <w:proofErr w:type="spellEnd"/>
    </w:p>
    <w:tbl>
      <w:tblPr>
        <w:tblStyle w:val="TableGrid"/>
        <w:tblW w:w="0" w:type="auto"/>
        <w:tblInd w:w="988" w:type="dxa"/>
        <w:tblLook w:val="04A0" w:firstRow="1" w:lastRow="0" w:firstColumn="1" w:lastColumn="0" w:noHBand="0" w:noVBand="1"/>
      </w:tblPr>
      <w:tblGrid>
        <w:gridCol w:w="8072"/>
      </w:tblGrid>
      <w:tr w:rsidR="004D4148" w:rsidRPr="00A044FD" w14:paraId="6C5BA62A" w14:textId="77777777" w:rsidTr="002178A6">
        <w:tc>
          <w:tcPr>
            <w:tcW w:w="8072" w:type="dxa"/>
          </w:tcPr>
          <w:p w14:paraId="02A458C5"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Schedule 4 – New Entry</w:t>
            </w:r>
          </w:p>
          <w:p w14:paraId="75EE20A1" w14:textId="77777777" w:rsidR="004D4148" w:rsidRPr="00B73ACB" w:rsidRDefault="004D4148" w:rsidP="002178A6">
            <w:pPr>
              <w:ind w:left="720"/>
              <w:rPr>
                <w:rFonts w:asciiTheme="minorHAnsi" w:hAnsiTheme="minorHAnsi" w:cs="Calibri Light"/>
                <w:color w:val="00B050"/>
                <w:u w:val="single"/>
                <w:lang w:eastAsia="en-AU"/>
              </w:rPr>
            </w:pPr>
            <w:r w:rsidRPr="00B73ACB">
              <w:rPr>
                <w:rFonts w:asciiTheme="minorHAnsi" w:hAnsiTheme="minorHAnsi" w:cs="Calibri Light"/>
                <w:color w:val="00B050"/>
                <w:u w:val="single"/>
                <w:lang w:eastAsia="en-AU"/>
              </w:rPr>
              <w:t>DIFELIKEFALIN</w:t>
            </w:r>
          </w:p>
          <w:p w14:paraId="4B66C0FE" w14:textId="77777777" w:rsidR="004D4148" w:rsidRPr="00A044FD" w:rsidRDefault="004D4148" w:rsidP="002178A6">
            <w:pPr>
              <w:rPr>
                <w:rFonts w:asciiTheme="minorHAnsi" w:hAnsiTheme="minorHAnsi"/>
              </w:rPr>
            </w:pPr>
            <w:r>
              <w:rPr>
                <w:rStyle w:val="Strong"/>
                <w:rFonts w:asciiTheme="minorHAnsi" w:hAnsiTheme="minorHAnsi"/>
                <w:color w:val="000000"/>
                <w:szCs w:val="22"/>
              </w:rPr>
              <w:t>Appendix K</w:t>
            </w:r>
            <w:r w:rsidRPr="00A044FD">
              <w:rPr>
                <w:rStyle w:val="Strong"/>
                <w:rFonts w:asciiTheme="minorHAnsi" w:hAnsiTheme="minorHAnsi"/>
                <w:color w:val="000000"/>
                <w:szCs w:val="22"/>
              </w:rPr>
              <w:t xml:space="preserve"> – New Entry</w:t>
            </w:r>
          </w:p>
          <w:p w14:paraId="4006AE75" w14:textId="77777777" w:rsidR="004D4148" w:rsidRPr="004B576F" w:rsidRDefault="004D4148" w:rsidP="002178A6">
            <w:pPr>
              <w:ind w:left="720"/>
              <w:rPr>
                <w:rFonts w:asciiTheme="minorHAnsi" w:hAnsiTheme="minorHAnsi" w:cs="Calibri Light"/>
                <w:color w:val="00B050"/>
                <w:u w:val="single"/>
                <w:lang w:eastAsia="en-AU"/>
              </w:rPr>
            </w:pPr>
            <w:r w:rsidRPr="004B576F">
              <w:rPr>
                <w:rFonts w:asciiTheme="minorHAnsi" w:hAnsiTheme="minorHAnsi" w:cs="Calibri Light"/>
                <w:color w:val="00B050"/>
                <w:u w:val="single"/>
                <w:lang w:eastAsia="en-AU"/>
              </w:rPr>
              <w:t>DIFELIKEFALIN</w:t>
            </w:r>
          </w:p>
          <w:p w14:paraId="5B5FA4B4"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Index – New Entry</w:t>
            </w:r>
          </w:p>
          <w:p w14:paraId="7F3E844C" w14:textId="77777777" w:rsidR="004D4148" w:rsidRPr="004B576F" w:rsidRDefault="004D4148" w:rsidP="002178A6">
            <w:pPr>
              <w:ind w:left="720"/>
              <w:rPr>
                <w:rFonts w:asciiTheme="minorHAnsi" w:hAnsiTheme="minorHAnsi"/>
                <w:b/>
                <w:bCs/>
                <w:color w:val="00B050"/>
                <w:u w:val="single"/>
              </w:rPr>
            </w:pPr>
            <w:r w:rsidRPr="004B576F">
              <w:rPr>
                <w:rFonts w:asciiTheme="minorHAnsi" w:hAnsiTheme="minorHAnsi"/>
                <w:b/>
                <w:bCs/>
                <w:color w:val="00B050"/>
                <w:u w:val="single"/>
              </w:rPr>
              <w:t>DIFELIKEFALIN</w:t>
            </w:r>
          </w:p>
          <w:p w14:paraId="1C6661EE" w14:textId="77777777" w:rsidR="004D4148" w:rsidRPr="004B576F" w:rsidRDefault="004D4148" w:rsidP="002178A6">
            <w:pPr>
              <w:ind w:left="720"/>
              <w:rPr>
                <w:rFonts w:asciiTheme="minorHAnsi" w:hAnsiTheme="minorHAnsi"/>
                <w:color w:val="00B050"/>
                <w:u w:val="single"/>
              </w:rPr>
            </w:pPr>
            <w:r w:rsidRPr="004B576F">
              <w:rPr>
                <w:rFonts w:asciiTheme="minorHAnsi" w:hAnsiTheme="minorHAnsi"/>
                <w:color w:val="00B050"/>
                <w:u w:val="single"/>
              </w:rPr>
              <w:t>Schedule 4</w:t>
            </w:r>
          </w:p>
          <w:p w14:paraId="1EC7A6ED" w14:textId="26A22D1B" w:rsidR="004D4148" w:rsidRPr="00A044FD" w:rsidRDefault="004D4148" w:rsidP="002178A6">
            <w:pPr>
              <w:ind w:left="720"/>
              <w:rPr>
                <w:rFonts w:asciiTheme="minorHAnsi" w:hAnsiTheme="minorHAnsi"/>
                <w:color w:val="00B050"/>
              </w:rPr>
            </w:pPr>
            <w:r w:rsidRPr="004B576F">
              <w:rPr>
                <w:rFonts w:asciiTheme="minorHAnsi" w:hAnsiTheme="minorHAnsi"/>
                <w:color w:val="00B050"/>
                <w:u w:val="single"/>
              </w:rPr>
              <w:t>Appendix K</w:t>
            </w:r>
            <w:r w:rsidR="00C16B17">
              <w:rPr>
                <w:rFonts w:asciiTheme="minorHAnsi" w:hAnsiTheme="minorHAnsi"/>
                <w:color w:val="00B050"/>
                <w:u w:val="single"/>
              </w:rPr>
              <w:t>, clause 1</w:t>
            </w:r>
          </w:p>
        </w:tc>
      </w:tr>
    </w:tbl>
    <w:p w14:paraId="130291D2" w14:textId="77777777" w:rsidR="004D4148" w:rsidRPr="002C4B38" w:rsidRDefault="004D4148" w:rsidP="004D4148">
      <w:pPr>
        <w:pStyle w:val="Heading3"/>
        <w:ind w:left="578" w:hanging="578"/>
        <w:contextualSpacing/>
        <w:rPr>
          <w:rFonts w:asciiTheme="minorHAnsi" w:hAnsiTheme="minorHAnsi"/>
          <w:szCs w:val="28"/>
        </w:rPr>
      </w:pPr>
      <w:bookmarkStart w:id="60" w:name="_Toc127193452"/>
      <w:bookmarkStart w:id="61" w:name="_Toc190165709"/>
      <w:proofErr w:type="spellStart"/>
      <w:r w:rsidRPr="002C4B38">
        <w:rPr>
          <w:rFonts w:asciiTheme="minorHAnsi" w:hAnsiTheme="minorHAnsi"/>
          <w:szCs w:val="28"/>
          <w:lang w:eastAsia="en-AU"/>
        </w:rPr>
        <w:t>Ivosidenib</w:t>
      </w:r>
      <w:bookmarkEnd w:id="60"/>
      <w:bookmarkEnd w:id="61"/>
      <w:proofErr w:type="spellEnd"/>
    </w:p>
    <w:tbl>
      <w:tblPr>
        <w:tblStyle w:val="TableGrid"/>
        <w:tblW w:w="0" w:type="auto"/>
        <w:tblInd w:w="988" w:type="dxa"/>
        <w:tblLook w:val="04A0" w:firstRow="1" w:lastRow="0" w:firstColumn="1" w:lastColumn="0" w:noHBand="0" w:noVBand="1"/>
      </w:tblPr>
      <w:tblGrid>
        <w:gridCol w:w="8072"/>
      </w:tblGrid>
      <w:tr w:rsidR="004D4148" w:rsidRPr="00A044FD" w14:paraId="243397EC" w14:textId="77777777" w:rsidTr="002178A6">
        <w:tc>
          <w:tcPr>
            <w:tcW w:w="8072" w:type="dxa"/>
          </w:tcPr>
          <w:p w14:paraId="64A0E2CE"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Schedule 4 – New Entry</w:t>
            </w:r>
          </w:p>
          <w:p w14:paraId="0B29D78D" w14:textId="77777777" w:rsidR="004D4148" w:rsidRPr="004B576F" w:rsidRDefault="004D4148" w:rsidP="002178A6">
            <w:pPr>
              <w:ind w:left="720"/>
              <w:rPr>
                <w:rFonts w:asciiTheme="minorHAnsi" w:hAnsiTheme="minorHAnsi"/>
                <w:color w:val="00B050"/>
                <w:szCs w:val="22"/>
                <w:u w:val="single"/>
                <w:lang w:eastAsia="en-AU"/>
              </w:rPr>
            </w:pPr>
            <w:r w:rsidRPr="004B576F">
              <w:rPr>
                <w:rFonts w:asciiTheme="minorHAnsi" w:hAnsiTheme="minorHAnsi"/>
                <w:color w:val="00B050"/>
                <w:szCs w:val="22"/>
                <w:u w:val="single"/>
                <w:lang w:eastAsia="en-AU"/>
              </w:rPr>
              <w:t>IVOSIDENIB</w:t>
            </w:r>
          </w:p>
          <w:p w14:paraId="5F3EE01D" w14:textId="77777777" w:rsidR="004D4148" w:rsidRPr="00A044FD" w:rsidRDefault="004D4148" w:rsidP="002178A6">
            <w:pPr>
              <w:rPr>
                <w:rFonts w:asciiTheme="minorHAnsi" w:hAnsiTheme="minorHAnsi"/>
              </w:rPr>
            </w:pPr>
            <w:r w:rsidRPr="00A044FD">
              <w:rPr>
                <w:rStyle w:val="Strong"/>
                <w:rFonts w:asciiTheme="minorHAnsi" w:hAnsiTheme="minorHAnsi"/>
                <w:color w:val="000000"/>
                <w:szCs w:val="22"/>
              </w:rPr>
              <w:t>Index – New Entry</w:t>
            </w:r>
          </w:p>
          <w:p w14:paraId="0A28929A" w14:textId="77777777" w:rsidR="004D4148" w:rsidRPr="004B576F" w:rsidRDefault="004D4148" w:rsidP="002178A6">
            <w:pPr>
              <w:ind w:left="720"/>
              <w:rPr>
                <w:rFonts w:asciiTheme="minorHAnsi" w:hAnsiTheme="minorHAnsi"/>
                <w:b/>
                <w:bCs/>
                <w:color w:val="00B050"/>
                <w:u w:val="single"/>
              </w:rPr>
            </w:pPr>
            <w:r w:rsidRPr="004B576F">
              <w:rPr>
                <w:rFonts w:asciiTheme="minorHAnsi" w:hAnsiTheme="minorHAnsi"/>
                <w:b/>
                <w:bCs/>
                <w:color w:val="00B050"/>
                <w:u w:val="single"/>
              </w:rPr>
              <w:t>IVOSIDENIB</w:t>
            </w:r>
          </w:p>
          <w:p w14:paraId="518CDE28" w14:textId="77777777" w:rsidR="004D4148" w:rsidRPr="00A044FD" w:rsidRDefault="004D4148" w:rsidP="002178A6">
            <w:pPr>
              <w:ind w:left="720"/>
              <w:rPr>
                <w:rFonts w:asciiTheme="minorHAnsi" w:hAnsiTheme="minorHAnsi"/>
                <w:color w:val="00B050"/>
              </w:rPr>
            </w:pPr>
            <w:r w:rsidRPr="004B576F">
              <w:rPr>
                <w:rFonts w:asciiTheme="minorHAnsi" w:hAnsiTheme="minorHAnsi"/>
                <w:color w:val="00B050"/>
                <w:u w:val="single"/>
              </w:rPr>
              <w:t>Schedule 4</w:t>
            </w:r>
          </w:p>
        </w:tc>
      </w:tr>
    </w:tbl>
    <w:p w14:paraId="6A580815" w14:textId="77777777" w:rsidR="004D4148" w:rsidRPr="002C4B38" w:rsidRDefault="004D4148" w:rsidP="004D4148">
      <w:pPr>
        <w:pStyle w:val="Heading3"/>
        <w:ind w:left="578" w:hanging="578"/>
        <w:contextualSpacing/>
        <w:rPr>
          <w:rFonts w:asciiTheme="minorHAnsi" w:hAnsiTheme="minorHAnsi"/>
        </w:rPr>
      </w:pPr>
      <w:bookmarkStart w:id="62" w:name="_Toc127193453"/>
      <w:bookmarkStart w:id="63" w:name="_Toc190165710"/>
      <w:proofErr w:type="spellStart"/>
      <w:r w:rsidRPr="002C4B38">
        <w:rPr>
          <w:rFonts w:asciiTheme="minorHAnsi" w:hAnsiTheme="minorHAnsi" w:cs="Calibri Light"/>
          <w:lang w:eastAsia="en-AU"/>
        </w:rPr>
        <w:t>Pralsetinib</w:t>
      </w:r>
      <w:bookmarkEnd w:id="62"/>
      <w:bookmarkEnd w:id="63"/>
      <w:proofErr w:type="spellEnd"/>
    </w:p>
    <w:tbl>
      <w:tblPr>
        <w:tblStyle w:val="TableGrid"/>
        <w:tblW w:w="0" w:type="auto"/>
        <w:tblInd w:w="988" w:type="dxa"/>
        <w:tblLook w:val="04A0" w:firstRow="1" w:lastRow="0" w:firstColumn="1" w:lastColumn="0" w:noHBand="0" w:noVBand="1"/>
      </w:tblPr>
      <w:tblGrid>
        <w:gridCol w:w="8072"/>
      </w:tblGrid>
      <w:tr w:rsidR="004D4148" w14:paraId="188A32FB" w14:textId="77777777" w:rsidTr="002178A6">
        <w:tc>
          <w:tcPr>
            <w:tcW w:w="8072" w:type="dxa"/>
          </w:tcPr>
          <w:p w14:paraId="4E3AF52E" w14:textId="77777777" w:rsidR="004D4148" w:rsidRPr="002C4B38" w:rsidRDefault="004D4148" w:rsidP="002178A6">
            <w:pPr>
              <w:rPr>
                <w:rFonts w:asciiTheme="minorHAnsi" w:hAnsiTheme="minorHAnsi"/>
              </w:rPr>
            </w:pPr>
            <w:r w:rsidRPr="002C4B38">
              <w:rPr>
                <w:rStyle w:val="Strong"/>
                <w:rFonts w:asciiTheme="minorHAnsi" w:hAnsiTheme="minorHAnsi"/>
                <w:color w:val="000000"/>
                <w:szCs w:val="22"/>
              </w:rPr>
              <w:t>Schedule 4 – New Entry</w:t>
            </w:r>
          </w:p>
          <w:p w14:paraId="46DCC099" w14:textId="77777777" w:rsidR="004D4148" w:rsidRPr="004B576F" w:rsidRDefault="004D4148" w:rsidP="002178A6">
            <w:pPr>
              <w:ind w:left="720"/>
              <w:rPr>
                <w:rFonts w:asciiTheme="minorHAnsi" w:hAnsiTheme="minorHAnsi" w:cs="Calibri Light"/>
                <w:color w:val="00B050"/>
                <w:u w:val="single"/>
                <w:lang w:eastAsia="en-AU"/>
              </w:rPr>
            </w:pPr>
            <w:r w:rsidRPr="004B576F">
              <w:rPr>
                <w:rFonts w:asciiTheme="minorHAnsi" w:hAnsiTheme="minorHAnsi" w:cs="Calibri Light"/>
                <w:color w:val="00B050"/>
                <w:u w:val="single"/>
                <w:lang w:eastAsia="en-AU"/>
              </w:rPr>
              <w:t>PRALSETINIB</w:t>
            </w:r>
          </w:p>
          <w:p w14:paraId="1DD59416" w14:textId="77777777" w:rsidR="004D4148" w:rsidRPr="002C4B38" w:rsidRDefault="004D4148" w:rsidP="002178A6">
            <w:pPr>
              <w:rPr>
                <w:rFonts w:asciiTheme="minorHAnsi" w:hAnsiTheme="minorHAnsi"/>
              </w:rPr>
            </w:pPr>
            <w:r w:rsidRPr="002C4B38">
              <w:rPr>
                <w:rStyle w:val="Strong"/>
                <w:rFonts w:asciiTheme="minorHAnsi" w:hAnsiTheme="minorHAnsi"/>
                <w:color w:val="000000"/>
                <w:szCs w:val="22"/>
              </w:rPr>
              <w:t>Index – New Entry</w:t>
            </w:r>
          </w:p>
          <w:p w14:paraId="259ED60D" w14:textId="77777777" w:rsidR="004D4148" w:rsidRPr="004B576F" w:rsidRDefault="004D4148" w:rsidP="002178A6">
            <w:pPr>
              <w:ind w:left="720"/>
              <w:rPr>
                <w:rFonts w:asciiTheme="minorHAnsi" w:hAnsiTheme="minorHAnsi"/>
                <w:b/>
                <w:bCs/>
                <w:color w:val="00B050"/>
                <w:u w:val="single"/>
              </w:rPr>
            </w:pPr>
            <w:r w:rsidRPr="004B576F">
              <w:rPr>
                <w:rFonts w:asciiTheme="minorHAnsi" w:hAnsiTheme="minorHAnsi"/>
                <w:b/>
                <w:bCs/>
                <w:color w:val="00B050"/>
                <w:u w:val="single"/>
              </w:rPr>
              <w:t>PRALSETINIB</w:t>
            </w:r>
          </w:p>
          <w:p w14:paraId="59868431" w14:textId="77777777" w:rsidR="004D4148" w:rsidRPr="00013BFF" w:rsidRDefault="004D4148" w:rsidP="002178A6">
            <w:pPr>
              <w:ind w:left="720"/>
              <w:rPr>
                <w:color w:val="00B050"/>
              </w:rPr>
            </w:pPr>
            <w:r w:rsidRPr="004B576F">
              <w:rPr>
                <w:rFonts w:asciiTheme="minorHAnsi" w:hAnsiTheme="minorHAnsi"/>
                <w:color w:val="00B050"/>
                <w:u w:val="single"/>
              </w:rPr>
              <w:t>Schedule 4</w:t>
            </w:r>
          </w:p>
        </w:tc>
      </w:tr>
    </w:tbl>
    <w:p w14:paraId="69720E0B" w14:textId="2EB18C65" w:rsidR="00A43827" w:rsidRDefault="00A43827" w:rsidP="00E06A1B">
      <w:pPr>
        <w:rPr>
          <w:b/>
          <w:bCs/>
        </w:rPr>
      </w:pPr>
    </w:p>
    <w:p w14:paraId="6C63C50C" w14:textId="77777777" w:rsidR="00A43827" w:rsidRDefault="00A43827">
      <w:pPr>
        <w:spacing w:before="0" w:after="0" w:line="240" w:lineRule="auto"/>
        <w:rPr>
          <w:b/>
          <w:bCs/>
        </w:rPr>
      </w:pPr>
      <w:r>
        <w:rPr>
          <w:b/>
          <w:bCs/>
        </w:rPr>
        <w:br w:type="page"/>
      </w:r>
    </w:p>
    <w:p w14:paraId="4A8B4CB4" w14:textId="77777777" w:rsidR="00A43827" w:rsidRDefault="00A43827" w:rsidP="00A43827">
      <w:pPr>
        <w:pStyle w:val="Heading2"/>
        <w:pageBreakBefore/>
      </w:pPr>
      <w:bookmarkStart w:id="64" w:name="_Toc190165711"/>
      <w:r>
        <w:lastRenderedPageBreak/>
        <w:t>Version history</w:t>
      </w:r>
      <w:bookmarkEnd w:id="64"/>
    </w:p>
    <w:tbl>
      <w:tblPr>
        <w:tblStyle w:val="TableGrid"/>
        <w:tblW w:w="0" w:type="auto"/>
        <w:tblLook w:val="04A0" w:firstRow="1" w:lastRow="0" w:firstColumn="1" w:lastColumn="0" w:noHBand="0" w:noVBand="1"/>
      </w:tblPr>
      <w:tblGrid>
        <w:gridCol w:w="1838"/>
        <w:gridCol w:w="1985"/>
        <w:gridCol w:w="5237"/>
      </w:tblGrid>
      <w:tr w:rsidR="00A43827" w14:paraId="3BFBF7B8" w14:textId="77777777" w:rsidTr="004C44FC">
        <w:tc>
          <w:tcPr>
            <w:tcW w:w="1838" w:type="dxa"/>
          </w:tcPr>
          <w:p w14:paraId="5D0A6C3B" w14:textId="77777777" w:rsidR="00A43827" w:rsidRPr="00EC11E8" w:rsidRDefault="00A43827" w:rsidP="004C44FC">
            <w:pPr>
              <w:rPr>
                <w:b/>
                <w:bCs/>
              </w:rPr>
            </w:pPr>
            <w:r w:rsidRPr="00EC11E8">
              <w:rPr>
                <w:b/>
                <w:bCs/>
              </w:rPr>
              <w:t>Version</w:t>
            </w:r>
          </w:p>
        </w:tc>
        <w:tc>
          <w:tcPr>
            <w:tcW w:w="1985" w:type="dxa"/>
          </w:tcPr>
          <w:p w14:paraId="73E70147" w14:textId="77777777" w:rsidR="00A43827" w:rsidRPr="00EC11E8" w:rsidRDefault="00A43827" w:rsidP="004C44FC">
            <w:pPr>
              <w:rPr>
                <w:b/>
                <w:bCs/>
              </w:rPr>
            </w:pPr>
            <w:r w:rsidRPr="00EC11E8">
              <w:rPr>
                <w:b/>
                <w:bCs/>
              </w:rPr>
              <w:t xml:space="preserve">Date </w:t>
            </w:r>
          </w:p>
        </w:tc>
        <w:tc>
          <w:tcPr>
            <w:tcW w:w="5237" w:type="dxa"/>
          </w:tcPr>
          <w:p w14:paraId="0028E593" w14:textId="77777777" w:rsidR="00A43827" w:rsidRPr="00EC11E8" w:rsidRDefault="00A43827" w:rsidP="004C44FC">
            <w:pPr>
              <w:rPr>
                <w:b/>
                <w:bCs/>
              </w:rPr>
            </w:pPr>
            <w:r w:rsidRPr="00EC11E8">
              <w:rPr>
                <w:b/>
                <w:bCs/>
              </w:rPr>
              <w:t>Description of changes</w:t>
            </w:r>
          </w:p>
        </w:tc>
      </w:tr>
      <w:tr w:rsidR="00A43827" w14:paraId="459BBFB3" w14:textId="77777777" w:rsidTr="004C44FC">
        <w:tc>
          <w:tcPr>
            <w:tcW w:w="1838" w:type="dxa"/>
          </w:tcPr>
          <w:p w14:paraId="4C5B13FA" w14:textId="77777777" w:rsidR="00A43827" w:rsidRDefault="00A43827" w:rsidP="004C44FC">
            <w:r>
              <w:t>1.0</w:t>
            </w:r>
          </w:p>
        </w:tc>
        <w:tc>
          <w:tcPr>
            <w:tcW w:w="1985" w:type="dxa"/>
          </w:tcPr>
          <w:p w14:paraId="5D1A46A5" w14:textId="22A93342" w:rsidR="00A43827" w:rsidRDefault="00A43827" w:rsidP="004C44FC">
            <w:r>
              <w:t>3 May 2023</w:t>
            </w:r>
          </w:p>
        </w:tc>
        <w:tc>
          <w:tcPr>
            <w:tcW w:w="5237" w:type="dxa"/>
          </w:tcPr>
          <w:p w14:paraId="54150633" w14:textId="77777777" w:rsidR="00A43827" w:rsidRDefault="00A43827" w:rsidP="004C44FC">
            <w:r>
              <w:t>Original document</w:t>
            </w:r>
          </w:p>
        </w:tc>
      </w:tr>
      <w:tr w:rsidR="00A43827" w14:paraId="4F9EFDB8" w14:textId="77777777" w:rsidTr="004C44FC">
        <w:tc>
          <w:tcPr>
            <w:tcW w:w="1838" w:type="dxa"/>
          </w:tcPr>
          <w:p w14:paraId="03160275" w14:textId="77777777" w:rsidR="00A43827" w:rsidRDefault="00A43827" w:rsidP="004C44FC">
            <w:r>
              <w:t>2.0</w:t>
            </w:r>
          </w:p>
        </w:tc>
        <w:tc>
          <w:tcPr>
            <w:tcW w:w="1985" w:type="dxa"/>
          </w:tcPr>
          <w:p w14:paraId="7E690077" w14:textId="7A5018A6" w:rsidR="00A43827" w:rsidRDefault="00A43827" w:rsidP="004C44FC">
            <w:r>
              <w:t>11 February 2025</w:t>
            </w:r>
          </w:p>
        </w:tc>
        <w:tc>
          <w:tcPr>
            <w:tcW w:w="5237" w:type="dxa"/>
          </w:tcPr>
          <w:p w14:paraId="64473BB0" w14:textId="1B266ABE" w:rsidR="00A43827" w:rsidRDefault="00A43827" w:rsidP="00A43827">
            <w:r>
              <w:t>On p. 7, t</w:t>
            </w:r>
            <w:r w:rsidRPr="00A43827">
              <w:t>he amendments to the Schedule 2 entry for paracetamol incorrectly showed under clause g) iii) (A) the retention of the existing wording ‘or in a container with a child-resistant closure’. However, as reflected in the reasons, the decision is that these words are to be removed, to require tablet and capsule preparations on general sale to be in blister packaging.</w:t>
            </w:r>
            <w:r>
              <w:t xml:space="preserve"> The paracetamol </w:t>
            </w:r>
            <w:r w:rsidRPr="00A43827">
              <w:t>Schedule 2</w:t>
            </w:r>
            <w:r>
              <w:t xml:space="preserve"> entry, </w:t>
            </w:r>
            <w:r w:rsidRPr="00A43827">
              <w:t>clause g) iii) (A)</w:t>
            </w:r>
            <w:r>
              <w:t xml:space="preserve"> has been corrected </w:t>
            </w:r>
            <w:r w:rsidR="00CC0649">
              <w:t>a</w:t>
            </w:r>
            <w:r>
              <w:t>s:</w:t>
            </w:r>
          </w:p>
          <w:p w14:paraId="1D43DDC1" w14:textId="4F1544B3" w:rsidR="00A43827" w:rsidRPr="00CC0649" w:rsidRDefault="00A43827" w:rsidP="00A43827">
            <w:r>
              <w:t>‘</w:t>
            </w:r>
            <w:proofErr w:type="gramStart"/>
            <w:r w:rsidRPr="00694553">
              <w:t>packed</w:t>
            </w:r>
            <w:proofErr w:type="gramEnd"/>
            <w:r w:rsidRPr="00694553">
              <w:t xml:space="preserve"> in blister or strip packaging</w:t>
            </w:r>
            <w:r>
              <w:t xml:space="preserve"> </w:t>
            </w:r>
            <w:r w:rsidRPr="00E2288B">
              <w:rPr>
                <w:strike/>
                <w:color w:val="FF0000"/>
              </w:rPr>
              <w:t>or in a container with a child-resistant closure</w:t>
            </w:r>
            <w:r w:rsidRPr="00A43827">
              <w:t>'</w:t>
            </w:r>
          </w:p>
        </w:tc>
      </w:tr>
    </w:tbl>
    <w:p w14:paraId="6F807912" w14:textId="77777777" w:rsidR="004D4148" w:rsidRPr="00A312F1" w:rsidRDefault="004D4148" w:rsidP="00A43827">
      <w:pPr>
        <w:rPr>
          <w:b/>
          <w:bCs/>
        </w:rPr>
      </w:pPr>
    </w:p>
    <w:sectPr w:rsidR="004D4148" w:rsidRPr="00A312F1" w:rsidSect="003A48A2">
      <w:headerReference w:type="default" r:id="rId69"/>
      <w:footerReference w:type="default" r:id="rId70"/>
      <w:headerReference w:type="first" r:id="rId71"/>
      <w:footerReference w:type="first" r:id="rId72"/>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E44C" w14:textId="77777777" w:rsidR="006F0546" w:rsidRDefault="006F0546" w:rsidP="00C40A36">
      <w:pPr>
        <w:spacing w:after="0"/>
      </w:pPr>
      <w:r>
        <w:separator/>
      </w:r>
    </w:p>
  </w:endnote>
  <w:endnote w:type="continuationSeparator" w:id="0">
    <w:p w14:paraId="2A50AB64" w14:textId="77777777" w:rsidR="006F0546" w:rsidRDefault="006F054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uardianTextEgypGR-Regular">
    <w:altName w:val="Calibri"/>
    <w:panose1 w:val="00000000000000000000"/>
    <w:charset w:val="A1"/>
    <w:family w:val="auto"/>
    <w:notTrueType/>
    <w:pitch w:val="default"/>
    <w:sig w:usb0="00000081" w:usb1="00000000" w:usb2="00000000" w:usb3="00000000" w:csb0="00000008" w:csb1="00000000"/>
  </w:font>
  <w:font w:name="GuardianSansGR-Regular">
    <w:altName w:val="Calibri"/>
    <w:panose1 w:val="00000000000000000000"/>
    <w:charset w:val="00"/>
    <w:family w:val="auto"/>
    <w:notTrueType/>
    <w:pitch w:val="default"/>
    <w:sig w:usb0="00000003" w:usb1="08070000" w:usb2="00000010" w:usb3="00000000" w:csb0="00020001" w:csb1="00000000"/>
  </w:font>
  <w:font w:name="GuardianSans-RegularI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16F39822"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r w:rsidR="00ED6B23">
                <w:fldChar w:fldCharType="begin"/>
              </w:r>
              <w:r w:rsidR="00ED6B23">
                <w:instrText xml:space="preserve"> NUMPAGES  </w:instrText>
              </w:r>
              <w:r w:rsidR="00ED6B23">
                <w:fldChar w:fldCharType="separate"/>
              </w:r>
              <w:r w:rsidR="00ED6B23">
                <w:rPr>
                  <w:noProof/>
                </w:rPr>
                <w:t>6</w:t>
              </w:r>
              <w:r w:rsidR="00ED6B23">
                <w:rPr>
                  <w:noProof/>
                </w:rPr>
                <w:fldChar w:fldCharType="end"/>
              </w:r>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11075AFF" w14:textId="77777777" w:rsidTr="00AE3703">
      <w:trPr>
        <w:trHeight w:val="423"/>
      </w:trPr>
      <w:tc>
        <w:tcPr>
          <w:tcW w:w="7338" w:type="dxa"/>
        </w:tcPr>
        <w:p w14:paraId="13E7B9DF" w14:textId="7B92069C" w:rsidR="00E40BD2" w:rsidRPr="00257138" w:rsidRDefault="00516E40">
          <w:pPr>
            <w:pStyle w:val="Footer"/>
          </w:pPr>
          <w:r>
            <w:t>Delegate’s final decisions and reasons for decisions (AC</w:t>
          </w:r>
          <w:r w:rsidR="00DF4641">
            <w:t>M</w:t>
          </w:r>
          <w:r>
            <w:t>S</w:t>
          </w:r>
          <w:r w:rsidR="00DF4641">
            <w:t xml:space="preserve"> </w:t>
          </w:r>
          <w:r>
            <w:t>#</w:t>
          </w:r>
          <w:r w:rsidR="00DF4641">
            <w:t>40</w:t>
          </w:r>
          <w:r>
            <w:t>,</w:t>
          </w:r>
          <w:r w:rsidR="00E81BC9">
            <w:t xml:space="preserve"> AC</w:t>
          </w:r>
          <w:r w:rsidR="00DF4641">
            <w:t>C</w:t>
          </w:r>
          <w:r w:rsidR="00E81BC9">
            <w:t>S</w:t>
          </w:r>
          <w:r w:rsidR="00DF4641">
            <w:t xml:space="preserve"> </w:t>
          </w:r>
          <w:r w:rsidR="00E81BC9">
            <w:t>#</w:t>
          </w:r>
          <w:r w:rsidR="00DF4641">
            <w:t>35</w:t>
          </w:r>
          <w:r w:rsidR="00E81BC9">
            <w:t>, Joint ACMS-ACCS #</w:t>
          </w:r>
          <w:r w:rsidR="00DF4641">
            <w:t>32</w:t>
          </w:r>
          <w:r w:rsidR="00E81BC9">
            <w:t>,</w:t>
          </w:r>
          <w:r>
            <w:t xml:space="preserve"> </w:t>
          </w:r>
          <w:r w:rsidR="00DF4641">
            <w:t xml:space="preserve">November </w:t>
          </w:r>
          <w:r>
            <w:t>202</w:t>
          </w:r>
          <w:r w:rsidR="00DF4641">
            <w:t>2</w:t>
          </w:r>
          <w:r>
            <w:t>)</w:t>
          </w:r>
          <w:r w:rsidR="00E40BD2">
            <w:br/>
          </w:r>
          <w:r w:rsidR="005F5819">
            <w:t>Version 2.0 February 2025</w:t>
          </w:r>
        </w:p>
      </w:tc>
      <w:tc>
        <w:tcPr>
          <w:tcW w:w="1734" w:type="dxa"/>
        </w:tcPr>
        <w:sdt>
          <w:sdtPr>
            <w:id w:val="6788836"/>
            <w:docPartObj>
              <w:docPartGallery w:val="Page Numbers (Top of Page)"/>
              <w:docPartUnique/>
            </w:docPartObj>
          </w:sdtPr>
          <w:sdtEndPr/>
          <w:sdtContent>
            <w:p w14:paraId="3BD26206" w14:textId="7BDCABDC"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r w:rsidR="004B32D0">
                <w:fldChar w:fldCharType="begin"/>
              </w:r>
              <w:r w:rsidR="004B32D0">
                <w:instrText xml:space="preserve"> NUMPAGES  </w:instrText>
              </w:r>
              <w:r w:rsidR="004B32D0">
                <w:fldChar w:fldCharType="separate"/>
              </w:r>
              <w:r w:rsidR="004B32D0">
                <w:rPr>
                  <w:noProof/>
                </w:rPr>
                <w:t>14</w:t>
              </w:r>
              <w:r w:rsidR="004B32D0">
                <w:rPr>
                  <w:noProof/>
                </w:rPr>
                <w:fldChar w:fldCharType="end"/>
              </w:r>
            </w:p>
          </w:sdtContent>
        </w:sdt>
      </w:tc>
    </w:tr>
  </w:tbl>
  <w:p w14:paraId="623AA1CE" w14:textId="77777777" w:rsidR="00E40BD2" w:rsidRPr="00826007" w:rsidRDefault="00E40BD2"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76052F65" w14:textId="77777777" w:rsidTr="002A7487">
      <w:trPr>
        <w:trHeight w:val="423"/>
      </w:trPr>
      <w:tc>
        <w:tcPr>
          <w:tcW w:w="7338" w:type="dxa"/>
        </w:tcPr>
        <w:p w14:paraId="668CDD90" w14:textId="40CBA573" w:rsidR="00E81BC9" w:rsidRDefault="00E81BC9" w:rsidP="00E81BC9">
          <w:pPr>
            <w:pStyle w:val="Footer"/>
          </w:pPr>
          <w:r>
            <w:t>Delegate’s final decisions and reasons for decisions (ACCS#</w:t>
          </w:r>
          <w:r w:rsidR="0069150F">
            <w:t>35</w:t>
          </w:r>
          <w:r>
            <w:t>, ACMS#</w:t>
          </w:r>
          <w:r w:rsidR="0069150F">
            <w:t>40</w:t>
          </w:r>
          <w:r>
            <w:t>, Joint ACMS-ACCS #</w:t>
          </w:r>
          <w:r w:rsidR="0069150F">
            <w:t>32</w:t>
          </w:r>
          <w:r>
            <w:t xml:space="preserve">, </w:t>
          </w:r>
          <w:r w:rsidR="0069150F">
            <w:t>November</w:t>
          </w:r>
          <w:r>
            <w:t xml:space="preserve"> 202</w:t>
          </w:r>
          <w:r w:rsidR="0069150F">
            <w:t>2</w:t>
          </w:r>
          <w:r>
            <w:t>)</w:t>
          </w:r>
        </w:p>
        <w:p w14:paraId="6A331473" w14:textId="329D64DE" w:rsidR="00E40BD2" w:rsidRPr="00257138" w:rsidRDefault="00C63F40">
          <w:pPr>
            <w:pStyle w:val="Footer"/>
          </w:pPr>
          <w:r>
            <w:t xml:space="preserve">Version 2.0 </w:t>
          </w:r>
          <w:r w:rsidR="005F5819">
            <w:t>February</w:t>
          </w:r>
          <w:r w:rsidR="0069150F">
            <w:t xml:space="preserve"> 202</w:t>
          </w:r>
          <w:r w:rsidR="005F5819">
            <w:t>5</w:t>
          </w:r>
        </w:p>
      </w:tc>
      <w:tc>
        <w:tcPr>
          <w:tcW w:w="1734" w:type="dxa"/>
        </w:tcPr>
        <w:sdt>
          <w:sdtPr>
            <w:id w:val="5342774"/>
            <w:docPartObj>
              <w:docPartGallery w:val="Page Numbers (Top of Page)"/>
              <w:docPartUnique/>
            </w:docPartObj>
          </w:sdtPr>
          <w:sdtEndPr/>
          <w:sdtContent>
            <w:p w14:paraId="44A48167" w14:textId="6E064382"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r w:rsidR="004B32D0">
                <w:fldChar w:fldCharType="begin"/>
              </w:r>
              <w:r w:rsidR="004B32D0">
                <w:instrText xml:space="preserve"> NUMPAGES  </w:instrText>
              </w:r>
              <w:r w:rsidR="004B32D0">
                <w:fldChar w:fldCharType="separate"/>
              </w:r>
              <w:r w:rsidR="004B32D0">
                <w:rPr>
                  <w:noProof/>
                </w:rPr>
                <w:t>14</w:t>
              </w:r>
              <w:r w:rsidR="004B32D0">
                <w:rPr>
                  <w:noProof/>
                </w:rPr>
                <w:fldChar w:fldCharType="end"/>
              </w:r>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73E9" w14:textId="77777777" w:rsidR="006F0546" w:rsidRDefault="006F0546" w:rsidP="00C40A36">
      <w:pPr>
        <w:spacing w:after="0"/>
      </w:pPr>
      <w:r>
        <w:separator/>
      </w:r>
    </w:p>
  </w:footnote>
  <w:footnote w:type="continuationSeparator" w:id="0">
    <w:p w14:paraId="16222522" w14:textId="77777777" w:rsidR="006F0546" w:rsidRDefault="006F0546" w:rsidP="00C40A36">
      <w:pPr>
        <w:spacing w:after="0"/>
      </w:pPr>
      <w:r>
        <w:continuationSeparator/>
      </w:r>
    </w:p>
  </w:footnote>
  <w:footnote w:id="1">
    <w:p w14:paraId="76BF7115" w14:textId="6B609DD2" w:rsidR="00A53DC8" w:rsidRPr="00587797" w:rsidRDefault="00A53DC8">
      <w:pPr>
        <w:pStyle w:val="FootnoteText"/>
        <w:rPr>
          <w:sz w:val="18"/>
          <w:szCs w:val="18"/>
        </w:rPr>
      </w:pPr>
      <w:r w:rsidRPr="00587797">
        <w:rPr>
          <w:rStyle w:val="FootnoteReference"/>
          <w:sz w:val="18"/>
          <w:szCs w:val="18"/>
        </w:rPr>
        <w:footnoteRef/>
      </w:r>
      <w:r w:rsidRPr="00587797">
        <w:rPr>
          <w:sz w:val="18"/>
          <w:szCs w:val="18"/>
        </w:rPr>
        <w:t xml:space="preserve"> For the purposes of s 52D of the </w:t>
      </w:r>
      <w:r w:rsidRPr="00587797">
        <w:rPr>
          <w:i/>
          <w:iCs/>
          <w:sz w:val="18"/>
          <w:szCs w:val="18"/>
        </w:rPr>
        <w:t>Therapeutic Goods Act 1989</w:t>
      </w:r>
      <w:r w:rsidRPr="00587797">
        <w:rPr>
          <w:sz w:val="18"/>
          <w:szCs w:val="18"/>
        </w:rPr>
        <w:t xml:space="preserve"> (Cth). </w:t>
      </w:r>
    </w:p>
  </w:footnote>
  <w:footnote w:id="2">
    <w:p w14:paraId="6603FECC" w14:textId="4EB7620C"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Therapeutic Guidelines. Melbourne: Therapeutic Guidelines Limited; accessed 24 April 2023. </w:t>
      </w:r>
      <w:hyperlink r:id="rId1" w:history="1">
        <w:r w:rsidR="001E00F6" w:rsidRPr="00E47CEF">
          <w:rPr>
            <w:rStyle w:val="Hyperlink"/>
            <w:sz w:val="18"/>
            <w:szCs w:val="18"/>
          </w:rPr>
          <w:t>https://www.tg.org.au</w:t>
        </w:r>
      </w:hyperlink>
      <w:r w:rsidR="001E00F6">
        <w:rPr>
          <w:sz w:val="18"/>
          <w:szCs w:val="18"/>
        </w:rPr>
        <w:t xml:space="preserve"> </w:t>
      </w:r>
    </w:p>
  </w:footnote>
  <w:footnote w:id="3">
    <w:p w14:paraId="4252B2D9" w14:textId="32907F29"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Paracetamol poisoning: immediate-release preparations [published August 2020]. In: Therapeutic Guidelines. Melbourne: Therapeutic Guidelines Limited; accessed 24 April 2023. </w:t>
      </w:r>
      <w:hyperlink r:id="rId2" w:history="1">
        <w:r w:rsidR="001E00F6" w:rsidRPr="00E47CEF">
          <w:rPr>
            <w:rStyle w:val="Hyperlink"/>
            <w:sz w:val="18"/>
            <w:szCs w:val="18"/>
          </w:rPr>
          <w:t>https://www.tg.org.au</w:t>
        </w:r>
      </w:hyperlink>
      <w:r w:rsidR="001E00F6">
        <w:rPr>
          <w:sz w:val="18"/>
          <w:szCs w:val="18"/>
        </w:rPr>
        <w:t xml:space="preserve"> </w:t>
      </w:r>
      <w:r w:rsidRPr="001E00F6" w:rsidDel="002369F6">
        <w:rPr>
          <w:sz w:val="18"/>
          <w:szCs w:val="18"/>
        </w:rPr>
        <w:t xml:space="preserve"> </w:t>
      </w:r>
    </w:p>
  </w:footnote>
  <w:footnote w:id="4">
    <w:p w14:paraId="79A40765" w14:textId="77777777"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the Report p. 16</w:t>
      </w:r>
    </w:p>
  </w:footnote>
  <w:footnote w:id="5">
    <w:p w14:paraId="24BCA25B" w14:textId="77777777"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the Report p. 38</w:t>
      </w:r>
    </w:p>
  </w:footnote>
  <w:footnote w:id="6">
    <w:p w14:paraId="73AD4FDA" w14:textId="677AB8D9"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w:t>
      </w:r>
      <w:hyperlink r:id="rId3" w:history="1">
        <w:r w:rsidR="001E00F6" w:rsidRPr="00E47CEF">
          <w:rPr>
            <w:rStyle w:val="Hyperlink"/>
            <w:sz w:val="18"/>
            <w:szCs w:val="18"/>
          </w:rPr>
          <w:t>https://www.guild.org.au/training/pharmacy-and-dispensary-assistant/s2s3-training</w:t>
        </w:r>
      </w:hyperlink>
      <w:r w:rsidR="001E00F6">
        <w:rPr>
          <w:sz w:val="18"/>
          <w:szCs w:val="18"/>
        </w:rPr>
        <w:t xml:space="preserve"> </w:t>
      </w:r>
    </w:p>
  </w:footnote>
  <w:footnote w:id="7">
    <w:p w14:paraId="5ADD5362" w14:textId="77777777"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Combination products available for general sale are captured in Schedule 2 exceptions in the Poisons Standard</w:t>
      </w:r>
    </w:p>
  </w:footnote>
  <w:footnote w:id="8">
    <w:p w14:paraId="77D4B3BC" w14:textId="77777777" w:rsidR="00101351" w:rsidRDefault="00101351" w:rsidP="00101351">
      <w:pPr>
        <w:pStyle w:val="FootnoteText"/>
      </w:pPr>
      <w:r w:rsidRPr="001E00F6">
        <w:rPr>
          <w:rStyle w:val="FootnoteReference"/>
          <w:sz w:val="18"/>
          <w:szCs w:val="18"/>
        </w:rPr>
        <w:footnoteRef/>
      </w:r>
      <w:r w:rsidRPr="001E00F6">
        <w:rPr>
          <w:sz w:val="18"/>
          <w:szCs w:val="18"/>
        </w:rPr>
        <w:t xml:space="preserve"> the Report, Figure 16.</w:t>
      </w:r>
    </w:p>
  </w:footnote>
  <w:footnote w:id="9">
    <w:p w14:paraId="36002B09" w14:textId="77777777" w:rsidR="00101351" w:rsidRPr="001E00F6" w:rsidRDefault="00101351" w:rsidP="00101351">
      <w:pPr>
        <w:pStyle w:val="FootnoteText"/>
        <w:rPr>
          <w:sz w:val="18"/>
          <w:szCs w:val="18"/>
        </w:rPr>
      </w:pPr>
      <w:r w:rsidRPr="001E00F6">
        <w:rPr>
          <w:rStyle w:val="FootnoteReference"/>
          <w:sz w:val="18"/>
          <w:szCs w:val="18"/>
        </w:rPr>
        <w:footnoteRef/>
      </w:r>
      <w:r w:rsidRPr="001E00F6">
        <w:rPr>
          <w:sz w:val="18"/>
          <w:szCs w:val="18"/>
        </w:rPr>
        <w:t xml:space="preserve"> Email communication - &lt;11/04/2023 – 19/04/2023&gt;</w:t>
      </w:r>
    </w:p>
  </w:footnote>
  <w:footnote w:id="10">
    <w:p w14:paraId="3F7FB5F0" w14:textId="19A2ED12" w:rsidR="00101351" w:rsidRDefault="00101351" w:rsidP="00101351">
      <w:pPr>
        <w:pStyle w:val="FootnoteText"/>
      </w:pPr>
      <w:r w:rsidRPr="001E00F6">
        <w:rPr>
          <w:rStyle w:val="FootnoteReference"/>
          <w:sz w:val="18"/>
          <w:szCs w:val="18"/>
        </w:rPr>
        <w:footnoteRef/>
      </w:r>
      <w:r w:rsidRPr="001E00F6">
        <w:rPr>
          <w:sz w:val="18"/>
          <w:szCs w:val="18"/>
        </w:rPr>
        <w:t xml:space="preserve"> Explanatory Note, The Medicines (Sale or Supply) (Miscellaneous Provisions) Amendment (No. 2) Regulations 1997. </w:t>
      </w:r>
      <w:hyperlink r:id="rId4" w:history="1">
        <w:r w:rsidR="001E00F6" w:rsidRPr="001E00F6">
          <w:rPr>
            <w:rStyle w:val="Hyperlink"/>
            <w:sz w:val="18"/>
            <w:szCs w:val="18"/>
          </w:rPr>
          <w:t>https://www.legislation.gov.uk/uksi/1997/2045/made</w:t>
        </w:r>
      </w:hyperlink>
      <w:r w:rsidR="001E00F6">
        <w:t xml:space="preserve"> </w:t>
      </w:r>
    </w:p>
  </w:footnote>
  <w:footnote w:id="11">
    <w:p w14:paraId="21737E79" w14:textId="77777777" w:rsidR="00101351" w:rsidRDefault="00101351" w:rsidP="00101351">
      <w:pPr>
        <w:pStyle w:val="FootnoteText"/>
      </w:pPr>
      <w:r>
        <w:rPr>
          <w:rStyle w:val="FootnoteReference"/>
        </w:rPr>
        <w:footnoteRef/>
      </w:r>
      <w:r>
        <w:t xml:space="preserve"> </w:t>
      </w:r>
      <w:r w:rsidRPr="00E92B64">
        <w:t>https://www.sciencedirect.com/science/article/pii/S0140673600023552</w:t>
      </w:r>
    </w:p>
  </w:footnote>
  <w:footnote w:id="12">
    <w:p w14:paraId="66C7A9F8" w14:textId="77777777" w:rsidR="00101351" w:rsidRDefault="00101351" w:rsidP="00101351">
      <w:pPr>
        <w:pStyle w:val="FootnoteText"/>
      </w:pPr>
      <w:r>
        <w:rPr>
          <w:rStyle w:val="FootnoteReference"/>
        </w:rPr>
        <w:footnoteRef/>
      </w:r>
      <w:r>
        <w:t xml:space="preserve"> </w:t>
      </w:r>
      <w:r w:rsidRPr="00E92B64">
        <w:t>https://pubmed.ncbi.nlm.nih.gov/36941110/</w:t>
      </w:r>
    </w:p>
  </w:footnote>
  <w:footnote w:id="13">
    <w:p w14:paraId="14D069E9" w14:textId="77777777" w:rsidR="00101351" w:rsidRDefault="00101351" w:rsidP="00101351">
      <w:pPr>
        <w:pStyle w:val="FootnoteText"/>
      </w:pPr>
      <w:r>
        <w:rPr>
          <w:rStyle w:val="FootnoteReference"/>
        </w:rPr>
        <w:footnoteRef/>
      </w:r>
      <w:r>
        <w:t xml:space="preserve"> the Report p. 34 (Figure 20)</w:t>
      </w:r>
    </w:p>
  </w:footnote>
  <w:footnote w:id="14">
    <w:p w14:paraId="1A7BC8D1" w14:textId="77777777" w:rsidR="00101351" w:rsidRDefault="00101351" w:rsidP="00101351">
      <w:pPr>
        <w:pStyle w:val="FootnoteText"/>
      </w:pPr>
      <w:r>
        <w:rPr>
          <w:rStyle w:val="FootnoteReference"/>
        </w:rPr>
        <w:footnoteRef/>
      </w:r>
      <w:r>
        <w:t xml:space="preserve"> the Report p. 33, 34 &amp; 49 (Figure 18, 20 &amp; 29)</w:t>
      </w:r>
    </w:p>
  </w:footnote>
  <w:footnote w:id="15">
    <w:p w14:paraId="6177DD17" w14:textId="1DAD58AC" w:rsidR="00FF3B66" w:rsidRPr="00403557" w:rsidRDefault="00FF3B66" w:rsidP="00FF3B66">
      <w:pPr>
        <w:pStyle w:val="FootnoteText"/>
        <w:rPr>
          <w:rFonts w:asciiTheme="minorHAnsi" w:hAnsiTheme="minorHAnsi"/>
          <w:sz w:val="18"/>
          <w:szCs w:val="18"/>
        </w:rPr>
      </w:pPr>
      <w:r w:rsidRPr="00403557">
        <w:rPr>
          <w:rStyle w:val="FootnoteReference"/>
          <w:rFonts w:asciiTheme="minorHAnsi" w:hAnsiTheme="minorHAnsi"/>
          <w:sz w:val="18"/>
          <w:szCs w:val="18"/>
        </w:rPr>
        <w:footnoteRef/>
      </w:r>
      <w:r w:rsidRPr="00403557">
        <w:rPr>
          <w:rFonts w:asciiTheme="minorHAnsi" w:hAnsi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6">
    <w:p w14:paraId="1D8CE66B" w14:textId="7C51328F" w:rsidR="00312D81" w:rsidRPr="0077168B" w:rsidRDefault="00312D81" w:rsidP="00312D81">
      <w:pPr>
        <w:pStyle w:val="FootnoteText"/>
        <w:rPr>
          <w:sz w:val="18"/>
          <w:szCs w:val="18"/>
        </w:rPr>
      </w:pPr>
      <w:r w:rsidRPr="0077168B">
        <w:rPr>
          <w:rStyle w:val="FootnoteReference"/>
          <w:sz w:val="18"/>
          <w:szCs w:val="18"/>
        </w:rPr>
        <w:footnoteRef/>
      </w:r>
      <w:r w:rsidRPr="0077168B">
        <w:rPr>
          <w:sz w:val="18"/>
          <w:szCs w:val="18"/>
        </w:rPr>
        <w:t xml:space="preserve"> Only parts or schedules of the Poisons Standard that were proposed to be amended by the Proposal are depicted—refer to</w:t>
      </w:r>
      <w:r w:rsidR="0077168B" w:rsidRPr="0077168B">
        <w:rPr>
          <w:sz w:val="18"/>
          <w:szCs w:val="18"/>
        </w:rPr>
        <w:t xml:space="preserve"> the</w:t>
      </w:r>
      <w:r w:rsidRPr="0077168B">
        <w:rPr>
          <w:sz w:val="18"/>
          <w:szCs w:val="18"/>
        </w:rPr>
        <w:t xml:space="preserve"> </w:t>
      </w:r>
      <w:hyperlink r:id="rId5" w:history="1">
        <w:r w:rsidR="0077168B" w:rsidRPr="0077168B">
          <w:rPr>
            <w:rStyle w:val="Hyperlink"/>
            <w:sz w:val="18"/>
            <w:szCs w:val="18"/>
          </w:rPr>
          <w:t>pre-meeting public notice</w:t>
        </w:r>
      </w:hyperlink>
      <w:r w:rsidR="0077168B" w:rsidRPr="0077168B">
        <w:rPr>
          <w:sz w:val="18"/>
          <w:szCs w:val="18"/>
        </w:rPr>
        <w:t xml:space="preserve"> </w:t>
      </w:r>
      <w:r w:rsidRPr="0077168B">
        <w:rPr>
          <w:sz w:val="18"/>
          <w:szCs w:val="18"/>
        </w:rPr>
        <w:t xml:space="preserve">for a comprehensive view of entries for </w:t>
      </w:r>
      <w:r w:rsidR="0077168B" w:rsidRPr="0077168B">
        <w:rPr>
          <w:sz w:val="18"/>
          <w:szCs w:val="18"/>
        </w:rPr>
        <w:t>ivermectin</w:t>
      </w:r>
      <w:r w:rsidRPr="0077168B">
        <w:rPr>
          <w:sz w:val="18"/>
          <w:szCs w:val="18"/>
        </w:rPr>
        <w:t xml:space="preserve"> in the Poisons Standard </w:t>
      </w:r>
    </w:p>
  </w:footnote>
  <w:footnote w:id="17">
    <w:p w14:paraId="39D2E55A" w14:textId="77777777" w:rsidR="00C20A42" w:rsidRPr="005618B0" w:rsidRDefault="00C20A42" w:rsidP="00C20A42">
      <w:pPr>
        <w:pStyle w:val="FootnoteText"/>
        <w:spacing w:line="240" w:lineRule="auto"/>
        <w:rPr>
          <w:rFonts w:asciiTheme="minorHAnsi" w:hAnsiTheme="minorHAnsi"/>
          <w:sz w:val="18"/>
          <w:szCs w:val="18"/>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Naggie S, Boulware DR, Lindsell CJ, et al. Effect of Ivermectin vs Placebo on Time to Sustained Recovery in Outpatients </w:t>
      </w:r>
      <w:proofErr w:type="gramStart"/>
      <w:r w:rsidRPr="005618B0">
        <w:rPr>
          <w:rFonts w:asciiTheme="minorHAnsi" w:hAnsiTheme="minorHAnsi"/>
          <w:sz w:val="18"/>
          <w:szCs w:val="18"/>
        </w:rPr>
        <w:t>With</w:t>
      </w:r>
      <w:proofErr w:type="gramEnd"/>
      <w:r w:rsidRPr="005618B0">
        <w:rPr>
          <w:rFonts w:asciiTheme="minorHAnsi" w:hAnsiTheme="minorHAnsi"/>
          <w:sz w:val="18"/>
          <w:szCs w:val="18"/>
        </w:rPr>
        <w:t xml:space="preserve"> Mild to Moderate COVID-19: A Randomized Clinical Trial. JAMA. 2022;328(16):1595–1603. doi:10.1001/jama.2022.18590 </w:t>
      </w:r>
    </w:p>
  </w:footnote>
  <w:footnote w:id="18">
    <w:p w14:paraId="6AB58A74" w14:textId="77777777" w:rsidR="00C20A42" w:rsidRPr="005618B0" w:rsidRDefault="00C20A42" w:rsidP="00C20A42">
      <w:pPr>
        <w:pStyle w:val="FootnoteText"/>
        <w:spacing w:line="240" w:lineRule="auto"/>
        <w:rPr>
          <w:rFonts w:asciiTheme="minorHAnsi" w:hAnsiTheme="minorHAnsi"/>
          <w:sz w:val="18"/>
          <w:szCs w:val="18"/>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Reis G, Silva EASM, Silva DCM, et al. TOGETHER Investigators. Effect of Early Treatment with Ivermectin among Patients with Covid-19. N Engl J Med. 2022 May 5;386(18):1721-1731. doi: 10.1056/NEJMoa2115869. Epub 2022 Mar 30. PMID: 35353979; PMCID: PMC9006771.</w:t>
      </w:r>
    </w:p>
  </w:footnote>
  <w:footnote w:id="19">
    <w:p w14:paraId="518D7F66" w14:textId="77777777" w:rsidR="00C20A42" w:rsidRPr="005618B0" w:rsidRDefault="00C20A42" w:rsidP="00C20A42">
      <w:pPr>
        <w:pStyle w:val="FootnoteText"/>
        <w:spacing w:line="240" w:lineRule="auto"/>
        <w:rPr>
          <w:rFonts w:asciiTheme="minorHAnsi" w:hAnsiTheme="minorHAnsi"/>
          <w:sz w:val="18"/>
          <w:szCs w:val="18"/>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hyperlink r:id="rId6" w:history="1">
        <w:r w:rsidRPr="005618B0">
          <w:rPr>
            <w:rStyle w:val="Hyperlink"/>
            <w:rFonts w:asciiTheme="minorHAnsi" w:hAnsiTheme="minorHAnsi"/>
            <w:sz w:val="18"/>
            <w:szCs w:val="18"/>
          </w:rPr>
          <w:t>https://www.medscape.com/viewarticle/971936</w:t>
        </w:r>
      </w:hyperlink>
      <w:r w:rsidRPr="005618B0">
        <w:rPr>
          <w:rFonts w:asciiTheme="minorHAnsi" w:hAnsiTheme="minorHAnsi"/>
          <w:sz w:val="18"/>
          <w:szCs w:val="18"/>
        </w:rPr>
        <w:t xml:space="preserve"> </w:t>
      </w:r>
    </w:p>
  </w:footnote>
  <w:footnote w:id="20">
    <w:p w14:paraId="6027212F" w14:textId="6D3CD97A" w:rsidR="00C20A42" w:rsidRPr="005618B0" w:rsidRDefault="00C20A42" w:rsidP="00C20A42">
      <w:pPr>
        <w:autoSpaceDE w:val="0"/>
        <w:autoSpaceDN w:val="0"/>
        <w:adjustRightInd w:val="0"/>
        <w:spacing w:before="0" w:after="0" w:line="240" w:lineRule="auto"/>
        <w:rPr>
          <w:rFonts w:asciiTheme="minorHAnsi" w:hAnsiTheme="minorHAnsi" w:cs="GuardianSansGR-Regular"/>
          <w:color w:val="000000"/>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color w:val="000000"/>
          <w:sz w:val="18"/>
          <w:szCs w:val="18"/>
          <w:lang w:eastAsia="en-AU"/>
        </w:rPr>
        <w:t xml:space="preserve">Reis G, Silva EASM, Silva DCM, et al; TOGETHER Investigators. Effect of early treatment with ivermectin among patients with Covid-19. </w:t>
      </w:r>
      <w:r w:rsidRPr="005618B0">
        <w:rPr>
          <w:rFonts w:asciiTheme="minorHAnsi" w:hAnsiTheme="minorHAnsi" w:cs="GuardianSans-RegularIt"/>
          <w:i/>
          <w:iCs/>
          <w:color w:val="000000"/>
          <w:sz w:val="18"/>
          <w:szCs w:val="18"/>
          <w:lang w:eastAsia="en-AU"/>
        </w:rPr>
        <w:t>N Engl J</w:t>
      </w:r>
      <w:r w:rsidRPr="005618B0">
        <w:rPr>
          <w:rFonts w:asciiTheme="minorHAnsi" w:hAnsiTheme="minorHAnsi" w:cs="GuardianSansGR-Regular"/>
          <w:color w:val="000000"/>
          <w:sz w:val="18"/>
          <w:szCs w:val="18"/>
          <w:lang w:eastAsia="en-AU"/>
        </w:rPr>
        <w:t xml:space="preserve"> </w:t>
      </w:r>
      <w:r w:rsidRPr="005618B0">
        <w:rPr>
          <w:rFonts w:asciiTheme="minorHAnsi" w:hAnsiTheme="minorHAnsi" w:cs="GuardianSans-RegularIt"/>
          <w:i/>
          <w:iCs/>
          <w:color w:val="000000"/>
          <w:sz w:val="18"/>
          <w:szCs w:val="18"/>
          <w:lang w:eastAsia="en-AU"/>
        </w:rPr>
        <w:t>Med</w:t>
      </w:r>
      <w:r w:rsidRPr="005618B0">
        <w:rPr>
          <w:rFonts w:asciiTheme="minorHAnsi" w:hAnsiTheme="minorHAnsi" w:cs="GuardianSansGR-Regular"/>
          <w:color w:val="000000"/>
          <w:sz w:val="18"/>
          <w:szCs w:val="18"/>
          <w:lang w:eastAsia="en-AU"/>
        </w:rPr>
        <w:t>. 2022;386(18):1721-1731. doi:</w:t>
      </w:r>
      <w:r w:rsidRPr="005618B0">
        <w:rPr>
          <w:rFonts w:asciiTheme="minorHAnsi" w:hAnsiTheme="minorHAnsi" w:cs="GuardianSansGR-Regular"/>
          <w:color w:val="1F3BFF"/>
          <w:sz w:val="18"/>
          <w:szCs w:val="18"/>
          <w:lang w:eastAsia="en-AU"/>
        </w:rPr>
        <w:t>10.1056/NEJMoa2115869</w:t>
      </w:r>
    </w:p>
  </w:footnote>
  <w:footnote w:id="21">
    <w:p w14:paraId="5830E3EF" w14:textId="77777777" w:rsidR="00C20A42" w:rsidRPr="005618B0" w:rsidRDefault="00C20A42" w:rsidP="00C20A42">
      <w:pPr>
        <w:autoSpaceDE w:val="0"/>
        <w:autoSpaceDN w:val="0"/>
        <w:adjustRightInd w:val="0"/>
        <w:spacing w:before="0" w:after="0" w:line="240" w:lineRule="auto"/>
        <w:rPr>
          <w:rFonts w:asciiTheme="minorHAnsi" w:hAnsiTheme="minorHAnsi" w:cs="GuardianSansGR-Regular"/>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sz w:val="18"/>
          <w:szCs w:val="18"/>
          <w:lang w:eastAsia="en-AU"/>
        </w:rPr>
        <w:t xml:space="preserve">Bramante CT, Huling JD, Tignanelli CJ, et al; COVID-OUT Trial Team. Randomized trial of metformin, ivermectin, and fluvoxamine for Covid-19. </w:t>
      </w:r>
      <w:r w:rsidRPr="005618B0">
        <w:rPr>
          <w:rFonts w:asciiTheme="minorHAnsi" w:hAnsiTheme="minorHAnsi" w:cs="GuardianSans-RegularIt"/>
          <w:i/>
          <w:iCs/>
          <w:sz w:val="18"/>
          <w:szCs w:val="18"/>
          <w:lang w:eastAsia="en-AU"/>
        </w:rPr>
        <w:t>N Engl J Med</w:t>
      </w:r>
      <w:r w:rsidRPr="005618B0">
        <w:rPr>
          <w:rFonts w:asciiTheme="minorHAnsi" w:hAnsiTheme="minorHAnsi" w:cs="GuardianSansGR-Regular"/>
          <w:sz w:val="18"/>
          <w:szCs w:val="18"/>
          <w:lang w:eastAsia="en-AU"/>
        </w:rPr>
        <w:t>. 2022;</w:t>
      </w:r>
      <w:r w:rsidRPr="005618B0">
        <w:rPr>
          <w:rFonts w:asciiTheme="minorHAnsi" w:hAnsiTheme="minorHAnsi" w:cs="GuardianSansGR-Regular"/>
          <w:color w:val="000000"/>
          <w:sz w:val="18"/>
          <w:szCs w:val="18"/>
          <w:lang w:eastAsia="en-AU"/>
        </w:rPr>
        <w:t xml:space="preserve"> 387(7):599-610. doi:</w:t>
      </w:r>
      <w:r w:rsidRPr="005618B0">
        <w:rPr>
          <w:rFonts w:asciiTheme="minorHAnsi" w:hAnsiTheme="minorHAnsi" w:cs="GuardianSansGR-Regular"/>
          <w:color w:val="1F3BFF"/>
          <w:sz w:val="18"/>
          <w:szCs w:val="18"/>
          <w:lang w:eastAsia="en-AU"/>
        </w:rPr>
        <w:t>10.1056/NEJMoa2201662</w:t>
      </w:r>
    </w:p>
  </w:footnote>
  <w:footnote w:id="22">
    <w:p w14:paraId="66A53C30" w14:textId="77777777" w:rsidR="00C20A42" w:rsidRPr="005618B0" w:rsidRDefault="00C20A42" w:rsidP="00C20A42">
      <w:pPr>
        <w:autoSpaceDE w:val="0"/>
        <w:autoSpaceDN w:val="0"/>
        <w:adjustRightInd w:val="0"/>
        <w:spacing w:before="0" w:after="0" w:line="240" w:lineRule="auto"/>
        <w:rPr>
          <w:rFonts w:asciiTheme="minorHAnsi" w:hAnsiTheme="minorHAnsi" w:cs="GuardianSansGR-Regular"/>
          <w:color w:val="000000"/>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color w:val="000000"/>
          <w:sz w:val="18"/>
          <w:szCs w:val="18"/>
          <w:lang w:eastAsia="en-AU"/>
        </w:rPr>
        <w:t xml:space="preserve">Naggie S, Boulware DR, Lindsell CJ, et al; Accelerating COVID-19 Therapeutic Interventions and Vaccines (ACTIV-6) Study Group and Investigators. Effect of ivermectin vs placebo on time to sustained recovery in outpatients with mild to moderate COVID-19: a randomized clinical trial. </w:t>
      </w:r>
      <w:r w:rsidRPr="005618B0">
        <w:rPr>
          <w:rFonts w:asciiTheme="minorHAnsi" w:hAnsiTheme="minorHAnsi" w:cs="GuardianSans-RegularIt"/>
          <w:i/>
          <w:iCs/>
          <w:color w:val="000000"/>
          <w:sz w:val="18"/>
          <w:szCs w:val="18"/>
          <w:lang w:eastAsia="en-AU"/>
        </w:rPr>
        <w:t>JAMA</w:t>
      </w:r>
      <w:r w:rsidRPr="005618B0">
        <w:rPr>
          <w:rFonts w:asciiTheme="minorHAnsi" w:hAnsiTheme="minorHAnsi" w:cs="GuardianSansGR-Regular"/>
          <w:color w:val="000000"/>
          <w:sz w:val="18"/>
          <w:szCs w:val="18"/>
          <w:lang w:eastAsia="en-AU"/>
        </w:rPr>
        <w:t>. 2022;328(16):1595-1603. doi:</w:t>
      </w:r>
      <w:r w:rsidRPr="005618B0">
        <w:rPr>
          <w:rFonts w:asciiTheme="minorHAnsi" w:hAnsiTheme="minorHAnsi" w:cs="GuardianSansGR-Regular"/>
          <w:color w:val="1F3BFF"/>
          <w:sz w:val="18"/>
          <w:szCs w:val="18"/>
          <w:lang w:eastAsia="en-AU"/>
        </w:rPr>
        <w:t>10.1001/jama.2022.18590</w:t>
      </w:r>
    </w:p>
  </w:footnote>
  <w:footnote w:id="23">
    <w:p w14:paraId="1503947F" w14:textId="77777777" w:rsidR="00D2237D" w:rsidRPr="005618B0" w:rsidRDefault="00D2237D" w:rsidP="00D2237D">
      <w:pPr>
        <w:autoSpaceDE w:val="0"/>
        <w:autoSpaceDN w:val="0"/>
        <w:adjustRightInd w:val="0"/>
        <w:spacing w:before="0" w:after="0" w:line="240" w:lineRule="auto"/>
        <w:rPr>
          <w:rFonts w:asciiTheme="minorHAnsi" w:hAnsiTheme="minorHAnsi" w:cs="GuardianSansGR-Regular"/>
          <w:color w:val="000000"/>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color w:val="000000"/>
          <w:sz w:val="18"/>
          <w:szCs w:val="18"/>
          <w:lang w:eastAsia="en-AU"/>
        </w:rPr>
        <w:t xml:space="preserve">Naggie S, Boulware DR, Lindsell CJ, et al; for the Accelerating Covid-19 Therapeutic Interventions and Vaccines (ACTIV)-6 Study Group and Investigators. Effect of higher-dose ivermectin for 6 days vs placebo on time to sustained recovery in outpatients with COVID-19: a randomized clinical trial. </w:t>
      </w:r>
      <w:r w:rsidRPr="005618B0">
        <w:rPr>
          <w:rFonts w:asciiTheme="minorHAnsi" w:hAnsiTheme="minorHAnsi" w:cs="GuardianSans-RegularIt"/>
          <w:i/>
          <w:iCs/>
          <w:color w:val="000000"/>
          <w:sz w:val="18"/>
          <w:szCs w:val="18"/>
          <w:lang w:eastAsia="en-AU"/>
        </w:rPr>
        <w:t>JAMA</w:t>
      </w:r>
      <w:r w:rsidRPr="005618B0">
        <w:rPr>
          <w:rFonts w:asciiTheme="minorHAnsi" w:hAnsiTheme="minorHAnsi" w:cs="GuardianSansGR-Regular"/>
          <w:color w:val="000000"/>
          <w:sz w:val="18"/>
          <w:szCs w:val="18"/>
          <w:lang w:eastAsia="en-AU"/>
        </w:rPr>
        <w:t>. Published online February 20, 2023. doi:</w:t>
      </w:r>
      <w:r w:rsidRPr="005618B0">
        <w:rPr>
          <w:rFonts w:asciiTheme="minorHAnsi" w:hAnsiTheme="minorHAnsi" w:cs="GuardianSansGR-Regular"/>
          <w:color w:val="1F3BFF"/>
          <w:sz w:val="18"/>
          <w:szCs w:val="18"/>
          <w:lang w:eastAsia="en-AU"/>
        </w:rPr>
        <w:t>10.1001/jama.2023.1650</w:t>
      </w:r>
    </w:p>
  </w:footnote>
  <w:footnote w:id="24">
    <w:p w14:paraId="16717DB3" w14:textId="43A13CE7" w:rsidR="0014073B" w:rsidRPr="00A2362C" w:rsidRDefault="0014073B">
      <w:pPr>
        <w:pStyle w:val="FootnoteText"/>
        <w:rPr>
          <w:sz w:val="16"/>
          <w:szCs w:val="16"/>
        </w:rPr>
      </w:pPr>
      <w:r w:rsidRPr="005618B0">
        <w:rPr>
          <w:rStyle w:val="FootnoteReference"/>
          <w:sz w:val="18"/>
          <w:szCs w:val="18"/>
        </w:rPr>
        <w:footnoteRef/>
      </w:r>
      <w:r w:rsidRPr="005618B0">
        <w:rPr>
          <w:sz w:val="18"/>
          <w:szCs w:val="18"/>
        </w:rPr>
        <w:t xml:space="preserve"> </w:t>
      </w:r>
      <w:hyperlink r:id="rId7" w:history="1">
        <w:r w:rsidRPr="005618B0">
          <w:rPr>
            <w:rStyle w:val="Hyperlink"/>
            <w:sz w:val="18"/>
            <w:szCs w:val="18"/>
          </w:rPr>
          <w:t>COVID - National Clinical Evidence Taskforce</w:t>
        </w:r>
      </w:hyperlink>
    </w:p>
  </w:footnote>
  <w:footnote w:id="25">
    <w:p w14:paraId="0BD90C6B" w14:textId="77777777" w:rsidR="002953B5" w:rsidRPr="005618B0" w:rsidRDefault="002953B5" w:rsidP="002953B5">
      <w:pPr>
        <w:autoSpaceDE w:val="0"/>
        <w:autoSpaceDN w:val="0"/>
        <w:adjustRightInd w:val="0"/>
        <w:spacing w:before="0" w:after="0" w:line="240" w:lineRule="auto"/>
        <w:rPr>
          <w:rFonts w:asciiTheme="minorHAnsi" w:hAnsiTheme="minorHAnsi" w:cs="GuardianSansGR-Regular"/>
          <w:color w:val="000000"/>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color w:val="000000"/>
          <w:sz w:val="18"/>
          <w:szCs w:val="18"/>
          <w:lang w:eastAsia="en-AU"/>
        </w:rPr>
        <w:t xml:space="preserve">Popp M, Reis S, Schießer S, et al. Ivermectin for preventing and treating COVID-19. </w:t>
      </w:r>
      <w:r w:rsidRPr="005618B0">
        <w:rPr>
          <w:rFonts w:asciiTheme="minorHAnsi" w:hAnsiTheme="minorHAnsi" w:cs="GuardianSans-RegularIt"/>
          <w:i/>
          <w:iCs/>
          <w:color w:val="000000"/>
          <w:sz w:val="18"/>
          <w:szCs w:val="18"/>
          <w:lang w:eastAsia="en-AU"/>
        </w:rPr>
        <w:t>Cochrane</w:t>
      </w:r>
      <w:r w:rsidRPr="005618B0">
        <w:rPr>
          <w:rFonts w:asciiTheme="minorHAnsi" w:hAnsiTheme="minorHAnsi" w:cs="GuardianSansGR-Regular"/>
          <w:color w:val="000000"/>
          <w:sz w:val="18"/>
          <w:szCs w:val="18"/>
          <w:lang w:eastAsia="en-AU"/>
        </w:rPr>
        <w:t xml:space="preserve"> </w:t>
      </w:r>
      <w:r w:rsidRPr="005618B0">
        <w:rPr>
          <w:rFonts w:asciiTheme="minorHAnsi" w:hAnsiTheme="minorHAnsi" w:cs="GuardianSans-RegularIt"/>
          <w:i/>
          <w:iCs/>
          <w:color w:val="000000"/>
          <w:sz w:val="18"/>
          <w:szCs w:val="18"/>
          <w:lang w:eastAsia="en-AU"/>
        </w:rPr>
        <w:t>Database Syst Rev</w:t>
      </w:r>
      <w:r w:rsidRPr="005618B0">
        <w:rPr>
          <w:rFonts w:asciiTheme="minorHAnsi" w:hAnsiTheme="minorHAnsi" w:cs="GuardianSansGR-Regular"/>
          <w:color w:val="000000"/>
          <w:sz w:val="18"/>
          <w:szCs w:val="18"/>
          <w:lang w:eastAsia="en-AU"/>
        </w:rPr>
        <w:t xml:space="preserve">. 2022;6(6):CD015017. </w:t>
      </w:r>
      <w:proofErr w:type="gramStart"/>
      <w:r w:rsidRPr="005618B0">
        <w:rPr>
          <w:rFonts w:asciiTheme="minorHAnsi" w:hAnsiTheme="minorHAnsi" w:cs="GuardianSansGR-Regular"/>
          <w:color w:val="000000"/>
          <w:sz w:val="18"/>
          <w:szCs w:val="18"/>
          <w:lang w:eastAsia="en-AU"/>
        </w:rPr>
        <w:t>doi:</w:t>
      </w:r>
      <w:r w:rsidRPr="005618B0">
        <w:rPr>
          <w:rFonts w:asciiTheme="minorHAnsi" w:hAnsiTheme="minorHAnsi" w:cs="GuardianSansGR-Regular"/>
          <w:color w:val="1F3BFF"/>
          <w:sz w:val="18"/>
          <w:szCs w:val="18"/>
          <w:lang w:eastAsia="en-AU"/>
        </w:rPr>
        <w:t>10.1002/14651858.CD015017.pub3</w:t>
      </w:r>
      <w:proofErr w:type="gramEnd"/>
    </w:p>
  </w:footnote>
  <w:footnote w:id="26">
    <w:p w14:paraId="195CBDD2" w14:textId="77777777" w:rsidR="002953B5" w:rsidRPr="005618B0" w:rsidRDefault="002953B5" w:rsidP="002953B5">
      <w:pPr>
        <w:pStyle w:val="FootnoteText"/>
        <w:rPr>
          <w:sz w:val="18"/>
          <w:szCs w:val="18"/>
        </w:rPr>
      </w:pPr>
      <w:r w:rsidRPr="005618B0">
        <w:rPr>
          <w:rStyle w:val="FootnoteReference"/>
          <w:sz w:val="18"/>
          <w:szCs w:val="18"/>
        </w:rPr>
        <w:footnoteRef/>
      </w:r>
      <w:r w:rsidRPr="005618B0">
        <w:rPr>
          <w:sz w:val="18"/>
          <w:szCs w:val="18"/>
        </w:rPr>
        <w:t xml:space="preserve"> Popp M, Stegemann M, Metzendorf MI, Gould S, Kranke P, Meybohm P, Skoetz N, Weibel S. Ivermectin for preventing and treating COVID-19. Cochrane Database Syst Rev. 2021 Jul 28;7(7):CD015017. doi: 10.1002/14651858.CD015017.pub2. Update in: Cochrane Database Syst Rev. 2022 Jun 21;6:CD015017. PMID: 34318930; PMCID: PMC8406455. </w:t>
      </w:r>
      <w:hyperlink r:id="rId8" w:history="1">
        <w:r w:rsidRPr="005618B0">
          <w:rPr>
            <w:rStyle w:val="Hyperlink"/>
            <w:sz w:val="18"/>
            <w:szCs w:val="18"/>
          </w:rPr>
          <w:t>https://doi.org/10.1002/14651858.CD015017.pub2</w:t>
        </w:r>
      </w:hyperlink>
      <w:r w:rsidRPr="005618B0">
        <w:rPr>
          <w:sz w:val="18"/>
          <w:szCs w:val="18"/>
        </w:rPr>
        <w:t xml:space="preserve"> </w:t>
      </w:r>
    </w:p>
  </w:footnote>
  <w:footnote w:id="27">
    <w:p w14:paraId="2B102063" w14:textId="031C7EFF" w:rsidR="00FC492B" w:rsidRPr="005618B0" w:rsidRDefault="00FC492B">
      <w:pPr>
        <w:pStyle w:val="FootnoteText"/>
        <w:rPr>
          <w:sz w:val="18"/>
          <w:szCs w:val="18"/>
        </w:rPr>
      </w:pPr>
      <w:r w:rsidRPr="005618B0">
        <w:rPr>
          <w:rStyle w:val="FootnoteReference"/>
          <w:sz w:val="18"/>
          <w:szCs w:val="18"/>
        </w:rPr>
        <w:footnoteRef/>
      </w:r>
      <w:r w:rsidRPr="005618B0">
        <w:rPr>
          <w:sz w:val="18"/>
          <w:szCs w:val="18"/>
        </w:rPr>
        <w:t xml:space="preserve"> </w:t>
      </w:r>
      <w:hyperlink r:id="rId9" w:history="1">
        <w:r w:rsidRPr="005618B0">
          <w:rPr>
            <w:rStyle w:val="Hyperlink"/>
            <w:sz w:val="18"/>
            <w:szCs w:val="18"/>
          </w:rPr>
          <w:t>COVID-19 vaccination – vaccination data – 24 March 2023 | Australian Government Department of Health and Aged Care</w:t>
        </w:r>
      </w:hyperlink>
    </w:p>
  </w:footnote>
  <w:footnote w:id="28">
    <w:p w14:paraId="74B3D2ED" w14:textId="77777777" w:rsidR="00AB26C3" w:rsidRPr="00403557" w:rsidRDefault="00AB26C3" w:rsidP="00AB26C3">
      <w:pPr>
        <w:autoSpaceDE w:val="0"/>
        <w:autoSpaceDN w:val="0"/>
        <w:adjustRightInd w:val="0"/>
        <w:spacing w:before="0" w:after="0" w:line="240" w:lineRule="auto"/>
        <w:rPr>
          <w:rFonts w:asciiTheme="minorHAnsi" w:hAnsiTheme="minorHAnsi" w:cs="GuardianSansGR-Regular"/>
          <w:color w:val="000000"/>
          <w:sz w:val="18"/>
          <w:szCs w:val="18"/>
          <w:lang w:eastAsia="en-AU"/>
        </w:rPr>
      </w:pPr>
      <w:r w:rsidRPr="005618B0">
        <w:rPr>
          <w:rStyle w:val="FootnoteReference"/>
          <w:rFonts w:asciiTheme="minorHAnsi" w:hAnsiTheme="minorHAnsi"/>
          <w:sz w:val="18"/>
          <w:szCs w:val="18"/>
        </w:rPr>
        <w:footnoteRef/>
      </w:r>
      <w:r w:rsidRPr="005618B0">
        <w:rPr>
          <w:rFonts w:asciiTheme="minorHAnsi" w:hAnsiTheme="minorHAnsi"/>
          <w:sz w:val="18"/>
          <w:szCs w:val="18"/>
        </w:rPr>
        <w:t xml:space="preserve"> </w:t>
      </w:r>
      <w:r w:rsidRPr="005618B0">
        <w:rPr>
          <w:rFonts w:asciiTheme="minorHAnsi" w:hAnsiTheme="minorHAnsi" w:cs="GuardianSansGR-Regular"/>
          <w:color w:val="000000"/>
          <w:sz w:val="18"/>
          <w:szCs w:val="18"/>
          <w:lang w:eastAsia="en-AU"/>
        </w:rPr>
        <w:t xml:space="preserve">Gandhi RT, Malani PN, Del Rio C. COVID-19 therapeutics for nonhospitalized patients. </w:t>
      </w:r>
      <w:r w:rsidRPr="005618B0">
        <w:rPr>
          <w:rFonts w:asciiTheme="minorHAnsi" w:hAnsiTheme="minorHAnsi" w:cs="GuardianSans-RegularIt"/>
          <w:i/>
          <w:iCs/>
          <w:color w:val="000000"/>
          <w:sz w:val="18"/>
          <w:szCs w:val="18"/>
          <w:lang w:eastAsia="en-AU"/>
        </w:rPr>
        <w:t>JAMA</w:t>
      </w:r>
      <w:r w:rsidRPr="005618B0">
        <w:rPr>
          <w:rFonts w:asciiTheme="minorHAnsi" w:hAnsiTheme="minorHAnsi" w:cs="GuardianSansGR-Regular"/>
          <w:color w:val="000000"/>
          <w:sz w:val="18"/>
          <w:szCs w:val="18"/>
          <w:lang w:eastAsia="en-AU"/>
        </w:rPr>
        <w:t>. 2022;327(7):617-618. doi:</w:t>
      </w:r>
      <w:r w:rsidRPr="005618B0">
        <w:rPr>
          <w:rFonts w:asciiTheme="minorHAnsi" w:hAnsiTheme="minorHAnsi" w:cs="GuardianSansGR-Regular"/>
          <w:color w:val="1F3BFF"/>
          <w:sz w:val="18"/>
          <w:szCs w:val="18"/>
          <w:lang w:eastAsia="en-AU"/>
        </w:rPr>
        <w:t>10.1001/jama.2022.0335</w:t>
      </w:r>
    </w:p>
  </w:footnote>
  <w:footnote w:id="29">
    <w:p w14:paraId="76AAC449" w14:textId="49B888F6" w:rsidR="00115645" w:rsidRPr="00403557" w:rsidRDefault="00115645">
      <w:pPr>
        <w:pStyle w:val="FootnoteText"/>
        <w:rPr>
          <w:rFonts w:asciiTheme="minorHAnsi" w:hAnsiTheme="minorHAnsi"/>
          <w:sz w:val="18"/>
          <w:szCs w:val="18"/>
        </w:rPr>
      </w:pPr>
      <w:r w:rsidRPr="00403557">
        <w:rPr>
          <w:rStyle w:val="FootnoteReference"/>
          <w:rFonts w:asciiTheme="minorHAnsi" w:hAnsiTheme="minorHAnsi"/>
          <w:sz w:val="18"/>
          <w:szCs w:val="18"/>
        </w:rPr>
        <w:footnoteRef/>
      </w:r>
      <w:r w:rsidRPr="00403557">
        <w:rPr>
          <w:rFonts w:asciiTheme="minorHAnsi" w:hAnsi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30">
    <w:p w14:paraId="501C2AC4" w14:textId="3A0FCE82" w:rsidR="005D1F55" w:rsidRDefault="005D1F55">
      <w:pPr>
        <w:pStyle w:val="FootnoteText"/>
      </w:pPr>
      <w:r>
        <w:rPr>
          <w:rStyle w:val="FootnoteReference"/>
        </w:rPr>
        <w:footnoteRef/>
      </w:r>
      <w:r>
        <w:t xml:space="preserve"> </w:t>
      </w:r>
      <w:r w:rsidRPr="005D1F55">
        <w:rPr>
          <w:sz w:val="18"/>
          <w:szCs w:val="18"/>
        </w:rPr>
        <w:t>Proposed additions are shown in green underlined font, proposed deletions are shown in red strikethrough font, and text without this formatting represents the current text in the Poisons Standard.</w:t>
      </w:r>
    </w:p>
  </w:footnote>
  <w:footnote w:id="31">
    <w:p w14:paraId="234DD374" w14:textId="734AF3AE" w:rsidR="00B64710" w:rsidRDefault="00B64710">
      <w:pPr>
        <w:pStyle w:val="FootnoteText"/>
      </w:pPr>
      <w:r>
        <w:rPr>
          <w:rStyle w:val="FootnoteReference"/>
        </w:rPr>
        <w:footnoteRef/>
      </w:r>
      <w:r>
        <w:t xml:space="preserve"> </w:t>
      </w:r>
      <w:r w:rsidRPr="005D1F55">
        <w:rPr>
          <w:sz w:val="18"/>
          <w:szCs w:val="18"/>
        </w:rPr>
        <w:t>Proposed additions are shown in green underlined font, proposed deletions are shown in red strikethrough font, and text without this formatting represents the current text in the Poisons Standard.</w:t>
      </w:r>
    </w:p>
  </w:footnote>
  <w:footnote w:id="32">
    <w:p w14:paraId="31EDBB20" w14:textId="7B94E1AE" w:rsidR="009345DE" w:rsidRPr="009345DE" w:rsidRDefault="009345DE">
      <w:pPr>
        <w:pStyle w:val="FootnoteText"/>
        <w:rPr>
          <w:sz w:val="16"/>
          <w:szCs w:val="16"/>
        </w:rPr>
      </w:pPr>
      <w:r w:rsidRPr="009345DE">
        <w:rPr>
          <w:rStyle w:val="FootnoteReference"/>
          <w:sz w:val="16"/>
          <w:szCs w:val="16"/>
        </w:rPr>
        <w:footnoteRef/>
      </w:r>
      <w:r w:rsidRPr="009345DE">
        <w:rPr>
          <w:sz w:val="16"/>
          <w:szCs w:val="16"/>
        </w:rPr>
        <w:t xml:space="preserve"> </w:t>
      </w:r>
      <w:hyperlink r:id="rId10" w:history="1">
        <w:r w:rsidRPr="009345DE">
          <w:rPr>
            <w:rStyle w:val="Hyperlink"/>
            <w:sz w:val="16"/>
            <w:szCs w:val="16"/>
          </w:rPr>
          <w:t>Final-Literature-Review-Report_at.pdf (nps.org.au)</w:t>
        </w:r>
      </w:hyperlink>
    </w:p>
  </w:footnote>
  <w:footnote w:id="33">
    <w:p w14:paraId="48FDA779" w14:textId="7FCB5684" w:rsidR="009345DE" w:rsidRPr="009345DE" w:rsidRDefault="009345DE">
      <w:pPr>
        <w:pStyle w:val="FootnoteText"/>
        <w:rPr>
          <w:sz w:val="16"/>
          <w:szCs w:val="16"/>
        </w:rPr>
      </w:pPr>
      <w:r w:rsidRPr="009345DE">
        <w:rPr>
          <w:rStyle w:val="FootnoteReference"/>
          <w:sz w:val="16"/>
          <w:szCs w:val="16"/>
        </w:rPr>
        <w:footnoteRef/>
      </w:r>
      <w:r w:rsidRPr="009345DE">
        <w:rPr>
          <w:sz w:val="16"/>
          <w:szCs w:val="16"/>
        </w:rPr>
        <w:t xml:space="preserve"> McManus, E., S. McCarthy, R. Carson, and L. J. Sahm. 2018. 'Impact of a Universal Medication Schedule on rationalising and understanding of medication; a randomised controlled trial', Res Social Adm Pharm, 14: 831-38.</w:t>
      </w:r>
    </w:p>
  </w:footnote>
  <w:footnote w:id="34">
    <w:p w14:paraId="57D255ED" w14:textId="524F98EA" w:rsidR="009345DE" w:rsidRPr="009345DE" w:rsidRDefault="009345DE">
      <w:pPr>
        <w:pStyle w:val="FootnoteText"/>
        <w:rPr>
          <w:sz w:val="16"/>
          <w:szCs w:val="16"/>
        </w:rPr>
      </w:pPr>
      <w:r w:rsidRPr="009345DE">
        <w:rPr>
          <w:rStyle w:val="FootnoteReference"/>
          <w:sz w:val="16"/>
          <w:szCs w:val="16"/>
        </w:rPr>
        <w:footnoteRef/>
      </w:r>
      <w:r w:rsidRPr="009345DE">
        <w:rPr>
          <w:sz w:val="16"/>
          <w:szCs w:val="16"/>
        </w:rPr>
        <w:t xml:space="preserve"> </w:t>
      </w:r>
      <w:hyperlink r:id="rId11" w:history="1">
        <w:r w:rsidRPr="009345DE">
          <w:rPr>
            <w:rStyle w:val="Hyperlink"/>
            <w:sz w:val="16"/>
            <w:szCs w:val="16"/>
          </w:rPr>
          <w:t>Survey finds millions of Australians misuse their medicines - NPS MedicineWise</w:t>
        </w:r>
      </w:hyperlink>
    </w:p>
  </w:footnote>
  <w:footnote w:id="35">
    <w:p w14:paraId="067FD5A1" w14:textId="77777777" w:rsidR="00730A2F" w:rsidRPr="00C83855" w:rsidRDefault="00730A2F" w:rsidP="00730A2F">
      <w:pPr>
        <w:pStyle w:val="FootnoteText"/>
        <w:rPr>
          <w:sz w:val="16"/>
          <w:szCs w:val="16"/>
        </w:rPr>
      </w:pPr>
      <w:r w:rsidRPr="00C83855">
        <w:rPr>
          <w:rStyle w:val="FootnoteReference"/>
          <w:sz w:val="16"/>
          <w:szCs w:val="16"/>
        </w:rPr>
        <w:footnoteRef/>
      </w:r>
      <w:r w:rsidRPr="00C83855">
        <w:rPr>
          <w:sz w:val="16"/>
          <w:szCs w:val="16"/>
        </w:rPr>
        <w:t xml:space="preserve"> </w:t>
      </w:r>
      <w:hyperlink r:id="rId12" w:history="1">
        <w:r w:rsidRPr="00C83855">
          <w:rPr>
            <w:rStyle w:val="Hyperlink"/>
            <w:sz w:val="16"/>
            <w:szCs w:val="16"/>
          </w:rPr>
          <w:t>https://onlinelibrary.wiley.com/doi/epdf/10.1111/1753-6405.12589</w:t>
        </w:r>
      </w:hyperlink>
      <w:r w:rsidRPr="00C83855">
        <w:rPr>
          <w:sz w:val="16"/>
          <w:szCs w:val="16"/>
        </w:rPr>
        <w:t xml:space="preserve"> </w:t>
      </w:r>
    </w:p>
  </w:footnote>
  <w:footnote w:id="36">
    <w:p w14:paraId="21F3A4AF" w14:textId="77777777" w:rsidR="00751AFD" w:rsidRPr="00C83855" w:rsidRDefault="00751AFD" w:rsidP="00751AFD">
      <w:pPr>
        <w:pStyle w:val="FootnoteText"/>
        <w:rPr>
          <w:sz w:val="16"/>
          <w:szCs w:val="16"/>
        </w:rPr>
      </w:pPr>
      <w:r w:rsidRPr="00C83855">
        <w:rPr>
          <w:rStyle w:val="FootnoteReference"/>
          <w:sz w:val="16"/>
          <w:szCs w:val="16"/>
        </w:rPr>
        <w:footnoteRef/>
      </w:r>
      <w:r w:rsidRPr="00C83855">
        <w:rPr>
          <w:sz w:val="16"/>
          <w:szCs w:val="16"/>
        </w:rPr>
        <w:t xml:space="preserve"> </w:t>
      </w:r>
      <w:hyperlink r:id="rId13" w:history="1">
        <w:r w:rsidRPr="00C83855">
          <w:rPr>
            <w:rStyle w:val="Hyperlink"/>
            <w:sz w:val="16"/>
            <w:szCs w:val="16"/>
          </w:rPr>
          <w:t>https://academic.oup.com/ijpp/article/18/1/63/6130463</w:t>
        </w:r>
      </w:hyperlink>
      <w:r w:rsidRPr="00C83855">
        <w:rPr>
          <w:sz w:val="16"/>
          <w:szCs w:val="16"/>
        </w:rPr>
        <w:t xml:space="preserve"> </w:t>
      </w:r>
    </w:p>
  </w:footnote>
  <w:footnote w:id="37">
    <w:p w14:paraId="00FFD96C" w14:textId="2ADFCC24" w:rsidR="004A03D8" w:rsidRPr="004A03D8" w:rsidRDefault="004A03D8">
      <w:pPr>
        <w:pStyle w:val="FootnoteText"/>
        <w:rPr>
          <w:sz w:val="16"/>
          <w:szCs w:val="16"/>
        </w:rPr>
      </w:pPr>
      <w:r w:rsidRPr="004A03D8">
        <w:rPr>
          <w:rStyle w:val="FootnoteReference"/>
          <w:sz w:val="16"/>
          <w:szCs w:val="16"/>
        </w:rPr>
        <w:footnoteRef/>
      </w:r>
      <w:r w:rsidRPr="004A03D8">
        <w:rPr>
          <w:sz w:val="16"/>
          <w:szCs w:val="16"/>
        </w:rPr>
        <w:t xml:space="preserve"> </w:t>
      </w:r>
      <w:hyperlink r:id="rId14" w:history="1">
        <w:r w:rsidRPr="004A03D8">
          <w:rPr>
            <w:rStyle w:val="Hyperlink"/>
            <w:sz w:val="16"/>
            <w:szCs w:val="16"/>
          </w:rPr>
          <w:t>The use of the term 'chronic pain' in clinical practice | JPR (dovepress.com)</w:t>
        </w:r>
      </w:hyperlink>
    </w:p>
  </w:footnote>
  <w:footnote w:id="38">
    <w:p w14:paraId="2B87C03A" w14:textId="65E4C439" w:rsidR="004A03D8" w:rsidRPr="004A03D8" w:rsidRDefault="004A03D8">
      <w:pPr>
        <w:pStyle w:val="FootnoteText"/>
        <w:rPr>
          <w:sz w:val="16"/>
          <w:szCs w:val="16"/>
        </w:rPr>
      </w:pPr>
      <w:r w:rsidRPr="004A03D8">
        <w:rPr>
          <w:rStyle w:val="FootnoteReference"/>
          <w:sz w:val="16"/>
          <w:szCs w:val="16"/>
        </w:rPr>
        <w:footnoteRef/>
      </w:r>
      <w:r w:rsidRPr="004A03D8">
        <w:rPr>
          <w:sz w:val="16"/>
          <w:szCs w:val="16"/>
        </w:rPr>
        <w:t xml:space="preserve"> Underline added for emphasis</w:t>
      </w:r>
    </w:p>
  </w:footnote>
  <w:footnote w:id="39">
    <w:p w14:paraId="2446FA8A" w14:textId="42B3B671" w:rsidR="00A6328A" w:rsidRPr="00A6328A" w:rsidRDefault="00A6328A">
      <w:pPr>
        <w:pStyle w:val="FootnoteText"/>
        <w:rPr>
          <w:sz w:val="16"/>
          <w:szCs w:val="16"/>
        </w:rPr>
      </w:pPr>
      <w:r w:rsidRPr="00A6328A">
        <w:rPr>
          <w:rStyle w:val="FootnoteReference"/>
          <w:sz w:val="16"/>
          <w:szCs w:val="16"/>
        </w:rPr>
        <w:footnoteRef/>
      </w:r>
      <w:r w:rsidRPr="00A6328A">
        <w:rPr>
          <w:sz w:val="16"/>
          <w:szCs w:val="16"/>
        </w:rPr>
        <w:t xml:space="preserve"> </w:t>
      </w:r>
      <w:hyperlink r:id="rId15" w:history="1">
        <w:r w:rsidRPr="00A6328A">
          <w:rPr>
            <w:rStyle w:val="Hyperlink"/>
            <w:sz w:val="16"/>
            <w:szCs w:val="16"/>
          </w:rPr>
          <w:t>Definitions of Chronic Pain Syndromes - International Association for the Study of Pain (IASP) (iasp-pain.org)</w:t>
        </w:r>
      </w:hyperlink>
    </w:p>
  </w:footnote>
  <w:footnote w:id="40">
    <w:p w14:paraId="386DF19E" w14:textId="77777777" w:rsidR="004A03D8" w:rsidRPr="00C83855" w:rsidRDefault="004A03D8" w:rsidP="004A03D8">
      <w:pPr>
        <w:pStyle w:val="FootnoteText"/>
        <w:rPr>
          <w:sz w:val="16"/>
          <w:szCs w:val="16"/>
        </w:rPr>
      </w:pPr>
      <w:r w:rsidRPr="00C83855">
        <w:rPr>
          <w:rStyle w:val="FootnoteReference"/>
          <w:sz w:val="16"/>
          <w:szCs w:val="16"/>
        </w:rPr>
        <w:footnoteRef/>
      </w:r>
      <w:r w:rsidRPr="00C83855">
        <w:rPr>
          <w:sz w:val="16"/>
          <w:szCs w:val="16"/>
        </w:rPr>
        <w:t xml:space="preserve"> </w:t>
      </w:r>
      <w:hyperlink r:id="rId16" w:history="1">
        <w:r w:rsidRPr="00C83855">
          <w:rPr>
            <w:rStyle w:val="Hyperlink"/>
            <w:sz w:val="16"/>
            <w:szCs w:val="16"/>
          </w:rPr>
          <w:t>https://www.aihw.gov.au/reports/chronic-disease/chronic-pain-in-australia/summary</w:t>
        </w:r>
      </w:hyperlink>
      <w:r w:rsidRPr="00C83855">
        <w:rPr>
          <w:sz w:val="16"/>
          <w:szCs w:val="16"/>
        </w:rPr>
        <w:t xml:space="preserve"> </w:t>
      </w:r>
    </w:p>
  </w:footnote>
  <w:footnote w:id="41">
    <w:p w14:paraId="10E12820" w14:textId="77777777" w:rsidR="004A03D8" w:rsidRPr="00C83855" w:rsidRDefault="004A03D8" w:rsidP="004A03D8">
      <w:pPr>
        <w:pStyle w:val="FootnoteText"/>
        <w:rPr>
          <w:sz w:val="16"/>
          <w:szCs w:val="16"/>
        </w:rPr>
      </w:pPr>
      <w:r w:rsidRPr="00C83855">
        <w:rPr>
          <w:rStyle w:val="FootnoteReference"/>
          <w:sz w:val="16"/>
          <w:szCs w:val="16"/>
        </w:rPr>
        <w:footnoteRef/>
      </w:r>
      <w:r w:rsidRPr="00C83855">
        <w:rPr>
          <w:sz w:val="16"/>
          <w:szCs w:val="16"/>
        </w:rPr>
        <w:t xml:space="preserve"> </w:t>
      </w:r>
      <w:hyperlink r:id="rId17" w:history="1">
        <w:r w:rsidRPr="00C83855">
          <w:rPr>
            <w:rStyle w:val="Hyperlink"/>
            <w:sz w:val="16"/>
            <w:szCs w:val="16"/>
          </w:rPr>
          <w:t>https://www.betterhealth.vic.gov.au/health/conditionsandtreatments/Living-with-persistent-pain</w:t>
        </w:r>
      </w:hyperlink>
      <w:r w:rsidRPr="00C83855">
        <w:rPr>
          <w:sz w:val="16"/>
          <w:szCs w:val="16"/>
        </w:rPr>
        <w:t xml:space="preserve"> </w:t>
      </w:r>
    </w:p>
  </w:footnote>
  <w:footnote w:id="42">
    <w:p w14:paraId="7ACEE9EB" w14:textId="77777777" w:rsidR="004A03D8" w:rsidRPr="00C83855" w:rsidRDefault="004A03D8" w:rsidP="004A03D8">
      <w:pPr>
        <w:pStyle w:val="FootnoteText"/>
        <w:rPr>
          <w:sz w:val="16"/>
          <w:szCs w:val="16"/>
        </w:rPr>
      </w:pPr>
      <w:r w:rsidRPr="00C83855">
        <w:rPr>
          <w:rStyle w:val="FootnoteReference"/>
          <w:sz w:val="16"/>
          <w:szCs w:val="16"/>
        </w:rPr>
        <w:footnoteRef/>
      </w:r>
      <w:r w:rsidRPr="00C83855">
        <w:rPr>
          <w:sz w:val="16"/>
          <w:szCs w:val="16"/>
        </w:rPr>
        <w:t xml:space="preserve"> </w:t>
      </w:r>
      <w:hyperlink r:id="rId18" w:history="1">
        <w:r w:rsidRPr="00C83855">
          <w:rPr>
            <w:rStyle w:val="Hyperlink"/>
            <w:sz w:val="16"/>
            <w:szCs w:val="16"/>
          </w:rPr>
          <w:t>https://www.healthdirect.gov.au/chronic-pain</w:t>
        </w:r>
      </w:hyperlink>
      <w:r w:rsidRPr="00C83855">
        <w:rPr>
          <w:sz w:val="16"/>
          <w:szCs w:val="16"/>
        </w:rPr>
        <w:t xml:space="preserve"> </w:t>
      </w:r>
    </w:p>
  </w:footnote>
  <w:footnote w:id="43">
    <w:p w14:paraId="1B019416" w14:textId="77777777" w:rsidR="00751AFD" w:rsidRPr="00C83855" w:rsidRDefault="00751AFD" w:rsidP="00751AFD">
      <w:pPr>
        <w:pStyle w:val="FootnoteText"/>
        <w:rPr>
          <w:sz w:val="16"/>
          <w:szCs w:val="16"/>
        </w:rPr>
      </w:pPr>
      <w:r w:rsidRPr="00C83855">
        <w:rPr>
          <w:rStyle w:val="FootnoteReference"/>
          <w:sz w:val="16"/>
          <w:szCs w:val="16"/>
        </w:rPr>
        <w:footnoteRef/>
      </w:r>
      <w:r w:rsidRPr="00C83855">
        <w:rPr>
          <w:sz w:val="16"/>
          <w:szCs w:val="16"/>
        </w:rPr>
        <w:t xml:space="preserve"> </w:t>
      </w:r>
      <w:hyperlink r:id="rId19" w:history="1">
        <w:r w:rsidRPr="00C83855">
          <w:rPr>
            <w:rStyle w:val="Hyperlink"/>
            <w:sz w:val="16"/>
            <w:szCs w:val="16"/>
          </w:rPr>
          <w:t>https://www.nhsinform.scot/illnesses-and-conditions/brain-nerves-and-spinal-cord/chronic-pain</w:t>
        </w:r>
      </w:hyperlink>
      <w:r w:rsidRPr="00C83855">
        <w:rPr>
          <w:sz w:val="16"/>
          <w:szCs w:val="16"/>
        </w:rPr>
        <w:t xml:space="preserve"> </w:t>
      </w:r>
    </w:p>
  </w:footnote>
  <w:footnote w:id="44">
    <w:p w14:paraId="3B309509" w14:textId="77777777" w:rsidR="00751AFD" w:rsidRPr="00C83855" w:rsidRDefault="00751AFD" w:rsidP="00751AFD">
      <w:pPr>
        <w:pStyle w:val="FootnoteText"/>
        <w:rPr>
          <w:sz w:val="16"/>
          <w:szCs w:val="16"/>
        </w:rPr>
      </w:pPr>
      <w:r w:rsidRPr="00C83855">
        <w:rPr>
          <w:rStyle w:val="FootnoteReference"/>
          <w:sz w:val="16"/>
          <w:szCs w:val="16"/>
        </w:rPr>
        <w:footnoteRef/>
      </w:r>
      <w:r w:rsidRPr="00C83855">
        <w:rPr>
          <w:sz w:val="16"/>
          <w:szCs w:val="16"/>
        </w:rPr>
        <w:t xml:space="preserve"> </w:t>
      </w:r>
      <w:hyperlink r:id="rId20" w:history="1">
        <w:r w:rsidRPr="00C83855">
          <w:rPr>
            <w:rStyle w:val="Hyperlink"/>
            <w:sz w:val="16"/>
            <w:szCs w:val="16"/>
          </w:rPr>
          <w:t>https://www.painaustralia.org.au/about-pain/painaustralia-what-is-pain</w:t>
        </w:r>
      </w:hyperlink>
      <w:r w:rsidRPr="00C83855">
        <w:rPr>
          <w:sz w:val="16"/>
          <w:szCs w:val="16"/>
        </w:rPr>
        <w:t xml:space="preserve"> </w:t>
      </w:r>
    </w:p>
  </w:footnote>
  <w:footnote w:id="45">
    <w:p w14:paraId="28B7E41F" w14:textId="02907502" w:rsidR="005D1F55" w:rsidRDefault="005D1F55">
      <w:pPr>
        <w:pStyle w:val="FootnoteText"/>
      </w:pPr>
      <w:r>
        <w:rPr>
          <w:rStyle w:val="FootnoteReference"/>
        </w:rPr>
        <w:footnoteRef/>
      </w:r>
      <w:r>
        <w:t xml:space="preserve"> </w:t>
      </w:r>
      <w:r w:rsidRPr="005D1F55">
        <w:rPr>
          <w:sz w:val="18"/>
          <w:szCs w:val="18"/>
        </w:rPr>
        <w:t>Proposed additions are shown in green underlined font, proposed deletions are shown in red strikethrough font, and text without this formatting represents the current text in the Poisons Standard.</w:t>
      </w:r>
    </w:p>
  </w:footnote>
  <w:footnote w:id="46">
    <w:p w14:paraId="79F15CBB" w14:textId="033EE8EF" w:rsidR="007517C9" w:rsidRPr="005D1F55" w:rsidRDefault="007517C9">
      <w:pPr>
        <w:pStyle w:val="FootnoteText"/>
        <w:rPr>
          <w:sz w:val="18"/>
          <w:szCs w:val="18"/>
        </w:rPr>
      </w:pPr>
      <w:r w:rsidRPr="005D1F55">
        <w:rPr>
          <w:rStyle w:val="FootnoteReference"/>
          <w:sz w:val="18"/>
          <w:szCs w:val="18"/>
        </w:rPr>
        <w:footnoteRef/>
      </w:r>
      <w:r w:rsidRPr="005D1F55">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47">
    <w:p w14:paraId="02BCD4CD" w14:textId="1ED6F54D" w:rsidR="007517C9" w:rsidRDefault="007517C9">
      <w:pPr>
        <w:pStyle w:val="FootnoteText"/>
      </w:pPr>
      <w:r>
        <w:rPr>
          <w:rStyle w:val="FootnoteReference"/>
        </w:rPr>
        <w:footnoteRef/>
      </w:r>
      <w:r>
        <w:t xml:space="preserve"> </w:t>
      </w:r>
      <w:r w:rsidRPr="00BF43F0">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14CE" w14:textId="60332676" w:rsidR="00E40BD2" w:rsidRDefault="00E04ABD" w:rsidP="006E08B3">
    <w:pPr>
      <w:rPr>
        <w:noProof/>
      </w:rPr>
    </w:pPr>
    <w:r w:rsidRPr="00F3255D">
      <w:rPr>
        <w:noProof/>
        <w:lang w:eastAsia="en-AU"/>
      </w:rPr>
      <w:drawing>
        <wp:anchor distT="0" distB="0" distL="114300" distR="114300" simplePos="0" relativeHeight="251664384" behindDoc="0" locked="0" layoutInCell="1" allowOverlap="1" wp14:anchorId="25575D01" wp14:editId="60006046">
          <wp:simplePos x="0" y="0"/>
          <wp:positionH relativeFrom="column">
            <wp:posOffset>-194310</wp:posOffset>
          </wp:positionH>
          <wp:positionV relativeFrom="paragraph">
            <wp:posOffset>133350</wp:posOffset>
          </wp:positionV>
          <wp:extent cx="3524400" cy="8208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E47A24" w14:textId="29E36093" w:rsidR="00E40BD2" w:rsidRDefault="00317355" w:rsidP="006D03E5">
    <w:r>
      <w:rPr>
        <w:noProof/>
        <w:lang w:eastAsia="en-AU"/>
      </w:rPr>
      <w:drawing>
        <wp:anchor distT="0" distB="0" distL="114300" distR="114300" simplePos="0" relativeHeight="251666432" behindDoc="0" locked="0" layoutInCell="0" allowOverlap="1" wp14:anchorId="12FCA66C" wp14:editId="12C02F8A">
          <wp:simplePos x="0" y="0"/>
          <wp:positionH relativeFrom="column">
            <wp:posOffset>-900430</wp:posOffset>
          </wp:positionH>
          <wp:positionV relativeFrom="page">
            <wp:posOffset>4173220</wp:posOffset>
          </wp:positionV>
          <wp:extent cx="7599600" cy="2458800"/>
          <wp:effectExtent l="0" t="0" r="1905" b="0"/>
          <wp:wrapNone/>
          <wp:docPr id="8"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4" w:space="0" w:color="auto"/>
      </w:tblBorders>
      <w:tblCellMar>
        <w:left w:w="0" w:type="dxa"/>
        <w:right w:w="0" w:type="dxa"/>
      </w:tblCellMar>
      <w:tblLook w:val="04A0" w:firstRow="1" w:lastRow="0" w:firstColumn="1" w:lastColumn="0" w:noHBand="0" w:noVBand="1"/>
    </w:tblPr>
    <w:tblGrid>
      <w:gridCol w:w="4035"/>
      <w:gridCol w:w="5037"/>
    </w:tblGrid>
    <w:tr w:rsidR="00E40BD2" w:rsidRPr="00DA24C7" w14:paraId="7C724D59" w14:textId="77777777" w:rsidTr="00AE3703">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5037" w:type="dxa"/>
          <w:vAlign w:val="center"/>
        </w:tcPr>
        <w:p w14:paraId="3A7D855E" w14:textId="77777777" w:rsidR="00E40BD2" w:rsidRPr="000F5176" w:rsidRDefault="00E40BD2" w:rsidP="00AE3703">
          <w:pPr>
            <w:pStyle w:val="HeaderNoLine"/>
            <w:ind w:right="5"/>
            <w:rPr>
              <w:rStyle w:val="HeaderChar"/>
            </w:rPr>
          </w:pPr>
          <w:r w:rsidRPr="000F5176">
            <w:t>Therapeutic Goods Administration</w:t>
          </w:r>
        </w:p>
      </w:tc>
    </w:tr>
  </w:tbl>
  <w:p w14:paraId="480E463E" w14:textId="77777777" w:rsidR="00E40BD2" w:rsidRDefault="00E40BD2"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7" w:type="dxa"/>
      <w:tblBorders>
        <w:bottom w:val="single" w:sz="4" w:space="0" w:color="auto"/>
      </w:tblBorders>
      <w:tblCellMar>
        <w:left w:w="0" w:type="dxa"/>
        <w:right w:w="0" w:type="dxa"/>
      </w:tblCellMar>
      <w:tblLook w:val="04A0" w:firstRow="1" w:lastRow="0" w:firstColumn="1" w:lastColumn="0" w:noHBand="0" w:noVBand="1"/>
    </w:tblPr>
    <w:tblGrid>
      <w:gridCol w:w="4186"/>
      <w:gridCol w:w="5041"/>
    </w:tblGrid>
    <w:tr w:rsidR="002A7487" w:rsidRPr="00DA24C7" w14:paraId="6195BDC9" w14:textId="77777777" w:rsidTr="00267C17">
      <w:trPr>
        <w:trHeight w:val="588"/>
      </w:trPr>
      <w:tc>
        <w:tcPr>
          <w:tcW w:w="4186" w:type="dxa"/>
          <w:vAlign w:val="center"/>
        </w:tcPr>
        <w:p w14:paraId="6180D540" w14:textId="7975D466" w:rsidR="002A7487" w:rsidRPr="00EB74A7" w:rsidRDefault="002A7487" w:rsidP="002A7487">
          <w:pPr>
            <w:spacing w:before="0" w:after="0"/>
            <w:rPr>
              <w:rStyle w:val="HeaderChar"/>
              <w:rFonts w:ascii="Arial" w:hAnsi="Arial" w:cs="Arial"/>
              <w:b/>
              <w:sz w:val="28"/>
              <w:szCs w:val="28"/>
            </w:rPr>
          </w:pPr>
          <w:bookmarkStart w:id="65" w:name="_Hlk109644329"/>
          <w:bookmarkStart w:id="66" w:name="_Hlk109644330"/>
        </w:p>
      </w:tc>
      <w:tc>
        <w:tcPr>
          <w:tcW w:w="5041" w:type="dxa"/>
          <w:vAlign w:val="center"/>
        </w:tcPr>
        <w:p w14:paraId="2681EE0A" w14:textId="77777777" w:rsidR="002A7487" w:rsidRPr="000F5176" w:rsidRDefault="002A7487" w:rsidP="002A7487">
          <w:pPr>
            <w:pStyle w:val="HeaderNoLine"/>
            <w:spacing w:before="0" w:after="0"/>
            <w:rPr>
              <w:rStyle w:val="HeaderChar"/>
            </w:rPr>
          </w:pPr>
          <w:bookmarkStart w:id="67" w:name="_Hlk109644399"/>
          <w:r w:rsidRPr="000F5176">
            <w:t>Therapeutic Goods Administration</w:t>
          </w:r>
          <w:bookmarkEnd w:id="67"/>
        </w:p>
      </w:tc>
    </w:tr>
    <w:bookmarkEnd w:id="65"/>
    <w:bookmarkEnd w:id="66"/>
  </w:tbl>
  <w:p w14:paraId="3D9C25A3" w14:textId="1D72ED11" w:rsidR="00E40BD2" w:rsidRDefault="00E40BD2" w:rsidP="004E576B">
    <w:pPr>
      <w:tabs>
        <w:tab w:val="left" w:pos="75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ABD74D0"/>
    <w:multiLevelType w:val="hybridMultilevel"/>
    <w:tmpl w:val="848A0344"/>
    <w:lvl w:ilvl="0" w:tplc="4BD20BAA">
      <w:start w:val="1"/>
      <w:numFmt w:val="lowerRoman"/>
      <w:pStyle w:val="ListBulleti"/>
      <w:lvlText w:val="%1)"/>
      <w:lvlJc w:val="left"/>
      <w:pPr>
        <w:ind w:left="2160" w:hanging="360"/>
      </w:pPr>
      <w:rPr>
        <w:rFonts w:hint="default"/>
      </w:rPr>
    </w:lvl>
    <w:lvl w:ilvl="1" w:tplc="01DE2382">
      <w:start w:val="1"/>
      <w:numFmt w:val="upp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2B3C62D3"/>
    <w:multiLevelType w:val="multilevel"/>
    <w:tmpl w:val="EFB45A0E"/>
    <w:lvl w:ilvl="0">
      <w:start w:val="1"/>
      <w:numFmt w:val="bullet"/>
      <w:lvlText w:val=""/>
      <w:lvlJc w:val="left"/>
      <w:pPr>
        <w:tabs>
          <w:tab w:val="num" w:pos="2773"/>
        </w:tabs>
        <w:ind w:left="2773" w:hanging="720"/>
      </w:pPr>
      <w:rPr>
        <w:rFonts w:ascii="Symbol" w:hAnsi="Symbol" w:hint="default"/>
      </w:rPr>
    </w:lvl>
    <w:lvl w:ilvl="1">
      <w:start w:val="1"/>
      <w:numFmt w:val="decimal"/>
      <w:lvlText w:val="%2."/>
      <w:lvlJc w:val="left"/>
      <w:pPr>
        <w:tabs>
          <w:tab w:val="num" w:pos="1367"/>
        </w:tabs>
        <w:ind w:left="1367" w:hanging="720"/>
      </w:pPr>
    </w:lvl>
    <w:lvl w:ilvl="2">
      <w:start w:val="1"/>
      <w:numFmt w:val="decimal"/>
      <w:lvlText w:val="%3."/>
      <w:lvlJc w:val="left"/>
      <w:pPr>
        <w:tabs>
          <w:tab w:val="num" w:pos="2087"/>
        </w:tabs>
        <w:ind w:left="2087" w:hanging="720"/>
      </w:pPr>
    </w:lvl>
    <w:lvl w:ilvl="3">
      <w:start w:val="1"/>
      <w:numFmt w:val="decimal"/>
      <w:lvlText w:val="%4."/>
      <w:lvlJc w:val="left"/>
      <w:pPr>
        <w:tabs>
          <w:tab w:val="num" w:pos="2807"/>
        </w:tabs>
        <w:ind w:left="2807" w:hanging="720"/>
      </w:pPr>
    </w:lvl>
    <w:lvl w:ilvl="4">
      <w:start w:val="1"/>
      <w:numFmt w:val="decimal"/>
      <w:lvlText w:val="%5."/>
      <w:lvlJc w:val="left"/>
      <w:pPr>
        <w:tabs>
          <w:tab w:val="num" w:pos="3527"/>
        </w:tabs>
        <w:ind w:left="3527" w:hanging="720"/>
      </w:pPr>
    </w:lvl>
    <w:lvl w:ilvl="5">
      <w:start w:val="1"/>
      <w:numFmt w:val="decimal"/>
      <w:lvlText w:val="%6."/>
      <w:lvlJc w:val="left"/>
      <w:pPr>
        <w:tabs>
          <w:tab w:val="num" w:pos="4247"/>
        </w:tabs>
        <w:ind w:left="4247" w:hanging="720"/>
      </w:pPr>
    </w:lvl>
    <w:lvl w:ilvl="6">
      <w:start w:val="1"/>
      <w:numFmt w:val="decimal"/>
      <w:lvlText w:val="%7."/>
      <w:lvlJc w:val="left"/>
      <w:pPr>
        <w:tabs>
          <w:tab w:val="num" w:pos="4967"/>
        </w:tabs>
        <w:ind w:left="4967" w:hanging="720"/>
      </w:pPr>
    </w:lvl>
    <w:lvl w:ilvl="7">
      <w:start w:val="1"/>
      <w:numFmt w:val="decimal"/>
      <w:lvlText w:val="%8."/>
      <w:lvlJc w:val="left"/>
      <w:pPr>
        <w:tabs>
          <w:tab w:val="num" w:pos="5687"/>
        </w:tabs>
        <w:ind w:left="5687" w:hanging="720"/>
      </w:pPr>
    </w:lvl>
    <w:lvl w:ilvl="8">
      <w:start w:val="1"/>
      <w:numFmt w:val="decimal"/>
      <w:lvlText w:val="%9."/>
      <w:lvlJc w:val="left"/>
      <w:pPr>
        <w:tabs>
          <w:tab w:val="num" w:pos="6407"/>
        </w:tabs>
        <w:ind w:left="6407" w:hanging="720"/>
      </w:pPr>
    </w:lvl>
  </w:abstractNum>
  <w:abstractNum w:abstractNumId="6" w15:restartNumberingAfterBreak="0">
    <w:nsid w:val="2E924211"/>
    <w:multiLevelType w:val="hybridMultilevel"/>
    <w:tmpl w:val="013A6546"/>
    <w:lvl w:ilvl="0" w:tplc="B22009C0">
      <w:start w:val="1"/>
      <w:numFmt w:val="lowerLetter"/>
      <w:pStyle w:val="ListBulleta"/>
      <w:lvlText w:val="%1)"/>
      <w:lvlJc w:val="left"/>
      <w:pPr>
        <w:ind w:left="1800" w:hanging="360"/>
      </w:pPr>
      <w:rPr>
        <w:rFonts w:hint="default"/>
      </w:rPr>
    </w:lvl>
    <w:lvl w:ilvl="1" w:tplc="01DE2382">
      <w:start w:val="1"/>
      <w:numFmt w:val="upp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31316E4E"/>
    <w:multiLevelType w:val="multilevel"/>
    <w:tmpl w:val="D79C3B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EA795D"/>
    <w:multiLevelType w:val="multilevel"/>
    <w:tmpl w:val="8DBE3E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81B284D"/>
    <w:multiLevelType w:val="multilevel"/>
    <w:tmpl w:val="AE44EA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B616D4"/>
    <w:multiLevelType w:val="hybridMultilevel"/>
    <w:tmpl w:val="0B729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195711"/>
    <w:multiLevelType w:val="hybridMultilevel"/>
    <w:tmpl w:val="9C2A72A8"/>
    <w:lvl w:ilvl="0" w:tplc="2CF89124">
      <w:start w:val="3"/>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41178A"/>
    <w:multiLevelType w:val="hybridMultilevel"/>
    <w:tmpl w:val="134A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F12155"/>
    <w:multiLevelType w:val="multilevel"/>
    <w:tmpl w:val="EFB45A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3C4B5A"/>
    <w:multiLevelType w:val="multilevel"/>
    <w:tmpl w:val="E0220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20E50D2"/>
    <w:multiLevelType w:val="hybridMultilevel"/>
    <w:tmpl w:val="0C4E5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0257DC"/>
    <w:multiLevelType w:val="hybridMultilevel"/>
    <w:tmpl w:val="E4AE7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90438">
    <w:abstractNumId w:val="1"/>
  </w:num>
  <w:num w:numId="2" w16cid:durableId="1152991795">
    <w:abstractNumId w:val="0"/>
  </w:num>
  <w:num w:numId="3" w16cid:durableId="1398895219">
    <w:abstractNumId w:val="1"/>
  </w:num>
  <w:num w:numId="4" w16cid:durableId="1171869286">
    <w:abstractNumId w:val="0"/>
  </w:num>
  <w:num w:numId="5" w16cid:durableId="1186670657">
    <w:abstractNumId w:val="3"/>
  </w:num>
  <w:num w:numId="6" w16cid:durableId="1208494284">
    <w:abstractNumId w:val="2"/>
  </w:num>
  <w:num w:numId="7" w16cid:durableId="1243176743">
    <w:abstractNumId w:val="6"/>
    <w:lvlOverride w:ilvl="0">
      <w:startOverride w:val="1"/>
    </w:lvlOverride>
  </w:num>
  <w:num w:numId="8" w16cid:durableId="304047695">
    <w:abstractNumId w:val="2"/>
    <w:lvlOverride w:ilvl="0">
      <w:startOverride w:val="1"/>
    </w:lvlOverride>
  </w:num>
  <w:num w:numId="9" w16cid:durableId="506285272">
    <w:abstractNumId w:val="16"/>
  </w:num>
  <w:num w:numId="10" w16cid:durableId="718629049">
    <w:abstractNumId w:val="6"/>
    <w:lvlOverride w:ilvl="0">
      <w:startOverride w:val="1"/>
    </w:lvlOverride>
  </w:num>
  <w:num w:numId="11" w16cid:durableId="94251492">
    <w:abstractNumId w:val="2"/>
    <w:lvlOverride w:ilvl="0">
      <w:startOverride w:val="1"/>
    </w:lvlOverride>
  </w:num>
  <w:num w:numId="12" w16cid:durableId="742682911">
    <w:abstractNumId w:val="2"/>
    <w:lvlOverride w:ilvl="0">
      <w:startOverride w:val="1"/>
    </w:lvlOverride>
  </w:num>
  <w:num w:numId="13" w16cid:durableId="1740441043">
    <w:abstractNumId w:val="2"/>
    <w:lvlOverride w:ilvl="0">
      <w:startOverride w:val="1"/>
    </w:lvlOverride>
  </w:num>
  <w:num w:numId="14" w16cid:durableId="1022172226">
    <w:abstractNumId w:val="6"/>
  </w:num>
  <w:num w:numId="15" w16cid:durableId="451900148">
    <w:abstractNumId w:val="6"/>
    <w:lvlOverride w:ilvl="0">
      <w:startOverride w:val="1"/>
    </w:lvlOverride>
  </w:num>
  <w:num w:numId="16" w16cid:durableId="553542583">
    <w:abstractNumId w:val="2"/>
    <w:lvlOverride w:ilvl="0">
      <w:startOverride w:val="1"/>
    </w:lvlOverride>
  </w:num>
  <w:num w:numId="17" w16cid:durableId="276721559">
    <w:abstractNumId w:val="2"/>
    <w:lvlOverride w:ilvl="0">
      <w:startOverride w:val="1"/>
    </w:lvlOverride>
  </w:num>
  <w:num w:numId="18" w16cid:durableId="1335767987">
    <w:abstractNumId w:val="15"/>
  </w:num>
  <w:num w:numId="19" w16cid:durableId="362101384">
    <w:abstractNumId w:val="7"/>
  </w:num>
  <w:num w:numId="20" w16cid:durableId="1656227051">
    <w:abstractNumId w:val="9"/>
  </w:num>
  <w:num w:numId="21" w16cid:durableId="1955210941">
    <w:abstractNumId w:val="12"/>
  </w:num>
  <w:num w:numId="22" w16cid:durableId="706295508">
    <w:abstractNumId w:val="8"/>
  </w:num>
  <w:num w:numId="23" w16cid:durableId="305429364">
    <w:abstractNumId w:val="18"/>
  </w:num>
  <w:num w:numId="24" w16cid:durableId="1514765457">
    <w:abstractNumId w:val="6"/>
    <w:lvlOverride w:ilvl="0">
      <w:startOverride w:val="1"/>
    </w:lvlOverride>
  </w:num>
  <w:num w:numId="25" w16cid:durableId="281805642">
    <w:abstractNumId w:val="6"/>
    <w:lvlOverride w:ilvl="0">
      <w:startOverride w:val="1"/>
    </w:lvlOverride>
  </w:num>
  <w:num w:numId="26" w16cid:durableId="564685206">
    <w:abstractNumId w:val="2"/>
    <w:lvlOverride w:ilvl="0">
      <w:startOverride w:val="1"/>
    </w:lvlOverride>
  </w:num>
  <w:num w:numId="27" w16cid:durableId="1084256530">
    <w:abstractNumId w:val="2"/>
    <w:lvlOverride w:ilvl="0">
      <w:startOverride w:val="1"/>
    </w:lvlOverride>
  </w:num>
  <w:num w:numId="28" w16cid:durableId="275139634">
    <w:abstractNumId w:val="6"/>
    <w:lvlOverride w:ilvl="0">
      <w:startOverride w:val="1"/>
    </w:lvlOverride>
  </w:num>
  <w:num w:numId="29" w16cid:durableId="945190910">
    <w:abstractNumId w:val="2"/>
    <w:lvlOverride w:ilvl="0">
      <w:startOverride w:val="1"/>
    </w:lvlOverride>
  </w:num>
  <w:num w:numId="30" w16cid:durableId="1787038619">
    <w:abstractNumId w:val="17"/>
  </w:num>
  <w:num w:numId="31" w16cid:durableId="1970503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0494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2867697">
    <w:abstractNumId w:val="11"/>
  </w:num>
  <w:num w:numId="34" w16cid:durableId="1070496656">
    <w:abstractNumId w:val="5"/>
  </w:num>
  <w:num w:numId="35" w16cid:durableId="527959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90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854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075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0678409">
    <w:abstractNumId w:val="14"/>
  </w:num>
  <w:num w:numId="40" w16cid:durableId="2104372783">
    <w:abstractNumId w:val="10"/>
  </w:num>
  <w:num w:numId="41" w16cid:durableId="857353170">
    <w:abstractNumId w:val="13"/>
  </w:num>
  <w:num w:numId="42" w16cid:durableId="1678724419">
    <w:abstractNumId w:val="6"/>
    <w:lvlOverride w:ilvl="0">
      <w:startOverride w:val="4"/>
    </w:lvlOverride>
  </w:num>
  <w:num w:numId="43" w16cid:durableId="333456362">
    <w:abstractNumId w:val="6"/>
  </w:num>
  <w:num w:numId="44" w16cid:durableId="1663699112">
    <w:abstractNumId w:val="6"/>
    <w:lvlOverride w:ilvl="0">
      <w:startOverride w:val="1"/>
    </w:lvlOverride>
  </w:num>
  <w:num w:numId="45" w16cid:durableId="2118333411">
    <w:abstractNumId w:val="6"/>
    <w:lvlOverride w:ilvl="0">
      <w:startOverride w:val="1"/>
    </w:lvlOverride>
  </w:num>
  <w:num w:numId="46" w16cid:durableId="319962068">
    <w:abstractNumId w:val="6"/>
    <w:lvlOverride w:ilvl="0">
      <w:startOverride w:val="1"/>
    </w:lvlOverride>
  </w:num>
  <w:num w:numId="47" w16cid:durableId="1951937333">
    <w:abstractNumId w:val="6"/>
    <w:lvlOverride w:ilvl="0">
      <w:startOverride w:val="5"/>
    </w:lvlOverride>
  </w:num>
  <w:num w:numId="48" w16cid:durableId="164045147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48"/>
    <w:rsid w:val="00001B6C"/>
    <w:rsid w:val="00001B7D"/>
    <w:rsid w:val="00002031"/>
    <w:rsid w:val="00003EE4"/>
    <w:rsid w:val="000042DA"/>
    <w:rsid w:val="00004734"/>
    <w:rsid w:val="00006AE7"/>
    <w:rsid w:val="00006B22"/>
    <w:rsid w:val="0001276A"/>
    <w:rsid w:val="00012D9E"/>
    <w:rsid w:val="00023C6E"/>
    <w:rsid w:val="000246AE"/>
    <w:rsid w:val="00025266"/>
    <w:rsid w:val="00025C67"/>
    <w:rsid w:val="000335FC"/>
    <w:rsid w:val="00033F14"/>
    <w:rsid w:val="00041297"/>
    <w:rsid w:val="00042573"/>
    <w:rsid w:val="00044C96"/>
    <w:rsid w:val="000465B5"/>
    <w:rsid w:val="0005081A"/>
    <w:rsid w:val="00052322"/>
    <w:rsid w:val="00053C6C"/>
    <w:rsid w:val="0005559E"/>
    <w:rsid w:val="00056156"/>
    <w:rsid w:val="00057FFC"/>
    <w:rsid w:val="00061765"/>
    <w:rsid w:val="0006427F"/>
    <w:rsid w:val="00065585"/>
    <w:rsid w:val="00065D1A"/>
    <w:rsid w:val="00066848"/>
    <w:rsid w:val="00072D02"/>
    <w:rsid w:val="00074EBD"/>
    <w:rsid w:val="000755F8"/>
    <w:rsid w:val="00077548"/>
    <w:rsid w:val="00077775"/>
    <w:rsid w:val="00083076"/>
    <w:rsid w:val="0008417D"/>
    <w:rsid w:val="00085DD5"/>
    <w:rsid w:val="000860B4"/>
    <w:rsid w:val="000869F6"/>
    <w:rsid w:val="00090471"/>
    <w:rsid w:val="00094063"/>
    <w:rsid w:val="000A0353"/>
    <w:rsid w:val="000A3085"/>
    <w:rsid w:val="000A56BE"/>
    <w:rsid w:val="000A5A2F"/>
    <w:rsid w:val="000B0759"/>
    <w:rsid w:val="000B2A33"/>
    <w:rsid w:val="000B3532"/>
    <w:rsid w:val="000B3A75"/>
    <w:rsid w:val="000B56DE"/>
    <w:rsid w:val="000B5F9B"/>
    <w:rsid w:val="000B604C"/>
    <w:rsid w:val="000B7084"/>
    <w:rsid w:val="000C31F2"/>
    <w:rsid w:val="000C5F0B"/>
    <w:rsid w:val="000C6B99"/>
    <w:rsid w:val="000D0ABB"/>
    <w:rsid w:val="000D2B49"/>
    <w:rsid w:val="000D391B"/>
    <w:rsid w:val="000D3D6D"/>
    <w:rsid w:val="000D45F7"/>
    <w:rsid w:val="000D48FF"/>
    <w:rsid w:val="000D4FC7"/>
    <w:rsid w:val="000E0A0A"/>
    <w:rsid w:val="000F04C4"/>
    <w:rsid w:val="000F3A5D"/>
    <w:rsid w:val="000F40C6"/>
    <w:rsid w:val="000F4869"/>
    <w:rsid w:val="000F5176"/>
    <w:rsid w:val="000F5B42"/>
    <w:rsid w:val="000F6E6F"/>
    <w:rsid w:val="001003F2"/>
    <w:rsid w:val="00101161"/>
    <w:rsid w:val="00101351"/>
    <w:rsid w:val="00101762"/>
    <w:rsid w:val="0010601F"/>
    <w:rsid w:val="00106BF9"/>
    <w:rsid w:val="00110AE1"/>
    <w:rsid w:val="00110EA5"/>
    <w:rsid w:val="001121BD"/>
    <w:rsid w:val="00112440"/>
    <w:rsid w:val="00115240"/>
    <w:rsid w:val="00115645"/>
    <w:rsid w:val="001157F7"/>
    <w:rsid w:val="00116990"/>
    <w:rsid w:val="001169AC"/>
    <w:rsid w:val="00117127"/>
    <w:rsid w:val="00122181"/>
    <w:rsid w:val="00122C10"/>
    <w:rsid w:val="00123BB2"/>
    <w:rsid w:val="00125091"/>
    <w:rsid w:val="00125148"/>
    <w:rsid w:val="00125318"/>
    <w:rsid w:val="0012669D"/>
    <w:rsid w:val="001268BE"/>
    <w:rsid w:val="001305A2"/>
    <w:rsid w:val="00130EB7"/>
    <w:rsid w:val="001327EC"/>
    <w:rsid w:val="00133238"/>
    <w:rsid w:val="0013489A"/>
    <w:rsid w:val="001403DD"/>
    <w:rsid w:val="0014073B"/>
    <w:rsid w:val="00140FE3"/>
    <w:rsid w:val="0014197B"/>
    <w:rsid w:val="00143A0E"/>
    <w:rsid w:val="00143B58"/>
    <w:rsid w:val="001447CD"/>
    <w:rsid w:val="00150A66"/>
    <w:rsid w:val="001516B1"/>
    <w:rsid w:val="001525B4"/>
    <w:rsid w:val="00155651"/>
    <w:rsid w:val="00156316"/>
    <w:rsid w:val="00156847"/>
    <w:rsid w:val="00157601"/>
    <w:rsid w:val="001578C5"/>
    <w:rsid w:val="00160D90"/>
    <w:rsid w:val="00161226"/>
    <w:rsid w:val="00162FC2"/>
    <w:rsid w:val="00165389"/>
    <w:rsid w:val="001653CE"/>
    <w:rsid w:val="001659A7"/>
    <w:rsid w:val="00173C6A"/>
    <w:rsid w:val="0017693F"/>
    <w:rsid w:val="00176CB0"/>
    <w:rsid w:val="0017786A"/>
    <w:rsid w:val="0018056A"/>
    <w:rsid w:val="0018110E"/>
    <w:rsid w:val="00181684"/>
    <w:rsid w:val="00182A4A"/>
    <w:rsid w:val="00183B1A"/>
    <w:rsid w:val="001843C6"/>
    <w:rsid w:val="001850E0"/>
    <w:rsid w:val="00185CE9"/>
    <w:rsid w:val="00186517"/>
    <w:rsid w:val="00193183"/>
    <w:rsid w:val="001970BD"/>
    <w:rsid w:val="001A3925"/>
    <w:rsid w:val="001A525F"/>
    <w:rsid w:val="001A5FFE"/>
    <w:rsid w:val="001B09F9"/>
    <w:rsid w:val="001B0F8B"/>
    <w:rsid w:val="001B5A34"/>
    <w:rsid w:val="001B5CE3"/>
    <w:rsid w:val="001B6448"/>
    <w:rsid w:val="001C0D8C"/>
    <w:rsid w:val="001C2A9E"/>
    <w:rsid w:val="001C2D91"/>
    <w:rsid w:val="001C5266"/>
    <w:rsid w:val="001C7F0A"/>
    <w:rsid w:val="001E00F6"/>
    <w:rsid w:val="001E07CF"/>
    <w:rsid w:val="001E51C6"/>
    <w:rsid w:val="001E5555"/>
    <w:rsid w:val="001E59F1"/>
    <w:rsid w:val="001F04D7"/>
    <w:rsid w:val="001F32EC"/>
    <w:rsid w:val="001F49EB"/>
    <w:rsid w:val="001F6CBA"/>
    <w:rsid w:val="001F6EBF"/>
    <w:rsid w:val="002001F1"/>
    <w:rsid w:val="0020028B"/>
    <w:rsid w:val="00200A9C"/>
    <w:rsid w:val="00201D4E"/>
    <w:rsid w:val="00202086"/>
    <w:rsid w:val="00204DF0"/>
    <w:rsid w:val="00206F6B"/>
    <w:rsid w:val="0020793B"/>
    <w:rsid w:val="002101CA"/>
    <w:rsid w:val="002141F7"/>
    <w:rsid w:val="002147E0"/>
    <w:rsid w:val="00220B8A"/>
    <w:rsid w:val="002226DD"/>
    <w:rsid w:val="002257F3"/>
    <w:rsid w:val="0023267B"/>
    <w:rsid w:val="00233456"/>
    <w:rsid w:val="002339A5"/>
    <w:rsid w:val="00236140"/>
    <w:rsid w:val="00240781"/>
    <w:rsid w:val="00242707"/>
    <w:rsid w:val="002445F4"/>
    <w:rsid w:val="002458D4"/>
    <w:rsid w:val="00245CF3"/>
    <w:rsid w:val="002469B5"/>
    <w:rsid w:val="00247223"/>
    <w:rsid w:val="0025120A"/>
    <w:rsid w:val="00253470"/>
    <w:rsid w:val="0025375F"/>
    <w:rsid w:val="0025660C"/>
    <w:rsid w:val="00257138"/>
    <w:rsid w:val="00257848"/>
    <w:rsid w:val="0026274F"/>
    <w:rsid w:val="002640A7"/>
    <w:rsid w:val="00267925"/>
    <w:rsid w:val="00267C17"/>
    <w:rsid w:val="0027084A"/>
    <w:rsid w:val="00271EC5"/>
    <w:rsid w:val="00275590"/>
    <w:rsid w:val="00286434"/>
    <w:rsid w:val="00286C59"/>
    <w:rsid w:val="00287A9A"/>
    <w:rsid w:val="00291134"/>
    <w:rsid w:val="002929C2"/>
    <w:rsid w:val="00292BB3"/>
    <w:rsid w:val="002942D1"/>
    <w:rsid w:val="002953B5"/>
    <w:rsid w:val="002A0556"/>
    <w:rsid w:val="002A3961"/>
    <w:rsid w:val="002A5857"/>
    <w:rsid w:val="002A5F56"/>
    <w:rsid w:val="002A6E38"/>
    <w:rsid w:val="002A7487"/>
    <w:rsid w:val="002B0E0E"/>
    <w:rsid w:val="002B1638"/>
    <w:rsid w:val="002B3304"/>
    <w:rsid w:val="002C07AF"/>
    <w:rsid w:val="002C1418"/>
    <w:rsid w:val="002C383A"/>
    <w:rsid w:val="002C3E84"/>
    <w:rsid w:val="002C43C3"/>
    <w:rsid w:val="002C48BF"/>
    <w:rsid w:val="002C4DBC"/>
    <w:rsid w:val="002C6D34"/>
    <w:rsid w:val="002D0B05"/>
    <w:rsid w:val="002D2EAD"/>
    <w:rsid w:val="002E430E"/>
    <w:rsid w:val="002E4C9A"/>
    <w:rsid w:val="002E5C31"/>
    <w:rsid w:val="002E69BE"/>
    <w:rsid w:val="002F11F8"/>
    <w:rsid w:val="002F3F56"/>
    <w:rsid w:val="002F4418"/>
    <w:rsid w:val="002F44B5"/>
    <w:rsid w:val="002F53E0"/>
    <w:rsid w:val="002F6C92"/>
    <w:rsid w:val="00302504"/>
    <w:rsid w:val="00303CBB"/>
    <w:rsid w:val="0030508C"/>
    <w:rsid w:val="003055BD"/>
    <w:rsid w:val="00311AC0"/>
    <w:rsid w:val="00312D81"/>
    <w:rsid w:val="00314331"/>
    <w:rsid w:val="00316F8D"/>
    <w:rsid w:val="00317355"/>
    <w:rsid w:val="003208A0"/>
    <w:rsid w:val="00324965"/>
    <w:rsid w:val="003251D0"/>
    <w:rsid w:val="003261C8"/>
    <w:rsid w:val="00331DBB"/>
    <w:rsid w:val="00333358"/>
    <w:rsid w:val="00334439"/>
    <w:rsid w:val="003351B2"/>
    <w:rsid w:val="00335BEC"/>
    <w:rsid w:val="003367E4"/>
    <w:rsid w:val="00341131"/>
    <w:rsid w:val="00343736"/>
    <w:rsid w:val="00350E8D"/>
    <w:rsid w:val="003521E8"/>
    <w:rsid w:val="00352A2E"/>
    <w:rsid w:val="00353AC2"/>
    <w:rsid w:val="003555D7"/>
    <w:rsid w:val="00356F04"/>
    <w:rsid w:val="00360648"/>
    <w:rsid w:val="00360DFD"/>
    <w:rsid w:val="00362473"/>
    <w:rsid w:val="00362F16"/>
    <w:rsid w:val="003662D5"/>
    <w:rsid w:val="003664BF"/>
    <w:rsid w:val="0036794C"/>
    <w:rsid w:val="0037036E"/>
    <w:rsid w:val="0037215C"/>
    <w:rsid w:val="003728F3"/>
    <w:rsid w:val="00373BBE"/>
    <w:rsid w:val="00373D31"/>
    <w:rsid w:val="00375988"/>
    <w:rsid w:val="0038110B"/>
    <w:rsid w:val="00386152"/>
    <w:rsid w:val="00390900"/>
    <w:rsid w:val="003964E2"/>
    <w:rsid w:val="003A0110"/>
    <w:rsid w:val="003A0B29"/>
    <w:rsid w:val="003A0B68"/>
    <w:rsid w:val="003A19BA"/>
    <w:rsid w:val="003A48A2"/>
    <w:rsid w:val="003B1D6C"/>
    <w:rsid w:val="003B1FAD"/>
    <w:rsid w:val="003B3601"/>
    <w:rsid w:val="003B629A"/>
    <w:rsid w:val="003B6E20"/>
    <w:rsid w:val="003B7E39"/>
    <w:rsid w:val="003C04B2"/>
    <w:rsid w:val="003C1423"/>
    <w:rsid w:val="003C1BBB"/>
    <w:rsid w:val="003C4711"/>
    <w:rsid w:val="003C58DC"/>
    <w:rsid w:val="003C62FC"/>
    <w:rsid w:val="003C730E"/>
    <w:rsid w:val="003C7673"/>
    <w:rsid w:val="003D1DEC"/>
    <w:rsid w:val="003D26B4"/>
    <w:rsid w:val="003D497F"/>
    <w:rsid w:val="003D5D86"/>
    <w:rsid w:val="003D6BA2"/>
    <w:rsid w:val="003E0E6A"/>
    <w:rsid w:val="003E1945"/>
    <w:rsid w:val="003E2889"/>
    <w:rsid w:val="003E3208"/>
    <w:rsid w:val="003E33D4"/>
    <w:rsid w:val="003E3CA3"/>
    <w:rsid w:val="003E7390"/>
    <w:rsid w:val="003E754D"/>
    <w:rsid w:val="003F0B04"/>
    <w:rsid w:val="003F1659"/>
    <w:rsid w:val="003F3092"/>
    <w:rsid w:val="003F3095"/>
    <w:rsid w:val="003F48DD"/>
    <w:rsid w:val="003F6342"/>
    <w:rsid w:val="0040134E"/>
    <w:rsid w:val="00402EF6"/>
    <w:rsid w:val="00403544"/>
    <w:rsid w:val="00403557"/>
    <w:rsid w:val="00403ACE"/>
    <w:rsid w:val="00403D3E"/>
    <w:rsid w:val="00404AD5"/>
    <w:rsid w:val="0040598C"/>
    <w:rsid w:val="0040726C"/>
    <w:rsid w:val="004072A5"/>
    <w:rsid w:val="00411710"/>
    <w:rsid w:val="00412184"/>
    <w:rsid w:val="0041244F"/>
    <w:rsid w:val="00412E40"/>
    <w:rsid w:val="00414BA2"/>
    <w:rsid w:val="00421B7E"/>
    <w:rsid w:val="00423956"/>
    <w:rsid w:val="00423F10"/>
    <w:rsid w:val="004247DA"/>
    <w:rsid w:val="004302D7"/>
    <w:rsid w:val="0043074F"/>
    <w:rsid w:val="00430AAA"/>
    <w:rsid w:val="00432CDD"/>
    <w:rsid w:val="00433211"/>
    <w:rsid w:val="004345BD"/>
    <w:rsid w:val="00435B13"/>
    <w:rsid w:val="00436C41"/>
    <w:rsid w:val="004407B2"/>
    <w:rsid w:val="00440A2D"/>
    <w:rsid w:val="004422DF"/>
    <w:rsid w:val="00442B8F"/>
    <w:rsid w:val="004432FB"/>
    <w:rsid w:val="004446E3"/>
    <w:rsid w:val="004454B4"/>
    <w:rsid w:val="0044589C"/>
    <w:rsid w:val="0044722D"/>
    <w:rsid w:val="0044785B"/>
    <w:rsid w:val="00453D68"/>
    <w:rsid w:val="00455ECA"/>
    <w:rsid w:val="004564A7"/>
    <w:rsid w:val="00457FE3"/>
    <w:rsid w:val="00460ACC"/>
    <w:rsid w:val="00461069"/>
    <w:rsid w:val="004617BF"/>
    <w:rsid w:val="00461827"/>
    <w:rsid w:val="004618AB"/>
    <w:rsid w:val="00461999"/>
    <w:rsid w:val="00464DFB"/>
    <w:rsid w:val="0046516E"/>
    <w:rsid w:val="004658BC"/>
    <w:rsid w:val="00470EC2"/>
    <w:rsid w:val="00472080"/>
    <w:rsid w:val="00472F4F"/>
    <w:rsid w:val="00480C4F"/>
    <w:rsid w:val="00484BAB"/>
    <w:rsid w:val="00485BFD"/>
    <w:rsid w:val="00487716"/>
    <w:rsid w:val="00491EF4"/>
    <w:rsid w:val="004923FF"/>
    <w:rsid w:val="00494E60"/>
    <w:rsid w:val="004970FD"/>
    <w:rsid w:val="004A03D8"/>
    <w:rsid w:val="004A1CB5"/>
    <w:rsid w:val="004A2400"/>
    <w:rsid w:val="004A6F05"/>
    <w:rsid w:val="004B21D7"/>
    <w:rsid w:val="004B2BD3"/>
    <w:rsid w:val="004B32D0"/>
    <w:rsid w:val="004B545E"/>
    <w:rsid w:val="004B6701"/>
    <w:rsid w:val="004B7B76"/>
    <w:rsid w:val="004C0070"/>
    <w:rsid w:val="004C241F"/>
    <w:rsid w:val="004C3BFD"/>
    <w:rsid w:val="004C4791"/>
    <w:rsid w:val="004C60B4"/>
    <w:rsid w:val="004D4148"/>
    <w:rsid w:val="004D51A6"/>
    <w:rsid w:val="004D6739"/>
    <w:rsid w:val="004D722C"/>
    <w:rsid w:val="004E2EBC"/>
    <w:rsid w:val="004E5523"/>
    <w:rsid w:val="004E576B"/>
    <w:rsid w:val="004F0F38"/>
    <w:rsid w:val="004F4580"/>
    <w:rsid w:val="005009C0"/>
    <w:rsid w:val="00501179"/>
    <w:rsid w:val="00501921"/>
    <w:rsid w:val="00501CBA"/>
    <w:rsid w:val="005042C1"/>
    <w:rsid w:val="005053F9"/>
    <w:rsid w:val="005164BD"/>
    <w:rsid w:val="005168C9"/>
    <w:rsid w:val="00516E40"/>
    <w:rsid w:val="00520F6C"/>
    <w:rsid w:val="00521BEF"/>
    <w:rsid w:val="005220E5"/>
    <w:rsid w:val="005221E1"/>
    <w:rsid w:val="00523707"/>
    <w:rsid w:val="00525597"/>
    <w:rsid w:val="005274DA"/>
    <w:rsid w:val="00530197"/>
    <w:rsid w:val="005302F5"/>
    <w:rsid w:val="00530354"/>
    <w:rsid w:val="00533970"/>
    <w:rsid w:val="00534871"/>
    <w:rsid w:val="0053538C"/>
    <w:rsid w:val="0053781A"/>
    <w:rsid w:val="00541352"/>
    <w:rsid w:val="0054163A"/>
    <w:rsid w:val="005434C6"/>
    <w:rsid w:val="00543B39"/>
    <w:rsid w:val="0054666F"/>
    <w:rsid w:val="00550096"/>
    <w:rsid w:val="00551F1D"/>
    <w:rsid w:val="005521EE"/>
    <w:rsid w:val="00552DB2"/>
    <w:rsid w:val="00553E2D"/>
    <w:rsid w:val="005540F9"/>
    <w:rsid w:val="005576C9"/>
    <w:rsid w:val="00557FF9"/>
    <w:rsid w:val="00560BAF"/>
    <w:rsid w:val="005618B0"/>
    <w:rsid w:val="00561B1B"/>
    <w:rsid w:val="00561EF1"/>
    <w:rsid w:val="005729B0"/>
    <w:rsid w:val="00575A6D"/>
    <w:rsid w:val="00576378"/>
    <w:rsid w:val="00577E38"/>
    <w:rsid w:val="00580EB3"/>
    <w:rsid w:val="005824DB"/>
    <w:rsid w:val="00582B86"/>
    <w:rsid w:val="00585069"/>
    <w:rsid w:val="00585322"/>
    <w:rsid w:val="0058774D"/>
    <w:rsid w:val="00587797"/>
    <w:rsid w:val="005912BE"/>
    <w:rsid w:val="00591975"/>
    <w:rsid w:val="00593AD1"/>
    <w:rsid w:val="005955CF"/>
    <w:rsid w:val="00597B50"/>
    <w:rsid w:val="005A1131"/>
    <w:rsid w:val="005A3F2F"/>
    <w:rsid w:val="005A5916"/>
    <w:rsid w:val="005A5A5E"/>
    <w:rsid w:val="005A6611"/>
    <w:rsid w:val="005B1DEF"/>
    <w:rsid w:val="005C03F2"/>
    <w:rsid w:val="005C0499"/>
    <w:rsid w:val="005C0552"/>
    <w:rsid w:val="005C1D90"/>
    <w:rsid w:val="005C22EA"/>
    <w:rsid w:val="005C2732"/>
    <w:rsid w:val="005C2FB2"/>
    <w:rsid w:val="005C3414"/>
    <w:rsid w:val="005C3B86"/>
    <w:rsid w:val="005C5570"/>
    <w:rsid w:val="005C6864"/>
    <w:rsid w:val="005C6D87"/>
    <w:rsid w:val="005C79A4"/>
    <w:rsid w:val="005D060C"/>
    <w:rsid w:val="005D16DC"/>
    <w:rsid w:val="005D1F46"/>
    <w:rsid w:val="005D1F55"/>
    <w:rsid w:val="005D4E06"/>
    <w:rsid w:val="005D5442"/>
    <w:rsid w:val="005E1A89"/>
    <w:rsid w:val="005E3393"/>
    <w:rsid w:val="005E45CD"/>
    <w:rsid w:val="005E5885"/>
    <w:rsid w:val="005E6395"/>
    <w:rsid w:val="005F3EA0"/>
    <w:rsid w:val="005F5819"/>
    <w:rsid w:val="00601594"/>
    <w:rsid w:val="00601FD3"/>
    <w:rsid w:val="00603EDD"/>
    <w:rsid w:val="0060581D"/>
    <w:rsid w:val="00612B30"/>
    <w:rsid w:val="006131AB"/>
    <w:rsid w:val="00613211"/>
    <w:rsid w:val="006132E8"/>
    <w:rsid w:val="006210F2"/>
    <w:rsid w:val="0062266E"/>
    <w:rsid w:val="00623676"/>
    <w:rsid w:val="006238C7"/>
    <w:rsid w:val="00627C05"/>
    <w:rsid w:val="00632410"/>
    <w:rsid w:val="00632B5A"/>
    <w:rsid w:val="00632D4C"/>
    <w:rsid w:val="00632D88"/>
    <w:rsid w:val="006352D8"/>
    <w:rsid w:val="00635744"/>
    <w:rsid w:val="006400CB"/>
    <w:rsid w:val="00640FC3"/>
    <w:rsid w:val="00642020"/>
    <w:rsid w:val="00646B2C"/>
    <w:rsid w:val="006477C3"/>
    <w:rsid w:val="00650434"/>
    <w:rsid w:val="00651316"/>
    <w:rsid w:val="00652CEE"/>
    <w:rsid w:val="0065337B"/>
    <w:rsid w:val="006539C2"/>
    <w:rsid w:val="0065419D"/>
    <w:rsid w:val="006604D8"/>
    <w:rsid w:val="0066065F"/>
    <w:rsid w:val="00663B75"/>
    <w:rsid w:val="00664A5B"/>
    <w:rsid w:val="00665A83"/>
    <w:rsid w:val="006664CB"/>
    <w:rsid w:val="00667942"/>
    <w:rsid w:val="006733CD"/>
    <w:rsid w:val="00674BA2"/>
    <w:rsid w:val="00675E89"/>
    <w:rsid w:val="006767C3"/>
    <w:rsid w:val="00677050"/>
    <w:rsid w:val="006804A8"/>
    <w:rsid w:val="00680C08"/>
    <w:rsid w:val="0068543D"/>
    <w:rsid w:val="00686C19"/>
    <w:rsid w:val="00686CD1"/>
    <w:rsid w:val="0068741A"/>
    <w:rsid w:val="0069150F"/>
    <w:rsid w:val="00691DBE"/>
    <w:rsid w:val="006931B1"/>
    <w:rsid w:val="006A15C0"/>
    <w:rsid w:val="006A1DC0"/>
    <w:rsid w:val="006A64F4"/>
    <w:rsid w:val="006A7FD9"/>
    <w:rsid w:val="006B1BCF"/>
    <w:rsid w:val="006B254C"/>
    <w:rsid w:val="006B3B74"/>
    <w:rsid w:val="006B3CF2"/>
    <w:rsid w:val="006C0A51"/>
    <w:rsid w:val="006C1A83"/>
    <w:rsid w:val="006C1AD9"/>
    <w:rsid w:val="006C1F3B"/>
    <w:rsid w:val="006C2E25"/>
    <w:rsid w:val="006C3E2A"/>
    <w:rsid w:val="006C450D"/>
    <w:rsid w:val="006C57B7"/>
    <w:rsid w:val="006C642F"/>
    <w:rsid w:val="006C6C31"/>
    <w:rsid w:val="006D03E5"/>
    <w:rsid w:val="006D08C1"/>
    <w:rsid w:val="006D5D3E"/>
    <w:rsid w:val="006D6A23"/>
    <w:rsid w:val="006E08B3"/>
    <w:rsid w:val="006E5071"/>
    <w:rsid w:val="006E5916"/>
    <w:rsid w:val="006F01FE"/>
    <w:rsid w:val="006F0546"/>
    <w:rsid w:val="006F1A67"/>
    <w:rsid w:val="006F572E"/>
    <w:rsid w:val="006F6447"/>
    <w:rsid w:val="006F65A9"/>
    <w:rsid w:val="006F67F2"/>
    <w:rsid w:val="00702078"/>
    <w:rsid w:val="007046D6"/>
    <w:rsid w:val="00705DB0"/>
    <w:rsid w:val="007068EE"/>
    <w:rsid w:val="00706AFE"/>
    <w:rsid w:val="00706EFB"/>
    <w:rsid w:val="007105C8"/>
    <w:rsid w:val="00711BAE"/>
    <w:rsid w:val="007127A7"/>
    <w:rsid w:val="0071461B"/>
    <w:rsid w:val="00717545"/>
    <w:rsid w:val="00717B5D"/>
    <w:rsid w:val="007249F8"/>
    <w:rsid w:val="00725782"/>
    <w:rsid w:val="00730A2F"/>
    <w:rsid w:val="0073205A"/>
    <w:rsid w:val="00732B06"/>
    <w:rsid w:val="0073345D"/>
    <w:rsid w:val="0073584E"/>
    <w:rsid w:val="00736B85"/>
    <w:rsid w:val="00736EFA"/>
    <w:rsid w:val="00737627"/>
    <w:rsid w:val="0074253D"/>
    <w:rsid w:val="0074429B"/>
    <w:rsid w:val="00745DBE"/>
    <w:rsid w:val="007477F8"/>
    <w:rsid w:val="00747E6F"/>
    <w:rsid w:val="00750368"/>
    <w:rsid w:val="007517C9"/>
    <w:rsid w:val="00751AFD"/>
    <w:rsid w:val="007560C5"/>
    <w:rsid w:val="00756ABF"/>
    <w:rsid w:val="007570EC"/>
    <w:rsid w:val="007615BC"/>
    <w:rsid w:val="00761AA7"/>
    <w:rsid w:val="00762F05"/>
    <w:rsid w:val="007637F0"/>
    <w:rsid w:val="00763BB7"/>
    <w:rsid w:val="007652FF"/>
    <w:rsid w:val="00765C7B"/>
    <w:rsid w:val="00766729"/>
    <w:rsid w:val="00766888"/>
    <w:rsid w:val="0076778A"/>
    <w:rsid w:val="00771329"/>
    <w:rsid w:val="0077168B"/>
    <w:rsid w:val="007728F9"/>
    <w:rsid w:val="00773EF7"/>
    <w:rsid w:val="007748DC"/>
    <w:rsid w:val="00774E1D"/>
    <w:rsid w:val="0077675A"/>
    <w:rsid w:val="00780355"/>
    <w:rsid w:val="00782870"/>
    <w:rsid w:val="00783116"/>
    <w:rsid w:val="00784124"/>
    <w:rsid w:val="00784A64"/>
    <w:rsid w:val="00785721"/>
    <w:rsid w:val="00787A2D"/>
    <w:rsid w:val="007907BF"/>
    <w:rsid w:val="00793A59"/>
    <w:rsid w:val="00794519"/>
    <w:rsid w:val="007954D4"/>
    <w:rsid w:val="00797C67"/>
    <w:rsid w:val="007A2162"/>
    <w:rsid w:val="007A26F3"/>
    <w:rsid w:val="007A2B0B"/>
    <w:rsid w:val="007A58C5"/>
    <w:rsid w:val="007A6E36"/>
    <w:rsid w:val="007B0412"/>
    <w:rsid w:val="007B0A15"/>
    <w:rsid w:val="007B1ED1"/>
    <w:rsid w:val="007B7F38"/>
    <w:rsid w:val="007C0F3D"/>
    <w:rsid w:val="007C1AF7"/>
    <w:rsid w:val="007C46D0"/>
    <w:rsid w:val="007D06E5"/>
    <w:rsid w:val="007D2CFA"/>
    <w:rsid w:val="007D31C7"/>
    <w:rsid w:val="007D404B"/>
    <w:rsid w:val="007D4385"/>
    <w:rsid w:val="007D7B54"/>
    <w:rsid w:val="007E29E1"/>
    <w:rsid w:val="007E316A"/>
    <w:rsid w:val="007E3E3E"/>
    <w:rsid w:val="007E4DCE"/>
    <w:rsid w:val="007E662C"/>
    <w:rsid w:val="007F682F"/>
    <w:rsid w:val="008030CD"/>
    <w:rsid w:val="00804357"/>
    <w:rsid w:val="0080449A"/>
    <w:rsid w:val="00811949"/>
    <w:rsid w:val="00812029"/>
    <w:rsid w:val="008122AC"/>
    <w:rsid w:val="00813E46"/>
    <w:rsid w:val="00817471"/>
    <w:rsid w:val="00821776"/>
    <w:rsid w:val="00826007"/>
    <w:rsid w:val="0082653E"/>
    <w:rsid w:val="008266E2"/>
    <w:rsid w:val="0083209C"/>
    <w:rsid w:val="008321F5"/>
    <w:rsid w:val="00832369"/>
    <w:rsid w:val="00832486"/>
    <w:rsid w:val="0083329F"/>
    <w:rsid w:val="00834660"/>
    <w:rsid w:val="008357ED"/>
    <w:rsid w:val="00836172"/>
    <w:rsid w:val="008362BF"/>
    <w:rsid w:val="00836BC2"/>
    <w:rsid w:val="0084109D"/>
    <w:rsid w:val="008423DC"/>
    <w:rsid w:val="00846E23"/>
    <w:rsid w:val="00850FF2"/>
    <w:rsid w:val="008540A6"/>
    <w:rsid w:val="0085641B"/>
    <w:rsid w:val="00857136"/>
    <w:rsid w:val="008617CA"/>
    <w:rsid w:val="00862F0B"/>
    <w:rsid w:val="008671D2"/>
    <w:rsid w:val="008702B3"/>
    <w:rsid w:val="008707DF"/>
    <w:rsid w:val="00871E49"/>
    <w:rsid w:val="00872807"/>
    <w:rsid w:val="00876EAC"/>
    <w:rsid w:val="0088186A"/>
    <w:rsid w:val="00881EA0"/>
    <w:rsid w:val="0088496A"/>
    <w:rsid w:val="0088678E"/>
    <w:rsid w:val="00890D61"/>
    <w:rsid w:val="0089392A"/>
    <w:rsid w:val="00893C5D"/>
    <w:rsid w:val="00896018"/>
    <w:rsid w:val="00896E1F"/>
    <w:rsid w:val="008A00FE"/>
    <w:rsid w:val="008A2B9D"/>
    <w:rsid w:val="008A2D18"/>
    <w:rsid w:val="008A5E0B"/>
    <w:rsid w:val="008A69D0"/>
    <w:rsid w:val="008A6A7F"/>
    <w:rsid w:val="008A6B96"/>
    <w:rsid w:val="008A6D59"/>
    <w:rsid w:val="008B0015"/>
    <w:rsid w:val="008B0EE1"/>
    <w:rsid w:val="008B2B27"/>
    <w:rsid w:val="008B2BFC"/>
    <w:rsid w:val="008B4B03"/>
    <w:rsid w:val="008B596F"/>
    <w:rsid w:val="008B735E"/>
    <w:rsid w:val="008B7AF2"/>
    <w:rsid w:val="008B7C43"/>
    <w:rsid w:val="008C0C69"/>
    <w:rsid w:val="008C159F"/>
    <w:rsid w:val="008C1623"/>
    <w:rsid w:val="008C2B58"/>
    <w:rsid w:val="008C51A9"/>
    <w:rsid w:val="008C5225"/>
    <w:rsid w:val="008C7E46"/>
    <w:rsid w:val="008D0620"/>
    <w:rsid w:val="008D1287"/>
    <w:rsid w:val="008D3724"/>
    <w:rsid w:val="008D3FCE"/>
    <w:rsid w:val="008D67F7"/>
    <w:rsid w:val="008D786F"/>
    <w:rsid w:val="008D7BD4"/>
    <w:rsid w:val="008E1FF3"/>
    <w:rsid w:val="008E6463"/>
    <w:rsid w:val="008E651D"/>
    <w:rsid w:val="008F1CCC"/>
    <w:rsid w:val="008F2967"/>
    <w:rsid w:val="008F2AD4"/>
    <w:rsid w:val="008F4A62"/>
    <w:rsid w:val="008F55D9"/>
    <w:rsid w:val="008F57B4"/>
    <w:rsid w:val="008F7D4B"/>
    <w:rsid w:val="009017AE"/>
    <w:rsid w:val="00901B1D"/>
    <w:rsid w:val="0091165D"/>
    <w:rsid w:val="009123CC"/>
    <w:rsid w:val="00912560"/>
    <w:rsid w:val="00915525"/>
    <w:rsid w:val="00916BC7"/>
    <w:rsid w:val="00917AB4"/>
    <w:rsid w:val="00920330"/>
    <w:rsid w:val="009207ED"/>
    <w:rsid w:val="00920FF4"/>
    <w:rsid w:val="009219D7"/>
    <w:rsid w:val="00921BB0"/>
    <w:rsid w:val="00922D53"/>
    <w:rsid w:val="00923B70"/>
    <w:rsid w:val="0092465F"/>
    <w:rsid w:val="00924FB8"/>
    <w:rsid w:val="00925333"/>
    <w:rsid w:val="0092600B"/>
    <w:rsid w:val="00926BE5"/>
    <w:rsid w:val="00926F1C"/>
    <w:rsid w:val="00927511"/>
    <w:rsid w:val="00927539"/>
    <w:rsid w:val="00930237"/>
    <w:rsid w:val="009310B4"/>
    <w:rsid w:val="009345DE"/>
    <w:rsid w:val="0093749E"/>
    <w:rsid w:val="00942751"/>
    <w:rsid w:val="0094314C"/>
    <w:rsid w:val="00943A3F"/>
    <w:rsid w:val="00944B14"/>
    <w:rsid w:val="00945041"/>
    <w:rsid w:val="009468C6"/>
    <w:rsid w:val="00951677"/>
    <w:rsid w:val="00952C3D"/>
    <w:rsid w:val="00953EA8"/>
    <w:rsid w:val="00955A46"/>
    <w:rsid w:val="009567B0"/>
    <w:rsid w:val="00961256"/>
    <w:rsid w:val="009628B7"/>
    <w:rsid w:val="00963C08"/>
    <w:rsid w:val="00963C0D"/>
    <w:rsid w:val="00966970"/>
    <w:rsid w:val="00967C5A"/>
    <w:rsid w:val="00970367"/>
    <w:rsid w:val="00971CD6"/>
    <w:rsid w:val="009741DD"/>
    <w:rsid w:val="009752DD"/>
    <w:rsid w:val="00975379"/>
    <w:rsid w:val="0098048A"/>
    <w:rsid w:val="00981AC6"/>
    <w:rsid w:val="00981D0A"/>
    <w:rsid w:val="009835B6"/>
    <w:rsid w:val="00984CAD"/>
    <w:rsid w:val="00987D65"/>
    <w:rsid w:val="009927F3"/>
    <w:rsid w:val="00993AB0"/>
    <w:rsid w:val="009A0D2D"/>
    <w:rsid w:val="009A190E"/>
    <w:rsid w:val="009A3179"/>
    <w:rsid w:val="009A4825"/>
    <w:rsid w:val="009A4CED"/>
    <w:rsid w:val="009B00CC"/>
    <w:rsid w:val="009B1D12"/>
    <w:rsid w:val="009B20A0"/>
    <w:rsid w:val="009B223F"/>
    <w:rsid w:val="009B2A32"/>
    <w:rsid w:val="009B2B3C"/>
    <w:rsid w:val="009B3475"/>
    <w:rsid w:val="009B416B"/>
    <w:rsid w:val="009B4A51"/>
    <w:rsid w:val="009B6348"/>
    <w:rsid w:val="009C4BD5"/>
    <w:rsid w:val="009C5F04"/>
    <w:rsid w:val="009C683C"/>
    <w:rsid w:val="009D0292"/>
    <w:rsid w:val="009D0801"/>
    <w:rsid w:val="009D0A6D"/>
    <w:rsid w:val="009D0DC8"/>
    <w:rsid w:val="009D2144"/>
    <w:rsid w:val="009D2E04"/>
    <w:rsid w:val="009D7B77"/>
    <w:rsid w:val="009E0BB0"/>
    <w:rsid w:val="009E37F8"/>
    <w:rsid w:val="009E3FBB"/>
    <w:rsid w:val="009F018D"/>
    <w:rsid w:val="009F01FD"/>
    <w:rsid w:val="009F207B"/>
    <w:rsid w:val="009F20E4"/>
    <w:rsid w:val="009F5D20"/>
    <w:rsid w:val="00A0156E"/>
    <w:rsid w:val="00A10C68"/>
    <w:rsid w:val="00A1235B"/>
    <w:rsid w:val="00A14DF7"/>
    <w:rsid w:val="00A22E19"/>
    <w:rsid w:val="00A2362C"/>
    <w:rsid w:val="00A24E96"/>
    <w:rsid w:val="00A27B10"/>
    <w:rsid w:val="00A31294"/>
    <w:rsid w:val="00A312F1"/>
    <w:rsid w:val="00A3246D"/>
    <w:rsid w:val="00A32C51"/>
    <w:rsid w:val="00A342E4"/>
    <w:rsid w:val="00A36E8D"/>
    <w:rsid w:val="00A36FA7"/>
    <w:rsid w:val="00A40944"/>
    <w:rsid w:val="00A41E88"/>
    <w:rsid w:val="00A43827"/>
    <w:rsid w:val="00A44238"/>
    <w:rsid w:val="00A46A96"/>
    <w:rsid w:val="00A47209"/>
    <w:rsid w:val="00A475B7"/>
    <w:rsid w:val="00A47AF7"/>
    <w:rsid w:val="00A47C3E"/>
    <w:rsid w:val="00A50226"/>
    <w:rsid w:val="00A50992"/>
    <w:rsid w:val="00A53DC8"/>
    <w:rsid w:val="00A60BAD"/>
    <w:rsid w:val="00A6328A"/>
    <w:rsid w:val="00A6667F"/>
    <w:rsid w:val="00A71386"/>
    <w:rsid w:val="00A73339"/>
    <w:rsid w:val="00A737A1"/>
    <w:rsid w:val="00A73A8D"/>
    <w:rsid w:val="00A75017"/>
    <w:rsid w:val="00A77C79"/>
    <w:rsid w:val="00A8051A"/>
    <w:rsid w:val="00A806AE"/>
    <w:rsid w:val="00A8571D"/>
    <w:rsid w:val="00A87334"/>
    <w:rsid w:val="00A92E6D"/>
    <w:rsid w:val="00A934D5"/>
    <w:rsid w:val="00A957C4"/>
    <w:rsid w:val="00A97997"/>
    <w:rsid w:val="00AA34FC"/>
    <w:rsid w:val="00AA6948"/>
    <w:rsid w:val="00AB18C0"/>
    <w:rsid w:val="00AB201E"/>
    <w:rsid w:val="00AB26C3"/>
    <w:rsid w:val="00AB3F92"/>
    <w:rsid w:val="00AB42C4"/>
    <w:rsid w:val="00AB581C"/>
    <w:rsid w:val="00AB5C96"/>
    <w:rsid w:val="00AC1084"/>
    <w:rsid w:val="00AC262B"/>
    <w:rsid w:val="00AC2B40"/>
    <w:rsid w:val="00AC2BB2"/>
    <w:rsid w:val="00AC2C3C"/>
    <w:rsid w:val="00AC3BD9"/>
    <w:rsid w:val="00AC44FA"/>
    <w:rsid w:val="00AC54D1"/>
    <w:rsid w:val="00AC6EBE"/>
    <w:rsid w:val="00AC77B8"/>
    <w:rsid w:val="00AD4722"/>
    <w:rsid w:val="00AD58C6"/>
    <w:rsid w:val="00AD7E78"/>
    <w:rsid w:val="00AE2270"/>
    <w:rsid w:val="00AE3703"/>
    <w:rsid w:val="00AE3CC3"/>
    <w:rsid w:val="00AE419C"/>
    <w:rsid w:val="00AE4205"/>
    <w:rsid w:val="00AE6155"/>
    <w:rsid w:val="00AE65EB"/>
    <w:rsid w:val="00AE670F"/>
    <w:rsid w:val="00AF1D94"/>
    <w:rsid w:val="00AF27F0"/>
    <w:rsid w:val="00AF316D"/>
    <w:rsid w:val="00AF3A8C"/>
    <w:rsid w:val="00AF60C5"/>
    <w:rsid w:val="00B009C6"/>
    <w:rsid w:val="00B01548"/>
    <w:rsid w:val="00B1376E"/>
    <w:rsid w:val="00B138BE"/>
    <w:rsid w:val="00B15AE2"/>
    <w:rsid w:val="00B15C1C"/>
    <w:rsid w:val="00B17A0B"/>
    <w:rsid w:val="00B17CB3"/>
    <w:rsid w:val="00B21D29"/>
    <w:rsid w:val="00B21FC5"/>
    <w:rsid w:val="00B23D7A"/>
    <w:rsid w:val="00B25034"/>
    <w:rsid w:val="00B27B29"/>
    <w:rsid w:val="00B27EA3"/>
    <w:rsid w:val="00B325C7"/>
    <w:rsid w:val="00B33863"/>
    <w:rsid w:val="00B34F51"/>
    <w:rsid w:val="00B35CED"/>
    <w:rsid w:val="00B37D17"/>
    <w:rsid w:val="00B37DEA"/>
    <w:rsid w:val="00B4175E"/>
    <w:rsid w:val="00B4227C"/>
    <w:rsid w:val="00B4454F"/>
    <w:rsid w:val="00B50EE7"/>
    <w:rsid w:val="00B510E1"/>
    <w:rsid w:val="00B54C25"/>
    <w:rsid w:val="00B55E71"/>
    <w:rsid w:val="00B562A7"/>
    <w:rsid w:val="00B57049"/>
    <w:rsid w:val="00B572B2"/>
    <w:rsid w:val="00B60801"/>
    <w:rsid w:val="00B617EA"/>
    <w:rsid w:val="00B6409A"/>
    <w:rsid w:val="00B64710"/>
    <w:rsid w:val="00B6677B"/>
    <w:rsid w:val="00B7075E"/>
    <w:rsid w:val="00B71B18"/>
    <w:rsid w:val="00B7359B"/>
    <w:rsid w:val="00B7672F"/>
    <w:rsid w:val="00B76B91"/>
    <w:rsid w:val="00B83FC7"/>
    <w:rsid w:val="00B8473E"/>
    <w:rsid w:val="00B86F81"/>
    <w:rsid w:val="00B929EB"/>
    <w:rsid w:val="00B92D77"/>
    <w:rsid w:val="00B94276"/>
    <w:rsid w:val="00B94618"/>
    <w:rsid w:val="00B978A9"/>
    <w:rsid w:val="00BA1ED5"/>
    <w:rsid w:val="00BA5E66"/>
    <w:rsid w:val="00BB0BD8"/>
    <w:rsid w:val="00BB50D3"/>
    <w:rsid w:val="00BB538A"/>
    <w:rsid w:val="00BB6DFC"/>
    <w:rsid w:val="00BB7F56"/>
    <w:rsid w:val="00BC1CAB"/>
    <w:rsid w:val="00BC2009"/>
    <w:rsid w:val="00BC50DB"/>
    <w:rsid w:val="00BC526C"/>
    <w:rsid w:val="00BC5AC3"/>
    <w:rsid w:val="00BC5AE6"/>
    <w:rsid w:val="00BC622A"/>
    <w:rsid w:val="00BD1EDF"/>
    <w:rsid w:val="00BD48EC"/>
    <w:rsid w:val="00BE00A6"/>
    <w:rsid w:val="00BE0A78"/>
    <w:rsid w:val="00BE6BC8"/>
    <w:rsid w:val="00BE79F0"/>
    <w:rsid w:val="00BF046D"/>
    <w:rsid w:val="00BF46E4"/>
    <w:rsid w:val="00BF5D04"/>
    <w:rsid w:val="00BF6D2F"/>
    <w:rsid w:val="00C007D3"/>
    <w:rsid w:val="00C019E6"/>
    <w:rsid w:val="00C0357E"/>
    <w:rsid w:val="00C05017"/>
    <w:rsid w:val="00C05254"/>
    <w:rsid w:val="00C1305B"/>
    <w:rsid w:val="00C13563"/>
    <w:rsid w:val="00C1563B"/>
    <w:rsid w:val="00C16B17"/>
    <w:rsid w:val="00C16CCE"/>
    <w:rsid w:val="00C17E00"/>
    <w:rsid w:val="00C20A42"/>
    <w:rsid w:val="00C22294"/>
    <w:rsid w:val="00C24035"/>
    <w:rsid w:val="00C25FC2"/>
    <w:rsid w:val="00C31D44"/>
    <w:rsid w:val="00C32A88"/>
    <w:rsid w:val="00C33FDE"/>
    <w:rsid w:val="00C3534F"/>
    <w:rsid w:val="00C3536F"/>
    <w:rsid w:val="00C360A7"/>
    <w:rsid w:val="00C364D5"/>
    <w:rsid w:val="00C36810"/>
    <w:rsid w:val="00C404A6"/>
    <w:rsid w:val="00C40A36"/>
    <w:rsid w:val="00C434EA"/>
    <w:rsid w:val="00C44419"/>
    <w:rsid w:val="00C45E7B"/>
    <w:rsid w:val="00C471B1"/>
    <w:rsid w:val="00C47290"/>
    <w:rsid w:val="00C54222"/>
    <w:rsid w:val="00C55437"/>
    <w:rsid w:val="00C55C1A"/>
    <w:rsid w:val="00C6204C"/>
    <w:rsid w:val="00C6316B"/>
    <w:rsid w:val="00C634A9"/>
    <w:rsid w:val="00C6376F"/>
    <w:rsid w:val="00C63F40"/>
    <w:rsid w:val="00C651B1"/>
    <w:rsid w:val="00C65FC9"/>
    <w:rsid w:val="00C669EE"/>
    <w:rsid w:val="00C67ADC"/>
    <w:rsid w:val="00C73315"/>
    <w:rsid w:val="00C741A3"/>
    <w:rsid w:val="00C74DD6"/>
    <w:rsid w:val="00C76E42"/>
    <w:rsid w:val="00C772FF"/>
    <w:rsid w:val="00C801AF"/>
    <w:rsid w:val="00C80256"/>
    <w:rsid w:val="00C81696"/>
    <w:rsid w:val="00C87A26"/>
    <w:rsid w:val="00C87CA5"/>
    <w:rsid w:val="00C93228"/>
    <w:rsid w:val="00C94239"/>
    <w:rsid w:val="00C9556E"/>
    <w:rsid w:val="00C95D76"/>
    <w:rsid w:val="00CA068B"/>
    <w:rsid w:val="00CA0E8D"/>
    <w:rsid w:val="00CA0F79"/>
    <w:rsid w:val="00CA3A38"/>
    <w:rsid w:val="00CA62E0"/>
    <w:rsid w:val="00CA7641"/>
    <w:rsid w:val="00CA7F35"/>
    <w:rsid w:val="00CB27FE"/>
    <w:rsid w:val="00CB6BC0"/>
    <w:rsid w:val="00CB6C71"/>
    <w:rsid w:val="00CC0649"/>
    <w:rsid w:val="00CC1B7C"/>
    <w:rsid w:val="00CC2865"/>
    <w:rsid w:val="00CC314F"/>
    <w:rsid w:val="00CC50DE"/>
    <w:rsid w:val="00CC727F"/>
    <w:rsid w:val="00CD6EB8"/>
    <w:rsid w:val="00CE5BB0"/>
    <w:rsid w:val="00CE5E4B"/>
    <w:rsid w:val="00CF15C3"/>
    <w:rsid w:val="00CF2B6F"/>
    <w:rsid w:val="00CF3BC4"/>
    <w:rsid w:val="00CF6340"/>
    <w:rsid w:val="00CF6BC7"/>
    <w:rsid w:val="00D017ED"/>
    <w:rsid w:val="00D02AD9"/>
    <w:rsid w:val="00D07496"/>
    <w:rsid w:val="00D07BFC"/>
    <w:rsid w:val="00D100BC"/>
    <w:rsid w:val="00D12D62"/>
    <w:rsid w:val="00D135F8"/>
    <w:rsid w:val="00D153B1"/>
    <w:rsid w:val="00D1617A"/>
    <w:rsid w:val="00D2237D"/>
    <w:rsid w:val="00D224FE"/>
    <w:rsid w:val="00D229BA"/>
    <w:rsid w:val="00D22EEA"/>
    <w:rsid w:val="00D2375D"/>
    <w:rsid w:val="00D24C02"/>
    <w:rsid w:val="00D3545B"/>
    <w:rsid w:val="00D41D79"/>
    <w:rsid w:val="00D445A2"/>
    <w:rsid w:val="00D46E89"/>
    <w:rsid w:val="00D47415"/>
    <w:rsid w:val="00D51CD8"/>
    <w:rsid w:val="00D55A5F"/>
    <w:rsid w:val="00D624D6"/>
    <w:rsid w:val="00D63084"/>
    <w:rsid w:val="00D63F91"/>
    <w:rsid w:val="00D6493E"/>
    <w:rsid w:val="00D66F70"/>
    <w:rsid w:val="00D72783"/>
    <w:rsid w:val="00D73C01"/>
    <w:rsid w:val="00D74635"/>
    <w:rsid w:val="00D74637"/>
    <w:rsid w:val="00D763E2"/>
    <w:rsid w:val="00D80DD3"/>
    <w:rsid w:val="00D80FA9"/>
    <w:rsid w:val="00D82F24"/>
    <w:rsid w:val="00D834EE"/>
    <w:rsid w:val="00D84A25"/>
    <w:rsid w:val="00D855AE"/>
    <w:rsid w:val="00D868C1"/>
    <w:rsid w:val="00D86C12"/>
    <w:rsid w:val="00D87C4D"/>
    <w:rsid w:val="00D87F31"/>
    <w:rsid w:val="00D97D00"/>
    <w:rsid w:val="00DA1124"/>
    <w:rsid w:val="00DA24C7"/>
    <w:rsid w:val="00DA2BE7"/>
    <w:rsid w:val="00DA2EDE"/>
    <w:rsid w:val="00DA3BFE"/>
    <w:rsid w:val="00DA5AAB"/>
    <w:rsid w:val="00DA5B9B"/>
    <w:rsid w:val="00DA66F4"/>
    <w:rsid w:val="00DA7A0C"/>
    <w:rsid w:val="00DB2929"/>
    <w:rsid w:val="00DB33CF"/>
    <w:rsid w:val="00DB34F5"/>
    <w:rsid w:val="00DC38FE"/>
    <w:rsid w:val="00DC55B7"/>
    <w:rsid w:val="00DC7746"/>
    <w:rsid w:val="00DC79D6"/>
    <w:rsid w:val="00DC7EE4"/>
    <w:rsid w:val="00DD0EB6"/>
    <w:rsid w:val="00DD227D"/>
    <w:rsid w:val="00DD45A0"/>
    <w:rsid w:val="00DD75A3"/>
    <w:rsid w:val="00DE02AE"/>
    <w:rsid w:val="00DE317A"/>
    <w:rsid w:val="00DE6A0C"/>
    <w:rsid w:val="00DE6C04"/>
    <w:rsid w:val="00DF1D7F"/>
    <w:rsid w:val="00DF2F50"/>
    <w:rsid w:val="00DF36B8"/>
    <w:rsid w:val="00DF4641"/>
    <w:rsid w:val="00E02FB4"/>
    <w:rsid w:val="00E04030"/>
    <w:rsid w:val="00E04ABD"/>
    <w:rsid w:val="00E05B04"/>
    <w:rsid w:val="00E06A1B"/>
    <w:rsid w:val="00E1165A"/>
    <w:rsid w:val="00E1340C"/>
    <w:rsid w:val="00E2020C"/>
    <w:rsid w:val="00E20571"/>
    <w:rsid w:val="00E207D9"/>
    <w:rsid w:val="00E21651"/>
    <w:rsid w:val="00E2288B"/>
    <w:rsid w:val="00E235F7"/>
    <w:rsid w:val="00E239D4"/>
    <w:rsid w:val="00E23C05"/>
    <w:rsid w:val="00E313A8"/>
    <w:rsid w:val="00E40B22"/>
    <w:rsid w:val="00E40BD2"/>
    <w:rsid w:val="00E41AD2"/>
    <w:rsid w:val="00E42068"/>
    <w:rsid w:val="00E4307C"/>
    <w:rsid w:val="00E4588F"/>
    <w:rsid w:val="00E46DA3"/>
    <w:rsid w:val="00E476C8"/>
    <w:rsid w:val="00E57B71"/>
    <w:rsid w:val="00E67389"/>
    <w:rsid w:val="00E72C5A"/>
    <w:rsid w:val="00E72FC4"/>
    <w:rsid w:val="00E73238"/>
    <w:rsid w:val="00E76984"/>
    <w:rsid w:val="00E8020D"/>
    <w:rsid w:val="00E81804"/>
    <w:rsid w:val="00E81BC9"/>
    <w:rsid w:val="00E83A51"/>
    <w:rsid w:val="00E851FA"/>
    <w:rsid w:val="00E85439"/>
    <w:rsid w:val="00E85D5D"/>
    <w:rsid w:val="00E860E0"/>
    <w:rsid w:val="00E86A1F"/>
    <w:rsid w:val="00E8778C"/>
    <w:rsid w:val="00E9008E"/>
    <w:rsid w:val="00E951D8"/>
    <w:rsid w:val="00E9579B"/>
    <w:rsid w:val="00E95DA8"/>
    <w:rsid w:val="00E97275"/>
    <w:rsid w:val="00EA0A0F"/>
    <w:rsid w:val="00EA16DE"/>
    <w:rsid w:val="00EA2090"/>
    <w:rsid w:val="00EA406B"/>
    <w:rsid w:val="00EA5776"/>
    <w:rsid w:val="00EB02FE"/>
    <w:rsid w:val="00EB0798"/>
    <w:rsid w:val="00EB28AE"/>
    <w:rsid w:val="00EB2F97"/>
    <w:rsid w:val="00EB34F1"/>
    <w:rsid w:val="00EB4082"/>
    <w:rsid w:val="00EB40AD"/>
    <w:rsid w:val="00EB4571"/>
    <w:rsid w:val="00EB586E"/>
    <w:rsid w:val="00EB5FC8"/>
    <w:rsid w:val="00EB7360"/>
    <w:rsid w:val="00EB74A7"/>
    <w:rsid w:val="00EC384E"/>
    <w:rsid w:val="00EC4685"/>
    <w:rsid w:val="00EC4910"/>
    <w:rsid w:val="00EC580A"/>
    <w:rsid w:val="00ED2EEA"/>
    <w:rsid w:val="00ED5A41"/>
    <w:rsid w:val="00ED5D05"/>
    <w:rsid w:val="00ED6B23"/>
    <w:rsid w:val="00EE00CA"/>
    <w:rsid w:val="00EE1295"/>
    <w:rsid w:val="00EE2CC3"/>
    <w:rsid w:val="00EE3577"/>
    <w:rsid w:val="00EF1963"/>
    <w:rsid w:val="00EF3C6A"/>
    <w:rsid w:val="00EF432F"/>
    <w:rsid w:val="00EF578B"/>
    <w:rsid w:val="00EF7B95"/>
    <w:rsid w:val="00F017AB"/>
    <w:rsid w:val="00F01B07"/>
    <w:rsid w:val="00F033EC"/>
    <w:rsid w:val="00F0438D"/>
    <w:rsid w:val="00F049A1"/>
    <w:rsid w:val="00F04F68"/>
    <w:rsid w:val="00F10A73"/>
    <w:rsid w:val="00F10BD8"/>
    <w:rsid w:val="00F12670"/>
    <w:rsid w:val="00F14B27"/>
    <w:rsid w:val="00F15305"/>
    <w:rsid w:val="00F20118"/>
    <w:rsid w:val="00F23105"/>
    <w:rsid w:val="00F24DB3"/>
    <w:rsid w:val="00F25577"/>
    <w:rsid w:val="00F2700C"/>
    <w:rsid w:val="00F3148D"/>
    <w:rsid w:val="00F32D36"/>
    <w:rsid w:val="00F3509E"/>
    <w:rsid w:val="00F35298"/>
    <w:rsid w:val="00F3529E"/>
    <w:rsid w:val="00F41DCE"/>
    <w:rsid w:val="00F443FD"/>
    <w:rsid w:val="00F46F9A"/>
    <w:rsid w:val="00F47D14"/>
    <w:rsid w:val="00F47E37"/>
    <w:rsid w:val="00F50ADC"/>
    <w:rsid w:val="00F50B5E"/>
    <w:rsid w:val="00F50B88"/>
    <w:rsid w:val="00F53B4C"/>
    <w:rsid w:val="00F53E24"/>
    <w:rsid w:val="00F56D63"/>
    <w:rsid w:val="00F640B6"/>
    <w:rsid w:val="00F647EA"/>
    <w:rsid w:val="00F65B15"/>
    <w:rsid w:val="00F70540"/>
    <w:rsid w:val="00F76802"/>
    <w:rsid w:val="00F777C2"/>
    <w:rsid w:val="00F80E40"/>
    <w:rsid w:val="00F8107D"/>
    <w:rsid w:val="00F82423"/>
    <w:rsid w:val="00F86D1D"/>
    <w:rsid w:val="00F91585"/>
    <w:rsid w:val="00F923D6"/>
    <w:rsid w:val="00F94034"/>
    <w:rsid w:val="00F942E9"/>
    <w:rsid w:val="00F95CA6"/>
    <w:rsid w:val="00F9705F"/>
    <w:rsid w:val="00FA029A"/>
    <w:rsid w:val="00FA144A"/>
    <w:rsid w:val="00FA2018"/>
    <w:rsid w:val="00FA3338"/>
    <w:rsid w:val="00FA361B"/>
    <w:rsid w:val="00FA5B82"/>
    <w:rsid w:val="00FA639E"/>
    <w:rsid w:val="00FA7DF1"/>
    <w:rsid w:val="00FB1B89"/>
    <w:rsid w:val="00FB256C"/>
    <w:rsid w:val="00FB3817"/>
    <w:rsid w:val="00FB4D21"/>
    <w:rsid w:val="00FB6249"/>
    <w:rsid w:val="00FC03C8"/>
    <w:rsid w:val="00FC20C3"/>
    <w:rsid w:val="00FC2407"/>
    <w:rsid w:val="00FC25E4"/>
    <w:rsid w:val="00FC42B9"/>
    <w:rsid w:val="00FC492B"/>
    <w:rsid w:val="00FC4EF7"/>
    <w:rsid w:val="00FD4C36"/>
    <w:rsid w:val="00FD5282"/>
    <w:rsid w:val="00FD56A0"/>
    <w:rsid w:val="00FD5947"/>
    <w:rsid w:val="00FD62E3"/>
    <w:rsid w:val="00FE1DEE"/>
    <w:rsid w:val="00FE705F"/>
    <w:rsid w:val="00FF01FE"/>
    <w:rsid w:val="00FF1448"/>
    <w:rsid w:val="00FF2126"/>
    <w:rsid w:val="00FF25D3"/>
    <w:rsid w:val="00FF3B66"/>
    <w:rsid w:val="00FF4170"/>
    <w:rsid w:val="00FF59FF"/>
    <w:rsid w:val="00FF5E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7007"/>
  <w15:docId w15:val="{35376D86-0B1F-4B10-9819-FD5B3B09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43"/>
      </w:numPr>
    </w:pPr>
  </w:style>
  <w:style w:type="paragraph" w:customStyle="1" w:styleId="ListBulleti">
    <w:name w:val="List Bullet i)"/>
    <w:basedOn w:val="ListBullet"/>
    <w:uiPriority w:val="1"/>
    <w:qFormat/>
    <w:rsid w:val="005302F5"/>
    <w:pPr>
      <w:numPr>
        <w:numId w:val="6"/>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71386"/>
    <w:rPr>
      <w:sz w:val="22"/>
      <w:lang w:eastAsia="en-US"/>
    </w:rPr>
  </w:style>
  <w:style w:type="character" w:styleId="UnresolvedMention">
    <w:name w:val="Unresolved Mention"/>
    <w:basedOn w:val="DefaultParagraphFont"/>
    <w:uiPriority w:val="99"/>
    <w:semiHidden/>
    <w:unhideWhenUsed/>
    <w:rsid w:val="002141F7"/>
    <w:rPr>
      <w:color w:val="605E5C"/>
      <w:shd w:val="clear" w:color="auto" w:fill="E1DFDD"/>
    </w:rPr>
  </w:style>
  <w:style w:type="character" w:customStyle="1" w:styleId="normaltextrun">
    <w:name w:val="normaltextrun"/>
    <w:basedOn w:val="DefaultParagraphFont"/>
    <w:rsid w:val="003F6342"/>
  </w:style>
  <w:style w:type="character" w:customStyle="1" w:styleId="eop">
    <w:name w:val="eop"/>
    <w:basedOn w:val="DefaultParagraphFont"/>
    <w:rsid w:val="003F6342"/>
  </w:style>
  <w:style w:type="paragraph" w:customStyle="1" w:styleId="ListBullet-dotick">
    <w:name w:val="List Bullet - do (tick)"/>
    <w:basedOn w:val="ListBullet"/>
    <w:autoRedefine/>
    <w:uiPriority w:val="1"/>
    <w:qFormat/>
    <w:rsid w:val="00A43827"/>
    <w:pPr>
      <w:numPr>
        <w:numId w:val="48"/>
      </w:numPr>
      <w:tabs>
        <w:tab w:val="left" w:pos="425"/>
      </w:tabs>
    </w:pPr>
    <w:rPr>
      <w:rFonts w:ascii="Arial" w:hAnsi="Arial"/>
      <w:color w:val="333F48"/>
    </w:rPr>
  </w:style>
  <w:style w:type="paragraph" w:customStyle="1" w:styleId="paragraph">
    <w:name w:val="paragraph"/>
    <w:basedOn w:val="Normal"/>
    <w:rsid w:val="00A43827"/>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63343791">
      <w:bodyDiv w:val="1"/>
      <w:marLeft w:val="0"/>
      <w:marRight w:val="0"/>
      <w:marTop w:val="0"/>
      <w:marBottom w:val="0"/>
      <w:divBdr>
        <w:top w:val="none" w:sz="0" w:space="0" w:color="auto"/>
        <w:left w:val="none" w:sz="0" w:space="0" w:color="auto"/>
        <w:bottom w:val="none" w:sz="0" w:space="0" w:color="auto"/>
        <w:right w:val="none" w:sz="0" w:space="0" w:color="auto"/>
      </w:divBdr>
    </w:div>
    <w:div w:id="451902263">
      <w:bodyDiv w:val="1"/>
      <w:marLeft w:val="0"/>
      <w:marRight w:val="0"/>
      <w:marTop w:val="0"/>
      <w:marBottom w:val="0"/>
      <w:divBdr>
        <w:top w:val="none" w:sz="0" w:space="0" w:color="auto"/>
        <w:left w:val="none" w:sz="0" w:space="0" w:color="auto"/>
        <w:bottom w:val="none" w:sz="0" w:space="0" w:color="auto"/>
        <w:right w:val="none" w:sz="0" w:space="0" w:color="auto"/>
      </w:divBdr>
      <w:divsChild>
        <w:div w:id="1408530213">
          <w:marLeft w:val="0"/>
          <w:marRight w:val="0"/>
          <w:marTop w:val="0"/>
          <w:marBottom w:val="0"/>
          <w:divBdr>
            <w:top w:val="none" w:sz="0" w:space="0" w:color="auto"/>
            <w:left w:val="none" w:sz="0" w:space="0" w:color="auto"/>
            <w:bottom w:val="none" w:sz="0" w:space="0" w:color="auto"/>
            <w:right w:val="none" w:sz="0" w:space="0" w:color="auto"/>
          </w:divBdr>
        </w:div>
        <w:div w:id="72167027">
          <w:marLeft w:val="0"/>
          <w:marRight w:val="0"/>
          <w:marTop w:val="0"/>
          <w:marBottom w:val="0"/>
          <w:divBdr>
            <w:top w:val="none" w:sz="0" w:space="0" w:color="auto"/>
            <w:left w:val="none" w:sz="0" w:space="0" w:color="auto"/>
            <w:bottom w:val="none" w:sz="0" w:space="0" w:color="auto"/>
            <w:right w:val="none" w:sz="0" w:space="0" w:color="auto"/>
          </w:divBdr>
        </w:div>
        <w:div w:id="1995988260">
          <w:marLeft w:val="0"/>
          <w:marRight w:val="0"/>
          <w:marTop w:val="0"/>
          <w:marBottom w:val="0"/>
          <w:divBdr>
            <w:top w:val="none" w:sz="0" w:space="0" w:color="auto"/>
            <w:left w:val="none" w:sz="0" w:space="0" w:color="auto"/>
            <w:bottom w:val="none" w:sz="0" w:space="0" w:color="auto"/>
            <w:right w:val="none" w:sz="0" w:space="0" w:color="auto"/>
          </w:divBdr>
        </w:div>
        <w:div w:id="1418864203">
          <w:marLeft w:val="0"/>
          <w:marRight w:val="0"/>
          <w:marTop w:val="0"/>
          <w:marBottom w:val="0"/>
          <w:divBdr>
            <w:top w:val="none" w:sz="0" w:space="0" w:color="auto"/>
            <w:left w:val="none" w:sz="0" w:space="0" w:color="auto"/>
            <w:bottom w:val="none" w:sz="0" w:space="0" w:color="auto"/>
            <w:right w:val="none" w:sz="0" w:space="0" w:color="auto"/>
          </w:divBdr>
        </w:div>
      </w:divsChild>
    </w:div>
    <w:div w:id="760108915">
      <w:bodyDiv w:val="1"/>
      <w:marLeft w:val="0"/>
      <w:marRight w:val="0"/>
      <w:marTop w:val="0"/>
      <w:marBottom w:val="0"/>
      <w:divBdr>
        <w:top w:val="none" w:sz="0" w:space="0" w:color="auto"/>
        <w:left w:val="none" w:sz="0" w:space="0" w:color="auto"/>
        <w:bottom w:val="none" w:sz="0" w:space="0" w:color="auto"/>
        <w:right w:val="none" w:sz="0" w:space="0" w:color="auto"/>
      </w:divBdr>
    </w:div>
    <w:div w:id="1071729353">
      <w:bodyDiv w:val="1"/>
      <w:marLeft w:val="0"/>
      <w:marRight w:val="0"/>
      <w:marTop w:val="0"/>
      <w:marBottom w:val="0"/>
      <w:divBdr>
        <w:top w:val="none" w:sz="0" w:space="0" w:color="auto"/>
        <w:left w:val="none" w:sz="0" w:space="0" w:color="auto"/>
        <w:bottom w:val="none" w:sz="0" w:space="0" w:color="auto"/>
        <w:right w:val="none" w:sz="0" w:space="0" w:color="auto"/>
      </w:divBdr>
      <w:divsChild>
        <w:div w:id="1953248476">
          <w:marLeft w:val="0"/>
          <w:marRight w:val="0"/>
          <w:marTop w:val="0"/>
          <w:marBottom w:val="0"/>
          <w:divBdr>
            <w:top w:val="none" w:sz="0" w:space="0" w:color="auto"/>
            <w:left w:val="none" w:sz="0" w:space="0" w:color="auto"/>
            <w:bottom w:val="none" w:sz="0" w:space="0" w:color="auto"/>
            <w:right w:val="none" w:sz="0" w:space="0" w:color="auto"/>
          </w:divBdr>
        </w:div>
        <w:div w:id="1966231390">
          <w:marLeft w:val="0"/>
          <w:marRight w:val="0"/>
          <w:marTop w:val="0"/>
          <w:marBottom w:val="0"/>
          <w:divBdr>
            <w:top w:val="none" w:sz="0" w:space="0" w:color="auto"/>
            <w:left w:val="none" w:sz="0" w:space="0" w:color="auto"/>
            <w:bottom w:val="none" w:sz="0" w:space="0" w:color="auto"/>
            <w:right w:val="none" w:sz="0" w:space="0" w:color="auto"/>
          </w:divBdr>
        </w:div>
        <w:div w:id="1873617404">
          <w:marLeft w:val="0"/>
          <w:marRight w:val="0"/>
          <w:marTop w:val="0"/>
          <w:marBottom w:val="0"/>
          <w:divBdr>
            <w:top w:val="none" w:sz="0" w:space="0" w:color="auto"/>
            <w:left w:val="none" w:sz="0" w:space="0" w:color="auto"/>
            <w:bottom w:val="none" w:sz="0" w:space="0" w:color="auto"/>
            <w:right w:val="none" w:sz="0" w:space="0" w:color="auto"/>
          </w:divBdr>
        </w:div>
        <w:div w:id="1498379254">
          <w:marLeft w:val="0"/>
          <w:marRight w:val="0"/>
          <w:marTop w:val="0"/>
          <w:marBottom w:val="0"/>
          <w:divBdr>
            <w:top w:val="none" w:sz="0" w:space="0" w:color="auto"/>
            <w:left w:val="none" w:sz="0" w:space="0" w:color="auto"/>
            <w:bottom w:val="none" w:sz="0" w:space="0" w:color="auto"/>
            <w:right w:val="none" w:sz="0" w:space="0" w:color="auto"/>
          </w:divBdr>
        </w:div>
      </w:divsChild>
    </w:div>
    <w:div w:id="1112285475">
      <w:bodyDiv w:val="1"/>
      <w:marLeft w:val="0"/>
      <w:marRight w:val="0"/>
      <w:marTop w:val="0"/>
      <w:marBottom w:val="0"/>
      <w:divBdr>
        <w:top w:val="none" w:sz="0" w:space="0" w:color="auto"/>
        <w:left w:val="none" w:sz="0" w:space="0" w:color="auto"/>
        <w:bottom w:val="none" w:sz="0" w:space="0" w:color="auto"/>
        <w:right w:val="none" w:sz="0" w:space="0" w:color="auto"/>
      </w:divBdr>
    </w:div>
    <w:div w:id="1387605035">
      <w:bodyDiv w:val="1"/>
      <w:marLeft w:val="0"/>
      <w:marRight w:val="0"/>
      <w:marTop w:val="0"/>
      <w:marBottom w:val="0"/>
      <w:divBdr>
        <w:top w:val="none" w:sz="0" w:space="0" w:color="auto"/>
        <w:left w:val="none" w:sz="0" w:space="0" w:color="auto"/>
        <w:bottom w:val="none" w:sz="0" w:space="0" w:color="auto"/>
        <w:right w:val="none" w:sz="0" w:space="0" w:color="auto"/>
      </w:divBdr>
    </w:div>
    <w:div w:id="176430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kidshelpline.com.au/" TargetMode="External"/><Relationship Id="rId26" Type="http://schemas.openxmlformats.org/officeDocument/2006/relationships/hyperlink" Target="https://www.tga.gov.au/resources/publication/publications/independent-expert-panel-report" TargetMode="External"/><Relationship Id="rId39" Type="http://schemas.openxmlformats.org/officeDocument/2006/relationships/hyperlink" Target="https://consultations.tga.gov.au/tga/pre-meeting-nov-2022/" TargetMode="External"/><Relationship Id="rId21" Type="http://schemas.openxmlformats.org/officeDocument/2006/relationships/hyperlink" Target="https://consultations.tga.gov.au/tga/paracetamol_november_2022_acms/user_uploads/pre-meeting-public-notice---paracetamol---november-2022-3.pdf" TargetMode="External"/><Relationship Id="rId34" Type="http://schemas.openxmlformats.org/officeDocument/2006/relationships/hyperlink" Target="https://consultations.tga.gov.au/tga/scheduling-interim-decision-nov-2022/" TargetMode="External"/><Relationship Id="rId42" Type="http://schemas.openxmlformats.org/officeDocument/2006/relationships/hyperlink" Target="https://www.tga.gov.au/sites/default/files/2023-02/public-notice-of-interim-decisions-acms-40-accs-35-joint-acms-accs-32-november-2022.pdf" TargetMode="External"/><Relationship Id="rId47" Type="http://schemas.openxmlformats.org/officeDocument/2006/relationships/hyperlink" Target="https://www.tga.gov.au/sites/default/files/2023-02/public-notice-of-interim-decisions-acms-40-accs-35-joint-acms-accs-32-november-2022.pdf" TargetMode="External"/><Relationship Id="rId50" Type="http://schemas.openxmlformats.org/officeDocument/2006/relationships/hyperlink" Target="https://www.tga.gov.au/sites/default/files/2022-09/consultation-proposed-amendments-poisons-standard-accs-acms-and-joint-accsacms-meetings-november-2022.pdf" TargetMode="External"/><Relationship Id="rId55" Type="http://schemas.openxmlformats.org/officeDocument/2006/relationships/hyperlink" Target="https://consultations.tga.gov.au/tga/pre-meeting-nov-2022/" TargetMode="External"/><Relationship Id="rId63" Type="http://schemas.openxmlformats.org/officeDocument/2006/relationships/hyperlink" Target="https://www.tga.gov.au/sites/default/files/2023-02/public-notice-of-interim-decisions-acms-40-accs-35-joint-acms-accs-32-november-2022.pdf" TargetMode="External"/><Relationship Id="rId68" Type="http://schemas.openxmlformats.org/officeDocument/2006/relationships/hyperlink" Target="https://www.tga.gov.au/sites/default/files/2023-02/public-notice-of-interim-decisions-acms-40-accs-35-joint-acms-accs-32-november-2022.pdf" TargetMode="Externa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eyondblue.org.au/get-support/online-forums" TargetMode="External"/><Relationship Id="rId29" Type="http://schemas.openxmlformats.org/officeDocument/2006/relationships/hyperlink" Target="https://www.legislation.gov.uk/uksi/1997/2045/made" TargetMode="Externa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interim-decision-nov-2022-paracetamol/" TargetMode="External"/><Relationship Id="rId32" Type="http://schemas.openxmlformats.org/officeDocument/2006/relationships/hyperlink" Target="https://consultations.tga.gov.au/tga/pre-meeting-nov-2022/" TargetMode="External"/><Relationship Id="rId37" Type="http://schemas.openxmlformats.org/officeDocument/2006/relationships/hyperlink" Target="https://www.cochranelibrary.com/cdsr/doi/10.1002/14651858.CD015017.pub3/full" TargetMode="External"/><Relationship Id="rId40" Type="http://schemas.openxmlformats.org/officeDocument/2006/relationships/hyperlink" Target="https://www.tga.gov.au/sites/default/files/2022-09/consultation-proposed-amendments-poisons-standard-accs-acms-and-joint-accsacms-meetings-november-2022.pdf" TargetMode="External"/><Relationship Id="rId45" Type="http://schemas.openxmlformats.org/officeDocument/2006/relationships/hyperlink" Target="https://www.tga.gov.au/sites/default/files/2022-09/consultation-proposed-amendments-poisons-standard-accs-acms-and-joint-accsacms-meetings-november-2022.pdf" TargetMode="External"/><Relationship Id="rId53" Type="http://schemas.openxmlformats.org/officeDocument/2006/relationships/hyperlink" Target="https://www.tga.gov.au/resources/publication/scheduling-decisions-final/notice-final-decisions-amend-or-not-amend-current-poisons-standard-acms-34-joint-acms-accs-28-accs-31" TargetMode="External"/><Relationship Id="rId58" Type="http://schemas.openxmlformats.org/officeDocument/2006/relationships/hyperlink" Target="https://www.tga.gov.au/sites/default/files/2023-02/public-notice-of-interim-decisions-acms-40-accs-35-joint-acms-accs-32-november-2022.pdf" TargetMode="External"/><Relationship Id="rId66" Type="http://schemas.openxmlformats.org/officeDocument/2006/relationships/hyperlink" Target="https://www.tga.gov.au/sites/default/files/2022-09/consultation-proposed-amendments-poisons-standard-accs-acms-and-joint-accsacms-meetings-november-2022.pd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icidecallbackservice.org.au/" TargetMode="External"/><Relationship Id="rId23" Type="http://schemas.openxmlformats.org/officeDocument/2006/relationships/hyperlink" Target="https://www.tga.gov.au/resources/consultation/consultation-proposed-amendments-poisons-standard-relation-paracetamol-acms-meeting-november-2022" TargetMode="External"/><Relationship Id="rId28" Type="http://schemas.openxmlformats.org/officeDocument/2006/relationships/hyperlink" Target="https://www.guild.org.au/training/pharmacy-and-dispensary-assistant/s2s3-training" TargetMode="External"/><Relationship Id="rId36" Type="http://schemas.openxmlformats.org/officeDocument/2006/relationships/hyperlink" Target="https://clinicalevidence.net.au/faqs/covid/" TargetMode="External"/><Relationship Id="rId49" Type="http://schemas.openxmlformats.org/officeDocument/2006/relationships/hyperlink" Target="https://consultations.tga.gov.au/tga/pre-meeting-nov-2022/" TargetMode="External"/><Relationship Id="rId57" Type="http://schemas.openxmlformats.org/officeDocument/2006/relationships/hyperlink" Target="https://consultations.tga.gov.au/tga/scheduling-interim-decision-nov-2022/" TargetMode="External"/><Relationship Id="rId61" Type="http://schemas.openxmlformats.org/officeDocument/2006/relationships/hyperlink" Target="https://www.tga.gov.au/sites/default/files/2022-09/consultation-proposed-amendments-poisons-standard-accs-acms-and-joint-accsacms-meetings-november-2022.pdf" TargetMode="External"/><Relationship Id="rId10" Type="http://schemas.openxmlformats.org/officeDocument/2006/relationships/header" Target="header2.xml"/><Relationship Id="rId19" Type="http://schemas.openxmlformats.org/officeDocument/2006/relationships/hyperlink" Target="https://headspace.org.au/" TargetMode="External"/><Relationship Id="rId31" Type="http://schemas.openxmlformats.org/officeDocument/2006/relationships/hyperlink" Target="https://www.tga.gov.au/sites/default/files/2022-09/consultation-proposed-amendments-poisons-standard-accs-acms-and-joint-accsacms-meetings-november-2022.pdf" TargetMode="External"/><Relationship Id="rId44" Type="http://schemas.openxmlformats.org/officeDocument/2006/relationships/hyperlink" Target="https://consultations.tga.gov.au/tga/pre-meeting-nov-2022/" TargetMode="External"/><Relationship Id="rId52" Type="http://schemas.openxmlformats.org/officeDocument/2006/relationships/hyperlink" Target="https://www.tga.gov.au/sites/default/files/2023-02/public-notice-of-interim-decisions-acms-40-accs-35-joint-acms-accs-32-november-2022.pdf" TargetMode="External"/><Relationship Id="rId60" Type="http://schemas.openxmlformats.org/officeDocument/2006/relationships/hyperlink" Target="https://consultations.tga.gov.au/tga/pre-meeting-nov-2022/" TargetMode="External"/><Relationship Id="rId65" Type="http://schemas.openxmlformats.org/officeDocument/2006/relationships/hyperlink" Target="https://consultations.tga.gov.au/tga/pre-meeting-nov-202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ifeline.org.au/" TargetMode="External"/><Relationship Id="rId22" Type="http://schemas.openxmlformats.org/officeDocument/2006/relationships/hyperlink" Target="https://consultations.tga.gov.au/tga/paracetamol_november_2022_acms/" TargetMode="External"/><Relationship Id="rId27" Type="http://schemas.openxmlformats.org/officeDocument/2006/relationships/hyperlink" Target="https://www.tg.org.au/" TargetMode="External"/><Relationship Id="rId30" Type="http://schemas.openxmlformats.org/officeDocument/2006/relationships/hyperlink" Target="https://www.tga.gov.au/resources/publication/scheduling-decisions-final/notice-amendment-current-poisons-standard-under-paragraph-52d2a-therapeutic-goods-act-1989-0" TargetMode="External"/><Relationship Id="rId35" Type="http://schemas.openxmlformats.org/officeDocument/2006/relationships/hyperlink" Target="https://www.tga.gov.au/sites/default/files/2023-02/public-notice-of-interim-decisions-acms-40-accs-35-joint-acms-accs-32-november-2022.pdf" TargetMode="External"/><Relationship Id="rId43" Type="http://schemas.openxmlformats.org/officeDocument/2006/relationships/hyperlink" Target="https://www.tga.gov.au/sites/default/files/2022-09/consultation-proposed-amendments-poisons-standard-accs-acms-and-joint-accsacms-meetings-november-2022.pdf" TargetMode="External"/><Relationship Id="rId48" Type="http://schemas.openxmlformats.org/officeDocument/2006/relationships/hyperlink" Target="https://www.tga.gov.au/sites/default/files/2022-09/consultation-proposed-amendments-poisons-standard-accs-acms-and-joint-accsacms-meetings-november-2022.pdf" TargetMode="External"/><Relationship Id="rId56" Type="http://schemas.openxmlformats.org/officeDocument/2006/relationships/hyperlink" Target="https://www.tga.gov.au/sites/default/files/2022-09/consultation-proposed-amendments-poisons-standard-accs-acms-and-joint-accsacms-meetings-november-2022.pdf" TargetMode="External"/><Relationship Id="rId64" Type="http://schemas.openxmlformats.org/officeDocument/2006/relationships/hyperlink" Target="https://www.tga.gov.au/sites/default/files/2022-09/consultation-proposed-amendments-poisons-standard-accs-acms-and-joint-accsacms-meetings-november-2022.pdf" TargetMode="External"/><Relationship Id="rId69"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consultations.tga.gov.au/tga/scheduling-interim-decision-nov-2022/"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mensline.org.au/" TargetMode="External"/><Relationship Id="rId25" Type="http://schemas.openxmlformats.org/officeDocument/2006/relationships/hyperlink" Target="https://consultations.tga.gov.au/tga/scheduling-interim-decision-nov-2022-paracetamol/" TargetMode="External"/><Relationship Id="rId33" Type="http://schemas.openxmlformats.org/officeDocument/2006/relationships/hyperlink" Target="https://www.tga.gov.au/sites/default/files/2022-09/consultation-proposed-amendments-poisons-standard-accs-acms-and-joint-accsacms-meetings-november-2022.pdf" TargetMode="External"/><Relationship Id="rId38" Type="http://schemas.openxmlformats.org/officeDocument/2006/relationships/hyperlink" Target="https://www.tga.gov.au/sites/default/files/2022-09/consultation-proposed-amendments-poisons-standard-accs-acms-and-joint-accsacms-meetings-november-2022.pdf" TargetMode="External"/><Relationship Id="rId46" Type="http://schemas.openxmlformats.org/officeDocument/2006/relationships/hyperlink" Target="https://consultations.tga.gov.au/tga/scheduling-interim-decision-nov-2022/" TargetMode="External"/><Relationship Id="rId59" Type="http://schemas.openxmlformats.org/officeDocument/2006/relationships/hyperlink" Target="https://www.tga.gov.au/sites/default/files/2022-09/consultation-proposed-amendments-poisons-standard-accs-acms-and-joint-accsacms-meetings-november-2022.pdf" TargetMode="External"/><Relationship Id="rId67" Type="http://schemas.openxmlformats.org/officeDocument/2006/relationships/hyperlink" Target="https://consultations.tga.gov.au/tga/scheduling-interim-decision-nov-2022/" TargetMode="External"/><Relationship Id="rId20" Type="http://schemas.openxmlformats.org/officeDocument/2006/relationships/hyperlink" Target="https://au.reachout.com/" TargetMode="External"/><Relationship Id="rId41" Type="http://schemas.openxmlformats.org/officeDocument/2006/relationships/hyperlink" Target="https://consultations.tga.gov.au/tga/scheduling-interim-decision-nov-2022/" TargetMode="External"/><Relationship Id="rId54" Type="http://schemas.openxmlformats.org/officeDocument/2006/relationships/hyperlink" Target="https://www.tga.gov.au/sites/default/files/2022-09/consultation-proposed-amendments-poisons-standard-accs-acms-and-joint-accsacms-meetings-november-2022.pdf" TargetMode="External"/><Relationship Id="rId62" Type="http://schemas.openxmlformats.org/officeDocument/2006/relationships/hyperlink" Target="https://consultations.tga.gov.au/tga/scheduling-interim-decision-nov-2022/"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2/14651858.CD015017.pub2" TargetMode="External"/><Relationship Id="rId13" Type="http://schemas.openxmlformats.org/officeDocument/2006/relationships/hyperlink" Target="https://academic.oup.com/ijpp/article/18/1/63/6130463" TargetMode="External"/><Relationship Id="rId18" Type="http://schemas.openxmlformats.org/officeDocument/2006/relationships/hyperlink" Target="https://www.healthdirect.gov.au/chronic-pain" TargetMode="External"/><Relationship Id="rId3" Type="http://schemas.openxmlformats.org/officeDocument/2006/relationships/hyperlink" Target="https://www.guild.org.au/training/pharmacy-and-dispensary-assistant/s2s3-training" TargetMode="External"/><Relationship Id="rId7" Type="http://schemas.openxmlformats.org/officeDocument/2006/relationships/hyperlink" Target="https://clinicalevidence.net.au/faqs/covid/" TargetMode="External"/><Relationship Id="rId12" Type="http://schemas.openxmlformats.org/officeDocument/2006/relationships/hyperlink" Target="https://onlinelibrary.wiley.com/doi/epdf/10.1111/1753-6405.12589" TargetMode="External"/><Relationship Id="rId17" Type="http://schemas.openxmlformats.org/officeDocument/2006/relationships/hyperlink" Target="https://www.betterhealth.vic.gov.au/health/conditionsandtreatments/Living-with-persistent-pain" TargetMode="External"/><Relationship Id="rId2" Type="http://schemas.openxmlformats.org/officeDocument/2006/relationships/hyperlink" Target="https://www.tg.org.au" TargetMode="External"/><Relationship Id="rId16" Type="http://schemas.openxmlformats.org/officeDocument/2006/relationships/hyperlink" Target="https://www.aihw.gov.au/reports/chronic-disease/chronic-pain-in-australia/summary" TargetMode="External"/><Relationship Id="rId20" Type="http://schemas.openxmlformats.org/officeDocument/2006/relationships/hyperlink" Target="https://www.painaustralia.org.au/about-pain/painaustralia-what-is-pain" TargetMode="External"/><Relationship Id="rId1" Type="http://schemas.openxmlformats.org/officeDocument/2006/relationships/hyperlink" Target="https://www.tg.org.au" TargetMode="External"/><Relationship Id="rId6" Type="http://schemas.openxmlformats.org/officeDocument/2006/relationships/hyperlink" Target="https://www.medscape.com/viewarticle/971936" TargetMode="External"/><Relationship Id="rId11" Type="http://schemas.openxmlformats.org/officeDocument/2006/relationships/hyperlink" Target="https://www.nps.org.au/media/survey-finds-millions-of-australians-misuse-their-medicines" TargetMode="External"/><Relationship Id="rId5" Type="http://schemas.openxmlformats.org/officeDocument/2006/relationships/hyperlink" Target="https://www.tga.gov.au/sites/default/files/2022-09/consultation-proposed-amendments-poisons-standard-accs-acms-and-joint-accsacms-meetings-november-2022.pdf" TargetMode="External"/><Relationship Id="rId15" Type="http://schemas.openxmlformats.org/officeDocument/2006/relationships/hyperlink" Target="https://www.iasp-pain.org/advocacy/definitions-of-chronic-pain-syndromes/" TargetMode="External"/><Relationship Id="rId10" Type="http://schemas.openxmlformats.org/officeDocument/2006/relationships/hyperlink" Target="https://www.nps.org.au/assets/Final-Literature-Review-Report_at.pdf" TargetMode="External"/><Relationship Id="rId19" Type="http://schemas.openxmlformats.org/officeDocument/2006/relationships/hyperlink" Target="https://www.nhsinform.scot/illnesses-and-conditions/brain-nerves-and-spinal-cord/chronic-pain" TargetMode="External"/><Relationship Id="rId4" Type="http://schemas.openxmlformats.org/officeDocument/2006/relationships/hyperlink" Target="https://www.legislation.gov.uk/uksi/1997/2045/made" TargetMode="External"/><Relationship Id="rId9" Type="http://schemas.openxmlformats.org/officeDocument/2006/relationships/hyperlink" Target="https://www.health.gov.au/resources/publications/covid-19-vaccination-vaccination-data-24-march-2023?language=en" TargetMode="External"/><Relationship Id="rId14" Type="http://schemas.openxmlformats.org/officeDocument/2006/relationships/hyperlink" Target="https://www.dovepress.com/chronic-pain-what-does-it-mean-a-review-on-the-use-of-the-term-chronic-peer-reviewed-fulltext-article-JP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10</TotalTime>
  <Pages>36</Pages>
  <Words>13626</Words>
  <Characters>73586</Characters>
  <Application>Microsoft Office Word</Application>
  <DocSecurity>0</DocSecurity>
  <Lines>1362</Lines>
  <Paragraphs>676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86536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poisons standard</dc:subject>
  <dc:creator>Therapeutic Goods Administration</dc:creator>
  <cp:keywords/>
  <dc:description/>
  <cp:lastModifiedBy>LACK, Janet</cp:lastModifiedBy>
  <cp:revision>4</cp:revision>
  <cp:lastPrinted>2020-05-01T05:17:00Z</cp:lastPrinted>
  <dcterms:created xsi:type="dcterms:W3CDTF">2025-02-11T23:52:00Z</dcterms:created>
  <dcterms:modified xsi:type="dcterms:W3CDTF">2025-02-12T00:01:00Z</dcterms:modified>
</cp:coreProperties>
</file>